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F20DA" w14:textId="0CFFB0BE" w:rsidR="007017A3" w:rsidRPr="00F86091" w:rsidRDefault="006A3F11" w:rsidP="006A3F11">
      <w:pPr>
        <w:pStyle w:val="Pagedecouverture"/>
        <w:rPr>
          <w:noProof/>
        </w:rPr>
      </w:pPr>
      <w:r>
        <w:rPr>
          <w:noProof/>
        </w:rPr>
        <w:pict w14:anchorId="0F033A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92AB7B57-3E09-46A1-9D9E-7C5671015C94" style="width:455.25pt;height:426pt">
            <v:imagedata r:id="rId8" o:title=""/>
          </v:shape>
        </w:pict>
      </w:r>
    </w:p>
    <w:p w14:paraId="730C3B49" w14:textId="77777777" w:rsidR="007017A3" w:rsidRPr="00F86091" w:rsidRDefault="007017A3" w:rsidP="007017A3">
      <w:pPr>
        <w:rPr>
          <w:noProof/>
        </w:rPr>
        <w:sectPr w:rsidR="007017A3" w:rsidRPr="00F86091" w:rsidSect="006A3F11">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374B5588" w14:textId="77777777" w:rsidR="007017A3" w:rsidRPr="00F86091" w:rsidRDefault="007017A3" w:rsidP="00D31AEF">
      <w:pPr>
        <w:pStyle w:val="Exposdesmotifstitre"/>
        <w:rPr>
          <w:noProof/>
        </w:rPr>
      </w:pPr>
      <w:r w:rsidRPr="00F86091">
        <w:rPr>
          <w:noProof/>
        </w:rPr>
        <w:lastRenderedPageBreak/>
        <w:t>EXPLANATORY MEMORANDUM</w:t>
      </w:r>
    </w:p>
    <w:p w14:paraId="601D1F8A" w14:textId="77777777" w:rsidR="007017A3" w:rsidRPr="00F86091" w:rsidRDefault="007017A3" w:rsidP="00C5043A">
      <w:pPr>
        <w:pStyle w:val="ManualHeading1"/>
        <w:spacing w:before="0" w:after="240"/>
        <w:rPr>
          <w:noProof/>
        </w:rPr>
      </w:pPr>
      <w:r w:rsidRPr="00F86091">
        <w:rPr>
          <w:noProof/>
        </w:rPr>
        <w:t>1.</w:t>
      </w:r>
      <w:r w:rsidRPr="00F86091">
        <w:rPr>
          <w:noProof/>
        </w:rPr>
        <w:tab/>
        <w:t>CONTEXT OF THE PROPOSAL</w:t>
      </w:r>
    </w:p>
    <w:p w14:paraId="584FE8DE" w14:textId="77777777" w:rsidR="007017A3" w:rsidRPr="00F86091" w:rsidRDefault="007017A3" w:rsidP="00C5043A">
      <w:pPr>
        <w:pStyle w:val="ManualHeading2"/>
        <w:spacing w:before="0" w:after="240"/>
        <w:rPr>
          <w:rFonts w:eastAsia="Arial Unicode MS"/>
          <w:noProof/>
        </w:rPr>
      </w:pPr>
      <w:r w:rsidRPr="00F86091">
        <w:rPr>
          <w:rFonts w:eastAsia="Arial Unicode MS"/>
          <w:noProof/>
          <w:color w:val="000000"/>
          <w:u w:color="000000"/>
          <w:bdr w:val="nil"/>
          <w:lang w:eastAsia="en-GB"/>
        </w:rPr>
        <w:t>•</w:t>
      </w:r>
      <w:r w:rsidRPr="00F86091">
        <w:rPr>
          <w:rFonts w:eastAsia="Arial Unicode MS"/>
          <w:noProof/>
          <w:color w:val="000000"/>
          <w:u w:color="000000"/>
          <w:bdr w:val="nil"/>
          <w:lang w:eastAsia="en-GB"/>
        </w:rPr>
        <w:tab/>
      </w:r>
      <w:r w:rsidRPr="00F86091">
        <w:rPr>
          <w:rFonts w:eastAsia="Arial Unicode MS"/>
          <w:noProof/>
        </w:rPr>
        <w:t>Reasons for and objectives of the proposal</w:t>
      </w:r>
    </w:p>
    <w:p w14:paraId="0CA57088" w14:textId="77777777" w:rsidR="007F74C7" w:rsidRPr="00F86091" w:rsidRDefault="00353B0D" w:rsidP="00426994">
      <w:pPr>
        <w:rPr>
          <w:noProof/>
        </w:rPr>
      </w:pPr>
      <w:r w:rsidRPr="00F86091">
        <w:rPr>
          <w:noProof/>
        </w:rPr>
        <w:t>In June 2021, the Commission presented the EU strategic framework on health and safety at work 2021-2027</w:t>
      </w:r>
      <w:bookmarkStart w:id="0" w:name="_Ref161808853"/>
      <w:r w:rsidRPr="00F86091">
        <w:rPr>
          <w:rStyle w:val="FootnoteReference"/>
          <w:noProof/>
        </w:rPr>
        <w:footnoteReference w:id="2"/>
      </w:r>
      <w:bookmarkEnd w:id="0"/>
      <w:r w:rsidRPr="00F86091">
        <w:rPr>
          <w:noProof/>
        </w:rPr>
        <w:t xml:space="preserve"> (‘EU OSH strategic framework’). This strategic framework aims to turn principle 10 </w:t>
      </w:r>
      <w:r w:rsidR="002F752E" w:rsidRPr="00F86091">
        <w:rPr>
          <w:noProof/>
        </w:rPr>
        <w:t>of</w:t>
      </w:r>
      <w:r w:rsidRPr="00F86091">
        <w:rPr>
          <w:noProof/>
        </w:rPr>
        <w:t xml:space="preserve"> the European Pillar of Social Rights</w:t>
      </w:r>
      <w:r w:rsidRPr="00F86091">
        <w:rPr>
          <w:rStyle w:val="FootnoteReference"/>
          <w:noProof/>
        </w:rPr>
        <w:footnoteReference w:id="3"/>
      </w:r>
      <w:r w:rsidRPr="00F86091">
        <w:rPr>
          <w:noProof/>
        </w:rPr>
        <w:t xml:space="preserve"> </w:t>
      </w:r>
      <w:r w:rsidR="002F752E" w:rsidRPr="00F86091">
        <w:rPr>
          <w:noProof/>
        </w:rPr>
        <w:t>on</w:t>
      </w:r>
      <w:r w:rsidRPr="00F86091">
        <w:rPr>
          <w:noProof/>
        </w:rPr>
        <w:t xml:space="preserve"> workers’ right to a high level of protection of their health and safety at work</w:t>
      </w:r>
      <w:r w:rsidR="00590D6A">
        <w:rPr>
          <w:noProof/>
        </w:rPr>
        <w:t xml:space="preserve"> </w:t>
      </w:r>
      <w:r w:rsidR="00590D6A" w:rsidRPr="00F86091">
        <w:rPr>
          <w:noProof/>
        </w:rPr>
        <w:t>into concrete actions</w:t>
      </w:r>
      <w:r w:rsidRPr="00F86091">
        <w:rPr>
          <w:noProof/>
        </w:rPr>
        <w:t>.</w:t>
      </w:r>
      <w:r w:rsidR="002F752E" w:rsidRPr="00F86091">
        <w:rPr>
          <w:noProof/>
        </w:rPr>
        <w:t xml:space="preserve"> </w:t>
      </w:r>
      <w:r w:rsidR="00D101EB" w:rsidRPr="00F86091">
        <w:rPr>
          <w:noProof/>
        </w:rPr>
        <w:t xml:space="preserve">A key objective of the EU OSH strategic framework is </w:t>
      </w:r>
      <w:r w:rsidR="007350A7">
        <w:rPr>
          <w:noProof/>
        </w:rPr>
        <w:t xml:space="preserve">preventing </w:t>
      </w:r>
      <w:r w:rsidR="00D101EB" w:rsidRPr="00F86091">
        <w:rPr>
          <w:noProof/>
        </w:rPr>
        <w:t>workplace accidents and illnesses</w:t>
      </w:r>
      <w:r w:rsidR="007350A7">
        <w:rPr>
          <w:noProof/>
        </w:rPr>
        <w:t xml:space="preserve">, which </w:t>
      </w:r>
      <w:r w:rsidR="00D101EB" w:rsidRPr="00F86091">
        <w:rPr>
          <w:noProof/>
        </w:rPr>
        <w:t>can cause serious adverse health effects</w:t>
      </w:r>
      <w:r w:rsidR="007350A7">
        <w:rPr>
          <w:noProof/>
        </w:rPr>
        <w:t xml:space="preserve"> and </w:t>
      </w:r>
      <w:r w:rsidR="00D101EB" w:rsidRPr="00F86091">
        <w:rPr>
          <w:noProof/>
        </w:rPr>
        <w:t>fatalities</w:t>
      </w:r>
      <w:r w:rsidR="00A97AA9">
        <w:rPr>
          <w:noProof/>
        </w:rPr>
        <w:t xml:space="preserve"> for workers</w:t>
      </w:r>
      <w:r w:rsidR="00D101EB" w:rsidRPr="00F86091">
        <w:rPr>
          <w:noProof/>
        </w:rPr>
        <w:t xml:space="preserve">, </w:t>
      </w:r>
      <w:r w:rsidR="00067A50" w:rsidRPr="00F86091">
        <w:rPr>
          <w:noProof/>
        </w:rPr>
        <w:t>resulting in</w:t>
      </w:r>
      <w:r w:rsidR="00D101EB" w:rsidRPr="00F86091">
        <w:rPr>
          <w:noProof/>
        </w:rPr>
        <w:t xml:space="preserve"> an estimated annual loss of around 3.3% of gross domestic product in the EU.</w:t>
      </w:r>
    </w:p>
    <w:p w14:paraId="41DAC9C1" w14:textId="77777777" w:rsidR="00F6531E" w:rsidRPr="00F86091" w:rsidRDefault="002341D6" w:rsidP="00426994">
      <w:pPr>
        <w:rPr>
          <w:noProof/>
        </w:rPr>
      </w:pPr>
      <w:r w:rsidRPr="00F86091">
        <w:rPr>
          <w:noProof/>
        </w:rPr>
        <w:t xml:space="preserve">Cancer remains the </w:t>
      </w:r>
      <w:r w:rsidR="00A97AA9">
        <w:rPr>
          <w:noProof/>
        </w:rPr>
        <w:t>leading</w:t>
      </w:r>
      <w:r w:rsidR="00A97AA9" w:rsidRPr="00F86091">
        <w:rPr>
          <w:noProof/>
        </w:rPr>
        <w:t xml:space="preserve"> </w:t>
      </w:r>
      <w:r w:rsidRPr="00F86091">
        <w:rPr>
          <w:noProof/>
        </w:rPr>
        <w:t>cause of work-related death</w:t>
      </w:r>
      <w:r w:rsidR="007350A7">
        <w:rPr>
          <w:noProof/>
        </w:rPr>
        <w:t>s</w:t>
      </w:r>
      <w:r w:rsidRPr="00F86091">
        <w:rPr>
          <w:noProof/>
        </w:rPr>
        <w:t xml:space="preserve"> in the EU. Every year, according to estimates, about 80</w:t>
      </w:r>
      <w:r w:rsidR="00F86091">
        <w:rPr>
          <w:noProof/>
        </w:rPr>
        <w:t> </w:t>
      </w:r>
      <w:r w:rsidRPr="00F86091">
        <w:rPr>
          <w:noProof/>
        </w:rPr>
        <w:t>000 people in the EU lose their lives due to exposure to carcinogens at the place of work</w:t>
      </w:r>
      <w:r w:rsidR="00706EDC" w:rsidRPr="00F86091">
        <w:rPr>
          <w:rStyle w:val="FootnoteReference"/>
          <w:noProof/>
        </w:rPr>
        <w:footnoteReference w:id="4"/>
      </w:r>
      <w:r w:rsidRPr="00F86091">
        <w:rPr>
          <w:noProof/>
        </w:rPr>
        <w:t>.</w:t>
      </w:r>
      <w:r w:rsidR="005B405A" w:rsidRPr="00F86091">
        <w:rPr>
          <w:noProof/>
        </w:rPr>
        <w:t xml:space="preserve"> </w:t>
      </w:r>
      <w:r w:rsidR="00005AD6" w:rsidRPr="00F86091">
        <w:rPr>
          <w:noProof/>
        </w:rPr>
        <w:t xml:space="preserve">Exposure to reprotoxic substances </w:t>
      </w:r>
      <w:r w:rsidR="007350A7">
        <w:rPr>
          <w:noProof/>
        </w:rPr>
        <w:t xml:space="preserve">in </w:t>
      </w:r>
      <w:r w:rsidR="00005AD6" w:rsidRPr="00F86091">
        <w:rPr>
          <w:noProof/>
        </w:rPr>
        <w:t xml:space="preserve">the </w:t>
      </w:r>
      <w:r w:rsidR="007350A7">
        <w:rPr>
          <w:noProof/>
        </w:rPr>
        <w:t>work</w:t>
      </w:r>
      <w:r w:rsidR="00005AD6" w:rsidRPr="00F86091">
        <w:rPr>
          <w:noProof/>
        </w:rPr>
        <w:t>place can also affect sexual function and fertility</w:t>
      </w:r>
      <w:r w:rsidR="00753C6F" w:rsidRPr="00F86091">
        <w:rPr>
          <w:noProof/>
        </w:rPr>
        <w:t xml:space="preserve"> </w:t>
      </w:r>
      <w:r w:rsidR="002F752E" w:rsidRPr="00F86091">
        <w:rPr>
          <w:noProof/>
        </w:rPr>
        <w:t xml:space="preserve">and </w:t>
      </w:r>
      <w:r w:rsidR="007350A7">
        <w:rPr>
          <w:noProof/>
        </w:rPr>
        <w:t xml:space="preserve">harm </w:t>
      </w:r>
      <w:r w:rsidR="00005AD6" w:rsidRPr="00F86091">
        <w:rPr>
          <w:noProof/>
        </w:rPr>
        <w:t xml:space="preserve">the development of workers’ offspring. </w:t>
      </w:r>
      <w:r w:rsidR="0035559C" w:rsidRPr="00F86091">
        <w:rPr>
          <w:noProof/>
        </w:rPr>
        <w:t xml:space="preserve">Up to </w:t>
      </w:r>
      <w:r w:rsidR="00005AD6" w:rsidRPr="00F86091">
        <w:rPr>
          <w:noProof/>
        </w:rPr>
        <w:t>1</w:t>
      </w:r>
      <w:r w:rsidR="00F86091">
        <w:rPr>
          <w:noProof/>
        </w:rPr>
        <w:t> </w:t>
      </w:r>
      <w:r w:rsidR="00005AD6" w:rsidRPr="00F86091">
        <w:rPr>
          <w:noProof/>
        </w:rPr>
        <w:t>274 reproductive ill-health cases in the EU could occur every year following exposure to reprotoxic substances that are not classified as carcinogenic or mutagenic</w:t>
      </w:r>
      <w:r w:rsidR="00005AD6" w:rsidRPr="00F86091">
        <w:rPr>
          <w:rStyle w:val="FootnoteReference"/>
          <w:noProof/>
        </w:rPr>
        <w:footnoteReference w:id="5"/>
      </w:r>
      <w:r w:rsidR="00005AD6" w:rsidRPr="00F86091">
        <w:rPr>
          <w:noProof/>
        </w:rPr>
        <w:t>.</w:t>
      </w:r>
      <w:r w:rsidR="005F2688" w:rsidRPr="00F86091">
        <w:rPr>
          <w:noProof/>
        </w:rPr>
        <w:t xml:space="preserve"> This shows the need to further improve prevention of work-related diseases in the EU</w:t>
      </w:r>
      <w:r w:rsidR="005F2688" w:rsidRPr="00F86091">
        <w:rPr>
          <w:rStyle w:val="FootnoteReference"/>
          <w:noProof/>
        </w:rPr>
        <w:footnoteReference w:id="6"/>
      </w:r>
      <w:r w:rsidR="005F2688" w:rsidRPr="00F86091">
        <w:rPr>
          <w:noProof/>
        </w:rPr>
        <w:t>, which has consequences for workers and their families, businesses and public authorities.</w:t>
      </w:r>
    </w:p>
    <w:p w14:paraId="017ABB5F" w14:textId="77777777" w:rsidR="0003760B" w:rsidRPr="00F86091" w:rsidRDefault="0003760B" w:rsidP="007C0C63">
      <w:pPr>
        <w:rPr>
          <w:noProof/>
        </w:rPr>
      </w:pPr>
      <w:r w:rsidRPr="00F86091">
        <w:rPr>
          <w:noProof/>
        </w:rPr>
        <w:t>The main legislative instrument to ensure workers</w:t>
      </w:r>
      <w:r w:rsidR="00F86091">
        <w:rPr>
          <w:noProof/>
        </w:rPr>
        <w:t>’</w:t>
      </w:r>
      <w:r w:rsidRPr="00F86091">
        <w:rPr>
          <w:noProof/>
        </w:rPr>
        <w:t xml:space="preserve"> protection against</w:t>
      </w:r>
      <w:r w:rsidR="002F752E" w:rsidRPr="00F86091">
        <w:rPr>
          <w:noProof/>
        </w:rPr>
        <w:t xml:space="preserve"> </w:t>
      </w:r>
      <w:r w:rsidR="007350A7">
        <w:rPr>
          <w:noProof/>
        </w:rPr>
        <w:t>these</w:t>
      </w:r>
      <w:r w:rsidR="007350A7" w:rsidRPr="00F86091">
        <w:rPr>
          <w:noProof/>
        </w:rPr>
        <w:t xml:space="preserve"> </w:t>
      </w:r>
      <w:r w:rsidRPr="00F86091">
        <w:rPr>
          <w:noProof/>
        </w:rPr>
        <w:t>risks is the C</w:t>
      </w:r>
      <w:r w:rsidR="00503264" w:rsidRPr="00F86091">
        <w:rPr>
          <w:noProof/>
        </w:rPr>
        <w:t>arcinogens</w:t>
      </w:r>
      <w:r w:rsidR="005F09FF" w:rsidRPr="00F86091">
        <w:rPr>
          <w:noProof/>
        </w:rPr>
        <w:t>,</w:t>
      </w:r>
      <w:r w:rsidR="00503264" w:rsidRPr="00F86091">
        <w:rPr>
          <w:noProof/>
        </w:rPr>
        <w:t xml:space="preserve"> </w:t>
      </w:r>
      <w:r w:rsidRPr="00F86091">
        <w:rPr>
          <w:noProof/>
        </w:rPr>
        <w:t>M</w:t>
      </w:r>
      <w:r w:rsidR="00503264" w:rsidRPr="00F86091">
        <w:rPr>
          <w:noProof/>
        </w:rPr>
        <w:t xml:space="preserve">utagens and </w:t>
      </w:r>
      <w:r w:rsidRPr="00F86091">
        <w:rPr>
          <w:noProof/>
        </w:rPr>
        <w:t>R</w:t>
      </w:r>
      <w:r w:rsidR="00503264" w:rsidRPr="00F86091">
        <w:rPr>
          <w:noProof/>
        </w:rPr>
        <w:t xml:space="preserve">eprotoxic substances </w:t>
      </w:r>
      <w:r w:rsidRPr="00F86091">
        <w:rPr>
          <w:noProof/>
        </w:rPr>
        <w:t>D</w:t>
      </w:r>
      <w:r w:rsidR="00503264" w:rsidRPr="00F86091">
        <w:rPr>
          <w:noProof/>
        </w:rPr>
        <w:t>irective (‘CM</w:t>
      </w:r>
      <w:r w:rsidR="008332BE" w:rsidRPr="00F86091">
        <w:rPr>
          <w:noProof/>
        </w:rPr>
        <w:t>RD’)</w:t>
      </w:r>
      <w:r w:rsidRPr="00F86091">
        <w:rPr>
          <w:noProof/>
        </w:rPr>
        <w:t xml:space="preserve">, an individual directive under the </w:t>
      </w:r>
      <w:r w:rsidR="007350A7" w:rsidRPr="00F86091">
        <w:rPr>
          <w:noProof/>
        </w:rPr>
        <w:t xml:space="preserve">Occupational </w:t>
      </w:r>
      <w:r w:rsidR="007350A7" w:rsidRPr="007D7827">
        <w:rPr>
          <w:noProof/>
        </w:rPr>
        <w:t xml:space="preserve">Safety and Health </w:t>
      </w:r>
      <w:r w:rsidR="00A35C05" w:rsidRPr="007D7827">
        <w:rPr>
          <w:noProof/>
        </w:rPr>
        <w:t>(</w:t>
      </w:r>
      <w:r w:rsidRPr="007D7827">
        <w:rPr>
          <w:noProof/>
        </w:rPr>
        <w:t>OSH</w:t>
      </w:r>
      <w:r w:rsidR="00A35C05" w:rsidRPr="007D7827">
        <w:rPr>
          <w:noProof/>
        </w:rPr>
        <w:t>)</w:t>
      </w:r>
      <w:r w:rsidRPr="007D7827">
        <w:rPr>
          <w:noProof/>
        </w:rPr>
        <w:t xml:space="preserve"> Framework Directive</w:t>
      </w:r>
      <w:r w:rsidRPr="007D7827">
        <w:rPr>
          <w:rStyle w:val="FootnoteReference"/>
          <w:noProof/>
        </w:rPr>
        <w:footnoteReference w:id="7"/>
      </w:r>
      <w:r w:rsidRPr="007D7827">
        <w:rPr>
          <w:noProof/>
        </w:rPr>
        <w:t>.</w:t>
      </w:r>
      <w:r w:rsidR="00FA776C" w:rsidRPr="007D7827">
        <w:rPr>
          <w:noProof/>
        </w:rPr>
        <w:t xml:space="preserve"> </w:t>
      </w:r>
      <w:r w:rsidR="008221F6" w:rsidRPr="007D7827">
        <w:rPr>
          <w:noProof/>
        </w:rPr>
        <w:t xml:space="preserve">The </w:t>
      </w:r>
      <w:r w:rsidR="008332BE" w:rsidRPr="007D7827">
        <w:rPr>
          <w:noProof/>
        </w:rPr>
        <w:t xml:space="preserve">CMRD </w:t>
      </w:r>
      <w:r w:rsidR="00510C8F" w:rsidRPr="007D7827">
        <w:rPr>
          <w:noProof/>
        </w:rPr>
        <w:t xml:space="preserve">provides for </w:t>
      </w:r>
      <w:r w:rsidR="007350A7" w:rsidRPr="007D7827">
        <w:rPr>
          <w:noProof/>
        </w:rPr>
        <w:t xml:space="preserve">measures to prevent and protect </w:t>
      </w:r>
      <w:r w:rsidR="00D73BFD" w:rsidRPr="007D7827">
        <w:rPr>
          <w:noProof/>
        </w:rPr>
        <w:t xml:space="preserve">against risks </w:t>
      </w:r>
      <w:r w:rsidR="00F77B92" w:rsidRPr="007D7827">
        <w:rPr>
          <w:noProof/>
        </w:rPr>
        <w:t>linked to</w:t>
      </w:r>
      <w:r w:rsidR="00D73BFD" w:rsidRPr="007D7827">
        <w:rPr>
          <w:noProof/>
        </w:rPr>
        <w:t xml:space="preserve"> exposure to </w:t>
      </w:r>
      <w:r w:rsidR="0007199E" w:rsidRPr="007D7827">
        <w:rPr>
          <w:noProof/>
        </w:rPr>
        <w:t>carcinogenic</w:t>
      </w:r>
      <w:r w:rsidR="00D73BFD" w:rsidRPr="007D7827">
        <w:rPr>
          <w:noProof/>
        </w:rPr>
        <w:t>, mutagen</w:t>
      </w:r>
      <w:r w:rsidR="0007199E" w:rsidRPr="007D7827">
        <w:rPr>
          <w:noProof/>
        </w:rPr>
        <w:t>ic</w:t>
      </w:r>
      <w:r w:rsidR="00D73BFD" w:rsidRPr="007D7827">
        <w:rPr>
          <w:noProof/>
        </w:rPr>
        <w:t xml:space="preserve"> or reprotoxic substances at work</w:t>
      </w:r>
      <w:r w:rsidR="0095347D" w:rsidRPr="00F86091">
        <w:rPr>
          <w:noProof/>
        </w:rPr>
        <w:t xml:space="preserve"> and includes an obligation to set out limit values for all those carcinogens, mutagens or reprotoxic substances for which this is possible</w:t>
      </w:r>
      <w:r w:rsidR="00D73BFD" w:rsidRPr="00F86091">
        <w:rPr>
          <w:noProof/>
        </w:rPr>
        <w:t>.</w:t>
      </w:r>
    </w:p>
    <w:p w14:paraId="5C72DF36" w14:textId="77777777" w:rsidR="00611D52" w:rsidRPr="00F86091" w:rsidRDefault="0095347D" w:rsidP="00C5043A">
      <w:pPr>
        <w:spacing w:before="0" w:after="240"/>
        <w:rPr>
          <w:noProof/>
        </w:rPr>
      </w:pPr>
      <w:r w:rsidRPr="00F86091">
        <w:rPr>
          <w:noProof/>
        </w:rPr>
        <w:t>In</w:t>
      </w:r>
      <w:r w:rsidR="4AFADE5B" w:rsidRPr="00F86091">
        <w:rPr>
          <w:noProof/>
        </w:rPr>
        <w:t xml:space="preserve"> 2017</w:t>
      </w:r>
      <w:r w:rsidR="3C96D257" w:rsidRPr="00F86091">
        <w:rPr>
          <w:noProof/>
        </w:rPr>
        <w:t>, the Commission</w:t>
      </w:r>
      <w:r w:rsidRPr="00F86091">
        <w:rPr>
          <w:noProof/>
        </w:rPr>
        <w:t>’s</w:t>
      </w:r>
      <w:r w:rsidR="3C96D257" w:rsidRPr="00F86091">
        <w:rPr>
          <w:noProof/>
        </w:rPr>
        <w:t xml:space="preserve"> </w:t>
      </w:r>
      <w:r w:rsidR="00F86091">
        <w:rPr>
          <w:i/>
          <w:noProof/>
        </w:rPr>
        <w:t>ex post</w:t>
      </w:r>
      <w:r w:rsidR="7D5E2866" w:rsidRPr="00F86091">
        <w:rPr>
          <w:noProof/>
        </w:rPr>
        <w:t xml:space="preserve"> evaluation </w:t>
      </w:r>
      <w:r w:rsidR="23D546EE" w:rsidRPr="00F86091">
        <w:rPr>
          <w:noProof/>
        </w:rPr>
        <w:t>of the European Union</w:t>
      </w:r>
      <w:r w:rsidR="007350A7">
        <w:rPr>
          <w:noProof/>
        </w:rPr>
        <w:t>'s</w:t>
      </w:r>
      <w:r w:rsidR="23D546EE" w:rsidRPr="00F86091">
        <w:rPr>
          <w:noProof/>
        </w:rPr>
        <w:t xml:space="preserve"> </w:t>
      </w:r>
      <w:r w:rsidR="0E8D64B2" w:rsidRPr="00F86091">
        <w:rPr>
          <w:noProof/>
        </w:rPr>
        <w:t xml:space="preserve">occupational safety and health </w:t>
      </w:r>
      <w:r w:rsidR="00A4708B">
        <w:rPr>
          <w:noProof/>
        </w:rPr>
        <w:t>d</w:t>
      </w:r>
      <w:r w:rsidR="0D838AEA" w:rsidRPr="00F86091">
        <w:rPr>
          <w:noProof/>
        </w:rPr>
        <w:t>irectives</w:t>
      </w:r>
      <w:r w:rsidR="00611D52" w:rsidRPr="00F86091">
        <w:rPr>
          <w:rStyle w:val="FootnoteReference"/>
          <w:noProof/>
        </w:rPr>
        <w:footnoteReference w:id="8"/>
      </w:r>
      <w:r w:rsidR="5ACC5AFB" w:rsidRPr="00F86091" w:rsidDel="00226C3F">
        <w:rPr>
          <w:noProof/>
        </w:rPr>
        <w:t xml:space="preserve"> </w:t>
      </w:r>
      <w:r w:rsidR="307927AF" w:rsidRPr="00F86091">
        <w:rPr>
          <w:noProof/>
        </w:rPr>
        <w:t>(‘</w:t>
      </w:r>
      <w:r w:rsidR="307927AF" w:rsidRPr="00F86091" w:rsidDel="00226C3F">
        <w:rPr>
          <w:noProof/>
        </w:rPr>
        <w:t>REFIT OSH evaluation</w:t>
      </w:r>
      <w:r w:rsidR="307927AF" w:rsidRPr="00F86091">
        <w:rPr>
          <w:noProof/>
        </w:rPr>
        <w:t>’)</w:t>
      </w:r>
      <w:r w:rsidR="00C1079D" w:rsidRPr="00F86091">
        <w:rPr>
          <w:noProof/>
        </w:rPr>
        <w:t xml:space="preserve"> </w:t>
      </w:r>
      <w:r w:rsidR="5ACC5AFB" w:rsidRPr="00F86091" w:rsidDel="00226C3F">
        <w:rPr>
          <w:noProof/>
        </w:rPr>
        <w:t>concluded that the OSH directives, including the CMRD, remain highly relevant and effective. They contributed to the decrease in the incidence and number of accidents at work</w:t>
      </w:r>
      <w:r w:rsidR="54CC8BC6" w:rsidRPr="00F86091" w:rsidDel="00226C3F">
        <w:rPr>
          <w:noProof/>
        </w:rPr>
        <w:t xml:space="preserve"> and </w:t>
      </w:r>
      <w:r w:rsidR="350951EF" w:rsidRPr="00F86091" w:rsidDel="00226C3F">
        <w:rPr>
          <w:noProof/>
        </w:rPr>
        <w:t>illnesses</w:t>
      </w:r>
      <w:r w:rsidR="5ACC5AFB" w:rsidRPr="00F86091" w:rsidDel="00226C3F">
        <w:rPr>
          <w:noProof/>
        </w:rPr>
        <w:t xml:space="preserve">. </w:t>
      </w:r>
      <w:r w:rsidR="4517D24C" w:rsidRPr="00F86091">
        <w:rPr>
          <w:noProof/>
        </w:rPr>
        <w:t xml:space="preserve">However, </w:t>
      </w:r>
      <w:r w:rsidR="005670DB">
        <w:rPr>
          <w:noProof/>
        </w:rPr>
        <w:t xml:space="preserve">during </w:t>
      </w:r>
      <w:r w:rsidR="005670DB" w:rsidRPr="00F86091">
        <w:rPr>
          <w:noProof/>
        </w:rPr>
        <w:t>this evaluation exercise</w:t>
      </w:r>
      <w:r w:rsidR="005670DB">
        <w:rPr>
          <w:noProof/>
        </w:rPr>
        <w:t>,</w:t>
      </w:r>
      <w:r w:rsidR="005670DB" w:rsidRPr="00F86091">
        <w:rPr>
          <w:noProof/>
        </w:rPr>
        <w:t xml:space="preserve"> </w:t>
      </w:r>
      <w:r w:rsidR="005670DB">
        <w:rPr>
          <w:noProof/>
        </w:rPr>
        <w:t>various</w:t>
      </w:r>
      <w:r w:rsidR="005670DB" w:rsidRPr="00F86091">
        <w:rPr>
          <w:noProof/>
        </w:rPr>
        <w:t xml:space="preserve"> </w:t>
      </w:r>
      <w:r w:rsidR="66F2EE54" w:rsidRPr="00F86091">
        <w:rPr>
          <w:noProof/>
        </w:rPr>
        <w:t>stakeholders</w:t>
      </w:r>
      <w:r w:rsidR="00513D21" w:rsidRPr="00F86091">
        <w:rPr>
          <w:noProof/>
        </w:rPr>
        <w:t>’ groups</w:t>
      </w:r>
      <w:r w:rsidR="66F2EE54" w:rsidRPr="00F86091">
        <w:rPr>
          <w:noProof/>
        </w:rPr>
        <w:t xml:space="preserve"> </w:t>
      </w:r>
      <w:r w:rsidR="7C0F409A" w:rsidRPr="00F86091">
        <w:rPr>
          <w:noProof/>
        </w:rPr>
        <w:t xml:space="preserve">raised the need </w:t>
      </w:r>
      <w:r w:rsidR="4E042953" w:rsidRPr="00F86091">
        <w:rPr>
          <w:noProof/>
        </w:rPr>
        <w:t xml:space="preserve">to consider </w:t>
      </w:r>
      <w:r w:rsidR="005670DB">
        <w:rPr>
          <w:noProof/>
        </w:rPr>
        <w:t>adopting</w:t>
      </w:r>
      <w:r w:rsidR="4E042953" w:rsidRPr="00F86091">
        <w:rPr>
          <w:noProof/>
        </w:rPr>
        <w:t xml:space="preserve"> </w:t>
      </w:r>
      <w:r w:rsidR="6E488BDC" w:rsidRPr="00F86091">
        <w:rPr>
          <w:noProof/>
        </w:rPr>
        <w:t>limit values for more substances.</w:t>
      </w:r>
    </w:p>
    <w:p w14:paraId="3DEA0132" w14:textId="77777777" w:rsidR="00722563" w:rsidRPr="00F86091" w:rsidRDefault="00676A84" w:rsidP="007C0C63">
      <w:pPr>
        <w:rPr>
          <w:noProof/>
        </w:rPr>
      </w:pPr>
      <w:r w:rsidRPr="00F86091">
        <w:rPr>
          <w:noProof/>
        </w:rPr>
        <w:t>Following this REFIT</w:t>
      </w:r>
      <w:r w:rsidR="00453F11">
        <w:rPr>
          <w:noProof/>
        </w:rPr>
        <w:t xml:space="preserve"> </w:t>
      </w:r>
      <w:r w:rsidRPr="00F86091">
        <w:rPr>
          <w:noProof/>
        </w:rPr>
        <w:t xml:space="preserve">OSH evaluation, the Commission </w:t>
      </w:r>
      <w:r w:rsidR="00472E88" w:rsidRPr="00F86091">
        <w:rPr>
          <w:noProof/>
        </w:rPr>
        <w:t>initia</w:t>
      </w:r>
      <w:r w:rsidR="0008776D" w:rsidRPr="00F86091">
        <w:rPr>
          <w:noProof/>
        </w:rPr>
        <w:t xml:space="preserve">ted a continuous </w:t>
      </w:r>
      <w:r w:rsidR="009D25AB" w:rsidRPr="00F86091">
        <w:rPr>
          <w:noProof/>
        </w:rPr>
        <w:t>update of the CMRD</w:t>
      </w:r>
      <w:r w:rsidR="0095347D" w:rsidRPr="00F86091">
        <w:rPr>
          <w:noProof/>
        </w:rPr>
        <w:t xml:space="preserve">. The EU has adopted five revisions of the CMRD, addressing more than 40 key hazardous chemicals and </w:t>
      </w:r>
      <w:r w:rsidR="003A77C6">
        <w:rPr>
          <w:noProof/>
        </w:rPr>
        <w:t xml:space="preserve">helping save the lives of over </w:t>
      </w:r>
      <w:r w:rsidR="0095347D" w:rsidRPr="00F86091">
        <w:rPr>
          <w:noProof/>
        </w:rPr>
        <w:t>100</w:t>
      </w:r>
      <w:r w:rsidR="00F86091">
        <w:rPr>
          <w:noProof/>
        </w:rPr>
        <w:t> </w:t>
      </w:r>
      <w:r w:rsidR="0095347D" w:rsidRPr="00F86091">
        <w:rPr>
          <w:noProof/>
        </w:rPr>
        <w:t>000 workers over the next 50 years</w:t>
      </w:r>
      <w:r w:rsidR="00E8388B" w:rsidRPr="00F86091">
        <w:rPr>
          <w:noProof/>
        </w:rPr>
        <w:t>.</w:t>
      </w:r>
    </w:p>
    <w:p w14:paraId="553CB3A7" w14:textId="77777777" w:rsidR="00A91E13" w:rsidRPr="00F86091" w:rsidRDefault="009C0ABE" w:rsidP="00DC6BE2">
      <w:pPr>
        <w:rPr>
          <w:noProof/>
        </w:rPr>
      </w:pPr>
      <w:r w:rsidRPr="00F86091">
        <w:rPr>
          <w:noProof/>
        </w:rPr>
        <w:t>This continuous revision process</w:t>
      </w:r>
      <w:r w:rsidR="00A35C05" w:rsidRPr="00F86091">
        <w:rPr>
          <w:noProof/>
        </w:rPr>
        <w:t xml:space="preserve"> </w:t>
      </w:r>
      <w:r w:rsidRPr="00F86091">
        <w:rPr>
          <w:noProof/>
        </w:rPr>
        <w:t xml:space="preserve">relies on an inclusive approach where the Commission involves scientists from the European Chemicals Agency’s (‘ECHA’) </w:t>
      </w:r>
      <w:r w:rsidR="00B66D58" w:rsidRPr="00F86091">
        <w:rPr>
          <w:noProof/>
        </w:rPr>
        <w:t>risk assessment committee</w:t>
      </w:r>
      <w:r w:rsidRPr="00F86091">
        <w:rPr>
          <w:noProof/>
        </w:rPr>
        <w:t xml:space="preserve"> (‘RAC’), Member States and social partners represented in the Advisory Committee on Safety and Health at Work</w:t>
      </w:r>
      <w:r w:rsidRPr="00F86091">
        <w:rPr>
          <w:rStyle w:val="FootnoteReference"/>
          <w:noProof/>
        </w:rPr>
        <w:footnoteReference w:id="9"/>
      </w:r>
      <w:r w:rsidRPr="00F86091">
        <w:rPr>
          <w:noProof/>
        </w:rPr>
        <w:t xml:space="preserve"> (‘ACSH’), and social partners through the formal consultation provided by Article</w:t>
      </w:r>
      <w:r w:rsidR="00F86091">
        <w:rPr>
          <w:noProof/>
        </w:rPr>
        <w:t> </w:t>
      </w:r>
      <w:r w:rsidRPr="00F86091">
        <w:rPr>
          <w:noProof/>
        </w:rPr>
        <w:t>154 of the Treaty on the Functioning of the European Union (‘TFEU’).</w:t>
      </w:r>
    </w:p>
    <w:p w14:paraId="14C4FB5E" w14:textId="77777777" w:rsidR="003A708A" w:rsidRPr="00F86091" w:rsidRDefault="00A55779" w:rsidP="00DC6BE2">
      <w:pPr>
        <w:rPr>
          <w:noProof/>
        </w:rPr>
      </w:pPr>
      <w:r w:rsidRPr="00F86091">
        <w:rPr>
          <w:noProof/>
        </w:rPr>
        <w:t>This legislative initiative is the sixth revision of the CMRD</w:t>
      </w:r>
      <w:r w:rsidR="0004022A" w:rsidRPr="00F86091">
        <w:rPr>
          <w:noProof/>
        </w:rPr>
        <w:t xml:space="preserve"> (‘CMRD 6’)</w:t>
      </w:r>
      <w:r w:rsidR="00F65D2C" w:rsidRPr="00F86091">
        <w:rPr>
          <w:noProof/>
        </w:rPr>
        <w:t xml:space="preserve">. </w:t>
      </w:r>
      <w:r w:rsidR="00266F30" w:rsidRPr="00F86091">
        <w:rPr>
          <w:noProof/>
        </w:rPr>
        <w:t xml:space="preserve">It proposes limit values and relevant notations for cobalt and its inorganic compounds </w:t>
      </w:r>
      <w:r w:rsidR="0095347D" w:rsidRPr="00F86091">
        <w:rPr>
          <w:noProof/>
        </w:rPr>
        <w:t xml:space="preserve">in line with the European Parliament’s and the Council’s request through CMRD 4, </w:t>
      </w:r>
      <w:r w:rsidR="00E914B0" w:rsidRPr="00F86091">
        <w:rPr>
          <w:noProof/>
        </w:rPr>
        <w:t>polycyclic aromatic hydrocarbons</w:t>
      </w:r>
      <w:r w:rsidR="008C1C8E" w:rsidRPr="00F86091">
        <w:rPr>
          <w:noProof/>
        </w:rPr>
        <w:t xml:space="preserve"> and</w:t>
      </w:r>
      <w:r w:rsidR="00E914B0" w:rsidRPr="00F86091">
        <w:rPr>
          <w:noProof/>
        </w:rPr>
        <w:t xml:space="preserve"> 1</w:t>
      </w:r>
      <w:r w:rsidR="007D7827">
        <w:rPr>
          <w:noProof/>
        </w:rPr>
        <w:t>,</w:t>
      </w:r>
      <w:r w:rsidR="00E914B0" w:rsidRPr="00F86091">
        <w:rPr>
          <w:noProof/>
        </w:rPr>
        <w:t>4-dioxane</w:t>
      </w:r>
      <w:r w:rsidR="003A77C6">
        <w:rPr>
          <w:noProof/>
        </w:rPr>
        <w:t xml:space="preserve">. It also adds </w:t>
      </w:r>
      <w:r w:rsidR="003A1775" w:rsidRPr="00F86091">
        <w:rPr>
          <w:noProof/>
        </w:rPr>
        <w:t xml:space="preserve">welding fumes </w:t>
      </w:r>
      <w:r w:rsidR="003A77C6">
        <w:rPr>
          <w:noProof/>
        </w:rPr>
        <w:t>to the ‘</w:t>
      </w:r>
      <w:r w:rsidR="00966729" w:rsidRPr="00F86091">
        <w:rPr>
          <w:noProof/>
        </w:rPr>
        <w:t>List of substances, mixtures and processes</w:t>
      </w:r>
      <w:r w:rsidR="003A77C6">
        <w:rPr>
          <w:noProof/>
        </w:rPr>
        <w:t xml:space="preserve">’ </w:t>
      </w:r>
      <w:r w:rsidR="003A77C6" w:rsidRPr="00F86091">
        <w:rPr>
          <w:noProof/>
        </w:rPr>
        <w:t>in Annex I</w:t>
      </w:r>
      <w:r w:rsidR="00966729" w:rsidRPr="00F86091">
        <w:rPr>
          <w:noProof/>
        </w:rPr>
        <w:t xml:space="preserve"> </w:t>
      </w:r>
      <w:r w:rsidR="003A1775" w:rsidRPr="00F86091">
        <w:rPr>
          <w:noProof/>
        </w:rPr>
        <w:t xml:space="preserve">to </w:t>
      </w:r>
      <w:r w:rsidR="00E914B0" w:rsidRPr="00F86091">
        <w:rPr>
          <w:noProof/>
        </w:rPr>
        <w:t>the CMRD</w:t>
      </w:r>
      <w:r w:rsidR="00742225" w:rsidRPr="00F86091">
        <w:rPr>
          <w:noProof/>
        </w:rPr>
        <w:t>.</w:t>
      </w:r>
      <w:r w:rsidR="00266F30" w:rsidRPr="00F86091">
        <w:rPr>
          <w:noProof/>
        </w:rPr>
        <w:t xml:space="preserve"> </w:t>
      </w:r>
      <w:r w:rsidR="00D26262" w:rsidRPr="00F86091">
        <w:rPr>
          <w:noProof/>
        </w:rPr>
        <w:t>According to the evidence gathered</w:t>
      </w:r>
      <w:r w:rsidR="005B2D85">
        <w:rPr>
          <w:noProof/>
        </w:rPr>
        <w:t xml:space="preserve"> </w:t>
      </w:r>
      <w:r w:rsidR="005B2D85" w:rsidRPr="0016239E">
        <w:rPr>
          <w:noProof/>
          <w:lang w:val="en-IE"/>
        </w:rPr>
        <w:t xml:space="preserve">in the </w:t>
      </w:r>
      <w:r w:rsidR="00C33E88">
        <w:rPr>
          <w:noProof/>
          <w:lang w:val="en-IE"/>
        </w:rPr>
        <w:t>i</w:t>
      </w:r>
      <w:r w:rsidR="005B2D85" w:rsidRPr="0016239E">
        <w:rPr>
          <w:noProof/>
          <w:lang w:val="en-IE"/>
        </w:rPr>
        <w:t xml:space="preserve">mpact </w:t>
      </w:r>
      <w:r w:rsidR="00C33E88">
        <w:rPr>
          <w:noProof/>
          <w:lang w:val="en-IE"/>
        </w:rPr>
        <w:t>a</w:t>
      </w:r>
      <w:r w:rsidR="005B2D85" w:rsidRPr="0016239E">
        <w:rPr>
          <w:noProof/>
          <w:lang w:val="en-IE"/>
        </w:rPr>
        <w:t xml:space="preserve">ssessment </w:t>
      </w:r>
      <w:r w:rsidR="00C33E88">
        <w:rPr>
          <w:noProof/>
          <w:lang w:val="en-IE"/>
        </w:rPr>
        <w:t>r</w:t>
      </w:r>
      <w:r w:rsidR="005B2D85" w:rsidRPr="0016239E">
        <w:rPr>
          <w:noProof/>
          <w:lang w:val="en-IE"/>
        </w:rPr>
        <w:t>eport</w:t>
      </w:r>
      <w:r w:rsidR="00C33E88">
        <w:rPr>
          <w:noProof/>
          <w:lang w:val="en-IE"/>
        </w:rPr>
        <w:t xml:space="preserve"> </w:t>
      </w:r>
      <w:r w:rsidR="00C33E88" w:rsidRPr="00F86091">
        <w:rPr>
          <w:noProof/>
        </w:rPr>
        <w:t>supporting this initiative</w:t>
      </w:r>
      <w:r w:rsidR="00D26262" w:rsidRPr="00F86091">
        <w:rPr>
          <w:noProof/>
        </w:rPr>
        <w:t>, m</w:t>
      </w:r>
      <w:r w:rsidR="004E5EE6" w:rsidRPr="00F86091">
        <w:rPr>
          <w:noProof/>
        </w:rPr>
        <w:t>ore than 2.</w:t>
      </w:r>
      <w:r w:rsidR="008C1C8E" w:rsidRPr="00F86091">
        <w:rPr>
          <w:noProof/>
        </w:rPr>
        <w:t>5</w:t>
      </w:r>
      <w:r w:rsidR="00E92F8C">
        <w:rPr>
          <w:noProof/>
        </w:rPr>
        <w:t> </w:t>
      </w:r>
      <w:r w:rsidR="004E5EE6" w:rsidRPr="00F86091">
        <w:rPr>
          <w:noProof/>
        </w:rPr>
        <w:t>million workers</w:t>
      </w:r>
      <w:r w:rsidR="005B2D85">
        <w:rPr>
          <w:rStyle w:val="FootnoteReference"/>
          <w:noProof/>
        </w:rPr>
        <w:footnoteReference w:id="10"/>
      </w:r>
      <w:r w:rsidR="004E5EE6" w:rsidRPr="00F86091">
        <w:rPr>
          <w:noProof/>
        </w:rPr>
        <w:t xml:space="preserve"> </w:t>
      </w:r>
      <w:r w:rsidR="00E92F8C">
        <w:rPr>
          <w:noProof/>
        </w:rPr>
        <w:t xml:space="preserve">in the EU </w:t>
      </w:r>
      <w:r w:rsidR="004E5EE6" w:rsidRPr="00F86091">
        <w:rPr>
          <w:noProof/>
        </w:rPr>
        <w:t>are exposed to these substances.</w:t>
      </w:r>
    </w:p>
    <w:p w14:paraId="63EBF5A0" w14:textId="77777777" w:rsidR="004713CD" w:rsidRDefault="00F615ED" w:rsidP="00DC6BE2">
      <w:pPr>
        <w:rPr>
          <w:noProof/>
        </w:rPr>
      </w:pPr>
      <w:r w:rsidRPr="00F86091">
        <w:rPr>
          <w:noProof/>
        </w:rPr>
        <w:t>As part of t</w:t>
      </w:r>
      <w:r w:rsidR="004713CD" w:rsidRPr="00F86091">
        <w:rPr>
          <w:noProof/>
        </w:rPr>
        <w:t>he impact assessment supporting this initiativ</w:t>
      </w:r>
      <w:r w:rsidR="003076D4" w:rsidRPr="00F86091">
        <w:rPr>
          <w:noProof/>
        </w:rPr>
        <w:t>e</w:t>
      </w:r>
      <w:r w:rsidRPr="00F86091">
        <w:rPr>
          <w:noProof/>
        </w:rPr>
        <w:t xml:space="preserve">, the Commission also assessed the </w:t>
      </w:r>
      <w:r w:rsidR="00337A57" w:rsidRPr="00F86091">
        <w:rPr>
          <w:noProof/>
        </w:rPr>
        <w:t xml:space="preserve">appropriateness of setting a limit value for isoprene. </w:t>
      </w:r>
      <w:bookmarkStart w:id="1" w:name="_Hlk199854218"/>
      <w:r w:rsidR="00EF0EA3" w:rsidRPr="00F86091">
        <w:rPr>
          <w:noProof/>
        </w:rPr>
        <w:t xml:space="preserve">The evidence gathered shows that a limit value, even at </w:t>
      </w:r>
      <w:r w:rsidR="00210C98" w:rsidRPr="00F86091">
        <w:rPr>
          <w:noProof/>
        </w:rPr>
        <w:t xml:space="preserve">a </w:t>
      </w:r>
      <w:r w:rsidR="00EF0EA3" w:rsidRPr="00F86091">
        <w:rPr>
          <w:noProof/>
        </w:rPr>
        <w:t>very low</w:t>
      </w:r>
      <w:r w:rsidR="00210C98" w:rsidRPr="00F86091">
        <w:rPr>
          <w:noProof/>
        </w:rPr>
        <w:t xml:space="preserve"> level, would </w:t>
      </w:r>
      <w:r w:rsidR="00404B07" w:rsidRPr="00F86091">
        <w:rPr>
          <w:noProof/>
        </w:rPr>
        <w:t>bring costs but no benefit</w:t>
      </w:r>
      <w:r w:rsidR="0043210E" w:rsidRPr="00F86091">
        <w:rPr>
          <w:noProof/>
        </w:rPr>
        <w:t xml:space="preserve"> for workers</w:t>
      </w:r>
      <w:r w:rsidR="00404B07" w:rsidRPr="00F86091">
        <w:rPr>
          <w:noProof/>
        </w:rPr>
        <w:t>. The absence of benefit is due to the</w:t>
      </w:r>
      <w:r w:rsidR="0013162B" w:rsidRPr="00F86091">
        <w:rPr>
          <w:noProof/>
        </w:rPr>
        <w:t xml:space="preserve"> current low levels of </w:t>
      </w:r>
      <w:r w:rsidR="003A1775" w:rsidRPr="00F86091">
        <w:rPr>
          <w:noProof/>
        </w:rPr>
        <w:t xml:space="preserve">workers’ </w:t>
      </w:r>
      <w:r w:rsidR="0013162B" w:rsidRPr="00F86091">
        <w:rPr>
          <w:noProof/>
        </w:rPr>
        <w:t>exposure to isoprene in the EU.</w:t>
      </w:r>
      <w:bookmarkEnd w:id="1"/>
    </w:p>
    <w:p w14:paraId="6E3AE8F8" w14:textId="77777777" w:rsidR="00D345A7" w:rsidRPr="00F86091" w:rsidRDefault="00D345A7" w:rsidP="00DC6BE2">
      <w:pPr>
        <w:rPr>
          <w:noProof/>
        </w:rPr>
      </w:pPr>
      <w:r w:rsidRPr="00F86091">
        <w:rPr>
          <w:noProof/>
        </w:rPr>
        <w:t xml:space="preserve">This initiative also includes an amendment to correct the existing entry </w:t>
      </w:r>
      <w:r>
        <w:rPr>
          <w:noProof/>
        </w:rPr>
        <w:t xml:space="preserve">on </w:t>
      </w:r>
      <w:r w:rsidRPr="00F86091">
        <w:rPr>
          <w:noProof/>
        </w:rPr>
        <w:t>mercury and divalent inorganic mercury compounds</w:t>
      </w:r>
      <w:r>
        <w:rPr>
          <w:noProof/>
        </w:rPr>
        <w:t xml:space="preserve"> </w:t>
      </w:r>
      <w:r w:rsidRPr="00F86091">
        <w:rPr>
          <w:noProof/>
        </w:rPr>
        <w:t>in Annex</w:t>
      </w:r>
      <w:r>
        <w:rPr>
          <w:noProof/>
        </w:rPr>
        <w:t> </w:t>
      </w:r>
      <w:r w:rsidRPr="00F86091">
        <w:rPr>
          <w:noProof/>
        </w:rPr>
        <w:t xml:space="preserve">III to fully align the term used for this substance </w:t>
      </w:r>
      <w:r>
        <w:rPr>
          <w:noProof/>
        </w:rPr>
        <w:t xml:space="preserve">with </w:t>
      </w:r>
      <w:r w:rsidRPr="00F86091">
        <w:rPr>
          <w:noProof/>
        </w:rPr>
        <w:t>the scope of the CMRD as defined in its Article</w:t>
      </w:r>
      <w:r>
        <w:rPr>
          <w:noProof/>
        </w:rPr>
        <w:t> </w:t>
      </w:r>
      <w:r w:rsidRPr="00F86091">
        <w:rPr>
          <w:noProof/>
        </w:rPr>
        <w:t>2.</w:t>
      </w:r>
    </w:p>
    <w:p w14:paraId="650856DF" w14:textId="77777777" w:rsidR="00E67087" w:rsidRPr="00F86091" w:rsidDel="0095347D" w:rsidRDefault="0004022A" w:rsidP="00E67087">
      <w:pPr>
        <w:rPr>
          <w:noProof/>
        </w:rPr>
      </w:pPr>
      <w:r w:rsidRPr="00F86091">
        <w:rPr>
          <w:noProof/>
        </w:rPr>
        <w:t>CMRD 6</w:t>
      </w:r>
      <w:r w:rsidR="00A10F51" w:rsidRPr="00F86091">
        <w:rPr>
          <w:noProof/>
        </w:rPr>
        <w:t xml:space="preserve"> responds to requests made by</w:t>
      </w:r>
      <w:r w:rsidR="00CD310D" w:rsidRPr="00F86091">
        <w:rPr>
          <w:noProof/>
        </w:rPr>
        <w:t xml:space="preserve"> </w:t>
      </w:r>
      <w:r w:rsidR="00A10F51" w:rsidRPr="00F86091">
        <w:rPr>
          <w:noProof/>
        </w:rPr>
        <w:t>the European Parliament and the Council as part of the fourth revision of the CMRD</w:t>
      </w:r>
      <w:r w:rsidR="00A10F51" w:rsidRPr="00F86091">
        <w:rPr>
          <w:rStyle w:val="FootnoteReference"/>
          <w:noProof/>
        </w:rPr>
        <w:footnoteReference w:id="11"/>
      </w:r>
      <w:r w:rsidR="00A10F51" w:rsidRPr="00F86091">
        <w:rPr>
          <w:noProof/>
        </w:rPr>
        <w:t xml:space="preserve"> (‘CMRD 4’) to achieve new or revised occupational exposure limit</w:t>
      </w:r>
      <w:r w:rsidR="00B658AB" w:rsidRPr="00F86091">
        <w:rPr>
          <w:noProof/>
        </w:rPr>
        <w:t>s</w:t>
      </w:r>
      <w:r w:rsidR="00A10F51" w:rsidRPr="00F86091">
        <w:rPr>
          <w:noProof/>
        </w:rPr>
        <w:t xml:space="preserve"> (‘OELs’) for at least 25 substances</w:t>
      </w:r>
      <w:bookmarkStart w:id="2" w:name="_Hlk190180573"/>
      <w:r w:rsidR="00E67087" w:rsidRPr="00F86091">
        <w:rPr>
          <w:noProof/>
        </w:rPr>
        <w:t>.</w:t>
      </w:r>
    </w:p>
    <w:p w14:paraId="0BF98EB1" w14:textId="77777777" w:rsidR="00E3719E" w:rsidRPr="00F86091" w:rsidRDefault="00E3719E" w:rsidP="0004345E">
      <w:pPr>
        <w:rPr>
          <w:rFonts w:eastAsia="Times New Roman"/>
          <w:noProof/>
          <w:szCs w:val="20"/>
        </w:rPr>
      </w:pPr>
      <w:r w:rsidRPr="00F86091" w:rsidDel="0095347D">
        <w:rPr>
          <w:noProof/>
        </w:rPr>
        <w:t>It is not possible to address all relevant hazardous substances through one single initiative</w:t>
      </w:r>
      <w:r w:rsidRPr="00F86091">
        <w:rPr>
          <w:noProof/>
        </w:rPr>
        <w:t>, as</w:t>
      </w:r>
      <w:r w:rsidRPr="00F86091" w:rsidDel="0095347D">
        <w:rPr>
          <w:noProof/>
        </w:rPr>
        <w:t xml:space="preserve"> </w:t>
      </w:r>
      <w:r w:rsidRPr="00F86091">
        <w:rPr>
          <w:noProof/>
        </w:rPr>
        <w:t>the</w:t>
      </w:r>
      <w:r w:rsidRPr="00F86091" w:rsidDel="0095347D">
        <w:rPr>
          <w:noProof/>
        </w:rPr>
        <w:t xml:space="preserve"> scientific assessment requires time and resources.</w:t>
      </w:r>
      <w:r w:rsidRPr="00F86091">
        <w:rPr>
          <w:noProof/>
        </w:rPr>
        <w:t xml:space="preserve"> Currently </w:t>
      </w:r>
      <w:r w:rsidR="006D46A2">
        <w:rPr>
          <w:noProof/>
        </w:rPr>
        <w:t xml:space="preserve">the </w:t>
      </w:r>
      <w:r w:rsidRPr="00F86091">
        <w:rPr>
          <w:noProof/>
        </w:rPr>
        <w:t>RAC</w:t>
      </w:r>
      <w:r w:rsidR="00A07984">
        <w:rPr>
          <w:noProof/>
        </w:rPr>
        <w:t xml:space="preserve"> </w:t>
      </w:r>
      <w:r w:rsidRPr="00F86091">
        <w:rPr>
          <w:noProof/>
        </w:rPr>
        <w:t xml:space="preserve">assesses </w:t>
      </w:r>
      <w:r w:rsidR="00B72BDA" w:rsidRPr="00F86091">
        <w:rPr>
          <w:noProof/>
        </w:rPr>
        <w:t xml:space="preserve">five </w:t>
      </w:r>
      <w:r w:rsidRPr="00F86091">
        <w:rPr>
          <w:noProof/>
        </w:rPr>
        <w:t xml:space="preserve">substances per year for updating </w:t>
      </w:r>
      <w:r w:rsidR="00A07984">
        <w:rPr>
          <w:noProof/>
        </w:rPr>
        <w:t xml:space="preserve">the </w:t>
      </w:r>
      <w:r w:rsidRPr="00F86091">
        <w:rPr>
          <w:noProof/>
        </w:rPr>
        <w:t xml:space="preserve">CMRD. </w:t>
      </w:r>
      <w:r w:rsidR="00290456">
        <w:rPr>
          <w:noProof/>
        </w:rPr>
        <w:t xml:space="preserve">As part </w:t>
      </w:r>
      <w:r w:rsidRPr="00F86091">
        <w:rPr>
          <w:noProof/>
        </w:rPr>
        <w:t xml:space="preserve">of the REACH simplification the Commission </w:t>
      </w:r>
      <w:r w:rsidR="00100129">
        <w:rPr>
          <w:noProof/>
        </w:rPr>
        <w:t>could</w:t>
      </w:r>
      <w:r w:rsidR="00100129" w:rsidRPr="00F86091">
        <w:rPr>
          <w:noProof/>
        </w:rPr>
        <w:t xml:space="preserve"> </w:t>
      </w:r>
      <w:r w:rsidRPr="00F86091">
        <w:rPr>
          <w:noProof/>
        </w:rPr>
        <w:t>assess whether it is possible to increase this number.</w:t>
      </w:r>
    </w:p>
    <w:bookmarkEnd w:id="2"/>
    <w:p w14:paraId="7FE3E26E" w14:textId="77777777" w:rsidR="00C85DBC" w:rsidRPr="00F86091" w:rsidRDefault="00C85DBC" w:rsidP="00C85DBC">
      <w:pPr>
        <w:rPr>
          <w:noProof/>
        </w:rPr>
      </w:pPr>
      <w:r w:rsidRPr="00F86091">
        <w:rPr>
          <w:noProof/>
        </w:rPr>
        <w:t xml:space="preserve">This </w:t>
      </w:r>
      <w:r w:rsidR="006E78FD" w:rsidRPr="00F86091">
        <w:rPr>
          <w:noProof/>
        </w:rPr>
        <w:t>proposal</w:t>
      </w:r>
      <w:r w:rsidRPr="00F86091">
        <w:rPr>
          <w:noProof/>
        </w:rPr>
        <w:t xml:space="preserve"> </w:t>
      </w:r>
      <w:r w:rsidR="00CB31D4" w:rsidRPr="00F86091">
        <w:rPr>
          <w:noProof/>
        </w:rPr>
        <w:t>therefore</w:t>
      </w:r>
      <w:r w:rsidRPr="00F86091">
        <w:rPr>
          <w:noProof/>
        </w:rPr>
        <w:t xml:space="preserve"> further strengthen</w:t>
      </w:r>
      <w:r w:rsidR="006E78FD" w:rsidRPr="00F86091">
        <w:rPr>
          <w:noProof/>
        </w:rPr>
        <w:t>s</w:t>
      </w:r>
      <w:r w:rsidRPr="00F86091">
        <w:rPr>
          <w:noProof/>
        </w:rPr>
        <w:t xml:space="preserve"> the commitment undertaken by the Commission to continuously address dangerous chemicals as stated in </w:t>
      </w:r>
      <w:r w:rsidR="00D345A7">
        <w:rPr>
          <w:noProof/>
        </w:rPr>
        <w:t xml:space="preserve">the </w:t>
      </w:r>
      <w:r w:rsidRPr="00F86091">
        <w:rPr>
          <w:noProof/>
        </w:rPr>
        <w:t xml:space="preserve">Staff Working Document on the </w:t>
      </w:r>
      <w:r w:rsidR="00C673DD">
        <w:rPr>
          <w:noProof/>
        </w:rPr>
        <w:t>l</w:t>
      </w:r>
      <w:r w:rsidRPr="00F86091">
        <w:rPr>
          <w:noProof/>
        </w:rPr>
        <w:t>ist of substances to be scientifically assessed to achieve new or revised occupational exposure limit values for at least 25 substances, groups of substances or process-generated substances</w:t>
      </w:r>
      <w:r w:rsidR="00E67087" w:rsidRPr="00F86091">
        <w:rPr>
          <w:rStyle w:val="FootnoteReference"/>
          <w:noProof/>
        </w:rPr>
        <w:footnoteReference w:id="12"/>
      </w:r>
      <w:r w:rsidRPr="00F86091">
        <w:rPr>
          <w:noProof/>
        </w:rPr>
        <w:t xml:space="preserve">. Accordingly, </w:t>
      </w:r>
      <w:r w:rsidR="00C673DD">
        <w:rPr>
          <w:noProof/>
        </w:rPr>
        <w:t xml:space="preserve">every year </w:t>
      </w:r>
      <w:r w:rsidRPr="00F86091">
        <w:rPr>
          <w:noProof/>
        </w:rPr>
        <w:t xml:space="preserve">the Commission </w:t>
      </w:r>
      <w:r w:rsidR="00C673DD">
        <w:rPr>
          <w:noProof/>
        </w:rPr>
        <w:t xml:space="preserve">asks the </w:t>
      </w:r>
      <w:r w:rsidRPr="00F86091">
        <w:rPr>
          <w:noProof/>
        </w:rPr>
        <w:t xml:space="preserve">ECHA/RAC to scientifically assess priority substances and groups of substances. </w:t>
      </w:r>
      <w:r w:rsidR="004F024D" w:rsidRPr="00F86091">
        <w:rPr>
          <w:noProof/>
        </w:rPr>
        <w:t xml:space="preserve">In addition to the substances covered by this revision, </w:t>
      </w:r>
      <w:r w:rsidR="00751459" w:rsidRPr="00F86091">
        <w:rPr>
          <w:noProof/>
        </w:rPr>
        <w:t xml:space="preserve">three more batches of substances are in different phases of scientific assessment by </w:t>
      </w:r>
      <w:r w:rsidR="00C673DD">
        <w:rPr>
          <w:noProof/>
        </w:rPr>
        <w:t xml:space="preserve">the </w:t>
      </w:r>
      <w:r w:rsidRPr="00F86091">
        <w:rPr>
          <w:noProof/>
        </w:rPr>
        <w:t>ECHA</w:t>
      </w:r>
      <w:r w:rsidR="00751459" w:rsidRPr="00F86091">
        <w:rPr>
          <w:noProof/>
        </w:rPr>
        <w:t>/RAC</w:t>
      </w:r>
      <w:r w:rsidR="004F024D" w:rsidRPr="00F86091">
        <w:rPr>
          <w:noProof/>
        </w:rPr>
        <w:t>. The next step</w:t>
      </w:r>
      <w:r w:rsidR="00806CC3" w:rsidRPr="00F86091">
        <w:rPr>
          <w:noProof/>
        </w:rPr>
        <w:t xml:space="preserve"> after the scientific assessment</w:t>
      </w:r>
      <w:r w:rsidR="004F024D" w:rsidRPr="00F86091">
        <w:rPr>
          <w:noProof/>
        </w:rPr>
        <w:t xml:space="preserve"> is</w:t>
      </w:r>
      <w:r w:rsidR="00806CC3" w:rsidRPr="00F86091">
        <w:rPr>
          <w:noProof/>
        </w:rPr>
        <w:t xml:space="preserve"> to launch the external study examining the impacts, the two</w:t>
      </w:r>
      <w:r w:rsidR="00C673DD">
        <w:rPr>
          <w:noProof/>
        </w:rPr>
        <w:t>-</w:t>
      </w:r>
      <w:r w:rsidR="00806CC3" w:rsidRPr="00F86091">
        <w:rPr>
          <w:noProof/>
        </w:rPr>
        <w:t xml:space="preserve">stage social partner consultation, the adoption of ACSH opinions and </w:t>
      </w:r>
      <w:r w:rsidR="00D946D8">
        <w:rPr>
          <w:noProof/>
        </w:rPr>
        <w:t>the</w:t>
      </w:r>
      <w:r w:rsidR="00806CC3" w:rsidRPr="00F86091">
        <w:rPr>
          <w:noProof/>
        </w:rPr>
        <w:t xml:space="preserve"> impact assessment accompanying the possible future proposals.</w:t>
      </w:r>
    </w:p>
    <w:p w14:paraId="647296C3" w14:textId="77777777" w:rsidR="007017A3" w:rsidRPr="00F86091" w:rsidRDefault="007017A3" w:rsidP="00C5043A">
      <w:pPr>
        <w:pStyle w:val="ManualHeading2"/>
        <w:spacing w:before="0" w:after="240"/>
        <w:rPr>
          <w:rFonts w:eastAsia="Arial Unicode MS"/>
          <w:noProof/>
          <w:color w:val="000000"/>
          <w:u w:color="000000"/>
          <w:bdr w:val="nil"/>
          <w:lang w:eastAsia="en-GB"/>
        </w:rPr>
      </w:pPr>
      <w:r w:rsidRPr="00F86091">
        <w:rPr>
          <w:rFonts w:eastAsia="Arial Unicode MS"/>
          <w:noProof/>
          <w:color w:val="000000"/>
          <w:u w:color="000000"/>
          <w:bdr w:val="nil"/>
          <w:lang w:eastAsia="en-GB"/>
        </w:rPr>
        <w:t>•</w:t>
      </w:r>
      <w:r w:rsidRPr="00F86091">
        <w:rPr>
          <w:rFonts w:eastAsia="Arial Unicode MS"/>
          <w:noProof/>
          <w:color w:val="000000"/>
          <w:u w:color="000000"/>
          <w:bdr w:val="nil"/>
          <w:lang w:eastAsia="en-GB"/>
        </w:rPr>
        <w:tab/>
      </w:r>
      <w:r w:rsidRPr="00F86091">
        <w:rPr>
          <w:rFonts w:eastAsia="Arial Unicode MS"/>
          <w:noProof/>
        </w:rPr>
        <w:t>Consistency with existing policy provisions in the policy area</w:t>
      </w:r>
    </w:p>
    <w:p w14:paraId="1B0E99F9" w14:textId="77777777" w:rsidR="007017A3" w:rsidRPr="00F86091" w:rsidRDefault="00E73AAC" w:rsidP="00C5043A">
      <w:pPr>
        <w:pBdr>
          <w:top w:val="nil"/>
          <w:left w:val="nil"/>
          <w:bottom w:val="nil"/>
          <w:right w:val="nil"/>
          <w:between w:val="nil"/>
          <w:bar w:val="nil"/>
        </w:pBdr>
        <w:spacing w:before="0" w:after="240"/>
        <w:rPr>
          <w:noProof/>
        </w:rPr>
      </w:pPr>
      <w:r w:rsidRPr="00F86091">
        <w:rPr>
          <w:noProof/>
        </w:rPr>
        <w:t xml:space="preserve">This initiative is in line with the </w:t>
      </w:r>
      <w:r w:rsidR="00C75955">
        <w:rPr>
          <w:noProof/>
        </w:rPr>
        <w:t>European Pillar of Social Rights</w:t>
      </w:r>
      <w:r w:rsidRPr="00F86091">
        <w:rPr>
          <w:noProof/>
        </w:rPr>
        <w:t>, particular</w:t>
      </w:r>
      <w:r w:rsidR="003A2E8B">
        <w:rPr>
          <w:noProof/>
        </w:rPr>
        <w:t>ly</w:t>
      </w:r>
      <w:r w:rsidRPr="00F86091">
        <w:rPr>
          <w:noProof/>
        </w:rPr>
        <w:t xml:space="preserve"> its principle 10 enshrining the workers</w:t>
      </w:r>
      <w:r w:rsidR="00F86091">
        <w:rPr>
          <w:noProof/>
        </w:rPr>
        <w:t>’</w:t>
      </w:r>
      <w:r w:rsidRPr="00F86091">
        <w:rPr>
          <w:noProof/>
        </w:rPr>
        <w:t xml:space="preserve"> right to </w:t>
      </w:r>
      <w:r w:rsidR="003A2E8B">
        <w:rPr>
          <w:noProof/>
        </w:rPr>
        <w:t xml:space="preserve">a </w:t>
      </w:r>
      <w:r w:rsidRPr="00F86091">
        <w:rPr>
          <w:noProof/>
        </w:rPr>
        <w:t>healthy, safe and well-adapted work environment. Setting new limit values and</w:t>
      </w:r>
      <w:r w:rsidR="00C00040" w:rsidRPr="00F86091">
        <w:rPr>
          <w:noProof/>
        </w:rPr>
        <w:t xml:space="preserve"> enlarging the scope to new process-generated substances</w:t>
      </w:r>
      <w:r w:rsidRPr="00F86091">
        <w:rPr>
          <w:noProof/>
        </w:rPr>
        <w:t xml:space="preserve"> </w:t>
      </w:r>
      <w:r w:rsidR="003A2E8B">
        <w:rPr>
          <w:noProof/>
        </w:rPr>
        <w:t xml:space="preserve">both </w:t>
      </w:r>
      <w:r w:rsidRPr="00F86091">
        <w:rPr>
          <w:noProof/>
        </w:rPr>
        <w:t>contribute to a high level of protection of workers’ health and safety.</w:t>
      </w:r>
    </w:p>
    <w:p w14:paraId="1A35A4D9" w14:textId="77777777" w:rsidR="00C00040" w:rsidRPr="00F86091" w:rsidRDefault="008559E7" w:rsidP="00C5043A">
      <w:pPr>
        <w:pBdr>
          <w:top w:val="nil"/>
          <w:left w:val="nil"/>
          <w:bottom w:val="nil"/>
          <w:right w:val="nil"/>
          <w:between w:val="nil"/>
          <w:bar w:val="nil"/>
        </w:pBdr>
        <w:spacing w:before="0" w:after="240"/>
        <w:rPr>
          <w:rFonts w:eastAsia="Arial Unicode MS"/>
          <w:noProof/>
        </w:rPr>
      </w:pPr>
      <w:r w:rsidRPr="00F86091">
        <w:rPr>
          <w:noProof/>
        </w:rPr>
        <w:t xml:space="preserve">By </w:t>
      </w:r>
      <w:r w:rsidR="00912EBA" w:rsidRPr="00F86091">
        <w:rPr>
          <w:noProof/>
        </w:rPr>
        <w:t xml:space="preserve">setting limit values </w:t>
      </w:r>
      <w:r w:rsidR="00882D9E" w:rsidRPr="00F86091">
        <w:rPr>
          <w:noProof/>
        </w:rPr>
        <w:t xml:space="preserve">for additional substances </w:t>
      </w:r>
      <w:r w:rsidR="00912EBA" w:rsidRPr="00F86091">
        <w:rPr>
          <w:noProof/>
        </w:rPr>
        <w:t xml:space="preserve">and </w:t>
      </w:r>
      <w:r w:rsidR="0018103A">
        <w:rPr>
          <w:noProof/>
        </w:rPr>
        <w:t>adding</w:t>
      </w:r>
      <w:r w:rsidR="0018103A" w:rsidRPr="00F86091">
        <w:rPr>
          <w:noProof/>
        </w:rPr>
        <w:t xml:space="preserve"> </w:t>
      </w:r>
      <w:r w:rsidR="001E4EC1" w:rsidRPr="00F86091">
        <w:rPr>
          <w:noProof/>
        </w:rPr>
        <w:t>welding fumes</w:t>
      </w:r>
      <w:r w:rsidR="00DC7C6B" w:rsidRPr="00F86091">
        <w:rPr>
          <w:noProof/>
        </w:rPr>
        <w:t xml:space="preserve"> </w:t>
      </w:r>
      <w:r w:rsidR="0018103A">
        <w:rPr>
          <w:noProof/>
        </w:rPr>
        <w:t xml:space="preserve">to </w:t>
      </w:r>
      <w:r w:rsidR="003A2E8B">
        <w:rPr>
          <w:noProof/>
        </w:rPr>
        <w:t>the list</w:t>
      </w:r>
      <w:r w:rsidR="0018103A">
        <w:rPr>
          <w:noProof/>
        </w:rPr>
        <w:t xml:space="preserve"> of substances, mixtures and processes</w:t>
      </w:r>
      <w:r w:rsidR="003A2E8B">
        <w:rPr>
          <w:noProof/>
        </w:rPr>
        <w:t xml:space="preserve"> </w:t>
      </w:r>
      <w:r w:rsidR="00DC7C6B" w:rsidRPr="00F86091">
        <w:rPr>
          <w:noProof/>
        </w:rPr>
        <w:t>in Annex I to the CMRD</w:t>
      </w:r>
      <w:r w:rsidR="000E70D7" w:rsidRPr="00F86091">
        <w:rPr>
          <w:noProof/>
        </w:rPr>
        <w:t>,</w:t>
      </w:r>
      <w:r w:rsidR="003A2E8B">
        <w:rPr>
          <w:noProof/>
        </w:rPr>
        <w:t xml:space="preserve"> the</w:t>
      </w:r>
      <w:r w:rsidR="000E70D7" w:rsidRPr="00F86091">
        <w:rPr>
          <w:noProof/>
        </w:rPr>
        <w:t xml:space="preserve"> CMRD 6 also contributes</w:t>
      </w:r>
      <w:r w:rsidR="00933CCD" w:rsidRPr="00F86091">
        <w:rPr>
          <w:noProof/>
        </w:rPr>
        <w:t xml:space="preserve"> </w:t>
      </w:r>
      <w:r w:rsidR="00066C6E" w:rsidRPr="00F86091">
        <w:rPr>
          <w:noProof/>
        </w:rPr>
        <w:t xml:space="preserve">to </w:t>
      </w:r>
      <w:r w:rsidR="00147CE7" w:rsidRPr="00F86091">
        <w:rPr>
          <w:noProof/>
        </w:rPr>
        <w:t xml:space="preserve">improving prevention of workplace accidents and illnesses, a key </w:t>
      </w:r>
      <w:r w:rsidR="007B373F" w:rsidRPr="00F86091">
        <w:rPr>
          <w:noProof/>
        </w:rPr>
        <w:t>objective of the EU OSH strategic framework</w:t>
      </w:r>
      <w:r w:rsidR="00775116">
        <w:rPr>
          <w:noProof/>
        </w:rPr>
        <w:t xml:space="preserve"> and to ensuring</w:t>
      </w:r>
      <w:r w:rsidR="00775116" w:rsidRPr="00775116">
        <w:rPr>
          <w:noProof/>
        </w:rPr>
        <w:t xml:space="preserve"> high standards for health and safety</w:t>
      </w:r>
      <w:r w:rsidR="00775116">
        <w:rPr>
          <w:noProof/>
        </w:rPr>
        <w:t xml:space="preserve"> as stated in the </w:t>
      </w:r>
      <w:r w:rsidR="00775116" w:rsidRPr="00775116">
        <w:rPr>
          <w:noProof/>
        </w:rPr>
        <w:t>Commission work programme 2025</w:t>
      </w:r>
      <w:r w:rsidR="00775116">
        <w:rPr>
          <w:rStyle w:val="FootnoteReference"/>
          <w:noProof/>
        </w:rPr>
        <w:footnoteReference w:id="13"/>
      </w:r>
      <w:r w:rsidR="007B373F" w:rsidRPr="00F86091">
        <w:rPr>
          <w:noProof/>
        </w:rPr>
        <w:t>.</w:t>
      </w:r>
    </w:p>
    <w:p w14:paraId="1701E5F0" w14:textId="77777777" w:rsidR="007017A3" w:rsidRPr="00F86091" w:rsidRDefault="007017A3" w:rsidP="00C5043A">
      <w:pPr>
        <w:pStyle w:val="ManualHeading2"/>
        <w:spacing w:before="0" w:after="240"/>
        <w:rPr>
          <w:rFonts w:eastAsia="Arial Unicode MS"/>
          <w:noProof/>
        </w:rPr>
      </w:pPr>
      <w:r w:rsidRPr="00F86091">
        <w:rPr>
          <w:rFonts w:eastAsia="Arial Unicode MS"/>
          <w:noProof/>
          <w:color w:val="000000"/>
          <w:u w:color="000000"/>
          <w:bdr w:val="nil"/>
          <w:lang w:eastAsia="en-GB"/>
        </w:rPr>
        <w:t>•</w:t>
      </w:r>
      <w:r w:rsidRPr="00F86091">
        <w:rPr>
          <w:rFonts w:eastAsia="Arial Unicode MS"/>
          <w:noProof/>
          <w:color w:val="000000"/>
          <w:u w:color="000000"/>
          <w:bdr w:val="nil"/>
          <w:lang w:eastAsia="en-GB"/>
        </w:rPr>
        <w:tab/>
      </w:r>
      <w:r w:rsidRPr="00F86091">
        <w:rPr>
          <w:rFonts w:eastAsia="Arial Unicode MS"/>
          <w:noProof/>
        </w:rPr>
        <w:t xml:space="preserve">Consistency with other </w:t>
      </w:r>
      <w:r w:rsidR="003A2E8B">
        <w:rPr>
          <w:rFonts w:eastAsia="Arial Unicode MS"/>
          <w:noProof/>
        </w:rPr>
        <w:t>EU</w:t>
      </w:r>
      <w:r w:rsidR="003A2E8B" w:rsidRPr="00F86091">
        <w:rPr>
          <w:rFonts w:eastAsia="Arial Unicode MS"/>
          <w:noProof/>
        </w:rPr>
        <w:t xml:space="preserve"> </w:t>
      </w:r>
      <w:r w:rsidRPr="00F86091">
        <w:rPr>
          <w:rFonts w:eastAsia="Arial Unicode MS"/>
          <w:noProof/>
        </w:rPr>
        <w:t>policies</w:t>
      </w:r>
    </w:p>
    <w:p w14:paraId="3EDED824" w14:textId="77777777" w:rsidR="007017A3" w:rsidRPr="00F86091" w:rsidRDefault="004E60B3" w:rsidP="00C5043A">
      <w:pPr>
        <w:pBdr>
          <w:top w:val="nil"/>
          <w:left w:val="nil"/>
          <w:bottom w:val="nil"/>
          <w:right w:val="nil"/>
          <w:between w:val="nil"/>
          <w:bar w:val="nil"/>
        </w:pBdr>
        <w:spacing w:before="0" w:after="240"/>
        <w:rPr>
          <w:rFonts w:eastAsia="Arial Unicode MS"/>
          <w:i/>
          <w:iCs/>
          <w:noProof/>
        </w:rPr>
      </w:pPr>
      <w:r w:rsidRPr="00F86091">
        <w:rPr>
          <w:rFonts w:eastAsia="Arial Unicode MS"/>
          <w:i/>
          <w:iCs/>
          <w:noProof/>
        </w:rPr>
        <w:t>Charter of Fun</w:t>
      </w:r>
      <w:r w:rsidR="00621F1B" w:rsidRPr="00F86091">
        <w:rPr>
          <w:rFonts w:eastAsia="Arial Unicode MS"/>
          <w:i/>
          <w:iCs/>
          <w:noProof/>
        </w:rPr>
        <w:t>damental Rights of the EU</w:t>
      </w:r>
    </w:p>
    <w:p w14:paraId="0616C083" w14:textId="77777777" w:rsidR="00093898" w:rsidRPr="00F86091" w:rsidRDefault="00093898" w:rsidP="00C5043A">
      <w:pPr>
        <w:spacing w:before="0" w:after="240"/>
        <w:rPr>
          <w:noProof/>
        </w:rPr>
      </w:pPr>
      <w:r w:rsidRPr="00F86091">
        <w:rPr>
          <w:noProof/>
        </w:rPr>
        <w:t>The objectives of the initiative are consistent with Article</w:t>
      </w:r>
      <w:r w:rsidR="00F86091">
        <w:rPr>
          <w:noProof/>
        </w:rPr>
        <w:t> </w:t>
      </w:r>
      <w:r w:rsidRPr="00F86091">
        <w:rPr>
          <w:noProof/>
        </w:rPr>
        <w:t>2 (Right to life) and Article</w:t>
      </w:r>
      <w:r w:rsidR="00F86091">
        <w:rPr>
          <w:noProof/>
        </w:rPr>
        <w:t> </w:t>
      </w:r>
      <w:r w:rsidRPr="00F86091">
        <w:rPr>
          <w:noProof/>
        </w:rPr>
        <w:t>31 (Right to fair and just working conditions) of the EU Charter of Fundamental Rights</w:t>
      </w:r>
      <w:r w:rsidRPr="00F86091">
        <w:rPr>
          <w:rStyle w:val="FootnoteReference"/>
          <w:noProof/>
        </w:rPr>
        <w:footnoteReference w:id="14"/>
      </w:r>
      <w:r w:rsidRPr="00F86091">
        <w:rPr>
          <w:noProof/>
        </w:rPr>
        <w:t>.</w:t>
      </w:r>
    </w:p>
    <w:p w14:paraId="31E4167E" w14:textId="77777777" w:rsidR="00621F1B" w:rsidRPr="00F86091" w:rsidRDefault="00093898" w:rsidP="00C5043A">
      <w:pPr>
        <w:pBdr>
          <w:top w:val="nil"/>
          <w:left w:val="nil"/>
          <w:bottom w:val="nil"/>
          <w:right w:val="nil"/>
          <w:between w:val="nil"/>
          <w:bar w:val="nil"/>
        </w:pBdr>
        <w:spacing w:before="0" w:after="240"/>
        <w:rPr>
          <w:rFonts w:eastAsia="Arial Unicode MS"/>
          <w:i/>
          <w:iCs/>
          <w:noProof/>
        </w:rPr>
      </w:pPr>
      <w:r w:rsidRPr="00F86091">
        <w:rPr>
          <w:rFonts w:eastAsia="Arial Unicode MS"/>
          <w:i/>
          <w:iCs/>
          <w:noProof/>
        </w:rPr>
        <w:t>REACH Regulation</w:t>
      </w:r>
    </w:p>
    <w:p w14:paraId="163F9C65" w14:textId="77777777" w:rsidR="009B0844" w:rsidRPr="00F86091" w:rsidRDefault="009D0E65" w:rsidP="00C5043A">
      <w:pPr>
        <w:spacing w:before="0" w:after="240"/>
        <w:rPr>
          <w:noProof/>
        </w:rPr>
      </w:pPr>
      <w:r>
        <w:rPr>
          <w:noProof/>
        </w:rPr>
        <w:t>Among other things, t</w:t>
      </w:r>
      <w:r w:rsidR="009B0844" w:rsidRPr="00F86091">
        <w:rPr>
          <w:noProof/>
        </w:rPr>
        <w:t>he Regulation concerning the Registration, Evaluation, Authorisation and Restriction of Chemicals</w:t>
      </w:r>
      <w:r w:rsidR="009B0844" w:rsidRPr="00F86091">
        <w:rPr>
          <w:rStyle w:val="FootnoteReference"/>
          <w:noProof/>
        </w:rPr>
        <w:footnoteReference w:id="15"/>
      </w:r>
      <w:r w:rsidR="009B0844" w:rsidRPr="00F86091">
        <w:rPr>
          <w:noProof/>
        </w:rPr>
        <w:t xml:space="preserve"> </w:t>
      </w:r>
      <w:bookmarkStart w:id="4" w:name="_Hlk190425614"/>
      <w:r w:rsidR="009B0844" w:rsidRPr="00F86091">
        <w:rPr>
          <w:noProof/>
        </w:rPr>
        <w:t xml:space="preserve">(‘REACH Regulation’) </w:t>
      </w:r>
      <w:bookmarkEnd w:id="4"/>
      <w:r w:rsidR="009B0844" w:rsidRPr="00F86091">
        <w:rPr>
          <w:noProof/>
        </w:rPr>
        <w:t>establishes two distinct EU regulatory approaches</w:t>
      </w:r>
      <w:r>
        <w:rPr>
          <w:noProof/>
        </w:rPr>
        <w:t>, namely</w:t>
      </w:r>
      <w:r w:rsidR="009B0844" w:rsidRPr="00F86091">
        <w:rPr>
          <w:noProof/>
        </w:rPr>
        <w:t xml:space="preserve"> restrictions and authorisations.</w:t>
      </w:r>
    </w:p>
    <w:p w14:paraId="215F8025" w14:textId="77777777" w:rsidR="009B0844" w:rsidRPr="00F86091" w:rsidRDefault="009B0844" w:rsidP="00C5043A">
      <w:pPr>
        <w:spacing w:before="0" w:after="240"/>
        <w:rPr>
          <w:noProof/>
        </w:rPr>
      </w:pPr>
      <w:r w:rsidRPr="00F86091">
        <w:rPr>
          <w:noProof/>
        </w:rPr>
        <w:t xml:space="preserve">The </w:t>
      </w:r>
      <w:r w:rsidR="00475BD4">
        <w:rPr>
          <w:noProof/>
        </w:rPr>
        <w:t>REACH R</w:t>
      </w:r>
      <w:r w:rsidR="00B456E1">
        <w:rPr>
          <w:noProof/>
        </w:rPr>
        <w:t xml:space="preserve">egulation's provisions on the </w:t>
      </w:r>
      <w:r w:rsidRPr="00F86091">
        <w:rPr>
          <w:noProof/>
        </w:rPr>
        <w:t xml:space="preserve">authorisation or restriction of cobalt and its inorganic compounds, </w:t>
      </w:r>
      <w:r w:rsidR="00475BD4" w:rsidRPr="00475BD4">
        <w:rPr>
          <w:rFonts w:hint="eastAsia"/>
          <w:noProof/>
        </w:rPr>
        <w:t>polycyclic aromatic hydrocarbons</w:t>
      </w:r>
      <w:r w:rsidR="00475BD4">
        <w:rPr>
          <w:noProof/>
        </w:rPr>
        <w:t xml:space="preserve"> (</w:t>
      </w:r>
      <w:r w:rsidRPr="00F86091">
        <w:rPr>
          <w:noProof/>
        </w:rPr>
        <w:t>PAHs</w:t>
      </w:r>
      <w:r w:rsidR="00475BD4">
        <w:rPr>
          <w:noProof/>
        </w:rPr>
        <w:t>)</w:t>
      </w:r>
      <w:r w:rsidR="0023423A" w:rsidRPr="00F86091">
        <w:rPr>
          <w:noProof/>
        </w:rPr>
        <w:t xml:space="preserve"> and</w:t>
      </w:r>
      <w:r w:rsidRPr="00F86091">
        <w:rPr>
          <w:noProof/>
        </w:rPr>
        <w:t xml:space="preserve"> 1</w:t>
      </w:r>
      <w:r w:rsidR="007D7827">
        <w:rPr>
          <w:noProof/>
        </w:rPr>
        <w:t>,</w:t>
      </w:r>
      <w:r w:rsidRPr="00F86091">
        <w:rPr>
          <w:noProof/>
        </w:rPr>
        <w:t xml:space="preserve">4-dioxane are summarised in the table below. As process-generated substances, </w:t>
      </w:r>
      <w:r w:rsidR="00475BD4">
        <w:rPr>
          <w:noProof/>
        </w:rPr>
        <w:t xml:space="preserve">welding fumes are not covered by </w:t>
      </w:r>
      <w:r w:rsidRPr="00F86091">
        <w:rPr>
          <w:noProof/>
        </w:rPr>
        <w:t xml:space="preserve">restrictions and authorisations </w:t>
      </w:r>
      <w:r w:rsidR="004F46F5">
        <w:rPr>
          <w:noProof/>
        </w:rPr>
        <w:t xml:space="preserve">under </w:t>
      </w:r>
      <w:r w:rsidR="00475BD4">
        <w:rPr>
          <w:noProof/>
        </w:rPr>
        <w:t xml:space="preserve">the </w:t>
      </w:r>
      <w:r w:rsidRPr="00F86091">
        <w:rPr>
          <w:noProof/>
        </w:rPr>
        <w:t xml:space="preserve">REACH </w:t>
      </w:r>
      <w:r w:rsidR="00475BD4">
        <w:rPr>
          <w:noProof/>
        </w:rPr>
        <w:t>Regulation</w:t>
      </w:r>
      <w:r w:rsidRPr="00F86091">
        <w:rPr>
          <w:noProof/>
        </w:rPr>
        <w:t>.</w:t>
      </w:r>
    </w:p>
    <w:tbl>
      <w:tblPr>
        <w:tblStyle w:val="TableGrid"/>
        <w:tblW w:w="0" w:type="auto"/>
        <w:tblLook w:val="04A0" w:firstRow="1" w:lastRow="0" w:firstColumn="1" w:lastColumn="0" w:noHBand="0" w:noVBand="1"/>
      </w:tblPr>
      <w:tblGrid>
        <w:gridCol w:w="2018"/>
        <w:gridCol w:w="3623"/>
        <w:gridCol w:w="3648"/>
      </w:tblGrid>
      <w:tr w:rsidR="00B97430" w:rsidRPr="00F86091" w14:paraId="7C9629D6" w14:textId="77777777" w:rsidTr="0D0D966D">
        <w:tc>
          <w:tcPr>
            <w:tcW w:w="2018" w:type="dxa"/>
            <w:shd w:val="clear" w:color="auto" w:fill="548DD4" w:themeFill="text2" w:themeFillTint="99"/>
          </w:tcPr>
          <w:p w14:paraId="67C3E0C8" w14:textId="77777777" w:rsidR="00B97430" w:rsidRPr="00F86091" w:rsidRDefault="00B97430" w:rsidP="00C5043A">
            <w:pPr>
              <w:spacing w:before="60" w:after="60"/>
              <w:jc w:val="center"/>
              <w:rPr>
                <w:b/>
                <w:bCs/>
                <w:noProof/>
                <w:color w:val="FFFFFF" w:themeColor="background1"/>
              </w:rPr>
            </w:pPr>
            <w:r w:rsidRPr="00F86091">
              <w:rPr>
                <w:b/>
                <w:bCs/>
                <w:noProof/>
                <w:color w:val="FFFFFF" w:themeColor="background1"/>
              </w:rPr>
              <w:t>Substances</w:t>
            </w:r>
          </w:p>
        </w:tc>
        <w:tc>
          <w:tcPr>
            <w:tcW w:w="3623" w:type="dxa"/>
            <w:shd w:val="clear" w:color="auto" w:fill="548DD4" w:themeFill="text2" w:themeFillTint="99"/>
          </w:tcPr>
          <w:p w14:paraId="60935496" w14:textId="77777777" w:rsidR="00B97430" w:rsidRPr="00F86091" w:rsidRDefault="00B97430" w:rsidP="00C5043A">
            <w:pPr>
              <w:spacing w:before="60" w:after="60"/>
              <w:jc w:val="center"/>
              <w:rPr>
                <w:b/>
                <w:bCs/>
                <w:noProof/>
                <w:color w:val="FFFFFF" w:themeColor="background1"/>
              </w:rPr>
            </w:pPr>
            <w:r w:rsidRPr="00F86091">
              <w:rPr>
                <w:b/>
                <w:bCs/>
                <w:noProof/>
                <w:color w:val="FFFFFF" w:themeColor="background1"/>
              </w:rPr>
              <w:t>Restriction</w:t>
            </w:r>
          </w:p>
        </w:tc>
        <w:tc>
          <w:tcPr>
            <w:tcW w:w="3648" w:type="dxa"/>
            <w:shd w:val="clear" w:color="auto" w:fill="548DD4" w:themeFill="text2" w:themeFillTint="99"/>
          </w:tcPr>
          <w:p w14:paraId="0F20E8F8" w14:textId="77777777" w:rsidR="00B97430" w:rsidRPr="00F86091" w:rsidRDefault="00B97430" w:rsidP="00C5043A">
            <w:pPr>
              <w:spacing w:before="60" w:after="60"/>
              <w:jc w:val="center"/>
              <w:rPr>
                <w:b/>
                <w:bCs/>
                <w:noProof/>
                <w:color w:val="FFFFFF" w:themeColor="background1"/>
              </w:rPr>
            </w:pPr>
            <w:r w:rsidRPr="00F86091">
              <w:rPr>
                <w:b/>
                <w:bCs/>
                <w:noProof/>
                <w:color w:val="FFFFFF" w:themeColor="background1"/>
              </w:rPr>
              <w:t>Authorisation</w:t>
            </w:r>
          </w:p>
        </w:tc>
      </w:tr>
      <w:tr w:rsidR="00B97430" w:rsidRPr="00F86091" w14:paraId="535D16F7" w14:textId="77777777" w:rsidTr="0D0D966D">
        <w:tc>
          <w:tcPr>
            <w:tcW w:w="2018" w:type="dxa"/>
          </w:tcPr>
          <w:p w14:paraId="27CFFC57" w14:textId="77777777" w:rsidR="00B97430" w:rsidRPr="00F86091" w:rsidRDefault="00B97430" w:rsidP="00C5043A">
            <w:pPr>
              <w:spacing w:before="60" w:after="60"/>
              <w:jc w:val="left"/>
              <w:rPr>
                <w:noProof/>
              </w:rPr>
            </w:pPr>
            <w:r w:rsidRPr="00F86091">
              <w:rPr>
                <w:noProof/>
              </w:rPr>
              <w:t>Cobalt and inorganic cobalt compounds</w:t>
            </w:r>
          </w:p>
        </w:tc>
        <w:tc>
          <w:tcPr>
            <w:tcW w:w="3623" w:type="dxa"/>
          </w:tcPr>
          <w:p w14:paraId="71106A59" w14:textId="77777777" w:rsidR="00B97430" w:rsidRPr="00F86091" w:rsidRDefault="00B97430" w:rsidP="00C5043A">
            <w:pPr>
              <w:spacing w:before="60" w:after="60"/>
              <w:jc w:val="left"/>
              <w:rPr>
                <w:noProof/>
              </w:rPr>
            </w:pPr>
            <w:r w:rsidRPr="00F86091">
              <w:rPr>
                <w:noProof/>
              </w:rPr>
              <w:t>No existing restrictions</w:t>
            </w:r>
          </w:p>
        </w:tc>
        <w:tc>
          <w:tcPr>
            <w:tcW w:w="3648" w:type="dxa"/>
          </w:tcPr>
          <w:p w14:paraId="1DCCC2E2" w14:textId="77777777" w:rsidR="00B97430" w:rsidRPr="00F86091" w:rsidRDefault="00B97430" w:rsidP="00C5043A">
            <w:pPr>
              <w:spacing w:before="60" w:after="60"/>
              <w:jc w:val="left"/>
              <w:rPr>
                <w:noProof/>
              </w:rPr>
            </w:pPr>
            <w:r w:rsidRPr="00F86091">
              <w:rPr>
                <w:noProof/>
              </w:rPr>
              <w:t>No existing authorisations</w:t>
            </w:r>
          </w:p>
        </w:tc>
      </w:tr>
      <w:tr w:rsidR="00B97430" w:rsidRPr="00F86091" w14:paraId="7187812C" w14:textId="77777777" w:rsidTr="0D0D966D">
        <w:tc>
          <w:tcPr>
            <w:tcW w:w="2018" w:type="dxa"/>
          </w:tcPr>
          <w:p w14:paraId="3546EAC8" w14:textId="77777777" w:rsidR="00B97430" w:rsidRPr="00F86091" w:rsidRDefault="00B97430" w:rsidP="00C5043A">
            <w:pPr>
              <w:spacing w:before="60" w:after="60"/>
              <w:jc w:val="left"/>
              <w:rPr>
                <w:noProof/>
              </w:rPr>
            </w:pPr>
            <w:r w:rsidRPr="00F86091">
              <w:rPr>
                <w:noProof/>
              </w:rPr>
              <w:t>PAHs</w:t>
            </w:r>
          </w:p>
        </w:tc>
        <w:tc>
          <w:tcPr>
            <w:tcW w:w="3623" w:type="dxa"/>
          </w:tcPr>
          <w:p w14:paraId="7CA9C774" w14:textId="77777777" w:rsidR="00B97430" w:rsidRPr="00F86091" w:rsidRDefault="0FB31D1C" w:rsidP="00C5043A">
            <w:pPr>
              <w:spacing w:before="60" w:after="60"/>
              <w:jc w:val="left"/>
              <w:rPr>
                <w:noProof/>
              </w:rPr>
            </w:pPr>
            <w:r w:rsidRPr="00F86091">
              <w:rPr>
                <w:noProof/>
              </w:rPr>
              <w:t>Existing restriction</w:t>
            </w:r>
            <w:r w:rsidR="00D345A7">
              <w:rPr>
                <w:noProof/>
              </w:rPr>
              <w:t>s</w:t>
            </w:r>
            <w:r w:rsidRPr="00F86091">
              <w:rPr>
                <w:noProof/>
              </w:rPr>
              <w:t xml:space="preserve"> </w:t>
            </w:r>
            <w:r w:rsidR="00326B28">
              <w:rPr>
                <w:noProof/>
              </w:rPr>
              <w:t>on</w:t>
            </w:r>
            <w:r w:rsidR="00326B28" w:rsidRPr="00F86091">
              <w:rPr>
                <w:noProof/>
              </w:rPr>
              <w:t xml:space="preserve"> </w:t>
            </w:r>
            <w:r w:rsidRPr="00F86091">
              <w:rPr>
                <w:noProof/>
              </w:rPr>
              <w:t xml:space="preserve">the use of certain </w:t>
            </w:r>
            <w:r w:rsidR="00B43F9B">
              <w:rPr>
                <w:noProof/>
              </w:rPr>
              <w:t>mixtures and articles</w:t>
            </w:r>
            <w:r w:rsidR="00D345A7">
              <w:rPr>
                <w:noProof/>
              </w:rPr>
              <w:t xml:space="preserve"> </w:t>
            </w:r>
            <w:r w:rsidRPr="00F86091">
              <w:rPr>
                <w:noProof/>
              </w:rPr>
              <w:t>that may contain one or more PAH substances</w:t>
            </w:r>
            <w:r w:rsidR="00B97430" w:rsidRPr="00F86091">
              <w:rPr>
                <w:rStyle w:val="FootnoteReference"/>
                <w:noProof/>
              </w:rPr>
              <w:footnoteReference w:id="16"/>
            </w:r>
          </w:p>
          <w:p w14:paraId="1855B450" w14:textId="77777777" w:rsidR="00B97430" w:rsidRPr="00F86091" w:rsidRDefault="00B97430" w:rsidP="00C5043A">
            <w:pPr>
              <w:spacing w:before="60" w:after="60"/>
              <w:jc w:val="left"/>
              <w:rPr>
                <w:noProof/>
              </w:rPr>
            </w:pPr>
          </w:p>
          <w:p w14:paraId="2AF32E9D" w14:textId="77777777" w:rsidR="00B97430" w:rsidRPr="00F86091" w:rsidRDefault="661817ED" w:rsidP="00C5043A">
            <w:pPr>
              <w:spacing w:before="60" w:after="60"/>
              <w:jc w:val="left"/>
              <w:rPr>
                <w:noProof/>
              </w:rPr>
            </w:pPr>
            <w:r w:rsidRPr="00F86091">
              <w:rPr>
                <w:noProof/>
              </w:rPr>
              <w:t xml:space="preserve">Existing restriction </w:t>
            </w:r>
            <w:r w:rsidR="00326B28">
              <w:rPr>
                <w:noProof/>
              </w:rPr>
              <w:t>on</w:t>
            </w:r>
            <w:r w:rsidR="00326B28" w:rsidRPr="00F86091">
              <w:rPr>
                <w:noProof/>
              </w:rPr>
              <w:t xml:space="preserve"> </w:t>
            </w:r>
            <w:r w:rsidRPr="00F86091">
              <w:rPr>
                <w:noProof/>
              </w:rPr>
              <w:t>the use of creosote and creosote</w:t>
            </w:r>
            <w:r w:rsidR="00B74ABE">
              <w:rPr>
                <w:noProof/>
              </w:rPr>
              <w:t>-related</w:t>
            </w:r>
            <w:r w:rsidRPr="00F86091">
              <w:rPr>
                <w:noProof/>
              </w:rPr>
              <w:t xml:space="preserve"> substances in wood treatment</w:t>
            </w:r>
            <w:r w:rsidR="009E0DA4" w:rsidRPr="00F86091">
              <w:rPr>
                <w:rStyle w:val="FootnoteReference"/>
                <w:noProof/>
              </w:rPr>
              <w:footnoteReference w:id="17"/>
            </w:r>
            <w:r w:rsidRPr="00F86091">
              <w:rPr>
                <w:noProof/>
              </w:rPr>
              <w:t xml:space="preserve">. </w:t>
            </w:r>
          </w:p>
        </w:tc>
        <w:tc>
          <w:tcPr>
            <w:tcW w:w="3648" w:type="dxa"/>
          </w:tcPr>
          <w:p w14:paraId="4E5016CC" w14:textId="77777777" w:rsidR="00B97430" w:rsidRPr="00F86091" w:rsidRDefault="00B97430" w:rsidP="00C5043A">
            <w:pPr>
              <w:spacing w:before="60" w:after="60"/>
              <w:jc w:val="left"/>
              <w:rPr>
                <w:noProof/>
              </w:rPr>
            </w:pPr>
            <w:r w:rsidRPr="00F86091">
              <w:rPr>
                <w:noProof/>
              </w:rPr>
              <w:t xml:space="preserve">No existing authorisations </w:t>
            </w:r>
          </w:p>
        </w:tc>
      </w:tr>
      <w:tr w:rsidR="00B97430" w:rsidRPr="00F86091" w14:paraId="522A3F58" w14:textId="77777777" w:rsidTr="0D0D966D">
        <w:tc>
          <w:tcPr>
            <w:tcW w:w="2018" w:type="dxa"/>
          </w:tcPr>
          <w:p w14:paraId="767378DB" w14:textId="77777777" w:rsidR="00B97430" w:rsidRPr="00F86091" w:rsidRDefault="007D7827" w:rsidP="00C5043A">
            <w:pPr>
              <w:spacing w:before="60" w:after="60"/>
              <w:jc w:val="left"/>
              <w:rPr>
                <w:noProof/>
              </w:rPr>
            </w:pPr>
            <w:r>
              <w:rPr>
                <w:noProof/>
              </w:rPr>
              <w:t>1,4-dioxane</w:t>
            </w:r>
          </w:p>
        </w:tc>
        <w:tc>
          <w:tcPr>
            <w:tcW w:w="3623" w:type="dxa"/>
          </w:tcPr>
          <w:p w14:paraId="46F05DC6" w14:textId="77777777" w:rsidR="00B97430" w:rsidRPr="00F86091" w:rsidRDefault="00B97430" w:rsidP="00C5043A">
            <w:pPr>
              <w:spacing w:before="60" w:after="60"/>
              <w:jc w:val="left"/>
              <w:rPr>
                <w:noProof/>
              </w:rPr>
            </w:pPr>
            <w:r w:rsidRPr="00F86091">
              <w:rPr>
                <w:noProof/>
              </w:rPr>
              <w:t>No existing restrictions</w:t>
            </w:r>
          </w:p>
        </w:tc>
        <w:tc>
          <w:tcPr>
            <w:tcW w:w="3648" w:type="dxa"/>
          </w:tcPr>
          <w:p w14:paraId="0E4A4448" w14:textId="77777777" w:rsidR="00B97430" w:rsidRPr="00F86091" w:rsidRDefault="003107B7" w:rsidP="00C5043A">
            <w:pPr>
              <w:spacing w:before="60" w:after="60"/>
              <w:jc w:val="left"/>
              <w:rPr>
                <w:noProof/>
              </w:rPr>
            </w:pPr>
            <w:bookmarkStart w:id="5" w:name="_Hlk199857733"/>
            <w:r>
              <w:rPr>
                <w:noProof/>
              </w:rPr>
              <w:t xml:space="preserve">This is one of </w:t>
            </w:r>
            <w:r w:rsidR="0FB31D1C" w:rsidRPr="00F86091">
              <w:rPr>
                <w:noProof/>
              </w:rPr>
              <w:t xml:space="preserve">the </w:t>
            </w:r>
            <w:r>
              <w:rPr>
                <w:noProof/>
              </w:rPr>
              <w:t>s</w:t>
            </w:r>
            <w:r w:rsidR="0FB31D1C" w:rsidRPr="00F86091">
              <w:rPr>
                <w:noProof/>
              </w:rPr>
              <w:t>ubstance</w:t>
            </w:r>
            <w:r>
              <w:rPr>
                <w:noProof/>
              </w:rPr>
              <w:t>s</w:t>
            </w:r>
            <w:r w:rsidR="0FB31D1C" w:rsidRPr="00F86091">
              <w:rPr>
                <w:noProof/>
              </w:rPr>
              <w:t xml:space="preserve"> of </w:t>
            </w:r>
            <w:r>
              <w:rPr>
                <w:noProof/>
              </w:rPr>
              <w:t>v</w:t>
            </w:r>
            <w:r w:rsidR="0FB31D1C" w:rsidRPr="00F86091">
              <w:rPr>
                <w:noProof/>
              </w:rPr>
              <w:t xml:space="preserve">ery </w:t>
            </w:r>
            <w:r>
              <w:rPr>
                <w:noProof/>
              </w:rPr>
              <w:t>h</w:t>
            </w:r>
            <w:r w:rsidR="0FB31D1C" w:rsidRPr="00F86091">
              <w:rPr>
                <w:noProof/>
              </w:rPr>
              <w:t xml:space="preserve">igh </w:t>
            </w:r>
            <w:r>
              <w:rPr>
                <w:noProof/>
              </w:rPr>
              <w:t>c</w:t>
            </w:r>
            <w:r w:rsidR="0FB31D1C" w:rsidRPr="00F86091">
              <w:rPr>
                <w:noProof/>
              </w:rPr>
              <w:t xml:space="preserve">oncern </w:t>
            </w:r>
            <w:r>
              <w:rPr>
                <w:noProof/>
              </w:rPr>
              <w:t xml:space="preserve">included in the </w:t>
            </w:r>
            <w:r w:rsidRPr="00F86091">
              <w:rPr>
                <w:noProof/>
              </w:rPr>
              <w:t xml:space="preserve">candidate list </w:t>
            </w:r>
            <w:r w:rsidR="0FB31D1C" w:rsidRPr="00F86091">
              <w:rPr>
                <w:noProof/>
              </w:rPr>
              <w:t xml:space="preserve">for </w:t>
            </w:r>
            <w:r>
              <w:rPr>
                <w:noProof/>
              </w:rPr>
              <w:t>eventual inclusion in Annex XIV ‘List of substances subject to a</w:t>
            </w:r>
            <w:r w:rsidR="0FB31D1C" w:rsidRPr="00F86091">
              <w:rPr>
                <w:noProof/>
              </w:rPr>
              <w:t>uthorisation</w:t>
            </w:r>
            <w:r>
              <w:rPr>
                <w:noProof/>
              </w:rPr>
              <w:t>’</w:t>
            </w:r>
            <w:r w:rsidR="00B97430" w:rsidRPr="00F86091">
              <w:rPr>
                <w:rStyle w:val="FootnoteReference"/>
                <w:noProof/>
              </w:rPr>
              <w:footnoteReference w:id="18"/>
            </w:r>
            <w:r w:rsidR="0FB31D1C" w:rsidRPr="00F86091">
              <w:rPr>
                <w:noProof/>
              </w:rPr>
              <w:t xml:space="preserve"> according to Art</w:t>
            </w:r>
            <w:r w:rsidR="00B74ABE">
              <w:rPr>
                <w:noProof/>
              </w:rPr>
              <w:t>icle</w:t>
            </w:r>
            <w:r w:rsidR="00F86091">
              <w:rPr>
                <w:noProof/>
              </w:rPr>
              <w:t> </w:t>
            </w:r>
            <w:r w:rsidR="0FB31D1C" w:rsidRPr="00F86091">
              <w:rPr>
                <w:noProof/>
              </w:rPr>
              <w:t>57(a) and (f)</w:t>
            </w:r>
            <w:r>
              <w:rPr>
                <w:noProof/>
              </w:rPr>
              <w:t xml:space="preserve"> of the REACH Regulation</w:t>
            </w:r>
            <w:r w:rsidR="0FB31D1C" w:rsidRPr="00F86091">
              <w:rPr>
                <w:noProof/>
              </w:rPr>
              <w:t>, triggering substitution and information requirements</w:t>
            </w:r>
            <w:bookmarkEnd w:id="5"/>
            <w:r w:rsidR="0FB31D1C" w:rsidRPr="00F86091">
              <w:rPr>
                <w:noProof/>
              </w:rPr>
              <w:t>.</w:t>
            </w:r>
          </w:p>
        </w:tc>
      </w:tr>
    </w:tbl>
    <w:p w14:paraId="39CCEDDC" w14:textId="77777777" w:rsidR="009B7274" w:rsidRPr="00F86091" w:rsidRDefault="009B7274" w:rsidP="00C5043A">
      <w:pPr>
        <w:pBdr>
          <w:top w:val="nil"/>
          <w:left w:val="nil"/>
          <w:bottom w:val="nil"/>
          <w:right w:val="nil"/>
          <w:between w:val="nil"/>
          <w:bar w:val="nil"/>
        </w:pBdr>
        <w:spacing w:before="0" w:after="240"/>
        <w:rPr>
          <w:rFonts w:eastAsia="Arial Unicode MS"/>
          <w:noProof/>
        </w:rPr>
      </w:pPr>
      <w:r w:rsidRPr="00F86091">
        <w:rPr>
          <w:noProof/>
        </w:rPr>
        <w:t>None of the existing REACH restrictions set work-related limit values for cobalt and inorganic cobalt compounds, PAHs</w:t>
      </w:r>
      <w:r w:rsidR="0023423A" w:rsidRPr="00F86091">
        <w:rPr>
          <w:noProof/>
        </w:rPr>
        <w:t xml:space="preserve"> </w:t>
      </w:r>
      <w:r w:rsidRPr="00F86091">
        <w:rPr>
          <w:noProof/>
        </w:rPr>
        <w:t xml:space="preserve">or </w:t>
      </w:r>
      <w:r w:rsidR="007D7827">
        <w:rPr>
          <w:noProof/>
        </w:rPr>
        <w:t>1,4-dioxane</w:t>
      </w:r>
      <w:r w:rsidRPr="00F86091">
        <w:rPr>
          <w:noProof/>
        </w:rPr>
        <w:t>. Therefore, there is no overlap between th</w:t>
      </w:r>
      <w:r w:rsidR="0023423A" w:rsidRPr="00F86091">
        <w:rPr>
          <w:noProof/>
        </w:rPr>
        <w:t>is</w:t>
      </w:r>
      <w:r w:rsidRPr="00F86091">
        <w:rPr>
          <w:noProof/>
        </w:rPr>
        <w:t xml:space="preserve"> initiative and the existing restrictions under REACH.</w:t>
      </w:r>
    </w:p>
    <w:p w14:paraId="05CDD110" w14:textId="77777777" w:rsidR="007017A3" w:rsidRPr="00F86091" w:rsidRDefault="001C7C07" w:rsidP="00C5043A">
      <w:pPr>
        <w:pBdr>
          <w:top w:val="nil"/>
          <w:left w:val="nil"/>
          <w:bottom w:val="nil"/>
          <w:right w:val="nil"/>
          <w:between w:val="nil"/>
          <w:bar w:val="nil"/>
        </w:pBdr>
        <w:spacing w:before="0" w:after="240"/>
        <w:rPr>
          <w:rFonts w:eastAsia="Arial Unicode MS"/>
          <w:i/>
          <w:iCs/>
          <w:noProof/>
        </w:rPr>
      </w:pPr>
      <w:r w:rsidRPr="00F86091">
        <w:rPr>
          <w:rFonts w:eastAsia="Arial Unicode MS"/>
          <w:i/>
          <w:iCs/>
          <w:noProof/>
        </w:rPr>
        <w:t>Europe’s Beating Cancer Plan</w:t>
      </w:r>
    </w:p>
    <w:p w14:paraId="43DA18DF" w14:textId="77777777" w:rsidR="00B86042" w:rsidRPr="00F86091" w:rsidRDefault="00B86042" w:rsidP="00C5043A">
      <w:pPr>
        <w:spacing w:before="0" w:after="240"/>
        <w:rPr>
          <w:noProof/>
        </w:rPr>
      </w:pPr>
      <w:r w:rsidRPr="00F86091">
        <w:rPr>
          <w:noProof/>
        </w:rPr>
        <w:t>The aim of Europe’s Beating Cancer Plan</w:t>
      </w:r>
      <w:r w:rsidRPr="00F86091">
        <w:rPr>
          <w:rStyle w:val="FootnoteReference"/>
          <w:noProof/>
        </w:rPr>
        <w:footnoteReference w:id="19"/>
      </w:r>
      <w:r w:rsidRPr="00F86091">
        <w:rPr>
          <w:noProof/>
        </w:rPr>
        <w:t xml:space="preserve"> is to tackle the entire disease pathway. It is structured around four key action areas where the EU can add the most value: (1) prevention; (2) early detection; (3) diagnosis and treatment; and (4) quality of life of cancer patients and survivors.</w:t>
      </w:r>
    </w:p>
    <w:p w14:paraId="20F8F67C" w14:textId="77777777" w:rsidR="00B86042" w:rsidRPr="00F86091" w:rsidRDefault="00094B4F" w:rsidP="00C5043A">
      <w:pPr>
        <w:spacing w:before="0" w:after="240"/>
        <w:rPr>
          <w:noProof/>
        </w:rPr>
      </w:pPr>
      <w:r>
        <w:rPr>
          <w:noProof/>
        </w:rPr>
        <w:t>O</w:t>
      </w:r>
      <w:r w:rsidR="00B86042" w:rsidRPr="00F86091">
        <w:rPr>
          <w:noProof/>
        </w:rPr>
        <w:t xml:space="preserve">ccupational exposure to the </w:t>
      </w:r>
      <w:r w:rsidR="0088119B" w:rsidRPr="00F86091">
        <w:rPr>
          <w:noProof/>
        </w:rPr>
        <w:t>four</w:t>
      </w:r>
      <w:r w:rsidR="00B86042" w:rsidRPr="00F86091">
        <w:rPr>
          <w:noProof/>
        </w:rPr>
        <w:t xml:space="preserve"> substances </w:t>
      </w:r>
      <w:r>
        <w:rPr>
          <w:noProof/>
        </w:rPr>
        <w:t xml:space="preserve">covered by </w:t>
      </w:r>
      <w:r w:rsidR="00B86042" w:rsidRPr="00F86091">
        <w:rPr>
          <w:noProof/>
        </w:rPr>
        <w:t xml:space="preserve">this initiative can cause cancer. </w:t>
      </w:r>
      <w:r>
        <w:rPr>
          <w:noProof/>
        </w:rPr>
        <w:t xml:space="preserve">Setting limit values or including them in the CMRD will, therefore, help prevent cancer </w:t>
      </w:r>
      <w:r w:rsidR="007208A2">
        <w:rPr>
          <w:noProof/>
        </w:rPr>
        <w:t xml:space="preserve">as stated in point 3.6 of </w:t>
      </w:r>
      <w:r w:rsidR="007208A2" w:rsidRPr="00F86091">
        <w:rPr>
          <w:noProof/>
        </w:rPr>
        <w:t>Europe’s Beating Cancer Plan</w:t>
      </w:r>
      <w:r w:rsidR="000B470B">
        <w:rPr>
          <w:noProof/>
        </w:rPr>
        <w:t>, which refers to the CMRD, as a tool to prevent cancer</w:t>
      </w:r>
      <w:r w:rsidR="007208A2">
        <w:rPr>
          <w:noProof/>
        </w:rPr>
        <w:t xml:space="preserve"> </w:t>
      </w:r>
      <w:r>
        <w:rPr>
          <w:noProof/>
        </w:rPr>
        <w:t xml:space="preserve">and </w:t>
      </w:r>
      <w:r w:rsidR="0050258C" w:rsidRPr="00F86091">
        <w:rPr>
          <w:noProof/>
        </w:rPr>
        <w:t>also contribute to the European Health Union.</w:t>
      </w:r>
    </w:p>
    <w:p w14:paraId="0A14B3DD" w14:textId="77777777" w:rsidR="0050258C" w:rsidRPr="00F86091" w:rsidRDefault="0050258C" w:rsidP="0050258C">
      <w:pPr>
        <w:pBdr>
          <w:top w:val="nil"/>
          <w:left w:val="nil"/>
          <w:bottom w:val="nil"/>
          <w:right w:val="nil"/>
          <w:between w:val="nil"/>
          <w:bar w:val="nil"/>
        </w:pBdr>
        <w:spacing w:before="0" w:after="240"/>
        <w:rPr>
          <w:rFonts w:eastAsia="Arial Unicode MS"/>
          <w:i/>
          <w:iCs/>
          <w:noProof/>
        </w:rPr>
      </w:pPr>
      <w:r w:rsidRPr="00F86091">
        <w:rPr>
          <w:rFonts w:eastAsia="Arial Unicode MS"/>
          <w:i/>
          <w:iCs/>
          <w:noProof/>
        </w:rPr>
        <w:t>Implementation and simplification</w:t>
      </w:r>
    </w:p>
    <w:p w14:paraId="5744DD55" w14:textId="77777777" w:rsidR="004207A9" w:rsidRPr="00F86091" w:rsidRDefault="004207A9" w:rsidP="0050258C">
      <w:pPr>
        <w:pBdr>
          <w:top w:val="nil"/>
          <w:left w:val="nil"/>
          <w:bottom w:val="nil"/>
          <w:right w:val="nil"/>
          <w:between w:val="nil"/>
          <w:bar w:val="nil"/>
        </w:pBdr>
        <w:spacing w:before="0" w:after="240"/>
        <w:rPr>
          <w:rFonts w:eastAsia="Arial Unicode MS"/>
          <w:noProof/>
        </w:rPr>
      </w:pPr>
      <w:r w:rsidRPr="00F86091">
        <w:rPr>
          <w:rFonts w:eastAsia="Arial Unicode MS"/>
          <w:noProof/>
        </w:rPr>
        <w:t xml:space="preserve">The </w:t>
      </w:r>
      <w:r w:rsidR="00782F49">
        <w:rPr>
          <w:rFonts w:eastAsia="Arial Unicode MS"/>
          <w:noProof/>
        </w:rPr>
        <w:t xml:space="preserve">Member States must transpose the </w:t>
      </w:r>
      <w:r w:rsidRPr="00F86091">
        <w:rPr>
          <w:rFonts w:eastAsia="Arial Unicode MS"/>
          <w:noProof/>
        </w:rPr>
        <w:t xml:space="preserve">amended provisions within the transposition deadline set in the directive. </w:t>
      </w:r>
      <w:r w:rsidR="00782F49">
        <w:rPr>
          <w:rFonts w:eastAsia="Arial Unicode MS"/>
          <w:noProof/>
        </w:rPr>
        <w:t xml:space="preserve">After this deadline, the Commission will assess compliance in two stages </w:t>
      </w:r>
      <w:r w:rsidRPr="00F86091">
        <w:rPr>
          <w:rFonts w:eastAsia="Arial Unicode MS"/>
          <w:noProof/>
        </w:rPr>
        <w:t>(transposition and conformity checks)</w:t>
      </w:r>
      <w:r w:rsidRPr="00F86091">
        <w:rPr>
          <w:rFonts w:eastAsia="Arial Unicode MS"/>
          <w:i/>
          <w:iCs/>
          <w:noProof/>
        </w:rPr>
        <w:t xml:space="preserve">. </w:t>
      </w:r>
      <w:r w:rsidR="00782F49">
        <w:rPr>
          <w:rFonts w:eastAsia="Arial Unicode MS"/>
          <w:noProof/>
        </w:rPr>
        <w:t>It will also monitor t</w:t>
      </w:r>
      <w:r w:rsidRPr="00F86091">
        <w:rPr>
          <w:rFonts w:eastAsia="Arial Unicode MS"/>
          <w:noProof/>
        </w:rPr>
        <w:t xml:space="preserve">he implementation of the Directive through the evaluation of the practical implementation of the proposed amendments </w:t>
      </w:r>
      <w:r w:rsidR="00782F49">
        <w:rPr>
          <w:rFonts w:eastAsia="Arial Unicode MS"/>
          <w:noProof/>
        </w:rPr>
        <w:t xml:space="preserve">as part </w:t>
      </w:r>
      <w:r w:rsidRPr="00F86091">
        <w:rPr>
          <w:rFonts w:eastAsia="Arial Unicode MS"/>
          <w:noProof/>
        </w:rPr>
        <w:t xml:space="preserve">of the periodical evaluation to be carried out by the Commission </w:t>
      </w:r>
      <w:r w:rsidR="00A07984">
        <w:rPr>
          <w:rFonts w:eastAsia="Arial Unicode MS"/>
          <w:noProof/>
        </w:rPr>
        <w:t>under</w:t>
      </w:r>
      <w:r w:rsidRPr="00F86091">
        <w:rPr>
          <w:rFonts w:eastAsia="Arial Unicode MS"/>
          <w:noProof/>
        </w:rPr>
        <w:t xml:space="preserve"> Article</w:t>
      </w:r>
      <w:r w:rsidR="00F86091">
        <w:rPr>
          <w:rFonts w:eastAsia="Arial Unicode MS"/>
          <w:noProof/>
        </w:rPr>
        <w:t> </w:t>
      </w:r>
      <w:r w:rsidRPr="00F86091">
        <w:rPr>
          <w:rFonts w:eastAsia="Arial Unicode MS"/>
          <w:noProof/>
        </w:rPr>
        <w:t>17a of Directive 89/391/EEC.</w:t>
      </w:r>
    </w:p>
    <w:p w14:paraId="07EBDAA0" w14:textId="77777777" w:rsidR="00753C6F" w:rsidRPr="00F86091" w:rsidRDefault="004207A9" w:rsidP="0050258C">
      <w:pPr>
        <w:pBdr>
          <w:top w:val="nil"/>
          <w:left w:val="nil"/>
          <w:bottom w:val="nil"/>
          <w:right w:val="nil"/>
          <w:between w:val="nil"/>
          <w:bar w:val="nil"/>
        </w:pBdr>
        <w:spacing w:before="0" w:after="240"/>
        <w:rPr>
          <w:rFonts w:eastAsia="Arial Unicode MS"/>
          <w:noProof/>
        </w:rPr>
      </w:pPr>
      <w:r w:rsidRPr="00F86091">
        <w:rPr>
          <w:rFonts w:eastAsia="Arial Unicode MS"/>
          <w:noProof/>
        </w:rPr>
        <w:t>The</w:t>
      </w:r>
      <w:r w:rsidRPr="00F86091">
        <w:rPr>
          <w:noProof/>
        </w:rPr>
        <w:t xml:space="preserve"> </w:t>
      </w:r>
      <w:r w:rsidRPr="00F86091">
        <w:rPr>
          <w:rFonts w:eastAsia="Arial Unicode MS"/>
          <w:noProof/>
        </w:rPr>
        <w:t xml:space="preserve">Senior Labour Inspectors Committee (SLIC) will inform the Commission of any practical problems related to the enforcement of </w:t>
      </w:r>
      <w:r w:rsidR="00A15FB4" w:rsidRPr="00F86091">
        <w:rPr>
          <w:rFonts w:eastAsia="Arial Unicode MS"/>
          <w:noProof/>
        </w:rPr>
        <w:t>th</w:t>
      </w:r>
      <w:r w:rsidR="001A7A08" w:rsidRPr="00F86091">
        <w:rPr>
          <w:rFonts w:eastAsia="Arial Unicode MS"/>
          <w:noProof/>
        </w:rPr>
        <w:t>is</w:t>
      </w:r>
      <w:r w:rsidR="00A15FB4" w:rsidRPr="00F86091">
        <w:rPr>
          <w:rFonts w:eastAsia="Arial Unicode MS"/>
          <w:noProof/>
        </w:rPr>
        <w:t xml:space="preserve"> directive</w:t>
      </w:r>
      <w:r w:rsidRPr="00F86091">
        <w:rPr>
          <w:rFonts w:eastAsia="Arial Unicode MS"/>
          <w:noProof/>
        </w:rPr>
        <w:t xml:space="preserve">, including of difficulties linked to compliance with </w:t>
      </w:r>
      <w:r w:rsidR="00782F49">
        <w:rPr>
          <w:rFonts w:eastAsia="Arial Unicode MS"/>
          <w:noProof/>
        </w:rPr>
        <w:t xml:space="preserve">the </w:t>
      </w:r>
      <w:r w:rsidRPr="00F86091">
        <w:rPr>
          <w:rFonts w:eastAsia="Arial Unicode MS"/>
          <w:noProof/>
        </w:rPr>
        <w:t xml:space="preserve">binding limit values. </w:t>
      </w:r>
      <w:r w:rsidR="00782F49">
        <w:rPr>
          <w:rFonts w:eastAsia="Arial Unicode MS"/>
          <w:noProof/>
        </w:rPr>
        <w:t xml:space="preserve">The </w:t>
      </w:r>
      <w:r w:rsidRPr="00F86091">
        <w:rPr>
          <w:rFonts w:eastAsia="Arial Unicode MS"/>
          <w:noProof/>
        </w:rPr>
        <w:t xml:space="preserve">SLIC will </w:t>
      </w:r>
      <w:r w:rsidR="00782F49">
        <w:rPr>
          <w:rFonts w:eastAsia="Arial Unicode MS"/>
          <w:noProof/>
        </w:rPr>
        <w:t xml:space="preserve">also </w:t>
      </w:r>
      <w:r w:rsidRPr="00F86091">
        <w:rPr>
          <w:rFonts w:eastAsia="Arial Unicode MS"/>
          <w:noProof/>
        </w:rPr>
        <w:t xml:space="preserve">continue to assess the reported cases, exchange </w:t>
      </w:r>
      <w:r w:rsidR="004F5902">
        <w:rPr>
          <w:rFonts w:eastAsia="Arial Unicode MS"/>
          <w:noProof/>
        </w:rPr>
        <w:t xml:space="preserve">relevant </w:t>
      </w:r>
      <w:r w:rsidRPr="00F86091">
        <w:rPr>
          <w:rFonts w:eastAsia="Arial Unicode MS"/>
          <w:noProof/>
        </w:rPr>
        <w:t>information and good practice</w:t>
      </w:r>
      <w:r w:rsidR="004F5902">
        <w:rPr>
          <w:rFonts w:eastAsia="Arial Unicode MS"/>
          <w:noProof/>
        </w:rPr>
        <w:t>s,</w:t>
      </w:r>
      <w:r w:rsidRPr="00F86091">
        <w:rPr>
          <w:rFonts w:eastAsia="Arial Unicode MS"/>
          <w:noProof/>
        </w:rPr>
        <w:t xml:space="preserve"> and</w:t>
      </w:r>
      <w:r w:rsidR="004F5902">
        <w:rPr>
          <w:rFonts w:eastAsia="Arial Unicode MS"/>
          <w:noProof/>
        </w:rPr>
        <w:t xml:space="preserve"> develop </w:t>
      </w:r>
      <w:r w:rsidR="00E13457" w:rsidRPr="00E13457">
        <w:rPr>
          <w:rFonts w:eastAsia="Arial Unicode MS"/>
          <w:noProof/>
        </w:rPr>
        <w:t>guidance and other supporting enforcement tools</w:t>
      </w:r>
      <w:r w:rsidR="004F5902">
        <w:rPr>
          <w:rFonts w:eastAsia="Arial Unicode MS"/>
          <w:noProof/>
        </w:rPr>
        <w:t>,</w:t>
      </w:r>
      <w:r w:rsidRPr="00F86091">
        <w:rPr>
          <w:rFonts w:eastAsia="Arial Unicode MS"/>
          <w:noProof/>
        </w:rPr>
        <w:t xml:space="preserve"> if necessary.</w:t>
      </w:r>
    </w:p>
    <w:p w14:paraId="7E2EF04E" w14:textId="77777777" w:rsidR="00753C6F" w:rsidRPr="00F86091" w:rsidRDefault="00753C6F" w:rsidP="00966729">
      <w:pPr>
        <w:pBdr>
          <w:top w:val="nil"/>
          <w:left w:val="nil"/>
          <w:bottom w:val="nil"/>
          <w:right w:val="nil"/>
          <w:between w:val="nil"/>
          <w:bar w:val="nil"/>
        </w:pBdr>
        <w:spacing w:before="0" w:after="240"/>
        <w:rPr>
          <w:rFonts w:eastAsia="Arial Unicode MS"/>
          <w:noProof/>
        </w:rPr>
      </w:pPr>
      <w:bookmarkStart w:id="6" w:name="_Hlk191989401"/>
    </w:p>
    <w:bookmarkEnd w:id="6"/>
    <w:p w14:paraId="69C5EBC6" w14:textId="77777777" w:rsidR="007017A3" w:rsidRPr="00F86091" w:rsidRDefault="007017A3" w:rsidP="00C5043A">
      <w:pPr>
        <w:pStyle w:val="ManualHeading1"/>
        <w:spacing w:before="0" w:after="240"/>
        <w:rPr>
          <w:noProof/>
        </w:rPr>
      </w:pPr>
      <w:r w:rsidRPr="00F86091">
        <w:rPr>
          <w:noProof/>
        </w:rPr>
        <w:t>2.</w:t>
      </w:r>
      <w:r w:rsidRPr="00F86091">
        <w:rPr>
          <w:noProof/>
        </w:rPr>
        <w:tab/>
        <w:t>LEGAL BASIS, SUBSIDIARITY AND PROPORTIONALITY</w:t>
      </w:r>
    </w:p>
    <w:p w14:paraId="68F30C7B" w14:textId="77777777" w:rsidR="007017A3" w:rsidRPr="00F86091" w:rsidRDefault="007017A3" w:rsidP="00C5043A">
      <w:pPr>
        <w:pStyle w:val="ManualHeading2"/>
        <w:spacing w:before="0" w:after="240"/>
        <w:rPr>
          <w:rFonts w:eastAsia="Arial Unicode MS"/>
          <w:noProof/>
          <w:u w:color="000000"/>
          <w:bdr w:val="nil"/>
          <w:lang w:eastAsia="en-GB"/>
        </w:rPr>
      </w:pPr>
      <w:r w:rsidRPr="00F86091">
        <w:rPr>
          <w:rFonts w:eastAsia="Arial Unicode MS"/>
          <w:noProof/>
          <w:u w:color="000000"/>
          <w:bdr w:val="nil"/>
          <w:lang w:eastAsia="en-GB"/>
        </w:rPr>
        <w:t>•</w:t>
      </w:r>
      <w:r w:rsidRPr="00F86091">
        <w:rPr>
          <w:rFonts w:eastAsia="Arial Unicode MS"/>
          <w:noProof/>
          <w:u w:color="000000"/>
          <w:bdr w:val="nil"/>
          <w:lang w:eastAsia="en-GB"/>
        </w:rPr>
        <w:tab/>
        <w:t>Legal basis</w:t>
      </w:r>
    </w:p>
    <w:p w14:paraId="4F32A6B2" w14:textId="77777777" w:rsidR="00AF064F" w:rsidRPr="00F86091" w:rsidRDefault="00AF064F" w:rsidP="00C5043A">
      <w:pPr>
        <w:spacing w:before="0" w:after="240"/>
        <w:rPr>
          <w:noProof/>
        </w:rPr>
      </w:pPr>
      <w:r w:rsidRPr="00F86091">
        <w:rPr>
          <w:noProof/>
        </w:rPr>
        <w:t>Article</w:t>
      </w:r>
      <w:r w:rsidR="00F86091">
        <w:rPr>
          <w:noProof/>
        </w:rPr>
        <w:t> </w:t>
      </w:r>
      <w:r w:rsidRPr="00F86091">
        <w:rPr>
          <w:noProof/>
        </w:rPr>
        <w:t xml:space="preserve">153 of </w:t>
      </w:r>
      <w:r w:rsidR="004A59A3">
        <w:rPr>
          <w:noProof/>
        </w:rPr>
        <w:t xml:space="preserve">the </w:t>
      </w:r>
      <w:r w:rsidRPr="00F86091">
        <w:rPr>
          <w:noProof/>
        </w:rPr>
        <w:t xml:space="preserve">TFEU empowers the EU to support and complement the activities of the Member States as regards improvements, in particular of the working environment to protect workers' health and safety and to adopt, by means of directives, minimum requirements for gradual implementation, having regard to the conditions and technical rules obtaining in each of the Member States. </w:t>
      </w:r>
    </w:p>
    <w:p w14:paraId="6531D699" w14:textId="77777777" w:rsidR="00624CE7" w:rsidRPr="00F86091" w:rsidRDefault="2C090926" w:rsidP="449BDA64">
      <w:pPr>
        <w:spacing w:before="0" w:after="240"/>
        <w:rPr>
          <w:noProof/>
        </w:rPr>
      </w:pPr>
      <w:r w:rsidRPr="00F86091">
        <w:rPr>
          <w:noProof/>
        </w:rPr>
        <w:t>The CMRD</w:t>
      </w:r>
      <w:r w:rsidR="4A6E064A" w:rsidRPr="00F86091">
        <w:rPr>
          <w:noProof/>
        </w:rPr>
        <w:t xml:space="preserve"> was adopted </w:t>
      </w:r>
      <w:r w:rsidR="00AB2BD1">
        <w:rPr>
          <w:noProof/>
        </w:rPr>
        <w:t xml:space="preserve">based </w:t>
      </w:r>
      <w:r w:rsidR="4A6E064A" w:rsidRPr="00F86091">
        <w:rPr>
          <w:noProof/>
        </w:rPr>
        <w:t>on Article</w:t>
      </w:r>
      <w:r w:rsidR="00F86091">
        <w:rPr>
          <w:noProof/>
        </w:rPr>
        <w:t> </w:t>
      </w:r>
      <w:r w:rsidR="4A6E064A" w:rsidRPr="00F86091">
        <w:rPr>
          <w:noProof/>
        </w:rPr>
        <w:t xml:space="preserve">153(2)(b) of the TFEU with the aim </w:t>
      </w:r>
      <w:r w:rsidR="00D66474">
        <w:rPr>
          <w:noProof/>
        </w:rPr>
        <w:t>of</w:t>
      </w:r>
      <w:r w:rsidR="00D66474" w:rsidRPr="00F86091">
        <w:rPr>
          <w:noProof/>
        </w:rPr>
        <w:t xml:space="preserve"> </w:t>
      </w:r>
      <w:r w:rsidR="4A6E064A" w:rsidRPr="00F86091">
        <w:rPr>
          <w:noProof/>
        </w:rPr>
        <w:t>improv</w:t>
      </w:r>
      <w:r w:rsidR="00D66474">
        <w:rPr>
          <w:noProof/>
        </w:rPr>
        <w:t>ing</w:t>
      </w:r>
      <w:r w:rsidR="4A6E064A" w:rsidRPr="00F86091">
        <w:rPr>
          <w:noProof/>
        </w:rPr>
        <w:t xml:space="preserve"> workers’ health and safety. Article</w:t>
      </w:r>
      <w:r w:rsidR="00F86091">
        <w:rPr>
          <w:noProof/>
        </w:rPr>
        <w:t> </w:t>
      </w:r>
      <w:r w:rsidR="4A6E064A" w:rsidRPr="00F86091">
        <w:rPr>
          <w:noProof/>
        </w:rPr>
        <w:t xml:space="preserve">16 </w:t>
      </w:r>
      <w:r w:rsidR="000077D1">
        <w:rPr>
          <w:noProof/>
        </w:rPr>
        <w:t xml:space="preserve">of the CMRD </w:t>
      </w:r>
      <w:r w:rsidR="4A6E064A" w:rsidRPr="00F86091">
        <w:rPr>
          <w:noProof/>
        </w:rPr>
        <w:t>provides for the adoption of limit values in accordance with the procedure laid down in Article</w:t>
      </w:r>
      <w:r w:rsidR="00F86091">
        <w:rPr>
          <w:noProof/>
        </w:rPr>
        <w:t> </w:t>
      </w:r>
      <w:r w:rsidR="4A6E064A" w:rsidRPr="00F86091">
        <w:rPr>
          <w:noProof/>
        </w:rPr>
        <w:t xml:space="preserve">153(2) of the TFEU </w:t>
      </w:r>
      <w:r w:rsidR="000077D1">
        <w:rPr>
          <w:noProof/>
        </w:rPr>
        <w:t xml:space="preserve">for </w:t>
      </w:r>
      <w:r w:rsidR="4A6E064A" w:rsidRPr="00F86091">
        <w:rPr>
          <w:noProof/>
        </w:rPr>
        <w:t>all those carcinogens</w:t>
      </w:r>
      <w:r w:rsidR="34EDD6D9" w:rsidRPr="00F86091">
        <w:rPr>
          <w:noProof/>
        </w:rPr>
        <w:t>,</w:t>
      </w:r>
      <w:r w:rsidR="4A6E064A" w:rsidRPr="00F86091">
        <w:rPr>
          <w:noProof/>
        </w:rPr>
        <w:t xml:space="preserve"> </w:t>
      </w:r>
      <w:r w:rsidR="1A3E0FB4" w:rsidRPr="00F86091">
        <w:rPr>
          <w:noProof/>
        </w:rPr>
        <w:t xml:space="preserve">mutagens </w:t>
      </w:r>
      <w:r w:rsidR="4A6E064A" w:rsidRPr="00F86091">
        <w:rPr>
          <w:noProof/>
        </w:rPr>
        <w:t xml:space="preserve">or </w:t>
      </w:r>
      <w:r w:rsidR="450E12A1" w:rsidRPr="00F86091">
        <w:rPr>
          <w:noProof/>
        </w:rPr>
        <w:t xml:space="preserve">reprotoxic substances </w:t>
      </w:r>
      <w:r w:rsidR="4A6E064A" w:rsidRPr="00F86091">
        <w:rPr>
          <w:noProof/>
        </w:rPr>
        <w:t>for which this is possible</w:t>
      </w:r>
      <w:r w:rsidR="7106D842" w:rsidRPr="00F86091">
        <w:rPr>
          <w:noProof/>
        </w:rPr>
        <w:t>.</w:t>
      </w:r>
    </w:p>
    <w:p w14:paraId="4402A6EA" w14:textId="77777777" w:rsidR="000B6E2E" w:rsidRPr="00F86091" w:rsidRDefault="000B6E2E" w:rsidP="00C5043A">
      <w:pPr>
        <w:spacing w:before="0" w:after="240"/>
        <w:rPr>
          <w:noProof/>
        </w:rPr>
      </w:pPr>
      <w:r w:rsidRPr="00F86091">
        <w:rPr>
          <w:noProof/>
        </w:rPr>
        <w:t xml:space="preserve">The objective of </w:t>
      </w:r>
      <w:r w:rsidR="00A4169F">
        <w:rPr>
          <w:noProof/>
        </w:rPr>
        <w:t>this</w:t>
      </w:r>
      <w:r w:rsidRPr="00F86091">
        <w:rPr>
          <w:noProof/>
        </w:rPr>
        <w:t xml:space="preserve"> proposal is to strengthen the level of worker</w:t>
      </w:r>
      <w:r w:rsidR="00913E37" w:rsidRPr="00F86091">
        <w:rPr>
          <w:noProof/>
        </w:rPr>
        <w:t>s’ safety and</w:t>
      </w:r>
      <w:r w:rsidRPr="00F86091">
        <w:rPr>
          <w:noProof/>
        </w:rPr>
        <w:t xml:space="preserve"> health protection in line with Article</w:t>
      </w:r>
      <w:r w:rsidR="00F86091">
        <w:rPr>
          <w:noProof/>
        </w:rPr>
        <w:t> </w:t>
      </w:r>
      <w:r w:rsidRPr="00F86091">
        <w:rPr>
          <w:noProof/>
        </w:rPr>
        <w:t xml:space="preserve">153(1)(a) of the TFEU, in the form of new limit values as well as notations in Annex III to the Directive and </w:t>
      </w:r>
      <w:r w:rsidR="00AA7661" w:rsidRPr="00F86091">
        <w:rPr>
          <w:noProof/>
        </w:rPr>
        <w:t>the inclusion of welding fumes</w:t>
      </w:r>
      <w:r w:rsidR="000077D1">
        <w:rPr>
          <w:noProof/>
        </w:rPr>
        <w:t xml:space="preserve"> </w:t>
      </w:r>
      <w:r w:rsidR="0018103A">
        <w:rPr>
          <w:noProof/>
        </w:rPr>
        <w:t>in</w:t>
      </w:r>
      <w:r w:rsidR="000077D1">
        <w:rPr>
          <w:noProof/>
        </w:rPr>
        <w:t xml:space="preserve"> the list</w:t>
      </w:r>
      <w:r w:rsidR="0018103A">
        <w:rPr>
          <w:noProof/>
        </w:rPr>
        <w:t xml:space="preserve"> of substances, mixtures and processes </w:t>
      </w:r>
      <w:r w:rsidR="00AA7661" w:rsidRPr="00F86091">
        <w:rPr>
          <w:noProof/>
        </w:rPr>
        <w:t>in Annex I</w:t>
      </w:r>
      <w:r w:rsidRPr="00F86091">
        <w:rPr>
          <w:noProof/>
        </w:rPr>
        <w:t xml:space="preserve">. </w:t>
      </w:r>
      <w:r w:rsidR="00E11939" w:rsidRPr="00F86091">
        <w:rPr>
          <w:noProof/>
        </w:rPr>
        <w:t>Therefore, Article</w:t>
      </w:r>
      <w:r w:rsidR="00F86091">
        <w:rPr>
          <w:noProof/>
        </w:rPr>
        <w:t> </w:t>
      </w:r>
      <w:r w:rsidR="00E11939" w:rsidRPr="00F86091">
        <w:rPr>
          <w:noProof/>
        </w:rPr>
        <w:t xml:space="preserve">153(2)(b) </w:t>
      </w:r>
      <w:r w:rsidR="004A59A3">
        <w:rPr>
          <w:noProof/>
        </w:rPr>
        <w:t xml:space="preserve">of the </w:t>
      </w:r>
      <w:r w:rsidR="00E11939" w:rsidRPr="00F86091">
        <w:rPr>
          <w:noProof/>
        </w:rPr>
        <w:t>TFEU is the proper legal basis for the Commission’s proposal to amend the CMRD.</w:t>
      </w:r>
    </w:p>
    <w:p w14:paraId="34CA3819" w14:textId="77777777" w:rsidR="0074025C" w:rsidRPr="00F86091" w:rsidRDefault="000A1171" w:rsidP="00C5043A">
      <w:pPr>
        <w:spacing w:before="0" w:after="240"/>
        <w:rPr>
          <w:noProof/>
        </w:rPr>
      </w:pPr>
      <w:r>
        <w:rPr>
          <w:noProof/>
        </w:rPr>
        <w:t xml:space="preserve">Under </w:t>
      </w:r>
      <w:r w:rsidR="0074025C" w:rsidRPr="00F86091">
        <w:rPr>
          <w:noProof/>
        </w:rPr>
        <w:t>Article</w:t>
      </w:r>
      <w:r w:rsidR="00F86091">
        <w:rPr>
          <w:noProof/>
        </w:rPr>
        <w:t> </w:t>
      </w:r>
      <w:r w:rsidR="0074025C" w:rsidRPr="00F86091">
        <w:rPr>
          <w:noProof/>
        </w:rPr>
        <w:t>153(2) of the TFEU, the improvement of the working environment to protect workers</w:t>
      </w:r>
      <w:r w:rsidR="00F86091">
        <w:rPr>
          <w:noProof/>
        </w:rPr>
        <w:t>’</w:t>
      </w:r>
      <w:r w:rsidR="0074025C" w:rsidRPr="00F86091">
        <w:rPr>
          <w:noProof/>
        </w:rPr>
        <w:t xml:space="preserve"> health and safety is an aspect of social policy where the EU shares competence with the Member States.</w:t>
      </w:r>
    </w:p>
    <w:p w14:paraId="4CD6EFCC" w14:textId="77777777" w:rsidR="007017A3" w:rsidRPr="00F86091" w:rsidRDefault="007017A3" w:rsidP="00C5043A">
      <w:pPr>
        <w:pStyle w:val="ManualHeading2"/>
        <w:spacing w:before="0" w:after="240"/>
        <w:rPr>
          <w:rFonts w:eastAsia="Arial Unicode MS"/>
          <w:noProof/>
          <w:u w:color="000000"/>
          <w:bdr w:val="nil"/>
          <w:lang w:eastAsia="en-GB"/>
        </w:rPr>
      </w:pPr>
      <w:r w:rsidRPr="00F86091">
        <w:rPr>
          <w:rFonts w:eastAsia="Arial Unicode MS"/>
          <w:noProof/>
          <w:u w:color="000000"/>
          <w:bdr w:val="nil"/>
          <w:lang w:eastAsia="en-GB"/>
        </w:rPr>
        <w:t>•</w:t>
      </w:r>
      <w:r w:rsidRPr="00F86091">
        <w:rPr>
          <w:rFonts w:eastAsia="Arial Unicode MS"/>
          <w:noProof/>
          <w:u w:color="000000"/>
          <w:bdr w:val="nil"/>
          <w:lang w:eastAsia="en-GB"/>
        </w:rPr>
        <w:tab/>
        <w:t>Subsidiarity (for non-exclusive competence)</w:t>
      </w:r>
    </w:p>
    <w:p w14:paraId="6CBA4158" w14:textId="77777777" w:rsidR="00653889" w:rsidRPr="00F86091" w:rsidRDefault="0050258C" w:rsidP="00C5043A">
      <w:pPr>
        <w:spacing w:before="0" w:after="240"/>
        <w:rPr>
          <w:noProof/>
        </w:rPr>
      </w:pPr>
      <w:r w:rsidRPr="00F86091">
        <w:rPr>
          <w:noProof/>
        </w:rPr>
        <w:t xml:space="preserve">In the absence of EU values, </w:t>
      </w:r>
      <w:r w:rsidR="0053B8A9" w:rsidRPr="00F86091">
        <w:rPr>
          <w:noProof/>
        </w:rPr>
        <w:t xml:space="preserve">Member States </w:t>
      </w:r>
      <w:r w:rsidRPr="00F86091">
        <w:rPr>
          <w:noProof/>
        </w:rPr>
        <w:t xml:space="preserve">are free </w:t>
      </w:r>
      <w:r w:rsidR="0053B8A9" w:rsidRPr="00F86091">
        <w:rPr>
          <w:noProof/>
        </w:rPr>
        <w:t xml:space="preserve">to adopt national limit values. </w:t>
      </w:r>
      <w:r w:rsidRPr="00F86091">
        <w:rPr>
          <w:noProof/>
        </w:rPr>
        <w:t xml:space="preserve">Where they exist, </w:t>
      </w:r>
      <w:r w:rsidR="0053B8A9" w:rsidRPr="00F86091">
        <w:rPr>
          <w:noProof/>
        </w:rPr>
        <w:t xml:space="preserve">the national limit values for the </w:t>
      </w:r>
      <w:r w:rsidR="004C4A09">
        <w:rPr>
          <w:noProof/>
        </w:rPr>
        <w:t>three</w:t>
      </w:r>
      <w:r w:rsidR="004C4A09" w:rsidRPr="00F86091">
        <w:rPr>
          <w:noProof/>
        </w:rPr>
        <w:t xml:space="preserve"> </w:t>
      </w:r>
      <w:r w:rsidR="0053B8A9" w:rsidRPr="00F86091">
        <w:rPr>
          <w:noProof/>
        </w:rPr>
        <w:t xml:space="preserve">substances subject to the setting of a limit value </w:t>
      </w:r>
      <w:r w:rsidR="752726DB" w:rsidRPr="00F86091">
        <w:rPr>
          <w:noProof/>
        </w:rPr>
        <w:t>as part of this initiative</w:t>
      </w:r>
      <w:r w:rsidR="0053B8A9" w:rsidRPr="00F86091">
        <w:rPr>
          <w:noProof/>
        </w:rPr>
        <w:t xml:space="preserve"> vary considerably between Member States. For instance, the national limit values for cobalt range from 10 to 50</w:t>
      </w:r>
      <w:r w:rsidR="00F86091" w:rsidRPr="00F86091">
        <w:rPr>
          <w:noProof/>
        </w:rPr>
        <w:t>0</w:t>
      </w:r>
      <w:r w:rsidR="00F86091">
        <w:rPr>
          <w:noProof/>
        </w:rPr>
        <w:t> µg</w:t>
      </w:r>
      <w:r w:rsidR="0053B8A9" w:rsidRPr="00F86091">
        <w:rPr>
          <w:noProof/>
        </w:rPr>
        <w:t>/m</w:t>
      </w:r>
      <w:r w:rsidR="0053B8A9" w:rsidRPr="00F86091">
        <w:rPr>
          <w:noProof/>
          <w:vertAlign w:val="superscript"/>
        </w:rPr>
        <w:t>3</w:t>
      </w:r>
      <w:r w:rsidR="0053B8A9" w:rsidRPr="00F86091">
        <w:rPr>
          <w:noProof/>
        </w:rPr>
        <w:t xml:space="preserve">. Some Member States have therefore set limit values </w:t>
      </w:r>
      <w:r w:rsidR="00397983">
        <w:rPr>
          <w:noProof/>
        </w:rPr>
        <w:t>50</w:t>
      </w:r>
      <w:r w:rsidR="0053B8A9" w:rsidRPr="00F86091">
        <w:rPr>
          <w:noProof/>
        </w:rPr>
        <w:t xml:space="preserve"> times lower than others for the same substance</w:t>
      </w:r>
      <w:r w:rsidR="004261B2" w:rsidRPr="00F86091">
        <w:rPr>
          <w:noProof/>
        </w:rPr>
        <w:t>. F</w:t>
      </w:r>
      <w:r w:rsidR="0053B8A9" w:rsidRPr="00F86091">
        <w:rPr>
          <w:noProof/>
        </w:rPr>
        <w:t>ive Member States have no limit values for cobalt</w:t>
      </w:r>
      <w:r w:rsidR="00653889" w:rsidRPr="00F86091">
        <w:rPr>
          <w:rStyle w:val="FootnoteReference"/>
          <w:noProof/>
        </w:rPr>
        <w:footnoteReference w:id="20"/>
      </w:r>
      <w:r w:rsidR="0053B8A9" w:rsidRPr="00F86091">
        <w:rPr>
          <w:noProof/>
        </w:rPr>
        <w:t>.</w:t>
      </w:r>
    </w:p>
    <w:p w14:paraId="4069BDD0" w14:textId="77777777" w:rsidR="00F6544A" w:rsidRPr="00F86091" w:rsidRDefault="12D48ACB" w:rsidP="00C5043A">
      <w:pPr>
        <w:spacing w:before="0" w:after="240"/>
        <w:rPr>
          <w:noProof/>
        </w:rPr>
      </w:pPr>
      <w:r w:rsidRPr="00F86091">
        <w:rPr>
          <w:noProof/>
        </w:rPr>
        <w:t xml:space="preserve">Under such circumstances, </w:t>
      </w:r>
      <w:r w:rsidR="00E768EF">
        <w:rPr>
          <w:noProof/>
        </w:rPr>
        <w:t xml:space="preserve">actions taken by Member States alone cannot ensure </w:t>
      </w:r>
      <w:r w:rsidRPr="00F86091">
        <w:rPr>
          <w:noProof/>
        </w:rPr>
        <w:t xml:space="preserve">minimum requirements for workers’ health protection against the risks arising from exposure to these </w:t>
      </w:r>
      <w:r w:rsidR="6ED9D162" w:rsidRPr="00F86091">
        <w:rPr>
          <w:noProof/>
        </w:rPr>
        <w:t>substances</w:t>
      </w:r>
      <w:r w:rsidRPr="00F86091">
        <w:rPr>
          <w:noProof/>
        </w:rPr>
        <w:t xml:space="preserve"> for all EU workers in all Member States.</w:t>
      </w:r>
    </w:p>
    <w:p w14:paraId="33A39D52" w14:textId="77777777" w:rsidR="00642CD4" w:rsidRPr="00F86091" w:rsidRDefault="00E768EF" w:rsidP="00C5043A">
      <w:pPr>
        <w:spacing w:before="0" w:after="240"/>
        <w:rPr>
          <w:noProof/>
        </w:rPr>
      </w:pPr>
      <w:bookmarkStart w:id="7" w:name="_Hlk190428379"/>
      <w:r>
        <w:rPr>
          <w:noProof/>
        </w:rPr>
        <w:t>S</w:t>
      </w:r>
      <w:r w:rsidR="004261B2" w:rsidRPr="00F86091">
        <w:rPr>
          <w:noProof/>
        </w:rPr>
        <w:t xml:space="preserve">etting EU limit values </w:t>
      </w:r>
      <w:r>
        <w:rPr>
          <w:noProof/>
        </w:rPr>
        <w:t xml:space="preserve">also </w:t>
      </w:r>
      <w:r w:rsidR="004261B2" w:rsidRPr="00F86091">
        <w:rPr>
          <w:noProof/>
        </w:rPr>
        <w:t>helps provide a level playing field for industry</w:t>
      </w:r>
      <w:r w:rsidR="0071573F">
        <w:rPr>
          <w:noProof/>
        </w:rPr>
        <w:t>,</w:t>
      </w:r>
      <w:r w:rsidR="004261B2" w:rsidRPr="00F86091">
        <w:rPr>
          <w:noProof/>
        </w:rPr>
        <w:t xml:space="preserve"> as s</w:t>
      </w:r>
      <w:r w:rsidR="00642CD4" w:rsidRPr="00F86091">
        <w:rPr>
          <w:noProof/>
        </w:rPr>
        <w:t>ome employers</w:t>
      </w:r>
      <w:r w:rsidR="00F86091">
        <w:rPr>
          <w:noProof/>
        </w:rPr>
        <w:t>’</w:t>
      </w:r>
      <w:r w:rsidR="00642CD4" w:rsidRPr="00F86091">
        <w:rPr>
          <w:noProof/>
        </w:rPr>
        <w:t xml:space="preserve"> organisations </w:t>
      </w:r>
      <w:r w:rsidR="00682DDE">
        <w:rPr>
          <w:noProof/>
        </w:rPr>
        <w:t xml:space="preserve">emphasised </w:t>
      </w:r>
      <w:r w:rsidR="00642CD4" w:rsidRPr="00F86091">
        <w:rPr>
          <w:noProof/>
        </w:rPr>
        <w:t xml:space="preserve">in their response to the social partner consultation. The costs of complying with lower national </w:t>
      </w:r>
      <w:r w:rsidR="00682DDE">
        <w:rPr>
          <w:noProof/>
        </w:rPr>
        <w:t>limit values</w:t>
      </w:r>
      <w:r w:rsidR="00682DDE" w:rsidRPr="00F86091">
        <w:rPr>
          <w:noProof/>
        </w:rPr>
        <w:t xml:space="preserve"> </w:t>
      </w:r>
      <w:r w:rsidR="00642CD4" w:rsidRPr="00F86091">
        <w:rPr>
          <w:noProof/>
        </w:rPr>
        <w:t xml:space="preserve">are generally higher and therefore </w:t>
      </w:r>
      <w:r w:rsidR="00682DDE">
        <w:rPr>
          <w:noProof/>
        </w:rPr>
        <w:t xml:space="preserve">give </w:t>
      </w:r>
      <w:r w:rsidR="00642CD4" w:rsidRPr="00F86091">
        <w:rPr>
          <w:noProof/>
        </w:rPr>
        <w:t xml:space="preserve">a competitive advantage </w:t>
      </w:r>
      <w:r w:rsidR="00682DDE">
        <w:rPr>
          <w:noProof/>
        </w:rPr>
        <w:t xml:space="preserve">to </w:t>
      </w:r>
      <w:r w:rsidR="00642CD4" w:rsidRPr="00F86091">
        <w:rPr>
          <w:noProof/>
        </w:rPr>
        <w:t xml:space="preserve">enterprises operating in markets with </w:t>
      </w:r>
      <w:r w:rsidR="00682DDE">
        <w:rPr>
          <w:noProof/>
        </w:rPr>
        <w:t xml:space="preserve">higher or non-existent </w:t>
      </w:r>
      <w:r w:rsidR="00642CD4" w:rsidRPr="00F86091">
        <w:rPr>
          <w:noProof/>
        </w:rPr>
        <w:t>national limit values.</w:t>
      </w:r>
    </w:p>
    <w:bookmarkEnd w:id="7"/>
    <w:p w14:paraId="26D71494" w14:textId="77777777" w:rsidR="00C74A17" w:rsidRPr="00F86091" w:rsidRDefault="7F1B6AA6" w:rsidP="00C5043A">
      <w:pPr>
        <w:spacing w:before="0" w:after="240"/>
        <w:rPr>
          <w:noProof/>
        </w:rPr>
      </w:pPr>
      <w:r w:rsidRPr="00F86091">
        <w:rPr>
          <w:noProof/>
        </w:rPr>
        <w:t xml:space="preserve">Setting EU limit values will not completely eliminate the differences between Member States since they can adopt more protective (lower) limits. However, it will reduce the scope for divergences and enhance certainty that there is a core definition and/or </w:t>
      </w:r>
      <w:r w:rsidR="00571085">
        <w:rPr>
          <w:noProof/>
        </w:rPr>
        <w:t xml:space="preserve">an </w:t>
      </w:r>
      <w:r w:rsidRPr="00F86091">
        <w:rPr>
          <w:noProof/>
        </w:rPr>
        <w:t xml:space="preserve">enforceable exposure limit for all </w:t>
      </w:r>
      <w:r w:rsidR="00571085">
        <w:rPr>
          <w:noProof/>
        </w:rPr>
        <w:t>relevant</w:t>
      </w:r>
      <w:r w:rsidR="00571085" w:rsidRPr="00F86091">
        <w:rPr>
          <w:noProof/>
        </w:rPr>
        <w:t xml:space="preserve"> </w:t>
      </w:r>
      <w:r w:rsidRPr="00F86091">
        <w:rPr>
          <w:noProof/>
        </w:rPr>
        <w:t>carcinogens</w:t>
      </w:r>
      <w:r w:rsidR="00980248">
        <w:rPr>
          <w:noProof/>
        </w:rPr>
        <w:t>, mutagens</w:t>
      </w:r>
      <w:r w:rsidRPr="00F86091">
        <w:rPr>
          <w:noProof/>
        </w:rPr>
        <w:t xml:space="preserve"> </w:t>
      </w:r>
      <w:r w:rsidR="6C04D97F" w:rsidRPr="00F86091">
        <w:rPr>
          <w:noProof/>
        </w:rPr>
        <w:t xml:space="preserve">and reprotoxic substances </w:t>
      </w:r>
      <w:r w:rsidRPr="00F86091">
        <w:rPr>
          <w:noProof/>
        </w:rPr>
        <w:t>in all Member States</w:t>
      </w:r>
      <w:r w:rsidR="00980248">
        <w:rPr>
          <w:noProof/>
        </w:rPr>
        <w:t xml:space="preserve"> and ensure a minimum level of protection for all workers</w:t>
      </w:r>
      <w:r w:rsidRPr="00F86091">
        <w:rPr>
          <w:noProof/>
        </w:rPr>
        <w:t xml:space="preserve">. It will also reduce regulatory complexity resulting from rules </w:t>
      </w:r>
      <w:r w:rsidR="00571085">
        <w:rPr>
          <w:noProof/>
        </w:rPr>
        <w:t xml:space="preserve">that diverge greatly </w:t>
      </w:r>
      <w:r w:rsidRPr="00F86091">
        <w:rPr>
          <w:noProof/>
        </w:rPr>
        <w:t xml:space="preserve">between Member States, </w:t>
      </w:r>
      <w:r w:rsidR="00571085">
        <w:rPr>
          <w:noProof/>
        </w:rPr>
        <w:t>helping to reduce</w:t>
      </w:r>
      <w:r w:rsidRPr="00F86091">
        <w:rPr>
          <w:noProof/>
        </w:rPr>
        <w:t xml:space="preserve"> the administrative burden of compliance for businesses operating across the single market.</w:t>
      </w:r>
      <w:r w:rsidR="00B2453C">
        <w:rPr>
          <w:noProof/>
        </w:rPr>
        <w:t xml:space="preserve"> Furthermore, Member States will avoid the costs related to the administrative burden related to</w:t>
      </w:r>
      <w:r w:rsidR="00B2453C" w:rsidRPr="00B2453C">
        <w:rPr>
          <w:noProof/>
        </w:rPr>
        <w:t xml:space="preserve"> setting limit values following national processes</w:t>
      </w:r>
      <w:r w:rsidR="00B2453C">
        <w:rPr>
          <w:noProof/>
        </w:rPr>
        <w:t>.</w:t>
      </w:r>
    </w:p>
    <w:p w14:paraId="243D37AD" w14:textId="77777777" w:rsidR="00A5491A" w:rsidRPr="00F86091" w:rsidRDefault="00D25BDB" w:rsidP="00C5043A">
      <w:pPr>
        <w:spacing w:before="0" w:after="240"/>
        <w:rPr>
          <w:noProof/>
        </w:rPr>
      </w:pPr>
      <w:r>
        <w:rPr>
          <w:rFonts w:eastAsia="Arial Unicode MS"/>
          <w:noProof/>
        </w:rPr>
        <w:t>T</w:t>
      </w:r>
      <w:r w:rsidR="00A5491A" w:rsidRPr="00F86091">
        <w:rPr>
          <w:noProof/>
        </w:rPr>
        <w:t>he complexity and heterogeneity of the composition</w:t>
      </w:r>
      <w:r>
        <w:rPr>
          <w:noProof/>
        </w:rPr>
        <w:t xml:space="preserve"> of welding fumes and </w:t>
      </w:r>
      <w:r w:rsidR="00A5491A" w:rsidRPr="00F86091">
        <w:rPr>
          <w:noProof/>
        </w:rPr>
        <w:t>the absence of harmonised classification in the CLP Regulation</w:t>
      </w:r>
      <w:r w:rsidR="00E71D4E" w:rsidRPr="00F86091">
        <w:rPr>
          <w:rStyle w:val="FootnoteReference"/>
          <w:noProof/>
        </w:rPr>
        <w:footnoteReference w:id="21"/>
      </w:r>
      <w:r w:rsidR="00A5491A" w:rsidRPr="00F86091">
        <w:rPr>
          <w:noProof/>
        </w:rPr>
        <w:t xml:space="preserve"> contribute to a lack of clarity on the</w:t>
      </w:r>
      <w:r w:rsidR="003604F9" w:rsidRPr="00F86091">
        <w:rPr>
          <w:noProof/>
        </w:rPr>
        <w:t>ir</w:t>
      </w:r>
      <w:r w:rsidR="00A5491A" w:rsidRPr="00F86091">
        <w:rPr>
          <w:noProof/>
        </w:rPr>
        <w:t xml:space="preserve"> possible dangerousness </w:t>
      </w:r>
      <w:r w:rsidR="003604F9" w:rsidRPr="00F86091">
        <w:rPr>
          <w:noProof/>
        </w:rPr>
        <w:t>f</w:t>
      </w:r>
      <w:r w:rsidR="00A5491A" w:rsidRPr="00F86091">
        <w:rPr>
          <w:noProof/>
        </w:rPr>
        <w:t xml:space="preserve">or workers, and therefore a lack of appropriate </w:t>
      </w:r>
      <w:r w:rsidR="003604F9" w:rsidRPr="00F86091">
        <w:rPr>
          <w:noProof/>
        </w:rPr>
        <w:t>risk management measures</w:t>
      </w:r>
      <w:r w:rsidR="007D7827">
        <w:rPr>
          <w:noProof/>
        </w:rPr>
        <w:t xml:space="preserve"> </w:t>
      </w:r>
      <w:r w:rsidR="00166EC2" w:rsidRPr="00F86091">
        <w:rPr>
          <w:noProof/>
        </w:rPr>
        <w:t>(RMMs)</w:t>
      </w:r>
      <w:r w:rsidR="00C9454D" w:rsidRPr="00F86091">
        <w:rPr>
          <w:noProof/>
        </w:rPr>
        <w:t xml:space="preserve"> </w:t>
      </w:r>
      <w:r>
        <w:rPr>
          <w:noProof/>
        </w:rPr>
        <w:t>in</w:t>
      </w:r>
      <w:r w:rsidRPr="00F86091">
        <w:rPr>
          <w:noProof/>
        </w:rPr>
        <w:t xml:space="preserve"> </w:t>
      </w:r>
      <w:r w:rsidR="00C9454D" w:rsidRPr="00F86091">
        <w:rPr>
          <w:noProof/>
        </w:rPr>
        <w:t>the workplace</w:t>
      </w:r>
      <w:r w:rsidR="00A5491A" w:rsidRPr="00F86091">
        <w:rPr>
          <w:noProof/>
        </w:rPr>
        <w:t xml:space="preserve">. </w:t>
      </w:r>
      <w:r>
        <w:rPr>
          <w:noProof/>
        </w:rPr>
        <w:t xml:space="preserve">Classifying </w:t>
      </w:r>
      <w:r w:rsidR="00A5491A" w:rsidRPr="00F86091">
        <w:rPr>
          <w:noProof/>
        </w:rPr>
        <w:t>welding fumes at EU level would ensure more legal clarity</w:t>
      </w:r>
      <w:r w:rsidR="00166EC2" w:rsidRPr="00F86091">
        <w:rPr>
          <w:noProof/>
        </w:rPr>
        <w:t xml:space="preserve">, which would </w:t>
      </w:r>
      <w:r w:rsidR="00E23F74">
        <w:rPr>
          <w:noProof/>
        </w:rPr>
        <w:t>improve</w:t>
      </w:r>
      <w:r w:rsidR="00166EC2" w:rsidRPr="00F86091">
        <w:rPr>
          <w:noProof/>
        </w:rPr>
        <w:t xml:space="preserve"> implementation of the existing </w:t>
      </w:r>
      <w:r w:rsidR="009E0DA4" w:rsidRPr="00F86091">
        <w:rPr>
          <w:noProof/>
        </w:rPr>
        <w:t xml:space="preserve">EU </w:t>
      </w:r>
      <w:r w:rsidR="00166EC2" w:rsidRPr="00F86091">
        <w:rPr>
          <w:noProof/>
        </w:rPr>
        <w:t>rules</w:t>
      </w:r>
      <w:r w:rsidR="00A5491A" w:rsidRPr="00F86091">
        <w:rPr>
          <w:noProof/>
        </w:rPr>
        <w:t>.</w:t>
      </w:r>
    </w:p>
    <w:p w14:paraId="5B8DAD61" w14:textId="77777777" w:rsidR="00A5491A" w:rsidRPr="00F86091" w:rsidRDefault="00A5491A" w:rsidP="00C5043A">
      <w:pPr>
        <w:spacing w:before="0" w:after="240"/>
        <w:rPr>
          <w:noProof/>
        </w:rPr>
      </w:pPr>
      <w:r w:rsidRPr="00F86091">
        <w:rPr>
          <w:noProof/>
        </w:rPr>
        <w:t>Governments’, employers’ and workers’ representatives have expressed clear support for establishing limit values for the substances subject to this initiative, and</w:t>
      </w:r>
      <w:r w:rsidR="00C9454D" w:rsidRPr="00F86091">
        <w:rPr>
          <w:noProof/>
        </w:rPr>
        <w:t xml:space="preserve"> for</w:t>
      </w:r>
      <w:r w:rsidRPr="00F86091">
        <w:rPr>
          <w:noProof/>
        </w:rPr>
        <w:t xml:space="preserve"> including welding fumes in Annex I </w:t>
      </w:r>
      <w:r w:rsidR="00E23F74">
        <w:rPr>
          <w:noProof/>
        </w:rPr>
        <w:t>to</w:t>
      </w:r>
      <w:r w:rsidR="00E23F74" w:rsidRPr="00F86091">
        <w:rPr>
          <w:noProof/>
        </w:rPr>
        <w:t xml:space="preserve"> </w:t>
      </w:r>
      <w:r w:rsidRPr="00F86091">
        <w:rPr>
          <w:noProof/>
        </w:rPr>
        <w:t xml:space="preserve">the CMRD, as </w:t>
      </w:r>
      <w:r w:rsidR="00E23F74">
        <w:rPr>
          <w:noProof/>
        </w:rPr>
        <w:t xml:space="preserve">clearly indicated in </w:t>
      </w:r>
      <w:r w:rsidRPr="00F86091">
        <w:rPr>
          <w:noProof/>
        </w:rPr>
        <w:t>the two-stage consultation of social partners and the opinions of the tripartite ACSH.</w:t>
      </w:r>
    </w:p>
    <w:p w14:paraId="654151A8" w14:textId="77777777" w:rsidR="007017A3" w:rsidRPr="00F86091" w:rsidRDefault="007017A3" w:rsidP="00D31AEF">
      <w:pPr>
        <w:pStyle w:val="ManualHeading2"/>
        <w:rPr>
          <w:rFonts w:eastAsia="Arial Unicode MS"/>
          <w:noProof/>
          <w:u w:color="000000"/>
          <w:bdr w:val="nil"/>
          <w:lang w:eastAsia="en-GB"/>
        </w:rPr>
      </w:pPr>
      <w:r w:rsidRPr="00F86091">
        <w:rPr>
          <w:rFonts w:eastAsia="Arial Unicode MS"/>
          <w:noProof/>
          <w:u w:color="000000"/>
          <w:bdr w:val="nil"/>
          <w:lang w:eastAsia="en-GB"/>
        </w:rPr>
        <w:t>•</w:t>
      </w:r>
      <w:r w:rsidRPr="00F86091">
        <w:rPr>
          <w:rFonts w:eastAsia="Arial Unicode MS"/>
          <w:noProof/>
          <w:u w:color="000000"/>
          <w:bdr w:val="nil"/>
          <w:lang w:eastAsia="en-GB"/>
        </w:rPr>
        <w:tab/>
        <w:t>Proportionality</w:t>
      </w:r>
    </w:p>
    <w:p w14:paraId="15E677B2" w14:textId="77777777" w:rsidR="00581B13" w:rsidRPr="00F86091" w:rsidRDefault="00A024D4" w:rsidP="00DC6BE2">
      <w:pPr>
        <w:rPr>
          <w:noProof/>
        </w:rPr>
      </w:pPr>
      <w:r w:rsidRPr="00F86091">
        <w:rPr>
          <w:noProof/>
        </w:rPr>
        <w:t>The proposal respects the principle of proportionality, as</w:t>
      </w:r>
      <w:r w:rsidR="00052D9A" w:rsidRPr="00F86091">
        <w:rPr>
          <w:noProof/>
        </w:rPr>
        <w:t xml:space="preserve"> this initiative </w:t>
      </w:r>
      <w:r w:rsidR="008A7244" w:rsidRPr="00F86091">
        <w:rPr>
          <w:noProof/>
        </w:rPr>
        <w:t xml:space="preserve">is limited to revising the annexes </w:t>
      </w:r>
      <w:r w:rsidR="009E38F7" w:rsidRPr="00F86091">
        <w:rPr>
          <w:noProof/>
        </w:rPr>
        <w:t>of</w:t>
      </w:r>
      <w:r w:rsidR="008A7244" w:rsidRPr="00F86091">
        <w:rPr>
          <w:noProof/>
        </w:rPr>
        <w:t xml:space="preserve"> the CMRD where necessary, </w:t>
      </w:r>
      <w:r w:rsidR="003A3A63">
        <w:rPr>
          <w:noProof/>
        </w:rPr>
        <w:t xml:space="preserve">based </w:t>
      </w:r>
      <w:r w:rsidR="008A7244" w:rsidRPr="00F86091">
        <w:rPr>
          <w:noProof/>
        </w:rPr>
        <w:t xml:space="preserve">on the scientific and technical data available, as provided </w:t>
      </w:r>
      <w:r w:rsidR="00913E37" w:rsidRPr="00F86091">
        <w:rPr>
          <w:noProof/>
        </w:rPr>
        <w:t xml:space="preserve">for </w:t>
      </w:r>
      <w:r w:rsidR="008A7244" w:rsidRPr="00F86091">
        <w:rPr>
          <w:noProof/>
        </w:rPr>
        <w:t>by Article</w:t>
      </w:r>
      <w:r w:rsidR="00F86091">
        <w:rPr>
          <w:noProof/>
        </w:rPr>
        <w:t> </w:t>
      </w:r>
      <w:r w:rsidR="008A7244" w:rsidRPr="00F86091">
        <w:rPr>
          <w:noProof/>
        </w:rPr>
        <w:t xml:space="preserve">16 of the CMRD. This initiative aims to </w:t>
      </w:r>
      <w:r w:rsidR="00CA7239">
        <w:rPr>
          <w:noProof/>
        </w:rPr>
        <w:t>t</w:t>
      </w:r>
      <w:r w:rsidR="008A7244" w:rsidRPr="00F86091">
        <w:rPr>
          <w:noProof/>
        </w:rPr>
        <w:t xml:space="preserve">ake a step </w:t>
      </w:r>
      <w:r w:rsidR="00571085">
        <w:rPr>
          <w:noProof/>
        </w:rPr>
        <w:t>towards achieving</w:t>
      </w:r>
      <w:r w:rsidR="008A7244" w:rsidRPr="00F86091">
        <w:rPr>
          <w:noProof/>
        </w:rPr>
        <w:t xml:space="preserve"> the objectives set to improve health and safety of workers, while </w:t>
      </w:r>
      <w:r w:rsidR="00CA7239">
        <w:rPr>
          <w:noProof/>
        </w:rPr>
        <w:t xml:space="preserve">keeping costs </w:t>
      </w:r>
      <w:r w:rsidR="00C1008E">
        <w:rPr>
          <w:noProof/>
        </w:rPr>
        <w:t xml:space="preserve">to a level </w:t>
      </w:r>
      <w:r w:rsidR="00CA7239">
        <w:rPr>
          <w:noProof/>
        </w:rPr>
        <w:t>acceptable to businesses</w:t>
      </w:r>
      <w:r w:rsidR="00A62A5D" w:rsidRPr="00F86091">
        <w:rPr>
          <w:noProof/>
        </w:rPr>
        <w:t>.</w:t>
      </w:r>
    </w:p>
    <w:p w14:paraId="458A9D17" w14:textId="77777777" w:rsidR="001B3118" w:rsidRPr="00F86091" w:rsidRDefault="00106878" w:rsidP="00106878">
      <w:pPr>
        <w:spacing w:after="200"/>
        <w:rPr>
          <w:noProof/>
        </w:rPr>
      </w:pPr>
      <w:bookmarkStart w:id="8" w:name="_Hlk200985511"/>
      <w:r w:rsidRPr="00F86091">
        <w:rPr>
          <w:noProof/>
        </w:rPr>
        <w:t>As shown in the impact assessment supporting this initiative</w:t>
      </w:r>
      <w:bookmarkEnd w:id="8"/>
      <w:r w:rsidRPr="00F86091">
        <w:rPr>
          <w:noProof/>
        </w:rPr>
        <w:t>, the proposal also ensure</w:t>
      </w:r>
      <w:r w:rsidR="005D3AC6" w:rsidRPr="00F86091">
        <w:rPr>
          <w:noProof/>
        </w:rPr>
        <w:t>s</w:t>
      </w:r>
      <w:r w:rsidRPr="00F86091">
        <w:rPr>
          <w:noProof/>
        </w:rPr>
        <w:t xml:space="preserve"> a balanced approach, </w:t>
      </w:r>
      <w:r w:rsidR="0076083D">
        <w:rPr>
          <w:noProof/>
        </w:rPr>
        <w:t>minimising</w:t>
      </w:r>
      <w:r w:rsidRPr="00F86091">
        <w:rPr>
          <w:noProof/>
        </w:rPr>
        <w:t xml:space="preserve"> </w:t>
      </w:r>
      <w:r w:rsidR="009B0FBD" w:rsidRPr="00F86091">
        <w:rPr>
          <w:noProof/>
        </w:rPr>
        <w:t xml:space="preserve">economic disadvantages </w:t>
      </w:r>
      <w:r w:rsidR="00C1008E">
        <w:rPr>
          <w:noProof/>
        </w:rPr>
        <w:t xml:space="preserve">to businesses </w:t>
      </w:r>
      <w:r w:rsidR="009B0FBD" w:rsidRPr="00F86091">
        <w:rPr>
          <w:noProof/>
        </w:rPr>
        <w:t xml:space="preserve">and </w:t>
      </w:r>
      <w:r w:rsidR="00571085">
        <w:rPr>
          <w:noProof/>
        </w:rPr>
        <w:t xml:space="preserve">business </w:t>
      </w:r>
      <w:r w:rsidRPr="00F86091">
        <w:rPr>
          <w:noProof/>
        </w:rPr>
        <w:t>closures</w:t>
      </w:r>
      <w:r w:rsidR="00844093" w:rsidRPr="00F86091">
        <w:rPr>
          <w:noProof/>
        </w:rPr>
        <w:t xml:space="preserve">, </w:t>
      </w:r>
      <w:r w:rsidRPr="00F86091">
        <w:rPr>
          <w:noProof/>
        </w:rPr>
        <w:t xml:space="preserve">while providing </w:t>
      </w:r>
      <w:r w:rsidR="005D3AC6" w:rsidRPr="00F86091">
        <w:rPr>
          <w:noProof/>
        </w:rPr>
        <w:t xml:space="preserve">for </w:t>
      </w:r>
      <w:r w:rsidRPr="00F86091">
        <w:rPr>
          <w:noProof/>
        </w:rPr>
        <w:t xml:space="preserve">adequate protection of workers at EU level and being </w:t>
      </w:r>
      <w:r w:rsidR="00C1008E">
        <w:rPr>
          <w:noProof/>
        </w:rPr>
        <w:t>consistent</w:t>
      </w:r>
      <w:r w:rsidR="00C1008E" w:rsidRPr="00F86091">
        <w:rPr>
          <w:noProof/>
        </w:rPr>
        <w:t xml:space="preserve"> </w:t>
      </w:r>
      <w:r w:rsidR="005D3AC6" w:rsidRPr="00F86091">
        <w:rPr>
          <w:noProof/>
        </w:rPr>
        <w:t xml:space="preserve">with </w:t>
      </w:r>
      <w:r w:rsidRPr="00F86091">
        <w:rPr>
          <w:noProof/>
        </w:rPr>
        <w:t xml:space="preserve">the </w:t>
      </w:r>
      <w:r w:rsidR="00C1008E">
        <w:rPr>
          <w:noProof/>
        </w:rPr>
        <w:t xml:space="preserve">EU's </w:t>
      </w:r>
      <w:r w:rsidRPr="00F86091">
        <w:rPr>
          <w:noProof/>
        </w:rPr>
        <w:t xml:space="preserve">key objectives, including </w:t>
      </w:r>
      <w:r w:rsidR="00C1008E">
        <w:rPr>
          <w:noProof/>
        </w:rPr>
        <w:t xml:space="preserve">EU strategic autonomy, </w:t>
      </w:r>
      <w:r w:rsidRPr="00F86091">
        <w:rPr>
          <w:noProof/>
        </w:rPr>
        <w:t xml:space="preserve">Europe’s Beating Cancer Plan, </w:t>
      </w:r>
      <w:r w:rsidR="00C1008E">
        <w:rPr>
          <w:noProof/>
        </w:rPr>
        <w:t xml:space="preserve">and </w:t>
      </w:r>
      <w:r w:rsidRPr="00F86091">
        <w:rPr>
          <w:noProof/>
        </w:rPr>
        <w:t>the twin transition.</w:t>
      </w:r>
    </w:p>
    <w:p w14:paraId="71B94263" w14:textId="77777777" w:rsidR="00581B13" w:rsidRPr="00F86091" w:rsidRDefault="00581B13" w:rsidP="00DC6BE2">
      <w:pPr>
        <w:rPr>
          <w:noProof/>
        </w:rPr>
      </w:pPr>
      <w:r w:rsidRPr="00F86091">
        <w:rPr>
          <w:noProof/>
        </w:rPr>
        <w:t xml:space="preserve">Socio-economic and feasibility factors have been taken into account after intensive discussions with all stakeholders within the ACSH. </w:t>
      </w:r>
      <w:r w:rsidR="0076083D">
        <w:rPr>
          <w:noProof/>
        </w:rPr>
        <w:t>The proposal</w:t>
      </w:r>
      <w:r w:rsidR="0076083D" w:rsidRPr="00F86091">
        <w:rPr>
          <w:noProof/>
        </w:rPr>
        <w:t xml:space="preserve"> </w:t>
      </w:r>
      <w:r w:rsidRPr="00F86091">
        <w:rPr>
          <w:noProof/>
        </w:rPr>
        <w:t xml:space="preserve">also </w:t>
      </w:r>
      <w:r w:rsidR="0076083D">
        <w:rPr>
          <w:noProof/>
        </w:rPr>
        <w:t>has</w:t>
      </w:r>
      <w:r w:rsidR="0076083D" w:rsidRPr="00F86091">
        <w:rPr>
          <w:noProof/>
        </w:rPr>
        <w:t xml:space="preserve"> </w:t>
      </w:r>
      <w:r w:rsidRPr="00F86091">
        <w:rPr>
          <w:noProof/>
        </w:rPr>
        <w:t>measures for mitigating burdens and supporting compliance</w:t>
      </w:r>
      <w:r w:rsidR="009B0FBD" w:rsidRPr="00F86091">
        <w:rPr>
          <w:noProof/>
        </w:rPr>
        <w:t xml:space="preserve">, </w:t>
      </w:r>
      <w:r w:rsidR="00980248">
        <w:rPr>
          <w:noProof/>
        </w:rPr>
        <w:t>particularly</w:t>
      </w:r>
      <w:r w:rsidR="00980248" w:rsidRPr="00F86091">
        <w:rPr>
          <w:noProof/>
        </w:rPr>
        <w:t xml:space="preserve"> </w:t>
      </w:r>
      <w:r w:rsidRPr="00F86091">
        <w:rPr>
          <w:noProof/>
        </w:rPr>
        <w:t>transition</w:t>
      </w:r>
      <w:r w:rsidR="00913E37" w:rsidRPr="00F86091">
        <w:rPr>
          <w:noProof/>
        </w:rPr>
        <w:t>al</w:t>
      </w:r>
      <w:r w:rsidRPr="00F86091">
        <w:rPr>
          <w:noProof/>
        </w:rPr>
        <w:t xml:space="preserve"> periods</w:t>
      </w:r>
      <w:r w:rsidR="009B0FBD" w:rsidRPr="00F86091">
        <w:rPr>
          <w:noProof/>
        </w:rPr>
        <w:t>,</w:t>
      </w:r>
      <w:r w:rsidRPr="00F86091">
        <w:rPr>
          <w:noProof/>
        </w:rPr>
        <w:t xml:space="preserve"> which </w:t>
      </w:r>
      <w:r w:rsidR="00571085">
        <w:rPr>
          <w:noProof/>
        </w:rPr>
        <w:t xml:space="preserve">too </w:t>
      </w:r>
      <w:r w:rsidRPr="00F86091">
        <w:rPr>
          <w:noProof/>
        </w:rPr>
        <w:t xml:space="preserve">have been discussed </w:t>
      </w:r>
      <w:r w:rsidR="00B64D13" w:rsidRPr="00F86091">
        <w:rPr>
          <w:noProof/>
        </w:rPr>
        <w:t>with</w:t>
      </w:r>
      <w:r w:rsidRPr="00F86091">
        <w:rPr>
          <w:noProof/>
        </w:rPr>
        <w:t xml:space="preserve"> the </w:t>
      </w:r>
      <w:r w:rsidR="00106878" w:rsidRPr="00F86091">
        <w:rPr>
          <w:noProof/>
        </w:rPr>
        <w:t>ACSH</w:t>
      </w:r>
      <w:r w:rsidR="00980248">
        <w:rPr>
          <w:noProof/>
        </w:rPr>
        <w:t>, but also a possible update of the</w:t>
      </w:r>
      <w:r w:rsidR="00980248" w:rsidRPr="00980248">
        <w:rPr>
          <w:noProof/>
        </w:rPr>
        <w:t xml:space="preserve"> existing Senior Labour Inspectors Committee’s</w:t>
      </w:r>
      <w:r w:rsidR="00980248" w:rsidRPr="00804B58">
        <w:rPr>
          <w:rStyle w:val="FootnoteReference"/>
          <w:noProof/>
        </w:rPr>
        <w:footnoteReference w:id="22"/>
      </w:r>
      <w:r w:rsidR="00980248" w:rsidRPr="00980248">
        <w:rPr>
          <w:noProof/>
        </w:rPr>
        <w:t xml:space="preserve"> (SLIC) Guidance for National Labour Inspectors on addressing health risks from Welding Fume</w:t>
      </w:r>
      <w:r w:rsidR="00980248" w:rsidRPr="00804B58">
        <w:rPr>
          <w:rStyle w:val="FootnoteReference"/>
          <w:noProof/>
        </w:rPr>
        <w:footnoteReference w:id="23"/>
      </w:r>
      <w:r w:rsidR="00980248" w:rsidRPr="00980248">
        <w:rPr>
          <w:noProof/>
        </w:rPr>
        <w:t>, which would contribute to improving awareness of the possible dangerousness of welding fumes</w:t>
      </w:r>
      <w:r w:rsidRPr="00F86091">
        <w:rPr>
          <w:noProof/>
        </w:rPr>
        <w:t xml:space="preserve">. These transitional measures contribute to the proportionality of </w:t>
      </w:r>
      <w:r w:rsidR="00677AA8" w:rsidRPr="00F86091">
        <w:rPr>
          <w:noProof/>
        </w:rPr>
        <w:t>this initiative</w:t>
      </w:r>
      <w:r w:rsidRPr="00F86091">
        <w:rPr>
          <w:noProof/>
        </w:rPr>
        <w:t xml:space="preserve"> by </w:t>
      </w:r>
      <w:r w:rsidR="0076083D">
        <w:rPr>
          <w:noProof/>
        </w:rPr>
        <w:t xml:space="preserve">giving businesses more time </w:t>
      </w:r>
      <w:r w:rsidRPr="00F86091">
        <w:rPr>
          <w:noProof/>
        </w:rPr>
        <w:t>to adapt, where necessary</w:t>
      </w:r>
      <w:r w:rsidR="00093FAF" w:rsidRPr="00F86091">
        <w:rPr>
          <w:noProof/>
        </w:rPr>
        <w:t xml:space="preserve">, while safeguarding the EU’s </w:t>
      </w:r>
      <w:r w:rsidR="008E5C42" w:rsidRPr="00F86091">
        <w:rPr>
          <w:noProof/>
        </w:rPr>
        <w:t xml:space="preserve">strategic autonomy </w:t>
      </w:r>
      <w:r w:rsidR="008E5C42">
        <w:rPr>
          <w:noProof/>
        </w:rPr>
        <w:t xml:space="preserve">and </w:t>
      </w:r>
      <w:r w:rsidR="000461DB">
        <w:rPr>
          <w:noProof/>
        </w:rPr>
        <w:t xml:space="preserve">its </w:t>
      </w:r>
      <w:r w:rsidR="00093FAF" w:rsidRPr="00F86091">
        <w:rPr>
          <w:noProof/>
        </w:rPr>
        <w:t>twin transition objective</w:t>
      </w:r>
      <w:r w:rsidRPr="00F86091">
        <w:rPr>
          <w:noProof/>
        </w:rPr>
        <w:t>.</w:t>
      </w:r>
      <w:r w:rsidR="00106878" w:rsidRPr="00F86091">
        <w:rPr>
          <w:noProof/>
        </w:rPr>
        <w:t xml:space="preserve"> </w:t>
      </w:r>
      <w:r w:rsidR="000461DB">
        <w:rPr>
          <w:noProof/>
        </w:rPr>
        <w:t xml:space="preserve">They are </w:t>
      </w:r>
      <w:r w:rsidR="00106878" w:rsidRPr="00F86091">
        <w:rPr>
          <w:noProof/>
        </w:rPr>
        <w:t>expected to significantly mitigate the possible negative impacts on businesses</w:t>
      </w:r>
      <w:r w:rsidR="00B13DE4" w:rsidRPr="00F86091">
        <w:rPr>
          <w:noProof/>
        </w:rPr>
        <w:t>.</w:t>
      </w:r>
    </w:p>
    <w:p w14:paraId="6B34B14B" w14:textId="77777777" w:rsidR="00093FAF" w:rsidRPr="00F86091" w:rsidRDefault="500B5A2B" w:rsidP="00DC6BE2">
      <w:pPr>
        <w:rPr>
          <w:noProof/>
        </w:rPr>
      </w:pPr>
      <w:r w:rsidRPr="00F86091">
        <w:rPr>
          <w:noProof/>
        </w:rPr>
        <w:t xml:space="preserve">Despite their high costs, </w:t>
      </w:r>
      <w:r w:rsidR="4B8798D8" w:rsidRPr="00F86091">
        <w:rPr>
          <w:noProof/>
        </w:rPr>
        <w:t xml:space="preserve">the </w:t>
      </w:r>
      <w:r w:rsidR="51DA0004" w:rsidRPr="00F86091">
        <w:rPr>
          <w:noProof/>
        </w:rPr>
        <w:t>measures provided by this initiative</w:t>
      </w:r>
      <w:r w:rsidRPr="00F86091">
        <w:rPr>
          <w:noProof/>
        </w:rPr>
        <w:t xml:space="preserve"> have the support of the key stakeholders in the area of OSH, namely the employers, workers and national governments represented within the ACSH. In the </w:t>
      </w:r>
      <w:r w:rsidR="008E5C42">
        <w:rPr>
          <w:noProof/>
        </w:rPr>
        <w:t xml:space="preserve">second </w:t>
      </w:r>
      <w:r w:rsidRPr="00F86091">
        <w:rPr>
          <w:noProof/>
        </w:rPr>
        <w:t xml:space="preserve">stage </w:t>
      </w:r>
      <w:r w:rsidR="005371B9">
        <w:rPr>
          <w:noProof/>
        </w:rPr>
        <w:t xml:space="preserve">of the </w:t>
      </w:r>
      <w:r w:rsidRPr="00F86091">
        <w:rPr>
          <w:noProof/>
        </w:rPr>
        <w:t xml:space="preserve">consultation of </w:t>
      </w:r>
      <w:r w:rsidR="005371B9">
        <w:rPr>
          <w:noProof/>
        </w:rPr>
        <w:t xml:space="preserve">the </w:t>
      </w:r>
      <w:r w:rsidRPr="00F86091">
        <w:rPr>
          <w:noProof/>
        </w:rPr>
        <w:t xml:space="preserve">social partners, BusinessEurope and </w:t>
      </w:r>
      <w:r w:rsidR="003A3A63">
        <w:rPr>
          <w:noProof/>
        </w:rPr>
        <w:t xml:space="preserve">the </w:t>
      </w:r>
      <w:r w:rsidR="009B0FBD" w:rsidRPr="00F86091">
        <w:rPr>
          <w:noProof/>
        </w:rPr>
        <w:t xml:space="preserve">European Trade Union Confederation </w:t>
      </w:r>
      <w:r w:rsidRPr="00F86091">
        <w:rPr>
          <w:noProof/>
        </w:rPr>
        <w:t>supported the ACSH opinions</w:t>
      </w:r>
      <w:r w:rsidR="008E5C42">
        <w:rPr>
          <w:noProof/>
        </w:rPr>
        <w:t>,</w:t>
      </w:r>
      <w:r w:rsidRPr="00F86091">
        <w:rPr>
          <w:noProof/>
        </w:rPr>
        <w:t xml:space="preserve"> </w:t>
      </w:r>
      <w:r w:rsidR="00980248" w:rsidRPr="00980248">
        <w:rPr>
          <w:noProof/>
        </w:rPr>
        <w:t xml:space="preserve">together with </w:t>
      </w:r>
      <w:r w:rsidRPr="00F86091">
        <w:rPr>
          <w:noProof/>
        </w:rPr>
        <w:t>SMEunited</w:t>
      </w:r>
      <w:r w:rsidR="00980248">
        <w:rPr>
          <w:noProof/>
        </w:rPr>
        <w:t>, which however</w:t>
      </w:r>
      <w:r w:rsidRPr="00F86091">
        <w:rPr>
          <w:noProof/>
        </w:rPr>
        <w:t xml:space="preserve"> </w:t>
      </w:r>
      <w:r w:rsidR="005371B9">
        <w:rPr>
          <w:noProof/>
        </w:rPr>
        <w:t>urged</w:t>
      </w:r>
      <w:r w:rsidRPr="00F86091">
        <w:rPr>
          <w:noProof/>
        </w:rPr>
        <w:t xml:space="preserve"> the Commission not to go beyond what was agreed by the ACSH.</w:t>
      </w:r>
      <w:r w:rsidR="00093FAF" w:rsidRPr="00F86091">
        <w:rPr>
          <w:noProof/>
        </w:rPr>
        <w:t xml:space="preserve"> These social partners’ views further support the proportionality of the preferred options.</w:t>
      </w:r>
    </w:p>
    <w:p w14:paraId="5F8288A6" w14:textId="77777777" w:rsidR="00CF7CD4" w:rsidRPr="00F86091" w:rsidRDefault="00093FAF" w:rsidP="00DC6BE2">
      <w:pPr>
        <w:rPr>
          <w:noProof/>
        </w:rPr>
      </w:pPr>
      <w:r w:rsidRPr="00F86091">
        <w:rPr>
          <w:rFonts w:eastAsia="Arial Unicode MS"/>
          <w:noProof/>
        </w:rPr>
        <w:t>Finally, t</w:t>
      </w:r>
      <w:r w:rsidR="002E5730" w:rsidRPr="00F86091">
        <w:rPr>
          <w:rFonts w:eastAsia="Arial Unicode MS"/>
          <w:noProof/>
        </w:rPr>
        <w:t xml:space="preserve">his initiative also </w:t>
      </w:r>
      <w:r w:rsidR="00CF7CD4" w:rsidRPr="00F86091">
        <w:rPr>
          <w:noProof/>
        </w:rPr>
        <w:t xml:space="preserve">offers a certain margin of flexibility to Member States </w:t>
      </w:r>
      <w:r w:rsidR="008E5C42">
        <w:rPr>
          <w:noProof/>
        </w:rPr>
        <w:t xml:space="preserve">for </w:t>
      </w:r>
      <w:r w:rsidR="00913E37" w:rsidRPr="00F86091">
        <w:rPr>
          <w:noProof/>
        </w:rPr>
        <w:t>the</w:t>
      </w:r>
      <w:r w:rsidR="00CF7CD4" w:rsidRPr="00F86091">
        <w:rPr>
          <w:noProof/>
        </w:rPr>
        <w:t xml:space="preserve"> substances </w:t>
      </w:r>
      <w:r w:rsidR="00913E37" w:rsidRPr="00F86091">
        <w:rPr>
          <w:noProof/>
        </w:rPr>
        <w:t xml:space="preserve">that are </w:t>
      </w:r>
      <w:r w:rsidR="00CF7CD4" w:rsidRPr="00F86091">
        <w:rPr>
          <w:noProof/>
        </w:rPr>
        <w:t xml:space="preserve">subject to the setting of limit values. </w:t>
      </w:r>
      <w:r w:rsidR="008E5C42">
        <w:rPr>
          <w:noProof/>
        </w:rPr>
        <w:t>Under</w:t>
      </w:r>
      <w:r w:rsidR="00CF7CD4" w:rsidRPr="00F86091">
        <w:rPr>
          <w:noProof/>
        </w:rPr>
        <w:t xml:space="preserve"> Article</w:t>
      </w:r>
      <w:r w:rsidR="00F86091">
        <w:rPr>
          <w:noProof/>
        </w:rPr>
        <w:t> </w:t>
      </w:r>
      <w:r w:rsidR="00CF7CD4" w:rsidRPr="00F86091">
        <w:rPr>
          <w:noProof/>
        </w:rPr>
        <w:t>153(4) of the TFEU, setting limit values at EU level does not prevent Member States from maintaining or introducing more stringent protective measures (i.e. lower limit values).</w:t>
      </w:r>
    </w:p>
    <w:p w14:paraId="2DC132A1" w14:textId="77777777" w:rsidR="007017A3" w:rsidRPr="00F86091" w:rsidRDefault="007017A3" w:rsidP="00D31AEF">
      <w:pPr>
        <w:pStyle w:val="ManualHeading2"/>
        <w:rPr>
          <w:rFonts w:eastAsia="Arial Unicode MS"/>
          <w:noProof/>
          <w:u w:color="000000"/>
          <w:bdr w:val="nil"/>
          <w:lang w:eastAsia="en-GB"/>
        </w:rPr>
      </w:pPr>
      <w:r w:rsidRPr="00F86091">
        <w:rPr>
          <w:rFonts w:eastAsia="Arial Unicode MS"/>
          <w:noProof/>
          <w:u w:color="000000"/>
          <w:bdr w:val="nil"/>
          <w:lang w:eastAsia="en-GB"/>
        </w:rPr>
        <w:t>•</w:t>
      </w:r>
      <w:r w:rsidRPr="00F86091">
        <w:rPr>
          <w:rFonts w:eastAsia="Arial Unicode MS"/>
          <w:noProof/>
          <w:u w:color="000000"/>
          <w:bdr w:val="nil"/>
          <w:lang w:eastAsia="en-GB"/>
        </w:rPr>
        <w:tab/>
        <w:t>Choice of instrument</w:t>
      </w:r>
    </w:p>
    <w:p w14:paraId="67C01AA9" w14:textId="77777777" w:rsidR="007017A3" w:rsidRPr="00F86091" w:rsidRDefault="00D71C5C" w:rsidP="00D31AEF">
      <w:pPr>
        <w:pBdr>
          <w:top w:val="nil"/>
          <w:left w:val="nil"/>
          <w:bottom w:val="nil"/>
          <w:right w:val="nil"/>
          <w:between w:val="nil"/>
          <w:bar w:val="nil"/>
        </w:pBdr>
        <w:spacing w:before="0" w:after="240"/>
        <w:rPr>
          <w:rFonts w:eastAsia="Arial Unicode MS"/>
          <w:noProof/>
        </w:rPr>
      </w:pPr>
      <w:r w:rsidRPr="00F86091">
        <w:rPr>
          <w:noProof/>
        </w:rPr>
        <w:t>Article</w:t>
      </w:r>
      <w:r w:rsidR="00F86091">
        <w:rPr>
          <w:noProof/>
        </w:rPr>
        <w:t> </w:t>
      </w:r>
      <w:r w:rsidRPr="00F86091">
        <w:rPr>
          <w:noProof/>
        </w:rPr>
        <w:t>153(2)(b) of the TFEU specifies that minimum requirements in the field of workers’ health and safety protection may be adopted ‘by means of directives’.</w:t>
      </w:r>
    </w:p>
    <w:p w14:paraId="4FCBACDF" w14:textId="77777777" w:rsidR="007017A3" w:rsidRPr="00F86091" w:rsidRDefault="007017A3" w:rsidP="00D31AEF">
      <w:pPr>
        <w:pStyle w:val="ManualHeading1"/>
        <w:rPr>
          <w:noProof/>
        </w:rPr>
      </w:pPr>
      <w:r w:rsidRPr="00F86091">
        <w:rPr>
          <w:noProof/>
        </w:rPr>
        <w:t>3.</w:t>
      </w:r>
      <w:r w:rsidRPr="00F86091">
        <w:rPr>
          <w:noProof/>
        </w:rPr>
        <w:tab/>
        <w:t xml:space="preserve">RESULTS OF </w:t>
      </w:r>
      <w:r w:rsidR="00F86091">
        <w:rPr>
          <w:i/>
          <w:noProof/>
        </w:rPr>
        <w:t>EX POST</w:t>
      </w:r>
      <w:r w:rsidRPr="00F86091">
        <w:rPr>
          <w:noProof/>
        </w:rPr>
        <w:t xml:space="preserve"> EVALUATIONS, STAKEHOLDER CONSULTATIONS AND IMPACT ASSESSMENTS</w:t>
      </w:r>
    </w:p>
    <w:p w14:paraId="53B3BAEE" w14:textId="77777777" w:rsidR="007017A3" w:rsidRPr="00F86091" w:rsidRDefault="007017A3" w:rsidP="00D31AEF">
      <w:pPr>
        <w:pStyle w:val="ManualHeading2"/>
        <w:rPr>
          <w:rFonts w:eastAsia="Arial Unicode MS"/>
          <w:noProof/>
          <w:u w:color="000000"/>
          <w:bdr w:val="nil"/>
          <w:lang w:eastAsia="en-GB"/>
        </w:rPr>
      </w:pPr>
      <w:r w:rsidRPr="00F86091">
        <w:rPr>
          <w:rFonts w:eastAsia="Arial Unicode MS"/>
          <w:noProof/>
          <w:u w:color="000000"/>
          <w:bdr w:val="nil"/>
          <w:lang w:eastAsia="en-GB"/>
        </w:rPr>
        <w:t>•</w:t>
      </w:r>
      <w:r w:rsidRPr="00F86091">
        <w:rPr>
          <w:rFonts w:eastAsia="Arial Unicode MS"/>
          <w:noProof/>
          <w:u w:color="000000"/>
          <w:bdr w:val="nil"/>
          <w:lang w:eastAsia="en-GB"/>
        </w:rPr>
        <w:tab/>
      </w:r>
      <w:r w:rsidR="00F86091">
        <w:rPr>
          <w:rFonts w:eastAsia="Arial Unicode MS"/>
          <w:i/>
          <w:noProof/>
          <w:u w:color="000000"/>
          <w:bdr w:val="nil"/>
          <w:lang w:eastAsia="en-GB"/>
        </w:rPr>
        <w:t>Ex post</w:t>
      </w:r>
      <w:r w:rsidRPr="00F86091">
        <w:rPr>
          <w:rFonts w:eastAsia="Arial Unicode MS"/>
          <w:noProof/>
          <w:u w:color="000000"/>
          <w:bdr w:val="nil"/>
          <w:lang w:eastAsia="en-GB"/>
        </w:rPr>
        <w:t xml:space="preserve"> evaluations/fitness checks of existing legislation</w:t>
      </w:r>
    </w:p>
    <w:p w14:paraId="31172716" w14:textId="77777777" w:rsidR="007017A3" w:rsidRPr="00F86091" w:rsidRDefault="00DF7376" w:rsidP="00D31AEF">
      <w:pPr>
        <w:pBdr>
          <w:top w:val="nil"/>
          <w:left w:val="nil"/>
          <w:bottom w:val="nil"/>
          <w:right w:val="nil"/>
          <w:between w:val="nil"/>
          <w:bar w:val="nil"/>
        </w:pBdr>
        <w:spacing w:before="0" w:after="240"/>
        <w:rPr>
          <w:rFonts w:eastAsia="Arial Unicode MS"/>
          <w:noProof/>
        </w:rPr>
      </w:pPr>
      <w:r w:rsidRPr="00F86091">
        <w:rPr>
          <w:noProof/>
        </w:rPr>
        <w:t>The REFIT</w:t>
      </w:r>
      <w:r w:rsidR="00CF3190" w:rsidRPr="00F86091">
        <w:rPr>
          <w:noProof/>
        </w:rPr>
        <w:t xml:space="preserve"> OSH</w:t>
      </w:r>
      <w:r w:rsidRPr="00F86091">
        <w:rPr>
          <w:noProof/>
        </w:rPr>
        <w:t xml:space="preserve"> evaluation </w:t>
      </w:r>
      <w:r w:rsidR="000C5343">
        <w:rPr>
          <w:noProof/>
        </w:rPr>
        <w:t>notes</w:t>
      </w:r>
      <w:r w:rsidRPr="00F86091">
        <w:rPr>
          <w:noProof/>
        </w:rPr>
        <w:t xml:space="preserve"> that chemicals classified as carcinogens and mutagens continue to be manufactured across the EU. Workers in manufacturing and downstream users are also exposed to them. The main conclusions of this evaluation indicate that the </w:t>
      </w:r>
      <w:r w:rsidR="00A864FD" w:rsidRPr="00F86091">
        <w:rPr>
          <w:noProof/>
        </w:rPr>
        <w:t>CMRD</w:t>
      </w:r>
      <w:r w:rsidRPr="00F86091">
        <w:rPr>
          <w:noProof/>
        </w:rPr>
        <w:t xml:space="preserve"> is considered </w:t>
      </w:r>
      <w:r w:rsidR="00A768EC">
        <w:rPr>
          <w:noProof/>
        </w:rPr>
        <w:t>highly relevant</w:t>
      </w:r>
      <w:r w:rsidR="005B1E4B">
        <w:rPr>
          <w:noProof/>
        </w:rPr>
        <w:t>,</w:t>
      </w:r>
      <w:r w:rsidR="005B1E4B" w:rsidRPr="005B1E4B">
        <w:rPr>
          <w:noProof/>
        </w:rPr>
        <w:t xml:space="preserve"> to ensure workers’ protection against carcinogens, mutagens and reprotoxic substances</w:t>
      </w:r>
      <w:r w:rsidRPr="00F86091">
        <w:rPr>
          <w:noProof/>
        </w:rPr>
        <w:t xml:space="preserve">. </w:t>
      </w:r>
      <w:r w:rsidR="005371B9">
        <w:rPr>
          <w:noProof/>
        </w:rPr>
        <w:t>C</w:t>
      </w:r>
      <w:r w:rsidRPr="00F86091">
        <w:rPr>
          <w:noProof/>
        </w:rPr>
        <w:t xml:space="preserve">oncerns raised by different stakeholders’ groups in the evaluation process and in the </w:t>
      </w:r>
      <w:r w:rsidR="00A768EC" w:rsidRPr="00F86091">
        <w:rPr>
          <w:noProof/>
        </w:rPr>
        <w:t>national implementation reports</w:t>
      </w:r>
      <w:r w:rsidR="005371B9">
        <w:rPr>
          <w:noProof/>
        </w:rPr>
        <w:t xml:space="preserve"> show</w:t>
      </w:r>
      <w:r w:rsidRPr="00F86091">
        <w:rPr>
          <w:noProof/>
        </w:rPr>
        <w:t xml:space="preserve"> the need to </w:t>
      </w:r>
      <w:r w:rsidR="005371B9">
        <w:rPr>
          <w:noProof/>
        </w:rPr>
        <w:t xml:space="preserve">consider adopting </w:t>
      </w:r>
      <w:r w:rsidRPr="00F86091">
        <w:rPr>
          <w:noProof/>
        </w:rPr>
        <w:t xml:space="preserve">limit values for more substances. </w:t>
      </w:r>
      <w:r w:rsidR="009B4C8F" w:rsidRPr="00F86091">
        <w:rPr>
          <w:noProof/>
        </w:rPr>
        <w:t>This</w:t>
      </w:r>
      <w:r w:rsidRPr="00F86091">
        <w:rPr>
          <w:noProof/>
        </w:rPr>
        <w:t xml:space="preserve"> </w:t>
      </w:r>
      <w:r w:rsidR="007B6AA2" w:rsidRPr="00F86091">
        <w:rPr>
          <w:noProof/>
        </w:rPr>
        <w:t xml:space="preserve">would </w:t>
      </w:r>
      <w:r w:rsidRPr="00F86091">
        <w:rPr>
          <w:noProof/>
        </w:rPr>
        <w:t>lead to better chemical risk management in the future and improve workers’ health and safety protection.</w:t>
      </w:r>
    </w:p>
    <w:p w14:paraId="60433CAD" w14:textId="77777777" w:rsidR="007017A3" w:rsidRPr="00F86091" w:rsidRDefault="007017A3" w:rsidP="00D31AEF">
      <w:pPr>
        <w:pStyle w:val="ManualHeading2"/>
        <w:rPr>
          <w:rFonts w:eastAsia="Arial Unicode MS"/>
          <w:noProof/>
          <w:u w:color="000000"/>
          <w:bdr w:val="nil"/>
          <w:lang w:eastAsia="en-GB"/>
        </w:rPr>
      </w:pPr>
      <w:r w:rsidRPr="00F86091">
        <w:rPr>
          <w:rFonts w:eastAsia="Arial Unicode MS"/>
          <w:noProof/>
          <w:u w:color="000000"/>
          <w:bdr w:val="nil"/>
          <w:lang w:eastAsia="en-GB"/>
        </w:rPr>
        <w:t>•</w:t>
      </w:r>
      <w:r w:rsidRPr="00F86091">
        <w:rPr>
          <w:rFonts w:eastAsia="Arial Unicode MS"/>
          <w:noProof/>
          <w:u w:color="000000"/>
          <w:bdr w:val="nil"/>
          <w:lang w:eastAsia="en-GB"/>
        </w:rPr>
        <w:tab/>
        <w:t>Stakeholder consultations</w:t>
      </w:r>
    </w:p>
    <w:p w14:paraId="0E7B8FD8" w14:textId="77777777" w:rsidR="007017A3" w:rsidRPr="00F86091" w:rsidRDefault="00FE6849" w:rsidP="00D31AEF">
      <w:pPr>
        <w:pBdr>
          <w:top w:val="nil"/>
          <w:left w:val="nil"/>
          <w:bottom w:val="nil"/>
          <w:right w:val="nil"/>
          <w:between w:val="nil"/>
          <w:bar w:val="nil"/>
        </w:pBdr>
        <w:spacing w:before="0" w:after="240"/>
        <w:rPr>
          <w:i/>
          <w:iCs/>
          <w:noProof/>
        </w:rPr>
      </w:pPr>
      <w:r w:rsidRPr="00F86091">
        <w:rPr>
          <w:i/>
          <w:iCs/>
          <w:noProof/>
        </w:rPr>
        <w:t>Two</w:t>
      </w:r>
      <w:r w:rsidR="000A50DC" w:rsidRPr="00F86091">
        <w:rPr>
          <w:i/>
          <w:iCs/>
          <w:noProof/>
        </w:rPr>
        <w:t xml:space="preserve">-stage consultation of </w:t>
      </w:r>
      <w:r w:rsidR="009F1CA6" w:rsidRPr="00F86091">
        <w:rPr>
          <w:i/>
          <w:iCs/>
          <w:noProof/>
        </w:rPr>
        <w:t>social partners</w:t>
      </w:r>
      <w:r w:rsidR="005371B9">
        <w:rPr>
          <w:i/>
          <w:iCs/>
          <w:noProof/>
        </w:rPr>
        <w:t xml:space="preserve"> at EU level</w:t>
      </w:r>
      <w:r w:rsidR="009F1CA6" w:rsidRPr="00F86091">
        <w:rPr>
          <w:i/>
          <w:iCs/>
          <w:noProof/>
        </w:rPr>
        <w:t xml:space="preserve"> in accordance with Article 154 of the TFEU</w:t>
      </w:r>
    </w:p>
    <w:p w14:paraId="354A0086" w14:textId="77777777" w:rsidR="00670C99" w:rsidRPr="00F86091" w:rsidRDefault="732F1793" w:rsidP="00A1257A">
      <w:pPr>
        <w:rPr>
          <w:rFonts w:eastAsia="Times New Roman"/>
          <w:noProof/>
        </w:rPr>
      </w:pPr>
      <w:r w:rsidRPr="00F86091">
        <w:rPr>
          <w:rFonts w:eastAsia="Times New Roman"/>
          <w:noProof/>
        </w:rPr>
        <w:t xml:space="preserve">The </w:t>
      </w:r>
      <w:r w:rsidR="008D4087">
        <w:rPr>
          <w:rFonts w:eastAsia="Times New Roman"/>
          <w:noProof/>
        </w:rPr>
        <w:t xml:space="preserve">first stage of this </w:t>
      </w:r>
      <w:r w:rsidRPr="00F86091">
        <w:rPr>
          <w:rFonts w:eastAsia="Times New Roman"/>
          <w:noProof/>
        </w:rPr>
        <w:t>consultation was launched on 16 February and ended on 31</w:t>
      </w:r>
      <w:r w:rsidR="00F86091">
        <w:rPr>
          <w:rFonts w:eastAsia="Times New Roman"/>
          <w:noProof/>
        </w:rPr>
        <w:t> </w:t>
      </w:r>
      <w:r w:rsidRPr="00F86091">
        <w:rPr>
          <w:rFonts w:eastAsia="Times New Roman"/>
          <w:noProof/>
        </w:rPr>
        <w:t xml:space="preserve">March 2023. The </w:t>
      </w:r>
      <w:r w:rsidR="008D4087">
        <w:rPr>
          <w:rFonts w:eastAsia="Times New Roman"/>
          <w:noProof/>
        </w:rPr>
        <w:t xml:space="preserve">first </w:t>
      </w:r>
      <w:r w:rsidR="00F86091">
        <w:rPr>
          <w:rFonts w:eastAsia="Times New Roman"/>
          <w:noProof/>
        </w:rPr>
        <w:t>ad hoc</w:t>
      </w:r>
      <w:r w:rsidRPr="00F86091">
        <w:rPr>
          <w:rFonts w:eastAsia="Times New Roman"/>
          <w:noProof/>
        </w:rPr>
        <w:t xml:space="preserve"> meeting, corresponding to the </w:t>
      </w:r>
      <w:r w:rsidR="008D4087">
        <w:rPr>
          <w:rFonts w:eastAsia="Times New Roman"/>
          <w:noProof/>
        </w:rPr>
        <w:t xml:space="preserve">first stage </w:t>
      </w:r>
      <w:r w:rsidRPr="00F86091">
        <w:rPr>
          <w:rFonts w:eastAsia="Times New Roman"/>
          <w:noProof/>
        </w:rPr>
        <w:t>of the social partner consultation to gather the</w:t>
      </w:r>
      <w:r w:rsidR="04F806A6" w:rsidRPr="00F86091">
        <w:rPr>
          <w:rFonts w:eastAsia="Times New Roman"/>
          <w:noProof/>
        </w:rPr>
        <w:t>ir</w:t>
      </w:r>
      <w:r w:rsidRPr="00F86091">
        <w:rPr>
          <w:rFonts w:eastAsia="Times New Roman"/>
          <w:noProof/>
        </w:rPr>
        <w:t xml:space="preserve"> views on the proposal, was </w:t>
      </w:r>
      <w:r w:rsidR="003B43F9">
        <w:rPr>
          <w:rFonts w:eastAsia="Times New Roman"/>
          <w:noProof/>
        </w:rPr>
        <w:t>held</w:t>
      </w:r>
      <w:r w:rsidR="003B43F9" w:rsidRPr="00F86091">
        <w:rPr>
          <w:rFonts w:eastAsia="Times New Roman"/>
          <w:noProof/>
        </w:rPr>
        <w:t xml:space="preserve"> </w:t>
      </w:r>
      <w:r w:rsidRPr="00F86091">
        <w:rPr>
          <w:rFonts w:eastAsia="Times New Roman"/>
          <w:noProof/>
        </w:rPr>
        <w:t>online on 16</w:t>
      </w:r>
      <w:r w:rsidR="00F86091">
        <w:rPr>
          <w:rFonts w:eastAsia="Times New Roman"/>
          <w:noProof/>
        </w:rPr>
        <w:t> </w:t>
      </w:r>
      <w:r w:rsidRPr="00F86091">
        <w:rPr>
          <w:rFonts w:eastAsia="Times New Roman"/>
          <w:noProof/>
        </w:rPr>
        <w:t xml:space="preserve">March 2023. </w:t>
      </w:r>
      <w:r w:rsidR="007B6AA2" w:rsidRPr="00F86091">
        <w:rPr>
          <w:rFonts w:eastAsia="Times New Roman"/>
          <w:noProof/>
        </w:rPr>
        <w:t>W</w:t>
      </w:r>
      <w:r w:rsidR="00670C99" w:rsidRPr="00F86091">
        <w:rPr>
          <w:rFonts w:eastAsia="Times New Roman"/>
          <w:noProof/>
        </w:rPr>
        <w:t>orkers’ organisations</w:t>
      </w:r>
      <w:r w:rsidR="00A1257A" w:rsidRPr="00F86091">
        <w:rPr>
          <w:rFonts w:eastAsia="Times New Roman"/>
          <w:noProof/>
        </w:rPr>
        <w:t xml:space="preserve"> </w:t>
      </w:r>
      <w:r w:rsidR="00670C99" w:rsidRPr="00F86091">
        <w:rPr>
          <w:rFonts w:eastAsia="Times New Roman"/>
          <w:noProof/>
        </w:rPr>
        <w:t>support</w:t>
      </w:r>
      <w:r w:rsidR="004261B2" w:rsidRPr="00F86091">
        <w:rPr>
          <w:rFonts w:eastAsia="Times New Roman"/>
          <w:noProof/>
        </w:rPr>
        <w:t>ed</w:t>
      </w:r>
      <w:r w:rsidR="00670C99" w:rsidRPr="00F86091">
        <w:rPr>
          <w:rFonts w:eastAsia="Times New Roman"/>
          <w:noProof/>
        </w:rPr>
        <w:t xml:space="preserve"> </w:t>
      </w:r>
      <w:r w:rsidR="00A1257A" w:rsidRPr="00F86091">
        <w:rPr>
          <w:rFonts w:eastAsia="Times New Roman"/>
          <w:noProof/>
        </w:rPr>
        <w:t>the list of</w:t>
      </w:r>
      <w:r w:rsidR="00670C99" w:rsidRPr="00F86091">
        <w:rPr>
          <w:rFonts w:eastAsia="Times New Roman"/>
          <w:noProof/>
        </w:rPr>
        <w:t xml:space="preserve"> substances prioritised for the planned initiative</w:t>
      </w:r>
      <w:r w:rsidR="00A1257A" w:rsidRPr="00F86091">
        <w:rPr>
          <w:rFonts w:eastAsia="Times New Roman"/>
          <w:noProof/>
        </w:rPr>
        <w:t xml:space="preserve"> and </w:t>
      </w:r>
      <w:r w:rsidR="00670C99" w:rsidRPr="00F86091">
        <w:rPr>
          <w:rFonts w:eastAsia="Times New Roman"/>
          <w:noProof/>
        </w:rPr>
        <w:t xml:space="preserve">stressed the need for </w:t>
      </w:r>
      <w:r w:rsidR="003B43F9">
        <w:rPr>
          <w:rFonts w:eastAsia="Times New Roman"/>
          <w:noProof/>
        </w:rPr>
        <w:t>considering</w:t>
      </w:r>
      <w:r w:rsidR="00670C99" w:rsidRPr="00F86091">
        <w:rPr>
          <w:rFonts w:eastAsia="Times New Roman"/>
          <w:noProof/>
        </w:rPr>
        <w:t xml:space="preserve"> the most stringent existing national limit values when establishing EU-wide </w:t>
      </w:r>
      <w:r w:rsidR="00D96FEF" w:rsidRPr="00F86091">
        <w:rPr>
          <w:rFonts w:eastAsia="Times New Roman"/>
          <w:noProof/>
        </w:rPr>
        <w:t xml:space="preserve">limit values. </w:t>
      </w:r>
      <w:r w:rsidR="008D4087">
        <w:rPr>
          <w:rFonts w:eastAsia="Times New Roman"/>
          <w:noProof/>
        </w:rPr>
        <w:t xml:space="preserve">The </w:t>
      </w:r>
      <w:r w:rsidR="008D4087" w:rsidRPr="00F86091">
        <w:rPr>
          <w:noProof/>
        </w:rPr>
        <w:t>European Trade Union Confederation</w:t>
      </w:r>
      <w:r w:rsidR="008D4087" w:rsidRPr="00F86091" w:rsidDel="008D4087">
        <w:rPr>
          <w:rFonts w:eastAsia="Times New Roman"/>
          <w:noProof/>
        </w:rPr>
        <w:t xml:space="preserve"> </w:t>
      </w:r>
      <w:r w:rsidR="00DC2BEB" w:rsidRPr="00F86091">
        <w:rPr>
          <w:rFonts w:eastAsia="Times New Roman"/>
          <w:noProof/>
        </w:rPr>
        <w:t>also sen</w:t>
      </w:r>
      <w:r w:rsidR="00F6471C" w:rsidRPr="00F86091">
        <w:rPr>
          <w:rFonts w:eastAsia="Times New Roman"/>
          <w:noProof/>
        </w:rPr>
        <w:t>t</w:t>
      </w:r>
      <w:r w:rsidR="00DC2BEB" w:rsidRPr="00F86091">
        <w:rPr>
          <w:rFonts w:eastAsia="Times New Roman"/>
          <w:noProof/>
        </w:rPr>
        <w:t xml:space="preserve"> written comments </w:t>
      </w:r>
      <w:r w:rsidR="00211B5D" w:rsidRPr="00F86091">
        <w:rPr>
          <w:rFonts w:eastAsia="Times New Roman"/>
          <w:noProof/>
        </w:rPr>
        <w:t xml:space="preserve">per substance, </w:t>
      </w:r>
      <w:r w:rsidR="00597FDC" w:rsidRPr="00F86091">
        <w:rPr>
          <w:rFonts w:eastAsia="Times New Roman"/>
          <w:noProof/>
        </w:rPr>
        <w:t>in which they support</w:t>
      </w:r>
      <w:r w:rsidR="008D4087">
        <w:rPr>
          <w:rFonts w:eastAsia="Times New Roman"/>
          <w:noProof/>
        </w:rPr>
        <w:t>ed</w:t>
      </w:r>
      <w:r w:rsidR="00597FDC" w:rsidRPr="00F86091">
        <w:rPr>
          <w:rFonts w:eastAsia="Times New Roman"/>
          <w:noProof/>
        </w:rPr>
        <w:t xml:space="preserve"> setting limit values for cobalt and its inorganic </w:t>
      </w:r>
      <w:r w:rsidR="001E5A29" w:rsidRPr="00F86091">
        <w:rPr>
          <w:rFonts w:eastAsia="Times New Roman"/>
          <w:noProof/>
        </w:rPr>
        <w:t xml:space="preserve">compounds, PAHs, </w:t>
      </w:r>
      <w:r w:rsidR="007D7827">
        <w:rPr>
          <w:rFonts w:eastAsia="Times New Roman"/>
          <w:noProof/>
        </w:rPr>
        <w:t>1,4-dioxane</w:t>
      </w:r>
      <w:r w:rsidR="001E5A29" w:rsidRPr="00F86091">
        <w:rPr>
          <w:rFonts w:eastAsia="Times New Roman"/>
          <w:noProof/>
        </w:rPr>
        <w:t xml:space="preserve"> and isoprene, and the scope enlargement to welding fumes, including for the sake of legal clarity. </w:t>
      </w:r>
    </w:p>
    <w:p w14:paraId="7302F137" w14:textId="77777777" w:rsidR="00893B5F" w:rsidRPr="00F86091" w:rsidRDefault="00D05A97" w:rsidP="00A26C78">
      <w:pPr>
        <w:rPr>
          <w:rFonts w:eastAsia="Times New Roman"/>
          <w:noProof/>
        </w:rPr>
      </w:pPr>
      <w:r w:rsidRPr="00F86091">
        <w:rPr>
          <w:rFonts w:eastAsia="Times New Roman"/>
          <w:noProof/>
        </w:rPr>
        <w:t>E</w:t>
      </w:r>
      <w:r w:rsidR="00A26C78" w:rsidRPr="00F86091">
        <w:rPr>
          <w:rFonts w:eastAsia="Times New Roman"/>
          <w:noProof/>
        </w:rPr>
        <w:t xml:space="preserve">mployers’ organisations </w:t>
      </w:r>
      <w:r w:rsidR="00E822E0" w:rsidRPr="00F86091">
        <w:rPr>
          <w:rFonts w:eastAsia="Times New Roman"/>
          <w:noProof/>
        </w:rPr>
        <w:t xml:space="preserve">highlighted the key role of the ACSH and its </w:t>
      </w:r>
      <w:r w:rsidR="008D4087" w:rsidRPr="00F86091">
        <w:rPr>
          <w:rFonts w:eastAsia="Times New Roman"/>
          <w:noProof/>
        </w:rPr>
        <w:t xml:space="preserve">working party on chemicals </w:t>
      </w:r>
      <w:r w:rsidR="00A40B57" w:rsidRPr="00F86091">
        <w:rPr>
          <w:rFonts w:eastAsia="Times New Roman"/>
          <w:noProof/>
        </w:rPr>
        <w:t xml:space="preserve">in the process of developing legislative proposals and </w:t>
      </w:r>
      <w:r w:rsidR="00591210" w:rsidRPr="00F86091">
        <w:rPr>
          <w:rFonts w:eastAsia="Times New Roman"/>
          <w:noProof/>
        </w:rPr>
        <w:t>stressed the need for better protecting workers while preserving the competitiveness of EU-based companies.</w:t>
      </w:r>
    </w:p>
    <w:p w14:paraId="52ECB155" w14:textId="77777777" w:rsidR="00A26C78" w:rsidRPr="00F86091" w:rsidRDefault="2E766C07" w:rsidP="00A26C78">
      <w:pPr>
        <w:rPr>
          <w:rFonts w:eastAsia="Times New Roman"/>
          <w:noProof/>
        </w:rPr>
      </w:pPr>
      <w:r w:rsidRPr="00F86091">
        <w:rPr>
          <w:rFonts w:eastAsia="Times New Roman"/>
          <w:noProof/>
        </w:rPr>
        <w:t>In their written contribution</w:t>
      </w:r>
      <w:r w:rsidR="487A8ABF" w:rsidRPr="00F86091">
        <w:rPr>
          <w:rFonts w:eastAsia="Times New Roman"/>
          <w:noProof/>
        </w:rPr>
        <w:t xml:space="preserve">, </w:t>
      </w:r>
      <w:r w:rsidR="7824B2A6" w:rsidRPr="00F86091">
        <w:rPr>
          <w:rFonts w:eastAsia="Times New Roman"/>
          <w:noProof/>
        </w:rPr>
        <w:t xml:space="preserve">employers’ representatives also highlighted that limit values </w:t>
      </w:r>
      <w:r w:rsidR="6E883D2A" w:rsidRPr="00F86091">
        <w:rPr>
          <w:rFonts w:eastAsia="Times New Roman"/>
          <w:noProof/>
        </w:rPr>
        <w:t xml:space="preserve">always </w:t>
      </w:r>
      <w:r w:rsidR="00AE6F0B">
        <w:rPr>
          <w:rFonts w:eastAsia="Times New Roman"/>
          <w:noProof/>
        </w:rPr>
        <w:t xml:space="preserve">have </w:t>
      </w:r>
      <w:r w:rsidR="6E883D2A" w:rsidRPr="00F86091">
        <w:rPr>
          <w:rFonts w:eastAsia="Times New Roman"/>
          <w:noProof/>
        </w:rPr>
        <w:t xml:space="preserve">a strong impact on SMEs. </w:t>
      </w:r>
      <w:r w:rsidR="2980A3E9" w:rsidRPr="00F86091">
        <w:rPr>
          <w:rFonts w:eastAsia="Times New Roman"/>
          <w:noProof/>
        </w:rPr>
        <w:t xml:space="preserve">They insisted that </w:t>
      </w:r>
      <w:r w:rsidR="00833F26">
        <w:rPr>
          <w:rFonts w:eastAsia="Times New Roman"/>
          <w:noProof/>
        </w:rPr>
        <w:t xml:space="preserve">due consideration be given to </w:t>
      </w:r>
      <w:r w:rsidR="4822148B" w:rsidRPr="00F86091">
        <w:rPr>
          <w:rFonts w:eastAsia="Times New Roman"/>
          <w:noProof/>
        </w:rPr>
        <w:t>the socio-economic impact</w:t>
      </w:r>
      <w:r w:rsidR="6AE31805" w:rsidRPr="00F86091">
        <w:rPr>
          <w:rFonts w:eastAsia="Times New Roman"/>
          <w:noProof/>
        </w:rPr>
        <w:t xml:space="preserve"> (including </w:t>
      </w:r>
      <w:r w:rsidR="00AE6F0B">
        <w:rPr>
          <w:rFonts w:eastAsia="Times New Roman"/>
          <w:noProof/>
        </w:rPr>
        <w:t xml:space="preserve">the </w:t>
      </w:r>
      <w:r w:rsidR="6AE31805" w:rsidRPr="00F86091">
        <w:rPr>
          <w:rFonts w:eastAsia="Times New Roman"/>
          <w:noProof/>
        </w:rPr>
        <w:t xml:space="preserve">impact on the green transition and </w:t>
      </w:r>
      <w:r w:rsidR="00AE6F0B">
        <w:rPr>
          <w:rFonts w:eastAsia="Times New Roman"/>
          <w:noProof/>
        </w:rPr>
        <w:t xml:space="preserve">on </w:t>
      </w:r>
      <w:r w:rsidR="6AE31805" w:rsidRPr="00F86091">
        <w:rPr>
          <w:rFonts w:eastAsia="Times New Roman"/>
          <w:noProof/>
        </w:rPr>
        <w:t>the competitiveness of the EU)</w:t>
      </w:r>
      <w:r w:rsidR="4822148B" w:rsidRPr="00F86091">
        <w:rPr>
          <w:rFonts w:eastAsia="Times New Roman"/>
          <w:noProof/>
        </w:rPr>
        <w:t xml:space="preserve"> of new </w:t>
      </w:r>
      <w:r w:rsidR="6AE31805" w:rsidRPr="00F86091">
        <w:rPr>
          <w:rFonts w:eastAsia="Times New Roman"/>
          <w:noProof/>
        </w:rPr>
        <w:t>limit values</w:t>
      </w:r>
      <w:r w:rsidR="004261B2" w:rsidRPr="00F86091">
        <w:rPr>
          <w:rFonts w:eastAsia="Times New Roman"/>
          <w:noProof/>
        </w:rPr>
        <w:t>.</w:t>
      </w:r>
      <w:r w:rsidR="4822148B" w:rsidRPr="00F86091">
        <w:rPr>
          <w:rFonts w:eastAsia="Times New Roman"/>
          <w:noProof/>
        </w:rPr>
        <w:t xml:space="preserve"> </w:t>
      </w:r>
      <w:r w:rsidR="14251F24" w:rsidRPr="00F86091">
        <w:rPr>
          <w:rFonts w:eastAsia="Times New Roman"/>
          <w:noProof/>
        </w:rPr>
        <w:t xml:space="preserve">They </w:t>
      </w:r>
      <w:r w:rsidR="00833F26">
        <w:rPr>
          <w:rFonts w:eastAsia="Times New Roman"/>
          <w:noProof/>
        </w:rPr>
        <w:t xml:space="preserve">also </w:t>
      </w:r>
      <w:r w:rsidR="14251F24" w:rsidRPr="00F86091">
        <w:rPr>
          <w:rFonts w:eastAsia="Times New Roman"/>
          <w:noProof/>
        </w:rPr>
        <w:t xml:space="preserve">supported the </w:t>
      </w:r>
      <w:r w:rsidR="00CD310D" w:rsidRPr="00F86091">
        <w:rPr>
          <w:rFonts w:eastAsia="Times New Roman"/>
          <w:noProof/>
        </w:rPr>
        <w:t>continuous</w:t>
      </w:r>
      <w:r w:rsidR="29F2A18D" w:rsidRPr="00F86091">
        <w:rPr>
          <w:rFonts w:eastAsia="Times New Roman"/>
          <w:noProof/>
        </w:rPr>
        <w:t xml:space="preserve"> revision</w:t>
      </w:r>
      <w:r w:rsidR="14251F24" w:rsidRPr="00F86091">
        <w:rPr>
          <w:rFonts w:eastAsia="Times New Roman"/>
          <w:noProof/>
        </w:rPr>
        <w:t xml:space="preserve"> of the CMRD </w:t>
      </w:r>
      <w:r w:rsidR="29F2A18D" w:rsidRPr="00F86091">
        <w:rPr>
          <w:rFonts w:eastAsia="Times New Roman"/>
          <w:noProof/>
        </w:rPr>
        <w:t>and the enlargement of its scope</w:t>
      </w:r>
      <w:r w:rsidR="6F98E64F" w:rsidRPr="00F86091">
        <w:rPr>
          <w:rFonts w:eastAsia="Times New Roman"/>
          <w:noProof/>
        </w:rPr>
        <w:t xml:space="preserve">, while </w:t>
      </w:r>
      <w:r w:rsidR="2F9F6DFC" w:rsidRPr="00F86091">
        <w:rPr>
          <w:rFonts w:eastAsia="Times New Roman"/>
          <w:noProof/>
        </w:rPr>
        <w:t>advocating for implementing some new limit values with transitional periods.</w:t>
      </w:r>
    </w:p>
    <w:p w14:paraId="5D5BE883" w14:textId="77777777" w:rsidR="09F797AB" w:rsidRPr="00F86091" w:rsidRDefault="6AF197E3" w:rsidP="7B1EA31D">
      <w:pPr>
        <w:spacing w:before="0" w:after="240"/>
        <w:rPr>
          <w:rFonts w:eastAsia="Times New Roman"/>
          <w:noProof/>
        </w:rPr>
      </w:pPr>
      <w:r w:rsidRPr="00F86091">
        <w:rPr>
          <w:rFonts w:eastAsia="Times New Roman"/>
          <w:noProof/>
        </w:rPr>
        <w:t>T</w:t>
      </w:r>
      <w:r w:rsidR="7EA7FFA7" w:rsidRPr="00F86091">
        <w:rPr>
          <w:rFonts w:eastAsia="Times New Roman"/>
          <w:noProof/>
        </w:rPr>
        <w:t xml:space="preserve">he </w:t>
      </w:r>
      <w:r w:rsidR="00833F26">
        <w:rPr>
          <w:rFonts w:eastAsia="Times New Roman"/>
          <w:noProof/>
        </w:rPr>
        <w:t>second</w:t>
      </w:r>
      <w:r w:rsidR="00833F26" w:rsidRPr="00F86091">
        <w:rPr>
          <w:rFonts w:eastAsia="Times New Roman"/>
          <w:noProof/>
        </w:rPr>
        <w:t xml:space="preserve"> </w:t>
      </w:r>
      <w:r w:rsidR="7EA7FFA7" w:rsidRPr="00F86091">
        <w:rPr>
          <w:rFonts w:eastAsia="Times New Roman"/>
          <w:noProof/>
        </w:rPr>
        <w:t xml:space="preserve">stage of </w:t>
      </w:r>
      <w:r w:rsidR="00833F26">
        <w:rPr>
          <w:rFonts w:eastAsia="Times New Roman"/>
          <w:noProof/>
        </w:rPr>
        <w:t xml:space="preserve">consulting the </w:t>
      </w:r>
      <w:r w:rsidR="7EA7FFA7" w:rsidRPr="00F86091">
        <w:rPr>
          <w:rFonts w:eastAsia="Times New Roman"/>
          <w:noProof/>
        </w:rPr>
        <w:t xml:space="preserve">social partners </w:t>
      </w:r>
      <w:r w:rsidR="4C42329D" w:rsidRPr="00F86091">
        <w:rPr>
          <w:rFonts w:eastAsia="Times New Roman"/>
          <w:noProof/>
        </w:rPr>
        <w:t>was launched on 10</w:t>
      </w:r>
      <w:r w:rsidR="00F86091">
        <w:rPr>
          <w:rFonts w:eastAsia="Times New Roman"/>
          <w:noProof/>
        </w:rPr>
        <w:t> </w:t>
      </w:r>
      <w:r w:rsidR="4C42329D" w:rsidRPr="00F86091">
        <w:rPr>
          <w:rFonts w:eastAsia="Times New Roman"/>
          <w:noProof/>
        </w:rPr>
        <w:t>October 2023 and lasted until 21</w:t>
      </w:r>
      <w:r w:rsidR="00F86091">
        <w:rPr>
          <w:rFonts w:eastAsia="Times New Roman"/>
          <w:noProof/>
        </w:rPr>
        <w:t> </w:t>
      </w:r>
      <w:r w:rsidR="4C42329D" w:rsidRPr="00F86091">
        <w:rPr>
          <w:rFonts w:eastAsia="Times New Roman"/>
          <w:noProof/>
        </w:rPr>
        <w:t>November 2023</w:t>
      </w:r>
      <w:r w:rsidR="00833F26">
        <w:rPr>
          <w:rFonts w:eastAsia="Times New Roman"/>
          <w:noProof/>
        </w:rPr>
        <w:t>,</w:t>
      </w:r>
      <w:r w:rsidR="4C42329D" w:rsidRPr="00F86091">
        <w:rPr>
          <w:rFonts w:eastAsia="Times New Roman"/>
          <w:noProof/>
        </w:rPr>
        <w:t xml:space="preserve"> with </w:t>
      </w:r>
      <w:r w:rsidR="00833F26">
        <w:rPr>
          <w:rFonts w:eastAsia="Times New Roman"/>
          <w:noProof/>
        </w:rPr>
        <w:t>an</w:t>
      </w:r>
      <w:r w:rsidR="00833F26" w:rsidRPr="00F86091">
        <w:rPr>
          <w:rFonts w:eastAsia="Times New Roman"/>
          <w:noProof/>
        </w:rPr>
        <w:t xml:space="preserve"> </w:t>
      </w:r>
      <w:r w:rsidR="1CCDB634" w:rsidRPr="00F86091">
        <w:rPr>
          <w:rFonts w:eastAsia="Times New Roman"/>
          <w:noProof/>
        </w:rPr>
        <w:t xml:space="preserve">online </w:t>
      </w:r>
      <w:r w:rsidR="5DBF777A" w:rsidRPr="00F86091">
        <w:rPr>
          <w:rFonts w:eastAsia="Times New Roman"/>
          <w:noProof/>
        </w:rPr>
        <w:t xml:space="preserve">meeting </w:t>
      </w:r>
      <w:r w:rsidR="00AE6F0B">
        <w:rPr>
          <w:rFonts w:eastAsia="Times New Roman"/>
          <w:noProof/>
        </w:rPr>
        <w:t>held</w:t>
      </w:r>
      <w:r w:rsidR="5DBF777A" w:rsidRPr="00F86091">
        <w:rPr>
          <w:rFonts w:eastAsia="Times New Roman"/>
          <w:noProof/>
        </w:rPr>
        <w:t xml:space="preserve"> on 7</w:t>
      </w:r>
      <w:r w:rsidR="00F86091">
        <w:rPr>
          <w:rFonts w:eastAsia="Times New Roman"/>
          <w:noProof/>
        </w:rPr>
        <w:t> </w:t>
      </w:r>
      <w:r w:rsidR="5DBF777A" w:rsidRPr="00F86091">
        <w:rPr>
          <w:rFonts w:eastAsia="Times New Roman"/>
          <w:noProof/>
        </w:rPr>
        <w:t xml:space="preserve">November 2023. </w:t>
      </w:r>
      <w:r w:rsidR="42EDAB3B" w:rsidRPr="00F86091">
        <w:rPr>
          <w:rFonts w:eastAsia="Times New Roman"/>
          <w:noProof/>
        </w:rPr>
        <w:t>S</w:t>
      </w:r>
      <w:r w:rsidR="7EA7FFA7" w:rsidRPr="00F86091">
        <w:rPr>
          <w:rFonts w:eastAsia="Times New Roman"/>
          <w:noProof/>
        </w:rPr>
        <w:t xml:space="preserve">ocial partners were consulted on objectives and avenues of EU action, possible legal instruments and willingness to enter </w:t>
      </w:r>
      <w:r w:rsidR="5E11C0C0" w:rsidRPr="00F86091">
        <w:rPr>
          <w:rFonts w:eastAsia="Times New Roman"/>
          <w:noProof/>
        </w:rPr>
        <w:t xml:space="preserve">into </w:t>
      </w:r>
      <w:r w:rsidR="7EA7FFA7" w:rsidRPr="00F86091">
        <w:rPr>
          <w:rFonts w:eastAsia="Times New Roman"/>
          <w:noProof/>
        </w:rPr>
        <w:t>negotiations with a view to concluding an agreement under Article</w:t>
      </w:r>
      <w:r w:rsidR="00F86091">
        <w:rPr>
          <w:rFonts w:eastAsia="Times New Roman"/>
          <w:noProof/>
        </w:rPr>
        <w:t> </w:t>
      </w:r>
      <w:r w:rsidR="7EA7FFA7" w:rsidRPr="00F86091">
        <w:rPr>
          <w:rFonts w:eastAsia="Times New Roman"/>
          <w:noProof/>
        </w:rPr>
        <w:t xml:space="preserve">155 </w:t>
      </w:r>
      <w:r w:rsidR="00833F26">
        <w:rPr>
          <w:rFonts w:eastAsia="Times New Roman"/>
          <w:noProof/>
        </w:rPr>
        <w:t xml:space="preserve">of the </w:t>
      </w:r>
      <w:r w:rsidR="7EA7FFA7" w:rsidRPr="00F86091">
        <w:rPr>
          <w:rFonts w:eastAsia="Times New Roman"/>
          <w:noProof/>
        </w:rPr>
        <w:t xml:space="preserve">TFEU. In addition to the contributions made during the meeting, </w:t>
      </w:r>
      <w:r w:rsidR="008D4087">
        <w:rPr>
          <w:rFonts w:eastAsia="Times New Roman"/>
          <w:noProof/>
        </w:rPr>
        <w:t xml:space="preserve">the </w:t>
      </w:r>
      <w:r w:rsidR="008D4087" w:rsidRPr="00F86091">
        <w:rPr>
          <w:noProof/>
        </w:rPr>
        <w:t>European Trade Union Confederation</w:t>
      </w:r>
      <w:r w:rsidR="00857C71">
        <w:rPr>
          <w:rFonts w:eastAsia="Times New Roman"/>
          <w:noProof/>
        </w:rPr>
        <w:t xml:space="preserve"> </w:t>
      </w:r>
      <w:r w:rsidR="7EA7FFA7" w:rsidRPr="00F86091">
        <w:rPr>
          <w:rFonts w:eastAsia="Times New Roman"/>
          <w:noProof/>
        </w:rPr>
        <w:t>BusinessEurope</w:t>
      </w:r>
      <w:r w:rsidR="00EA4CC3">
        <w:rPr>
          <w:rFonts w:eastAsia="Times New Roman"/>
          <w:noProof/>
        </w:rPr>
        <w:t xml:space="preserve"> and</w:t>
      </w:r>
      <w:r w:rsidR="00857C71">
        <w:rPr>
          <w:rFonts w:eastAsia="Times New Roman"/>
          <w:noProof/>
        </w:rPr>
        <w:t>,</w:t>
      </w:r>
      <w:r w:rsidR="7EA7FFA7" w:rsidRPr="00F86091">
        <w:rPr>
          <w:rFonts w:eastAsia="Times New Roman"/>
          <w:noProof/>
        </w:rPr>
        <w:t xml:space="preserve"> SMEunited</w:t>
      </w:r>
      <w:r w:rsidR="00833F26">
        <w:rPr>
          <w:rFonts w:eastAsia="Times New Roman"/>
          <w:noProof/>
        </w:rPr>
        <w:t xml:space="preserve"> sent written replies</w:t>
      </w:r>
      <w:r w:rsidR="7EA7FFA7" w:rsidRPr="00F86091">
        <w:rPr>
          <w:rFonts w:eastAsia="Times New Roman"/>
          <w:noProof/>
        </w:rPr>
        <w:t>.</w:t>
      </w:r>
    </w:p>
    <w:p w14:paraId="29F3D33E" w14:textId="77777777" w:rsidR="09F797AB" w:rsidRPr="00F86091" w:rsidRDefault="00EA4CC3" w:rsidP="7B1EA31D">
      <w:pPr>
        <w:spacing w:before="0" w:after="240"/>
        <w:rPr>
          <w:rFonts w:eastAsia="Times New Roman"/>
          <w:noProof/>
        </w:rPr>
      </w:pPr>
      <w:r>
        <w:rPr>
          <w:rFonts w:eastAsia="Times New Roman"/>
          <w:noProof/>
        </w:rPr>
        <w:t>More specifically</w:t>
      </w:r>
      <w:r w:rsidR="781676C4" w:rsidRPr="00F86091">
        <w:rPr>
          <w:rFonts w:eastAsia="Times New Roman"/>
          <w:noProof/>
        </w:rPr>
        <w:t>, workers’ organisations</w:t>
      </w:r>
      <w:r w:rsidR="76E8F90D" w:rsidRPr="00F86091">
        <w:rPr>
          <w:rFonts w:eastAsia="Times New Roman"/>
          <w:noProof/>
        </w:rPr>
        <w:t xml:space="preserve"> expressed support </w:t>
      </w:r>
      <w:r w:rsidR="00AE2F0C">
        <w:rPr>
          <w:rFonts w:eastAsia="Times New Roman"/>
          <w:noProof/>
        </w:rPr>
        <w:t xml:space="preserve">for </w:t>
      </w:r>
      <w:r w:rsidR="76E8F90D" w:rsidRPr="00F86091">
        <w:rPr>
          <w:rFonts w:eastAsia="Times New Roman"/>
          <w:noProof/>
        </w:rPr>
        <w:t>reviewing the directive to achieve the best possible protection of workers</w:t>
      </w:r>
      <w:r>
        <w:rPr>
          <w:rFonts w:eastAsia="Times New Roman"/>
          <w:noProof/>
        </w:rPr>
        <w:t xml:space="preserve"> and </w:t>
      </w:r>
      <w:r w:rsidR="76E8F90D" w:rsidRPr="00F86091">
        <w:rPr>
          <w:rFonts w:eastAsia="Times New Roman"/>
          <w:noProof/>
        </w:rPr>
        <w:t>welcomed the tripartite opinion</w:t>
      </w:r>
      <w:r w:rsidR="00DB63C7" w:rsidRPr="00F86091">
        <w:rPr>
          <w:rFonts w:eastAsia="Times New Roman"/>
          <w:noProof/>
        </w:rPr>
        <w:t>s</w:t>
      </w:r>
      <w:r w:rsidR="76E8F90D" w:rsidRPr="00F86091">
        <w:rPr>
          <w:rFonts w:eastAsia="Times New Roman"/>
          <w:noProof/>
        </w:rPr>
        <w:t>.</w:t>
      </w:r>
      <w:r w:rsidR="36AB047A" w:rsidRPr="00F86091">
        <w:rPr>
          <w:rFonts w:eastAsia="Times New Roman"/>
          <w:noProof/>
        </w:rPr>
        <w:t xml:space="preserve"> They acknowledged that there will be costs for companies and agree</w:t>
      </w:r>
      <w:r w:rsidR="007B6AA2" w:rsidRPr="00F86091">
        <w:rPr>
          <w:rFonts w:eastAsia="Times New Roman"/>
          <w:noProof/>
        </w:rPr>
        <w:t>d</w:t>
      </w:r>
      <w:r w:rsidR="36AB047A" w:rsidRPr="00F86091">
        <w:rPr>
          <w:rFonts w:eastAsia="Times New Roman"/>
          <w:noProof/>
        </w:rPr>
        <w:t xml:space="preserve"> that</w:t>
      </w:r>
      <w:r w:rsidR="004261B2" w:rsidRPr="00F86091">
        <w:rPr>
          <w:rFonts w:eastAsia="Times New Roman"/>
          <w:noProof/>
        </w:rPr>
        <w:t xml:space="preserve"> </w:t>
      </w:r>
      <w:r w:rsidR="36AB047A" w:rsidRPr="00F86091">
        <w:rPr>
          <w:rFonts w:eastAsia="Times New Roman"/>
          <w:noProof/>
        </w:rPr>
        <w:t>there is a need to ensure the economical and industrial sustainability of the EU companies</w:t>
      </w:r>
      <w:r w:rsidR="004261B2" w:rsidRPr="00F86091">
        <w:rPr>
          <w:rFonts w:eastAsia="Times New Roman"/>
          <w:noProof/>
        </w:rPr>
        <w:t>, avoid</w:t>
      </w:r>
      <w:r w:rsidR="36AB047A" w:rsidRPr="00F86091">
        <w:rPr>
          <w:rFonts w:eastAsia="Times New Roman"/>
          <w:noProof/>
        </w:rPr>
        <w:t xml:space="preserve"> </w:t>
      </w:r>
      <w:r w:rsidR="007B6AA2" w:rsidRPr="00F86091">
        <w:rPr>
          <w:rFonts w:eastAsia="Times New Roman"/>
          <w:noProof/>
        </w:rPr>
        <w:t xml:space="preserve">social </w:t>
      </w:r>
      <w:r w:rsidR="36AB047A" w:rsidRPr="00F86091">
        <w:rPr>
          <w:rFonts w:eastAsia="Times New Roman"/>
          <w:noProof/>
        </w:rPr>
        <w:t>dumping and ensure protection of the safety and health of all workers.</w:t>
      </w:r>
    </w:p>
    <w:p w14:paraId="09FBA959" w14:textId="77777777" w:rsidR="3BA545DB" w:rsidRPr="00F86091" w:rsidRDefault="00EA4CC3" w:rsidP="7B1EA31D">
      <w:pPr>
        <w:spacing w:before="0" w:after="240"/>
        <w:rPr>
          <w:rFonts w:eastAsia="Times New Roman"/>
          <w:noProof/>
        </w:rPr>
      </w:pPr>
      <w:r>
        <w:rPr>
          <w:rFonts w:eastAsia="Times New Roman"/>
          <w:noProof/>
        </w:rPr>
        <w:t>E</w:t>
      </w:r>
      <w:r w:rsidR="3BA545DB" w:rsidRPr="00F86091">
        <w:rPr>
          <w:rFonts w:eastAsia="Times New Roman"/>
          <w:noProof/>
        </w:rPr>
        <w:t xml:space="preserve">mployers’ organisations </w:t>
      </w:r>
      <w:r w:rsidR="727EB475" w:rsidRPr="00F86091">
        <w:rPr>
          <w:rFonts w:eastAsia="Times New Roman"/>
          <w:noProof/>
        </w:rPr>
        <w:t>confirmed what ha</w:t>
      </w:r>
      <w:r w:rsidR="00DC571E">
        <w:rPr>
          <w:rFonts w:eastAsia="Times New Roman"/>
          <w:noProof/>
        </w:rPr>
        <w:t>d</w:t>
      </w:r>
      <w:r w:rsidR="727EB475" w:rsidRPr="00F86091">
        <w:rPr>
          <w:rFonts w:eastAsia="Times New Roman"/>
          <w:noProof/>
        </w:rPr>
        <w:t xml:space="preserve"> been put forward by the </w:t>
      </w:r>
      <w:r w:rsidR="3EF3D9FF" w:rsidRPr="00F86091">
        <w:rPr>
          <w:rFonts w:eastAsia="Times New Roman"/>
          <w:noProof/>
        </w:rPr>
        <w:t>ACSH</w:t>
      </w:r>
      <w:r w:rsidR="727EB475" w:rsidRPr="00F86091">
        <w:rPr>
          <w:rFonts w:eastAsia="Times New Roman"/>
          <w:noProof/>
        </w:rPr>
        <w:t>, recognise</w:t>
      </w:r>
      <w:r w:rsidR="00DB63C7" w:rsidRPr="00F86091">
        <w:rPr>
          <w:rFonts w:eastAsia="Times New Roman"/>
          <w:noProof/>
        </w:rPr>
        <w:t>d</w:t>
      </w:r>
      <w:r w:rsidR="727EB475" w:rsidRPr="00F86091">
        <w:rPr>
          <w:rFonts w:eastAsia="Times New Roman"/>
          <w:noProof/>
        </w:rPr>
        <w:t xml:space="preserve"> the outcome of these opinions as </w:t>
      </w:r>
      <w:r w:rsidR="00DC571E">
        <w:rPr>
          <w:rFonts w:eastAsia="Times New Roman"/>
          <w:noProof/>
        </w:rPr>
        <w:t xml:space="preserve">a </w:t>
      </w:r>
      <w:r w:rsidR="727EB475" w:rsidRPr="00F86091">
        <w:rPr>
          <w:rFonts w:eastAsia="Times New Roman"/>
          <w:noProof/>
        </w:rPr>
        <w:t>balanced compromise between all three interest groups</w:t>
      </w:r>
      <w:r w:rsidR="00DC571E">
        <w:rPr>
          <w:rFonts w:eastAsia="Times New Roman"/>
          <w:noProof/>
        </w:rPr>
        <w:t>,</w:t>
      </w:r>
      <w:r w:rsidR="727EB475" w:rsidRPr="00F86091">
        <w:rPr>
          <w:rFonts w:eastAsia="Times New Roman"/>
          <w:noProof/>
        </w:rPr>
        <w:t xml:space="preserve"> and asked </w:t>
      </w:r>
      <w:r w:rsidR="00DC571E">
        <w:rPr>
          <w:rFonts w:eastAsia="Times New Roman"/>
          <w:noProof/>
        </w:rPr>
        <w:t xml:space="preserve">that </w:t>
      </w:r>
      <w:r w:rsidR="727EB475" w:rsidRPr="00F86091">
        <w:rPr>
          <w:rFonts w:eastAsia="Times New Roman"/>
          <w:noProof/>
        </w:rPr>
        <w:t>SMEs and the affected sectors</w:t>
      </w:r>
      <w:r w:rsidR="00DC571E">
        <w:rPr>
          <w:rFonts w:eastAsia="Times New Roman"/>
          <w:noProof/>
        </w:rPr>
        <w:t xml:space="preserve"> be given sufficient time to adapt</w:t>
      </w:r>
      <w:r w:rsidR="727EB475" w:rsidRPr="00F86091">
        <w:rPr>
          <w:rFonts w:eastAsia="Times New Roman"/>
          <w:noProof/>
        </w:rPr>
        <w:t xml:space="preserve">. </w:t>
      </w:r>
      <w:r w:rsidR="00DC571E">
        <w:rPr>
          <w:rFonts w:eastAsia="Times New Roman"/>
          <w:noProof/>
        </w:rPr>
        <w:t>Provision should be made for a</w:t>
      </w:r>
      <w:r w:rsidR="727EB475" w:rsidRPr="00F86091">
        <w:rPr>
          <w:rFonts w:eastAsia="Times New Roman"/>
          <w:noProof/>
        </w:rPr>
        <w:t>ccompanying measures such as financial support and guidance to ensure that SMEs are able to adequately implement the new exposure levels.</w:t>
      </w:r>
    </w:p>
    <w:p w14:paraId="169C7B2C" w14:textId="77777777" w:rsidR="05949F23" w:rsidRPr="00F86091" w:rsidRDefault="05949F23" w:rsidP="7B1EA31D">
      <w:pPr>
        <w:spacing w:before="0" w:after="240"/>
        <w:rPr>
          <w:rFonts w:eastAsia="Times New Roman"/>
          <w:noProof/>
        </w:rPr>
      </w:pPr>
      <w:r w:rsidRPr="00F86091">
        <w:rPr>
          <w:rFonts w:eastAsia="Times New Roman"/>
          <w:noProof/>
        </w:rPr>
        <w:t xml:space="preserve">As regards </w:t>
      </w:r>
      <w:r w:rsidR="00EA4CC3">
        <w:rPr>
          <w:rFonts w:eastAsia="Times New Roman"/>
          <w:noProof/>
        </w:rPr>
        <w:t xml:space="preserve">their </w:t>
      </w:r>
      <w:r w:rsidRPr="00F86091">
        <w:rPr>
          <w:rFonts w:eastAsia="Times New Roman"/>
          <w:noProof/>
        </w:rPr>
        <w:t>willingness to enter negotiations to conclud</w:t>
      </w:r>
      <w:r w:rsidR="00EA4CC3">
        <w:rPr>
          <w:rFonts w:eastAsia="Times New Roman"/>
          <w:noProof/>
        </w:rPr>
        <w:t>e</w:t>
      </w:r>
      <w:r w:rsidRPr="00F86091">
        <w:rPr>
          <w:rFonts w:eastAsia="Times New Roman"/>
          <w:noProof/>
        </w:rPr>
        <w:t xml:space="preserve"> a </w:t>
      </w:r>
      <w:r w:rsidR="53BE8F44" w:rsidRPr="00F86091">
        <w:rPr>
          <w:rFonts w:eastAsia="Times New Roman"/>
          <w:noProof/>
        </w:rPr>
        <w:t>s</w:t>
      </w:r>
      <w:r w:rsidRPr="00F86091">
        <w:rPr>
          <w:rFonts w:eastAsia="Times New Roman"/>
          <w:noProof/>
        </w:rPr>
        <w:t xml:space="preserve">ocial </w:t>
      </w:r>
      <w:r w:rsidR="6AF022D4" w:rsidRPr="00F86091">
        <w:rPr>
          <w:rFonts w:eastAsia="Times New Roman"/>
          <w:noProof/>
        </w:rPr>
        <w:t>p</w:t>
      </w:r>
      <w:r w:rsidRPr="00F86091">
        <w:rPr>
          <w:rFonts w:eastAsia="Times New Roman"/>
          <w:noProof/>
        </w:rPr>
        <w:t>artners</w:t>
      </w:r>
      <w:r w:rsidR="00DC571E">
        <w:rPr>
          <w:rFonts w:eastAsia="Times New Roman"/>
          <w:noProof/>
        </w:rPr>
        <w:t>'</w:t>
      </w:r>
      <w:r w:rsidRPr="00F86091">
        <w:rPr>
          <w:rFonts w:eastAsia="Times New Roman"/>
          <w:noProof/>
        </w:rPr>
        <w:t xml:space="preserve"> agreement, social partners reaffirmed </w:t>
      </w:r>
      <w:r w:rsidR="00DC571E">
        <w:rPr>
          <w:rFonts w:eastAsia="Times New Roman"/>
          <w:noProof/>
        </w:rPr>
        <w:t xml:space="preserve">their </w:t>
      </w:r>
      <w:r w:rsidRPr="00F86091">
        <w:rPr>
          <w:rFonts w:eastAsia="Times New Roman"/>
          <w:noProof/>
        </w:rPr>
        <w:t xml:space="preserve">support </w:t>
      </w:r>
      <w:r w:rsidR="00DC571E">
        <w:rPr>
          <w:rFonts w:eastAsia="Times New Roman"/>
          <w:noProof/>
        </w:rPr>
        <w:t xml:space="preserve">for </w:t>
      </w:r>
      <w:r w:rsidRPr="00F86091">
        <w:rPr>
          <w:rFonts w:eastAsia="Times New Roman"/>
          <w:noProof/>
        </w:rPr>
        <w:t xml:space="preserve">the current process to amend the CMRD, including the key role of the ACSH, and </w:t>
      </w:r>
      <w:r w:rsidR="007B6AA2" w:rsidRPr="00F86091">
        <w:rPr>
          <w:rFonts w:eastAsia="Times New Roman"/>
          <w:noProof/>
        </w:rPr>
        <w:t xml:space="preserve">did </w:t>
      </w:r>
      <w:r w:rsidRPr="00F86091">
        <w:rPr>
          <w:rFonts w:eastAsia="Times New Roman"/>
          <w:noProof/>
        </w:rPr>
        <w:t>not want to initiate a dialogue under Article</w:t>
      </w:r>
      <w:r w:rsidR="00F86091">
        <w:rPr>
          <w:rFonts w:eastAsia="Times New Roman"/>
          <w:noProof/>
        </w:rPr>
        <w:t> </w:t>
      </w:r>
      <w:r w:rsidRPr="00F86091">
        <w:rPr>
          <w:rFonts w:eastAsia="Times New Roman"/>
          <w:noProof/>
        </w:rPr>
        <w:t>155 TFEU</w:t>
      </w:r>
      <w:r w:rsidR="00A404A6" w:rsidRPr="00A404A6">
        <w:rPr>
          <w:noProof/>
          <w:color w:val="333333"/>
          <w:sz w:val="27"/>
          <w:szCs w:val="27"/>
          <w:shd w:val="clear" w:color="auto" w:fill="FFFFFF"/>
        </w:rPr>
        <w:t xml:space="preserve"> </w:t>
      </w:r>
      <w:r w:rsidR="001636E1">
        <w:rPr>
          <w:rFonts w:eastAsia="Times New Roman"/>
          <w:noProof/>
        </w:rPr>
        <w:t>acknowledging</w:t>
      </w:r>
      <w:r w:rsidR="001636E1" w:rsidRPr="001636E1">
        <w:rPr>
          <w:rFonts w:eastAsia="Times New Roman"/>
          <w:noProof/>
        </w:rPr>
        <w:t xml:space="preserve"> that social dialogue on these substances already took place in the framework of the tripartite </w:t>
      </w:r>
      <w:r w:rsidR="001636E1" w:rsidRPr="00F86091">
        <w:rPr>
          <w:rFonts w:eastAsia="Times New Roman"/>
          <w:noProof/>
        </w:rPr>
        <w:t>ACSH</w:t>
      </w:r>
      <w:r w:rsidR="001636E1" w:rsidRPr="001636E1">
        <w:rPr>
          <w:rFonts w:eastAsia="Times New Roman"/>
          <w:noProof/>
        </w:rPr>
        <w:t xml:space="preserve"> where an agreement has been reached covering all the substances identified in the revision</w:t>
      </w:r>
      <w:r w:rsidR="46034501" w:rsidRPr="00F86091">
        <w:rPr>
          <w:rFonts w:eastAsia="Times New Roman"/>
          <w:noProof/>
        </w:rPr>
        <w:t>.</w:t>
      </w:r>
    </w:p>
    <w:p w14:paraId="0C2E1789" w14:textId="77777777" w:rsidR="00D05A97" w:rsidRPr="00F86091" w:rsidRDefault="00D05A97" w:rsidP="00D05A97">
      <w:pPr>
        <w:pBdr>
          <w:top w:val="nil"/>
          <w:left w:val="nil"/>
          <w:bottom w:val="nil"/>
          <w:right w:val="nil"/>
          <w:between w:val="nil"/>
          <w:bar w:val="nil"/>
        </w:pBdr>
        <w:spacing w:before="0" w:after="240"/>
        <w:rPr>
          <w:rFonts w:eastAsia="Times New Roman"/>
          <w:noProof/>
        </w:rPr>
      </w:pPr>
      <w:r w:rsidRPr="00F86091">
        <w:rPr>
          <w:rFonts w:eastAsia="Times New Roman"/>
          <w:noProof/>
        </w:rPr>
        <w:t xml:space="preserve">More detailed information on the two-stage consultation of social partners is available in Annex II </w:t>
      </w:r>
      <w:r w:rsidR="00DC571E">
        <w:rPr>
          <w:rFonts w:eastAsia="Times New Roman"/>
          <w:noProof/>
        </w:rPr>
        <w:t xml:space="preserve">to </w:t>
      </w:r>
      <w:r w:rsidRPr="00F86091">
        <w:rPr>
          <w:rFonts w:eastAsia="Times New Roman"/>
          <w:noProof/>
        </w:rPr>
        <w:t>the impact assessment accompanying this initiative.</w:t>
      </w:r>
    </w:p>
    <w:p w14:paraId="5F49A05C" w14:textId="77777777" w:rsidR="001A5407" w:rsidRPr="00F86091" w:rsidRDefault="004431C4" w:rsidP="00D31AEF">
      <w:pPr>
        <w:pBdr>
          <w:top w:val="nil"/>
          <w:left w:val="nil"/>
          <w:bottom w:val="nil"/>
          <w:right w:val="nil"/>
          <w:between w:val="nil"/>
          <w:bar w:val="nil"/>
        </w:pBdr>
        <w:spacing w:before="0" w:after="240"/>
        <w:rPr>
          <w:rFonts w:eastAsia="Times New Roman"/>
          <w:i/>
          <w:iCs/>
          <w:noProof/>
        </w:rPr>
      </w:pPr>
      <w:r w:rsidRPr="00F86091">
        <w:rPr>
          <w:rFonts w:eastAsia="Times New Roman"/>
          <w:i/>
          <w:iCs/>
          <w:noProof/>
        </w:rPr>
        <w:t xml:space="preserve">Consultation of the </w:t>
      </w:r>
      <w:r w:rsidR="001A5407" w:rsidRPr="00F86091">
        <w:rPr>
          <w:rFonts w:eastAsia="Times New Roman"/>
          <w:i/>
          <w:iCs/>
          <w:noProof/>
        </w:rPr>
        <w:t>A</w:t>
      </w:r>
      <w:r w:rsidRPr="00F86091">
        <w:rPr>
          <w:rFonts w:eastAsia="Times New Roman"/>
          <w:i/>
          <w:iCs/>
          <w:noProof/>
        </w:rPr>
        <w:t xml:space="preserve">dvisory </w:t>
      </w:r>
      <w:r w:rsidR="001A5407" w:rsidRPr="00F86091">
        <w:rPr>
          <w:rFonts w:eastAsia="Times New Roman"/>
          <w:i/>
          <w:iCs/>
          <w:noProof/>
        </w:rPr>
        <w:t>C</w:t>
      </w:r>
      <w:r w:rsidRPr="00F86091">
        <w:rPr>
          <w:rFonts w:eastAsia="Times New Roman"/>
          <w:i/>
          <w:iCs/>
          <w:noProof/>
        </w:rPr>
        <w:t xml:space="preserve">ommittee on </w:t>
      </w:r>
      <w:r w:rsidR="001A5407" w:rsidRPr="00F86091">
        <w:rPr>
          <w:rFonts w:eastAsia="Times New Roman"/>
          <w:i/>
          <w:iCs/>
          <w:noProof/>
        </w:rPr>
        <w:t>S</w:t>
      </w:r>
      <w:r w:rsidRPr="00F86091">
        <w:rPr>
          <w:rFonts w:eastAsia="Times New Roman"/>
          <w:i/>
          <w:iCs/>
          <w:noProof/>
        </w:rPr>
        <w:t xml:space="preserve">afety and </w:t>
      </w:r>
      <w:r w:rsidR="001A5407" w:rsidRPr="00F86091">
        <w:rPr>
          <w:rFonts w:eastAsia="Times New Roman"/>
          <w:i/>
          <w:iCs/>
          <w:noProof/>
        </w:rPr>
        <w:t>H</w:t>
      </w:r>
      <w:r w:rsidRPr="00F86091">
        <w:rPr>
          <w:rFonts w:eastAsia="Times New Roman"/>
          <w:i/>
          <w:iCs/>
          <w:noProof/>
        </w:rPr>
        <w:t>ealth at Work</w:t>
      </w:r>
    </w:p>
    <w:p w14:paraId="2699CF1A" w14:textId="77777777" w:rsidR="00605CE8" w:rsidRPr="00F86091" w:rsidRDefault="75362F9B" w:rsidP="449BDA64">
      <w:pPr>
        <w:spacing w:before="0" w:after="240"/>
        <w:rPr>
          <w:noProof/>
        </w:rPr>
      </w:pPr>
      <w:r w:rsidRPr="00F86091">
        <w:rPr>
          <w:noProof/>
        </w:rPr>
        <w:t xml:space="preserve">The </w:t>
      </w:r>
      <w:r w:rsidR="371430DD" w:rsidRPr="00F86091">
        <w:rPr>
          <w:noProof/>
        </w:rPr>
        <w:t xml:space="preserve">tripartite </w:t>
      </w:r>
      <w:r w:rsidRPr="00F86091">
        <w:rPr>
          <w:noProof/>
        </w:rPr>
        <w:t>ACSH, composed of three full members per Member State, representing national governments, workers</w:t>
      </w:r>
      <w:r w:rsidR="00F86091">
        <w:rPr>
          <w:noProof/>
        </w:rPr>
        <w:t>’</w:t>
      </w:r>
      <w:r w:rsidRPr="00F86091">
        <w:rPr>
          <w:noProof/>
        </w:rPr>
        <w:t xml:space="preserve"> and employers</w:t>
      </w:r>
      <w:r w:rsidR="00F86091">
        <w:rPr>
          <w:noProof/>
        </w:rPr>
        <w:t>’</w:t>
      </w:r>
      <w:r w:rsidRPr="00F86091">
        <w:rPr>
          <w:noProof/>
        </w:rPr>
        <w:t xml:space="preserve"> organisations, </w:t>
      </w:r>
      <w:r w:rsidR="75EFAC08" w:rsidRPr="00F86091">
        <w:rPr>
          <w:noProof/>
        </w:rPr>
        <w:t>assists the Commission in the preparation and implementation of decisions taken in the field of OSH</w:t>
      </w:r>
      <w:r w:rsidRPr="00F86091">
        <w:rPr>
          <w:noProof/>
        </w:rPr>
        <w:t>.</w:t>
      </w:r>
      <w:r w:rsidR="005A52F1" w:rsidRPr="00F86091">
        <w:rPr>
          <w:noProof/>
        </w:rPr>
        <w:t xml:space="preserve"> </w:t>
      </w:r>
      <w:r w:rsidR="004261B2" w:rsidRPr="00F86091">
        <w:rPr>
          <w:noProof/>
        </w:rPr>
        <w:t>T</w:t>
      </w:r>
      <w:r w:rsidRPr="00F86091">
        <w:rPr>
          <w:noProof/>
        </w:rPr>
        <w:t xml:space="preserve">aking into account the input </w:t>
      </w:r>
      <w:r w:rsidR="00B65FA2">
        <w:rPr>
          <w:noProof/>
        </w:rPr>
        <w:t>from the</w:t>
      </w:r>
      <w:r w:rsidR="00B65FA2" w:rsidRPr="00F86091">
        <w:rPr>
          <w:noProof/>
        </w:rPr>
        <w:t xml:space="preserve"> </w:t>
      </w:r>
      <w:r w:rsidR="7AFA74C5" w:rsidRPr="00F86091">
        <w:rPr>
          <w:noProof/>
        </w:rPr>
        <w:t xml:space="preserve">ECHA </w:t>
      </w:r>
      <w:r w:rsidR="648634DA" w:rsidRPr="00F86091">
        <w:rPr>
          <w:noProof/>
        </w:rPr>
        <w:t>and</w:t>
      </w:r>
      <w:r w:rsidRPr="00F86091">
        <w:rPr>
          <w:noProof/>
        </w:rPr>
        <w:t xml:space="preserve"> </w:t>
      </w:r>
      <w:r w:rsidR="00B65FA2">
        <w:rPr>
          <w:noProof/>
        </w:rPr>
        <w:t xml:space="preserve">the </w:t>
      </w:r>
      <w:r w:rsidR="00240B87" w:rsidRPr="00F86091">
        <w:rPr>
          <w:noProof/>
        </w:rPr>
        <w:t xml:space="preserve">scientific assessments from its </w:t>
      </w:r>
      <w:r w:rsidRPr="00F86091">
        <w:rPr>
          <w:noProof/>
        </w:rPr>
        <w:t xml:space="preserve">RAC </w:t>
      </w:r>
      <w:r w:rsidR="5DFD99B1" w:rsidRPr="00F86091">
        <w:rPr>
          <w:noProof/>
        </w:rPr>
        <w:t xml:space="preserve">as well as socio-economic and feasibility </w:t>
      </w:r>
      <w:r w:rsidR="648634DA" w:rsidRPr="00F86091">
        <w:rPr>
          <w:noProof/>
        </w:rPr>
        <w:t>data</w:t>
      </w:r>
      <w:r w:rsidR="5DFD99B1" w:rsidRPr="00F86091">
        <w:rPr>
          <w:noProof/>
        </w:rPr>
        <w:t xml:space="preserve">, </w:t>
      </w:r>
      <w:r w:rsidR="004261B2" w:rsidRPr="00F86091">
        <w:rPr>
          <w:noProof/>
        </w:rPr>
        <w:t xml:space="preserve">it adopts </w:t>
      </w:r>
      <w:r w:rsidR="5DFD99B1" w:rsidRPr="00F86091">
        <w:rPr>
          <w:noProof/>
        </w:rPr>
        <w:t xml:space="preserve">opinions which </w:t>
      </w:r>
      <w:r w:rsidR="648634DA" w:rsidRPr="00F86091">
        <w:rPr>
          <w:noProof/>
        </w:rPr>
        <w:t>the Commission</w:t>
      </w:r>
      <w:r w:rsidR="5DFD99B1" w:rsidRPr="00F86091">
        <w:rPr>
          <w:noProof/>
        </w:rPr>
        <w:t xml:space="preserve"> </w:t>
      </w:r>
      <w:r w:rsidR="00B65FA2">
        <w:rPr>
          <w:noProof/>
        </w:rPr>
        <w:t xml:space="preserve">then uses </w:t>
      </w:r>
      <w:r w:rsidR="5DFD99B1" w:rsidRPr="00F86091">
        <w:rPr>
          <w:noProof/>
        </w:rPr>
        <w:t xml:space="preserve">to prepare </w:t>
      </w:r>
      <w:r w:rsidR="648634DA" w:rsidRPr="00F86091">
        <w:rPr>
          <w:noProof/>
        </w:rPr>
        <w:t>its</w:t>
      </w:r>
      <w:r w:rsidR="5DFD99B1" w:rsidRPr="00F86091">
        <w:rPr>
          <w:noProof/>
        </w:rPr>
        <w:t xml:space="preserve"> proposal</w:t>
      </w:r>
      <w:r w:rsidR="668F1013" w:rsidRPr="00F86091">
        <w:rPr>
          <w:noProof/>
        </w:rPr>
        <w:t>s</w:t>
      </w:r>
      <w:r w:rsidR="5DFD99B1" w:rsidRPr="00F86091">
        <w:rPr>
          <w:noProof/>
        </w:rPr>
        <w:t>.</w:t>
      </w:r>
    </w:p>
    <w:p w14:paraId="75AADE93" w14:textId="77777777" w:rsidR="001632F3" w:rsidRPr="00F86091" w:rsidRDefault="00C24432" w:rsidP="00D31AEF">
      <w:pPr>
        <w:pBdr>
          <w:top w:val="nil"/>
          <w:left w:val="nil"/>
          <w:bottom w:val="nil"/>
          <w:right w:val="nil"/>
          <w:between w:val="nil"/>
          <w:bar w:val="nil"/>
        </w:pBdr>
        <w:spacing w:before="0" w:after="240"/>
        <w:rPr>
          <w:noProof/>
        </w:rPr>
      </w:pPr>
      <w:r w:rsidRPr="00F86091">
        <w:rPr>
          <w:noProof/>
        </w:rPr>
        <w:t xml:space="preserve">On </w:t>
      </w:r>
      <w:r w:rsidR="006E7292" w:rsidRPr="00F86091">
        <w:rPr>
          <w:noProof/>
        </w:rPr>
        <w:t>22</w:t>
      </w:r>
      <w:r w:rsidR="00F86091">
        <w:rPr>
          <w:noProof/>
        </w:rPr>
        <w:t> </w:t>
      </w:r>
      <w:r w:rsidR="006E7292" w:rsidRPr="00F86091">
        <w:rPr>
          <w:noProof/>
        </w:rPr>
        <w:t>September 2023</w:t>
      </w:r>
      <w:r w:rsidRPr="00F86091">
        <w:rPr>
          <w:noProof/>
        </w:rPr>
        <w:t xml:space="preserve">, the ACSH adopted five opinions </w:t>
      </w:r>
      <w:r w:rsidR="001632F3" w:rsidRPr="00F86091">
        <w:rPr>
          <w:noProof/>
        </w:rPr>
        <w:t>to support this initiative</w:t>
      </w:r>
      <w:r w:rsidR="007713FF" w:rsidRPr="00F86091">
        <w:rPr>
          <w:noProof/>
        </w:rPr>
        <w:t xml:space="preserve">. </w:t>
      </w:r>
      <w:r w:rsidR="001C1C56">
        <w:rPr>
          <w:noProof/>
        </w:rPr>
        <w:t xml:space="preserve">In its </w:t>
      </w:r>
      <w:r w:rsidR="007713FF" w:rsidRPr="00F86091">
        <w:rPr>
          <w:noProof/>
        </w:rPr>
        <w:t>opinions on cobalt and its inorganic compounds</w:t>
      </w:r>
      <w:r w:rsidR="004D2025" w:rsidRPr="00F86091">
        <w:rPr>
          <w:rStyle w:val="FootnoteReference"/>
          <w:noProof/>
        </w:rPr>
        <w:footnoteReference w:id="24"/>
      </w:r>
      <w:r w:rsidR="007713FF" w:rsidRPr="00F86091">
        <w:rPr>
          <w:noProof/>
        </w:rPr>
        <w:t>, PAHs</w:t>
      </w:r>
      <w:r w:rsidR="00D51E14" w:rsidRPr="00F86091">
        <w:rPr>
          <w:rStyle w:val="FootnoteReference"/>
          <w:noProof/>
        </w:rPr>
        <w:footnoteReference w:id="25"/>
      </w:r>
      <w:r w:rsidR="007713FF" w:rsidRPr="00F86091">
        <w:rPr>
          <w:noProof/>
        </w:rPr>
        <w:t xml:space="preserve">, </w:t>
      </w:r>
      <w:r w:rsidR="007D7827">
        <w:rPr>
          <w:noProof/>
        </w:rPr>
        <w:t>1,4-dioxane</w:t>
      </w:r>
      <w:r w:rsidR="00A2041E" w:rsidRPr="00F86091">
        <w:rPr>
          <w:rStyle w:val="FootnoteReference"/>
          <w:noProof/>
        </w:rPr>
        <w:footnoteReference w:id="26"/>
      </w:r>
      <w:r w:rsidR="007713FF" w:rsidRPr="00F86091">
        <w:rPr>
          <w:noProof/>
        </w:rPr>
        <w:t xml:space="preserve"> and isoprene</w:t>
      </w:r>
      <w:r w:rsidR="00DD6B0B" w:rsidRPr="00F86091">
        <w:rPr>
          <w:rStyle w:val="FootnoteReference"/>
          <w:noProof/>
        </w:rPr>
        <w:footnoteReference w:id="27"/>
      </w:r>
      <w:r w:rsidR="007713FF" w:rsidRPr="00F86091">
        <w:rPr>
          <w:noProof/>
        </w:rPr>
        <w:t xml:space="preserve">, the ACSH recommended limit values, </w:t>
      </w:r>
      <w:r w:rsidR="004674D2" w:rsidRPr="00F86091">
        <w:rPr>
          <w:noProof/>
        </w:rPr>
        <w:t xml:space="preserve">and, where relevant, notations and transitional values. </w:t>
      </w:r>
      <w:r w:rsidR="001C1C56">
        <w:rPr>
          <w:noProof/>
        </w:rPr>
        <w:t>I</w:t>
      </w:r>
      <w:r w:rsidR="00012D7E" w:rsidRPr="00F86091">
        <w:rPr>
          <w:noProof/>
        </w:rPr>
        <w:t>n its opinion</w:t>
      </w:r>
      <w:r w:rsidR="001C1C56">
        <w:rPr>
          <w:noProof/>
        </w:rPr>
        <w:t xml:space="preserve"> on welding fumes</w:t>
      </w:r>
      <w:r w:rsidR="007C3029" w:rsidRPr="00F86091">
        <w:rPr>
          <w:rStyle w:val="FootnoteReference"/>
          <w:noProof/>
        </w:rPr>
        <w:footnoteReference w:id="28"/>
      </w:r>
      <w:r w:rsidR="001C1C56">
        <w:rPr>
          <w:noProof/>
        </w:rPr>
        <w:t>, the ACSH recommended</w:t>
      </w:r>
      <w:r w:rsidR="00012D7E" w:rsidRPr="00F86091">
        <w:rPr>
          <w:noProof/>
        </w:rPr>
        <w:t xml:space="preserve"> </w:t>
      </w:r>
      <w:r w:rsidR="00B307F0" w:rsidRPr="00F86091">
        <w:rPr>
          <w:noProof/>
        </w:rPr>
        <w:t xml:space="preserve">the inclusion of </w:t>
      </w:r>
      <w:r w:rsidR="00F86091">
        <w:rPr>
          <w:noProof/>
        </w:rPr>
        <w:t>‘</w:t>
      </w:r>
      <w:r w:rsidR="00B307F0" w:rsidRPr="00F86091">
        <w:rPr>
          <w:i/>
          <w:iCs/>
          <w:noProof/>
        </w:rPr>
        <w:t>work involving exposure to fumes from welding processes containing substances that meet the criteria category 1A/1B</w:t>
      </w:r>
      <w:r w:rsidR="00DB617B" w:rsidRPr="00F86091">
        <w:rPr>
          <w:i/>
          <w:iCs/>
          <w:noProof/>
        </w:rPr>
        <w:t xml:space="preserve"> set out in Annex I to the CLP Regulation</w:t>
      </w:r>
      <w:r w:rsidR="00F86091">
        <w:rPr>
          <w:noProof/>
        </w:rPr>
        <w:t>’</w:t>
      </w:r>
      <w:r w:rsidR="00DB617B" w:rsidRPr="00F86091">
        <w:rPr>
          <w:noProof/>
        </w:rPr>
        <w:t xml:space="preserve"> in Annex I </w:t>
      </w:r>
      <w:r w:rsidR="00D25BDB">
        <w:rPr>
          <w:noProof/>
        </w:rPr>
        <w:t>to</w:t>
      </w:r>
      <w:r w:rsidR="00D25BDB" w:rsidRPr="00F86091">
        <w:rPr>
          <w:noProof/>
        </w:rPr>
        <w:t xml:space="preserve"> </w:t>
      </w:r>
      <w:r w:rsidR="00DB617B" w:rsidRPr="00F86091">
        <w:rPr>
          <w:noProof/>
        </w:rPr>
        <w:t>the CMRD.</w:t>
      </w:r>
    </w:p>
    <w:p w14:paraId="3729AE34" w14:textId="77777777" w:rsidR="00A85D4D" w:rsidRPr="00F86091" w:rsidRDefault="00A85D4D" w:rsidP="00D31AEF">
      <w:pPr>
        <w:pBdr>
          <w:top w:val="nil"/>
          <w:left w:val="nil"/>
          <w:bottom w:val="nil"/>
          <w:right w:val="nil"/>
          <w:between w:val="nil"/>
          <w:bar w:val="nil"/>
        </w:pBdr>
        <w:spacing w:before="0" w:after="240"/>
        <w:rPr>
          <w:noProof/>
        </w:rPr>
      </w:pPr>
      <w:r w:rsidRPr="00F86091">
        <w:rPr>
          <w:noProof/>
        </w:rPr>
        <w:t>On 29</w:t>
      </w:r>
      <w:r w:rsidR="00F86091">
        <w:rPr>
          <w:noProof/>
        </w:rPr>
        <w:t> </w:t>
      </w:r>
      <w:r w:rsidRPr="00F86091">
        <w:rPr>
          <w:noProof/>
        </w:rPr>
        <w:t>November 2023, the ACSH adopted an addendum</w:t>
      </w:r>
      <w:r w:rsidR="00A33041" w:rsidRPr="00F86091">
        <w:rPr>
          <w:rStyle w:val="FootnoteReference"/>
          <w:noProof/>
        </w:rPr>
        <w:footnoteReference w:id="29"/>
      </w:r>
      <w:r w:rsidRPr="00F86091">
        <w:rPr>
          <w:noProof/>
        </w:rPr>
        <w:t xml:space="preserve"> to its opinion on PAHs to clarify </w:t>
      </w:r>
      <w:r w:rsidR="00E95B03" w:rsidRPr="00F86091">
        <w:rPr>
          <w:noProof/>
        </w:rPr>
        <w:t>the list of sectors or processes that might have difficulties in complying with the OEL and might, therefore, need more time to comply with the limit value recommended.</w:t>
      </w:r>
    </w:p>
    <w:p w14:paraId="550CE405" w14:textId="77777777" w:rsidR="007017A3" w:rsidRPr="00F86091" w:rsidRDefault="740C0240" w:rsidP="007C0C63">
      <w:pPr>
        <w:rPr>
          <w:noProof/>
        </w:rPr>
      </w:pPr>
      <w:r w:rsidRPr="00F86091">
        <w:rPr>
          <w:noProof/>
        </w:rPr>
        <w:t xml:space="preserve">This initiative follows the recommendations of the ACSH for cobalt and its inorganic compounds, PAHs, </w:t>
      </w:r>
      <w:r w:rsidR="007D7827">
        <w:rPr>
          <w:noProof/>
        </w:rPr>
        <w:t>1,4-dioxane</w:t>
      </w:r>
      <w:r w:rsidRPr="00F86091">
        <w:rPr>
          <w:noProof/>
        </w:rPr>
        <w:t xml:space="preserve"> and welding fumes. </w:t>
      </w:r>
      <w:r w:rsidR="00C47A7C">
        <w:rPr>
          <w:noProof/>
        </w:rPr>
        <w:t>For</w:t>
      </w:r>
      <w:r w:rsidRPr="00F86091">
        <w:rPr>
          <w:noProof/>
        </w:rPr>
        <w:t xml:space="preserve"> isoprene, </w:t>
      </w:r>
      <w:r w:rsidR="7516E6FD" w:rsidRPr="00F86091">
        <w:rPr>
          <w:noProof/>
        </w:rPr>
        <w:t xml:space="preserve">the Commission did not follow the recommendation of the ACSH to set an OEL. According to </w:t>
      </w:r>
      <w:r w:rsidR="6626D67B" w:rsidRPr="00F86091">
        <w:rPr>
          <w:noProof/>
        </w:rPr>
        <w:t xml:space="preserve">the impact assessment supporting this initiative, </w:t>
      </w:r>
      <w:r w:rsidR="00413039" w:rsidRPr="00F86091">
        <w:rPr>
          <w:noProof/>
        </w:rPr>
        <w:t xml:space="preserve">the evidence gathered indicates that workers are exposed to levels of isoprene which are lower than the health-based limit value derived from </w:t>
      </w:r>
      <w:r w:rsidR="000263B7">
        <w:rPr>
          <w:noProof/>
        </w:rPr>
        <w:t xml:space="preserve">the </w:t>
      </w:r>
      <w:r w:rsidR="00413039" w:rsidRPr="00F86091">
        <w:rPr>
          <w:noProof/>
        </w:rPr>
        <w:t>RAC’s opinion, suggesting that the current prevention of occupational exposure to isoprene is sufficient.</w:t>
      </w:r>
      <w:r w:rsidR="00844093" w:rsidRPr="00F86091">
        <w:rPr>
          <w:noProof/>
        </w:rPr>
        <w:t xml:space="preserve"> </w:t>
      </w:r>
      <w:r w:rsidR="787C28A1" w:rsidRPr="00F86091">
        <w:rPr>
          <w:noProof/>
        </w:rPr>
        <w:t xml:space="preserve">Therefore, the Commission </w:t>
      </w:r>
      <w:r w:rsidR="62779578" w:rsidRPr="00F86091">
        <w:rPr>
          <w:noProof/>
        </w:rPr>
        <w:t xml:space="preserve">has decided not to set an OEL for isoprene </w:t>
      </w:r>
      <w:r w:rsidR="00413039" w:rsidRPr="00F86091">
        <w:rPr>
          <w:noProof/>
        </w:rPr>
        <w:t xml:space="preserve">also </w:t>
      </w:r>
      <w:r w:rsidR="62779578" w:rsidRPr="00F86091">
        <w:rPr>
          <w:noProof/>
        </w:rPr>
        <w:t>in order to avoid unnecessary costs</w:t>
      </w:r>
      <w:r w:rsidR="00240B87" w:rsidRPr="00F86091">
        <w:rPr>
          <w:noProof/>
        </w:rPr>
        <w:t xml:space="preserve"> for businesses</w:t>
      </w:r>
      <w:r w:rsidR="62779578" w:rsidRPr="00F86091">
        <w:rPr>
          <w:noProof/>
        </w:rPr>
        <w:t>.</w:t>
      </w:r>
    </w:p>
    <w:p w14:paraId="6A947991" w14:textId="77777777" w:rsidR="00D05A97" w:rsidRPr="00F86091" w:rsidRDefault="00D05A97" w:rsidP="007C0C63">
      <w:pPr>
        <w:rPr>
          <w:i/>
          <w:iCs/>
          <w:noProof/>
        </w:rPr>
      </w:pPr>
      <w:r w:rsidRPr="00F86091">
        <w:rPr>
          <w:i/>
          <w:iCs/>
          <w:noProof/>
        </w:rPr>
        <w:t>Call for evidence and public consultation</w:t>
      </w:r>
    </w:p>
    <w:p w14:paraId="5D08A324" w14:textId="77777777" w:rsidR="00D05A97" w:rsidRPr="00F86091" w:rsidRDefault="005F5F3C" w:rsidP="007C0C63">
      <w:pPr>
        <w:rPr>
          <w:noProof/>
        </w:rPr>
      </w:pPr>
      <w:r>
        <w:rPr>
          <w:noProof/>
        </w:rPr>
        <w:t>There was n</w:t>
      </w:r>
      <w:r w:rsidR="00D05A97" w:rsidRPr="00F86091">
        <w:rPr>
          <w:noProof/>
        </w:rPr>
        <w:t xml:space="preserve">o call for evidence and </w:t>
      </w:r>
      <w:r w:rsidR="003B5797" w:rsidRPr="00F86091">
        <w:rPr>
          <w:noProof/>
        </w:rPr>
        <w:t xml:space="preserve">no </w:t>
      </w:r>
      <w:r w:rsidR="00D05A97" w:rsidRPr="00F86091">
        <w:rPr>
          <w:noProof/>
        </w:rPr>
        <w:t xml:space="preserve">public consultation </w:t>
      </w:r>
      <w:r w:rsidR="003B5797" w:rsidRPr="00F86091">
        <w:rPr>
          <w:noProof/>
        </w:rPr>
        <w:t>for</w:t>
      </w:r>
      <w:r w:rsidR="00D05A97" w:rsidRPr="00F86091">
        <w:rPr>
          <w:noProof/>
        </w:rPr>
        <w:t xml:space="preserve"> this initiative</w:t>
      </w:r>
      <w:r>
        <w:rPr>
          <w:noProof/>
        </w:rPr>
        <w:t>, because of</w:t>
      </w:r>
      <w:r w:rsidR="00D05A97" w:rsidRPr="00F86091">
        <w:rPr>
          <w:noProof/>
        </w:rPr>
        <w:t xml:space="preserve"> the </w:t>
      </w:r>
      <w:r w:rsidR="00772164" w:rsidRPr="00F86091">
        <w:rPr>
          <w:noProof/>
        </w:rPr>
        <w:t xml:space="preserve">already </w:t>
      </w:r>
      <w:r w:rsidR="00D05A97" w:rsidRPr="00F86091">
        <w:rPr>
          <w:noProof/>
        </w:rPr>
        <w:t xml:space="preserve">extensive process of </w:t>
      </w:r>
      <w:r>
        <w:rPr>
          <w:noProof/>
        </w:rPr>
        <w:t xml:space="preserve">consulting </w:t>
      </w:r>
      <w:r w:rsidR="00D05A97" w:rsidRPr="00F86091">
        <w:rPr>
          <w:noProof/>
        </w:rPr>
        <w:t>the most relevant stakeholders</w:t>
      </w:r>
      <w:r w:rsidR="00B748B6" w:rsidRPr="00F86091">
        <w:rPr>
          <w:noProof/>
        </w:rPr>
        <w:t xml:space="preserve"> </w:t>
      </w:r>
      <w:r w:rsidR="00772164" w:rsidRPr="00F86091">
        <w:rPr>
          <w:noProof/>
        </w:rPr>
        <w:t>for this initiative</w:t>
      </w:r>
      <w:r w:rsidR="004261B2" w:rsidRPr="00F86091">
        <w:rPr>
          <w:noProof/>
        </w:rPr>
        <w:t>, particular</w:t>
      </w:r>
      <w:r>
        <w:rPr>
          <w:noProof/>
        </w:rPr>
        <w:t>ly</w:t>
      </w:r>
      <w:r w:rsidR="004261B2" w:rsidRPr="00F86091">
        <w:rPr>
          <w:noProof/>
        </w:rPr>
        <w:t xml:space="preserve"> the two</w:t>
      </w:r>
      <w:r w:rsidR="00681C8C">
        <w:rPr>
          <w:noProof/>
        </w:rPr>
        <w:t>-</w:t>
      </w:r>
      <w:r w:rsidR="004261B2" w:rsidRPr="00F86091">
        <w:rPr>
          <w:noProof/>
        </w:rPr>
        <w:t>stage consultation of social partners</w:t>
      </w:r>
      <w:r>
        <w:rPr>
          <w:noProof/>
        </w:rPr>
        <w:t xml:space="preserve"> under the TFEU</w:t>
      </w:r>
      <w:r w:rsidR="00D05A97" w:rsidRPr="00F86091">
        <w:rPr>
          <w:noProof/>
        </w:rPr>
        <w:t>.</w:t>
      </w:r>
    </w:p>
    <w:p w14:paraId="2F677266" w14:textId="77777777" w:rsidR="007017A3" w:rsidRPr="00F86091" w:rsidRDefault="007017A3" w:rsidP="00D31AEF">
      <w:pPr>
        <w:pStyle w:val="ManualHeading2"/>
        <w:rPr>
          <w:rFonts w:eastAsia="Arial Unicode MS"/>
          <w:noProof/>
          <w:u w:color="000000"/>
          <w:bdr w:val="nil"/>
          <w:lang w:eastAsia="en-GB"/>
        </w:rPr>
      </w:pPr>
      <w:r w:rsidRPr="00F86091">
        <w:rPr>
          <w:rFonts w:eastAsia="Arial Unicode MS"/>
          <w:noProof/>
          <w:u w:color="000000"/>
          <w:bdr w:val="nil"/>
          <w:lang w:eastAsia="en-GB"/>
        </w:rPr>
        <w:t>•</w:t>
      </w:r>
      <w:r w:rsidRPr="00F86091">
        <w:rPr>
          <w:rFonts w:eastAsia="Arial Unicode MS"/>
          <w:noProof/>
          <w:u w:color="000000"/>
          <w:bdr w:val="nil"/>
          <w:lang w:eastAsia="en-GB"/>
        </w:rPr>
        <w:tab/>
        <w:t>Collection and use of expertise</w:t>
      </w:r>
    </w:p>
    <w:p w14:paraId="2E9C701F" w14:textId="77777777" w:rsidR="00BE6C35" w:rsidRPr="00F86091" w:rsidRDefault="0088471A" w:rsidP="00D31AEF">
      <w:pPr>
        <w:pBdr>
          <w:top w:val="nil"/>
          <w:left w:val="nil"/>
          <w:bottom w:val="nil"/>
          <w:right w:val="nil"/>
          <w:between w:val="nil"/>
          <w:bar w:val="nil"/>
        </w:pBdr>
        <w:spacing w:before="0" w:after="240"/>
        <w:rPr>
          <w:noProof/>
        </w:rPr>
      </w:pPr>
      <w:r w:rsidRPr="00F86091">
        <w:rPr>
          <w:noProof/>
        </w:rPr>
        <w:t xml:space="preserve">The continuous revision of the CMRD is based on a well-established procedure involving </w:t>
      </w:r>
      <w:r w:rsidR="007A447F" w:rsidRPr="00F86091">
        <w:rPr>
          <w:noProof/>
        </w:rPr>
        <w:t xml:space="preserve">scientific expertise. </w:t>
      </w:r>
      <w:r w:rsidR="00AD424C" w:rsidRPr="00F86091">
        <w:rPr>
          <w:noProof/>
        </w:rPr>
        <w:t>A sound scientific basis is indispensable in underpinning any OSH action</w:t>
      </w:r>
      <w:r w:rsidR="00E602FA" w:rsidRPr="00F86091">
        <w:rPr>
          <w:noProof/>
        </w:rPr>
        <w:t>s</w:t>
      </w:r>
      <w:r w:rsidR="00AD424C" w:rsidRPr="00F86091">
        <w:rPr>
          <w:noProof/>
        </w:rPr>
        <w:t xml:space="preserve">, particularly in relation to dangerous substances. In this regard, the Commission sought advice from </w:t>
      </w:r>
      <w:r w:rsidR="000263B7">
        <w:rPr>
          <w:noProof/>
        </w:rPr>
        <w:t xml:space="preserve">the </w:t>
      </w:r>
      <w:r w:rsidR="00AD424C" w:rsidRPr="00F86091">
        <w:rPr>
          <w:noProof/>
        </w:rPr>
        <w:t>ECHA and its RAC.</w:t>
      </w:r>
    </w:p>
    <w:p w14:paraId="42863086" w14:textId="77777777" w:rsidR="0027685B" w:rsidRPr="00F86091" w:rsidRDefault="0027685B" w:rsidP="00D31AEF">
      <w:pPr>
        <w:pBdr>
          <w:top w:val="nil"/>
          <w:left w:val="nil"/>
          <w:bottom w:val="nil"/>
          <w:right w:val="nil"/>
          <w:between w:val="nil"/>
          <w:bar w:val="nil"/>
        </w:pBdr>
        <w:spacing w:before="0" w:after="240"/>
        <w:rPr>
          <w:noProof/>
        </w:rPr>
      </w:pPr>
      <w:r w:rsidRPr="00F86091">
        <w:rPr>
          <w:noProof/>
        </w:rPr>
        <w:t xml:space="preserve">The RAC develops high-quality comparative analytical knowledge and ensures that Commission proposals, decisions and policy on the protection of workers’ health and safety are based on sound scientific evidence. Members of the RAC are highly qualified, specialised, independent experts selected </w:t>
      </w:r>
      <w:r w:rsidR="00AB2BD1">
        <w:rPr>
          <w:noProof/>
        </w:rPr>
        <w:t xml:space="preserve">based </w:t>
      </w:r>
      <w:r w:rsidRPr="00F86091">
        <w:rPr>
          <w:noProof/>
        </w:rPr>
        <w:t>on objective criteria. They provide the Commission with opinions that are used to develop EU policy on workers’ protection.</w:t>
      </w:r>
    </w:p>
    <w:p w14:paraId="310067A9" w14:textId="77777777" w:rsidR="002F60A1" w:rsidRPr="00F86091" w:rsidRDefault="002F60A1" w:rsidP="00D31AEF">
      <w:pPr>
        <w:pBdr>
          <w:top w:val="nil"/>
          <w:left w:val="nil"/>
          <w:bottom w:val="nil"/>
          <w:right w:val="nil"/>
          <w:between w:val="nil"/>
          <w:bar w:val="nil"/>
        </w:pBdr>
        <w:spacing w:before="0" w:after="240"/>
        <w:rPr>
          <w:rFonts w:eastAsia="Arial Unicode MS"/>
          <w:noProof/>
        </w:rPr>
      </w:pPr>
      <w:r w:rsidRPr="00F86091">
        <w:rPr>
          <w:noProof/>
        </w:rPr>
        <w:t xml:space="preserve">For this initiative, </w:t>
      </w:r>
      <w:r w:rsidR="000263B7">
        <w:rPr>
          <w:noProof/>
        </w:rPr>
        <w:t xml:space="preserve">the </w:t>
      </w:r>
      <w:r w:rsidRPr="00F86091">
        <w:rPr>
          <w:noProof/>
        </w:rPr>
        <w:t xml:space="preserve">ECHA provided a scoping study </w:t>
      </w:r>
      <w:r w:rsidR="008651BD" w:rsidRPr="00F86091">
        <w:rPr>
          <w:noProof/>
        </w:rPr>
        <w:t>on welding fumes</w:t>
      </w:r>
      <w:r w:rsidR="007A5E2E" w:rsidRPr="00F86091">
        <w:rPr>
          <w:rStyle w:val="FootnoteReference"/>
          <w:noProof/>
        </w:rPr>
        <w:footnoteReference w:id="30"/>
      </w:r>
      <w:r w:rsidR="008651BD" w:rsidRPr="00F86091">
        <w:rPr>
          <w:noProof/>
        </w:rPr>
        <w:t xml:space="preserve"> and </w:t>
      </w:r>
      <w:r w:rsidR="00393293">
        <w:rPr>
          <w:noProof/>
        </w:rPr>
        <w:t xml:space="preserve">the </w:t>
      </w:r>
      <w:r w:rsidRPr="00F86091">
        <w:rPr>
          <w:noProof/>
        </w:rPr>
        <w:t xml:space="preserve">RAC </w:t>
      </w:r>
      <w:r w:rsidR="008651BD" w:rsidRPr="00F86091">
        <w:rPr>
          <w:noProof/>
        </w:rPr>
        <w:t>adopted</w:t>
      </w:r>
      <w:r w:rsidRPr="00F86091">
        <w:rPr>
          <w:noProof/>
        </w:rPr>
        <w:t xml:space="preserve"> </w:t>
      </w:r>
      <w:r w:rsidR="008651BD" w:rsidRPr="00F86091">
        <w:rPr>
          <w:noProof/>
        </w:rPr>
        <w:t>four</w:t>
      </w:r>
      <w:r w:rsidRPr="00F86091">
        <w:rPr>
          <w:noProof/>
        </w:rPr>
        <w:t xml:space="preserve"> scientific opinions</w:t>
      </w:r>
      <w:r w:rsidR="00E64594" w:rsidRPr="00F86091">
        <w:rPr>
          <w:rStyle w:val="FootnoteReference"/>
          <w:noProof/>
        </w:rPr>
        <w:footnoteReference w:id="31"/>
      </w:r>
      <w:r w:rsidRPr="00F86091">
        <w:rPr>
          <w:noProof/>
        </w:rPr>
        <w:t xml:space="preserve"> </w:t>
      </w:r>
      <w:r w:rsidR="00240B87" w:rsidRPr="00F86091">
        <w:rPr>
          <w:noProof/>
        </w:rPr>
        <w:t>evaluating the latest scientific data and proposing</w:t>
      </w:r>
      <w:r w:rsidRPr="00F86091">
        <w:rPr>
          <w:noProof/>
        </w:rPr>
        <w:t xml:space="preserve"> </w:t>
      </w:r>
      <w:r w:rsidR="008651BD" w:rsidRPr="00F86091">
        <w:rPr>
          <w:noProof/>
        </w:rPr>
        <w:t>limit values and relevant notations</w:t>
      </w:r>
      <w:r w:rsidRPr="00F86091">
        <w:rPr>
          <w:noProof/>
        </w:rPr>
        <w:t xml:space="preserve"> </w:t>
      </w:r>
      <w:r w:rsidR="00240B87" w:rsidRPr="00F86091">
        <w:rPr>
          <w:noProof/>
        </w:rPr>
        <w:t xml:space="preserve">for the protection of workers from chemical risks </w:t>
      </w:r>
      <w:r w:rsidRPr="00F86091">
        <w:rPr>
          <w:noProof/>
        </w:rPr>
        <w:t xml:space="preserve">on </w:t>
      </w:r>
      <w:r w:rsidR="008651BD" w:rsidRPr="00F86091">
        <w:rPr>
          <w:noProof/>
        </w:rPr>
        <w:t xml:space="preserve">cobalt and its inorganic compounds, PAHs, </w:t>
      </w:r>
      <w:r w:rsidR="007D7827">
        <w:rPr>
          <w:noProof/>
        </w:rPr>
        <w:t>1,4-dioxane</w:t>
      </w:r>
      <w:r w:rsidR="008651BD" w:rsidRPr="00F86091">
        <w:rPr>
          <w:noProof/>
        </w:rPr>
        <w:t xml:space="preserve"> and isoprene</w:t>
      </w:r>
      <w:r w:rsidRPr="00F86091">
        <w:rPr>
          <w:noProof/>
        </w:rPr>
        <w:t>.</w:t>
      </w:r>
    </w:p>
    <w:p w14:paraId="77959635" w14:textId="77777777" w:rsidR="007017A3" w:rsidRPr="00F86091" w:rsidRDefault="007017A3" w:rsidP="00AA1B8E">
      <w:pPr>
        <w:pStyle w:val="ManualHeading2"/>
        <w:spacing w:before="0" w:after="240"/>
        <w:rPr>
          <w:rFonts w:eastAsia="Arial Unicode MS"/>
          <w:noProof/>
          <w:u w:color="000000"/>
          <w:bdr w:val="nil"/>
          <w:lang w:eastAsia="en-GB"/>
        </w:rPr>
      </w:pPr>
      <w:r w:rsidRPr="00F86091">
        <w:rPr>
          <w:rFonts w:eastAsia="Arial Unicode MS"/>
          <w:noProof/>
          <w:u w:color="000000"/>
          <w:bdr w:val="nil"/>
          <w:lang w:eastAsia="en-GB"/>
        </w:rPr>
        <w:t>•</w:t>
      </w:r>
      <w:r w:rsidRPr="00F86091">
        <w:rPr>
          <w:rFonts w:eastAsia="Arial Unicode MS"/>
          <w:noProof/>
          <w:u w:color="000000"/>
          <w:bdr w:val="nil"/>
          <w:lang w:eastAsia="en-GB"/>
        </w:rPr>
        <w:tab/>
        <w:t>Impact assessment</w:t>
      </w:r>
    </w:p>
    <w:p w14:paraId="40B06AF6" w14:textId="77777777" w:rsidR="007017A3" w:rsidRPr="00F86091" w:rsidRDefault="3431ED26" w:rsidP="449BDA64">
      <w:pPr>
        <w:spacing w:before="0" w:after="240"/>
        <w:rPr>
          <w:noProof/>
        </w:rPr>
      </w:pPr>
      <w:r w:rsidRPr="00F86091">
        <w:rPr>
          <w:noProof/>
        </w:rPr>
        <w:t>This proposal is supported by an impact assessment report</w:t>
      </w:r>
      <w:r w:rsidR="009B6607">
        <w:rPr>
          <w:noProof/>
        </w:rPr>
        <w:t xml:space="preserve">, which </w:t>
      </w:r>
      <w:r w:rsidR="7CB20E53" w:rsidRPr="00F86091">
        <w:rPr>
          <w:noProof/>
        </w:rPr>
        <w:t>was presented</w:t>
      </w:r>
      <w:r w:rsidR="19C6328A" w:rsidRPr="00F86091">
        <w:rPr>
          <w:noProof/>
        </w:rPr>
        <w:t xml:space="preserve"> to and reviewed by the Regulatory Scrutiny Board on 29</w:t>
      </w:r>
      <w:r w:rsidR="00F86091">
        <w:rPr>
          <w:noProof/>
        </w:rPr>
        <w:t> </w:t>
      </w:r>
      <w:r w:rsidR="19C6328A" w:rsidRPr="00F86091">
        <w:rPr>
          <w:noProof/>
        </w:rPr>
        <w:t>May 2024</w:t>
      </w:r>
      <w:r w:rsidR="009B6607">
        <w:rPr>
          <w:noProof/>
        </w:rPr>
        <w:t xml:space="preserve">, which gave it </w:t>
      </w:r>
      <w:r w:rsidR="19C6328A" w:rsidRPr="00F86091">
        <w:rPr>
          <w:noProof/>
        </w:rPr>
        <w:t>a negative opinion dated 31</w:t>
      </w:r>
      <w:r w:rsidR="00F86091">
        <w:rPr>
          <w:noProof/>
        </w:rPr>
        <w:t> </w:t>
      </w:r>
      <w:r w:rsidR="19C6328A" w:rsidRPr="00F86091">
        <w:rPr>
          <w:noProof/>
        </w:rPr>
        <w:t xml:space="preserve">May 2024. The </w:t>
      </w:r>
      <w:r w:rsidR="00393293">
        <w:rPr>
          <w:noProof/>
        </w:rPr>
        <w:t>b</w:t>
      </w:r>
      <w:r w:rsidR="000263B7">
        <w:rPr>
          <w:noProof/>
        </w:rPr>
        <w:t>oard</w:t>
      </w:r>
      <w:r w:rsidR="19C6328A" w:rsidRPr="00F86091">
        <w:rPr>
          <w:noProof/>
        </w:rPr>
        <w:t xml:space="preserve">’s comments were addressed in </w:t>
      </w:r>
      <w:r w:rsidR="006741CD" w:rsidRPr="00F86091">
        <w:rPr>
          <w:noProof/>
        </w:rPr>
        <w:t xml:space="preserve">a revised version of </w:t>
      </w:r>
      <w:r w:rsidR="19C6328A" w:rsidRPr="00F86091">
        <w:rPr>
          <w:noProof/>
        </w:rPr>
        <w:t>the report</w:t>
      </w:r>
      <w:r w:rsidR="009B6607">
        <w:rPr>
          <w:noProof/>
        </w:rPr>
        <w:t>. This</w:t>
      </w:r>
      <w:r w:rsidR="006741CD" w:rsidRPr="00F86091">
        <w:rPr>
          <w:noProof/>
        </w:rPr>
        <w:t xml:space="preserve"> </w:t>
      </w:r>
      <w:r w:rsidR="009B6607">
        <w:rPr>
          <w:noProof/>
        </w:rPr>
        <w:t xml:space="preserve">version </w:t>
      </w:r>
      <w:r w:rsidR="006741CD" w:rsidRPr="00F86091">
        <w:rPr>
          <w:noProof/>
        </w:rPr>
        <w:t xml:space="preserve">was resubmitted to the </w:t>
      </w:r>
      <w:r w:rsidR="00393293">
        <w:rPr>
          <w:noProof/>
        </w:rPr>
        <w:t>b</w:t>
      </w:r>
      <w:r w:rsidR="000263B7">
        <w:rPr>
          <w:noProof/>
        </w:rPr>
        <w:t>oard</w:t>
      </w:r>
      <w:r w:rsidR="000263B7" w:rsidRPr="00F86091">
        <w:rPr>
          <w:noProof/>
        </w:rPr>
        <w:t xml:space="preserve"> </w:t>
      </w:r>
      <w:r w:rsidR="006741CD" w:rsidRPr="00F86091">
        <w:rPr>
          <w:noProof/>
        </w:rPr>
        <w:t>on 2</w:t>
      </w:r>
      <w:r w:rsidR="00F86091">
        <w:rPr>
          <w:noProof/>
        </w:rPr>
        <w:t> </w:t>
      </w:r>
      <w:r w:rsidR="006741CD" w:rsidRPr="00F86091">
        <w:rPr>
          <w:noProof/>
        </w:rPr>
        <w:t>December 2024</w:t>
      </w:r>
      <w:r w:rsidR="009B6607">
        <w:rPr>
          <w:noProof/>
        </w:rPr>
        <w:t xml:space="preserve">, which then gave it </w:t>
      </w:r>
      <w:r w:rsidR="00ED3F2C" w:rsidRPr="00F86091">
        <w:rPr>
          <w:noProof/>
        </w:rPr>
        <w:t xml:space="preserve">a positive </w:t>
      </w:r>
      <w:r w:rsidR="006741CD" w:rsidRPr="00F86091">
        <w:rPr>
          <w:noProof/>
        </w:rPr>
        <w:t>opinion</w:t>
      </w:r>
      <w:r w:rsidR="00ED3F2C" w:rsidRPr="00F86091">
        <w:rPr>
          <w:noProof/>
        </w:rPr>
        <w:t xml:space="preserve"> with reservations </w:t>
      </w:r>
      <w:r w:rsidR="006741CD" w:rsidRPr="00F86091">
        <w:rPr>
          <w:noProof/>
        </w:rPr>
        <w:t>on</w:t>
      </w:r>
      <w:r w:rsidR="00ED3F2C" w:rsidRPr="00F86091">
        <w:rPr>
          <w:noProof/>
        </w:rPr>
        <w:t xml:space="preserve"> 19</w:t>
      </w:r>
      <w:r w:rsidR="00F86091">
        <w:rPr>
          <w:noProof/>
        </w:rPr>
        <w:t> </w:t>
      </w:r>
      <w:r w:rsidR="00ED3F2C" w:rsidRPr="00F86091">
        <w:rPr>
          <w:noProof/>
        </w:rPr>
        <w:t xml:space="preserve">December </w:t>
      </w:r>
      <w:r w:rsidR="006741CD" w:rsidRPr="00F86091">
        <w:rPr>
          <w:noProof/>
        </w:rPr>
        <w:t>202</w:t>
      </w:r>
      <w:r w:rsidR="00ED3F2C" w:rsidRPr="00F86091">
        <w:rPr>
          <w:noProof/>
        </w:rPr>
        <w:t>4.</w:t>
      </w:r>
    </w:p>
    <w:p w14:paraId="4B043503" w14:textId="77777777" w:rsidR="00A606B1" w:rsidRPr="00F86091" w:rsidRDefault="698E00E1" w:rsidP="00F514AD">
      <w:pPr>
        <w:spacing w:before="0" w:after="240"/>
        <w:rPr>
          <w:rFonts w:eastAsia="Arial Unicode MS"/>
          <w:noProof/>
        </w:rPr>
      </w:pPr>
      <w:r w:rsidRPr="00F86091">
        <w:rPr>
          <w:noProof/>
        </w:rPr>
        <w:t xml:space="preserve">The following options for different limit values for each of the three carcinogens </w:t>
      </w:r>
      <w:r w:rsidR="23BDAE93" w:rsidRPr="00F86091">
        <w:rPr>
          <w:noProof/>
        </w:rPr>
        <w:t xml:space="preserve">or reprotoxic substances </w:t>
      </w:r>
      <w:r w:rsidRPr="00F86091">
        <w:rPr>
          <w:noProof/>
        </w:rPr>
        <w:t xml:space="preserve">were </w:t>
      </w:r>
      <w:r w:rsidR="42104BD6" w:rsidRPr="00F86091">
        <w:rPr>
          <w:noProof/>
        </w:rPr>
        <w:t>assessed</w:t>
      </w:r>
      <w:r w:rsidRPr="00F86091">
        <w:rPr>
          <w:noProof/>
        </w:rPr>
        <w:t>:</w:t>
      </w:r>
      <w:r w:rsidR="00240B87" w:rsidRPr="00F86091">
        <w:rPr>
          <w:noProof/>
        </w:rPr>
        <w:t xml:space="preserve"> (1) a</w:t>
      </w:r>
      <w:r w:rsidR="00A606B1" w:rsidRPr="00F86091">
        <w:rPr>
          <w:noProof/>
        </w:rPr>
        <w:t xml:space="preserve"> baseline scenario of no further EU action for each </w:t>
      </w:r>
      <w:r w:rsidR="00600B04" w:rsidRPr="00F86091">
        <w:rPr>
          <w:noProof/>
        </w:rPr>
        <w:t>substance</w:t>
      </w:r>
      <w:r w:rsidR="00A606B1" w:rsidRPr="00F86091">
        <w:rPr>
          <w:noProof/>
        </w:rPr>
        <w:t xml:space="preserve"> </w:t>
      </w:r>
      <w:r w:rsidR="00600B04" w:rsidRPr="00F86091">
        <w:rPr>
          <w:noProof/>
        </w:rPr>
        <w:t>subject to this</w:t>
      </w:r>
      <w:r w:rsidR="00A606B1" w:rsidRPr="00F86091">
        <w:rPr>
          <w:noProof/>
        </w:rPr>
        <w:t xml:space="preserve"> initiative</w:t>
      </w:r>
      <w:r w:rsidR="00600B04" w:rsidRPr="00F86091">
        <w:rPr>
          <w:noProof/>
        </w:rPr>
        <w:t xml:space="preserve">; </w:t>
      </w:r>
      <w:r w:rsidR="00F84C28" w:rsidRPr="00F86091">
        <w:rPr>
          <w:noProof/>
        </w:rPr>
        <w:t xml:space="preserve">and </w:t>
      </w:r>
      <w:r w:rsidR="00240B87" w:rsidRPr="00F86091">
        <w:rPr>
          <w:noProof/>
        </w:rPr>
        <w:t xml:space="preserve">(2) </w:t>
      </w:r>
      <w:r w:rsidR="42104BD6" w:rsidRPr="00F86091">
        <w:rPr>
          <w:noProof/>
        </w:rPr>
        <w:t xml:space="preserve">options for </w:t>
      </w:r>
      <w:r w:rsidR="119ABF51" w:rsidRPr="00F86091">
        <w:rPr>
          <w:noProof/>
        </w:rPr>
        <w:t>limit values</w:t>
      </w:r>
      <w:r w:rsidR="006741CD" w:rsidRPr="00F86091">
        <w:rPr>
          <w:noProof/>
        </w:rPr>
        <w:t xml:space="preserve"> (including some accompanied by transitional values)</w:t>
      </w:r>
      <w:r w:rsidR="42104BD6" w:rsidRPr="00F86091">
        <w:rPr>
          <w:noProof/>
        </w:rPr>
        <w:t xml:space="preserve"> at the level proposed by the ACSH and at additional reference points (</w:t>
      </w:r>
      <w:r w:rsidR="003A352B" w:rsidRPr="00F86091">
        <w:rPr>
          <w:noProof/>
        </w:rPr>
        <w:t>including</w:t>
      </w:r>
      <w:r w:rsidR="119ABF51" w:rsidRPr="00F86091">
        <w:rPr>
          <w:noProof/>
        </w:rPr>
        <w:t xml:space="preserve"> limit values</w:t>
      </w:r>
      <w:r w:rsidR="42104BD6" w:rsidRPr="00F86091">
        <w:rPr>
          <w:noProof/>
        </w:rPr>
        <w:t xml:space="preserve"> derived by </w:t>
      </w:r>
      <w:r w:rsidR="00FE4071">
        <w:rPr>
          <w:noProof/>
        </w:rPr>
        <w:t xml:space="preserve">the </w:t>
      </w:r>
      <w:r w:rsidR="42104BD6" w:rsidRPr="00F86091">
        <w:rPr>
          <w:noProof/>
        </w:rPr>
        <w:t>RAC)</w:t>
      </w:r>
      <w:r w:rsidR="6647552C" w:rsidRPr="00F86091">
        <w:rPr>
          <w:noProof/>
        </w:rPr>
        <w:t>.</w:t>
      </w:r>
    </w:p>
    <w:p w14:paraId="7B727F2A" w14:textId="77777777" w:rsidR="00E06768" w:rsidRPr="00F86091" w:rsidRDefault="7E575CFE" w:rsidP="449BDA64">
      <w:pPr>
        <w:spacing w:before="0" w:after="240"/>
        <w:rPr>
          <w:noProof/>
        </w:rPr>
      </w:pPr>
      <w:r w:rsidRPr="00F86091">
        <w:rPr>
          <w:rFonts w:eastAsia="Arial Unicode MS"/>
          <w:noProof/>
        </w:rPr>
        <w:t xml:space="preserve">Based on this </w:t>
      </w:r>
      <w:r w:rsidR="00062AD2" w:rsidRPr="00F86091">
        <w:rPr>
          <w:rFonts w:eastAsia="Arial Unicode MS"/>
          <w:noProof/>
        </w:rPr>
        <w:t>impact assessment</w:t>
      </w:r>
      <w:r w:rsidR="3267237B" w:rsidRPr="00F86091">
        <w:rPr>
          <w:rFonts w:eastAsia="Arial Unicode MS"/>
          <w:noProof/>
        </w:rPr>
        <w:t xml:space="preserve">, </w:t>
      </w:r>
      <w:r w:rsidR="00FE4071">
        <w:rPr>
          <w:rFonts w:eastAsia="Arial Unicode MS"/>
          <w:noProof/>
        </w:rPr>
        <w:t xml:space="preserve">the </w:t>
      </w:r>
      <w:r w:rsidR="2E8E8ED4" w:rsidRPr="00F86091">
        <w:rPr>
          <w:noProof/>
        </w:rPr>
        <w:t xml:space="preserve">limit values </w:t>
      </w:r>
      <w:r w:rsidR="0D47B20D" w:rsidRPr="00F86091">
        <w:rPr>
          <w:noProof/>
        </w:rPr>
        <w:t xml:space="preserve">and approach </w:t>
      </w:r>
      <w:r w:rsidR="2E8E8ED4" w:rsidRPr="00F86091">
        <w:rPr>
          <w:noProof/>
        </w:rPr>
        <w:t xml:space="preserve">recommended by the ACSH have been </w:t>
      </w:r>
      <w:r w:rsidR="00E74432">
        <w:rPr>
          <w:noProof/>
        </w:rPr>
        <w:t>chosen</w:t>
      </w:r>
      <w:r w:rsidR="00E74432" w:rsidRPr="00F86091">
        <w:rPr>
          <w:noProof/>
        </w:rPr>
        <w:t xml:space="preserve"> </w:t>
      </w:r>
      <w:r w:rsidR="2E8E8ED4" w:rsidRPr="00F86091">
        <w:rPr>
          <w:noProof/>
        </w:rPr>
        <w:t xml:space="preserve">as </w:t>
      </w:r>
      <w:r w:rsidR="00E74432">
        <w:rPr>
          <w:noProof/>
        </w:rPr>
        <w:t xml:space="preserve">the </w:t>
      </w:r>
      <w:r w:rsidR="2E8E8ED4" w:rsidRPr="00F86091">
        <w:rPr>
          <w:noProof/>
        </w:rPr>
        <w:t xml:space="preserve">preferred options for cobalt and inorganic cobalt compounds, PAHs, </w:t>
      </w:r>
      <w:r w:rsidR="007D7827">
        <w:rPr>
          <w:noProof/>
        </w:rPr>
        <w:t>1,4-dioxane</w:t>
      </w:r>
      <w:r w:rsidR="2E8E8ED4" w:rsidRPr="00F86091">
        <w:rPr>
          <w:noProof/>
        </w:rPr>
        <w:t xml:space="preserve"> and welding fumes. In the absence of </w:t>
      </w:r>
      <w:r w:rsidR="003A352B" w:rsidRPr="00F86091">
        <w:rPr>
          <w:noProof/>
        </w:rPr>
        <w:t xml:space="preserve">health </w:t>
      </w:r>
      <w:r w:rsidR="2E8E8ED4" w:rsidRPr="00F86091">
        <w:rPr>
          <w:noProof/>
        </w:rPr>
        <w:t>benefits resulting from the different policy options for isoprene</w:t>
      </w:r>
      <w:r w:rsidR="00C562CC">
        <w:rPr>
          <w:noProof/>
        </w:rPr>
        <w:t>,</w:t>
      </w:r>
      <w:r w:rsidR="003A352B" w:rsidRPr="00F86091">
        <w:rPr>
          <w:noProof/>
        </w:rPr>
        <w:t xml:space="preserve"> as worker</w:t>
      </w:r>
      <w:r w:rsidR="00FE4071">
        <w:rPr>
          <w:noProof/>
        </w:rPr>
        <w:t>s</w:t>
      </w:r>
      <w:r w:rsidR="003A352B" w:rsidRPr="00F86091">
        <w:rPr>
          <w:noProof/>
        </w:rPr>
        <w:t xml:space="preserve">’ exposure is already lower than the health-based value derived by </w:t>
      </w:r>
      <w:r w:rsidR="00FE4071">
        <w:rPr>
          <w:noProof/>
        </w:rPr>
        <w:t xml:space="preserve">the </w:t>
      </w:r>
      <w:r w:rsidR="003A352B" w:rsidRPr="00F86091">
        <w:rPr>
          <w:noProof/>
        </w:rPr>
        <w:t>RAC</w:t>
      </w:r>
      <w:r w:rsidR="2E8E8ED4" w:rsidRPr="00F86091">
        <w:rPr>
          <w:noProof/>
        </w:rPr>
        <w:t>, the baseline scenario was preferred.</w:t>
      </w:r>
      <w:r w:rsidR="79EA6A0E" w:rsidRPr="00F86091">
        <w:rPr>
          <w:noProof/>
        </w:rPr>
        <w:t xml:space="preserve"> The package of </w:t>
      </w:r>
      <w:r w:rsidR="7ED81BC3" w:rsidRPr="00F86091">
        <w:rPr>
          <w:noProof/>
        </w:rPr>
        <w:t>preferred options includes transitional values for cobalt and its inorganic compounds and for PAHs.</w:t>
      </w:r>
    </w:p>
    <w:p w14:paraId="72856E9B" w14:textId="77777777" w:rsidR="00333F21" w:rsidRPr="00F86091" w:rsidRDefault="00FE4071" w:rsidP="007C0C63">
      <w:pPr>
        <w:rPr>
          <w:noProof/>
        </w:rPr>
      </w:pPr>
      <w:bookmarkStart w:id="9" w:name="_Hlk188979182"/>
      <w:r>
        <w:rPr>
          <w:noProof/>
        </w:rPr>
        <w:t xml:space="preserve">For </w:t>
      </w:r>
      <w:r w:rsidR="4CDE1D8C" w:rsidRPr="00F86091">
        <w:rPr>
          <w:noProof/>
        </w:rPr>
        <w:t>cobalt and inorganic cobalt compounds, the ACSH</w:t>
      </w:r>
      <w:r>
        <w:rPr>
          <w:noProof/>
        </w:rPr>
        <w:t>'s opinion</w:t>
      </w:r>
      <w:r w:rsidR="4CDE1D8C" w:rsidRPr="00F86091">
        <w:rPr>
          <w:noProof/>
        </w:rPr>
        <w:t xml:space="preserve"> recommended transitional limit value</w:t>
      </w:r>
      <w:r w:rsidR="208CC047" w:rsidRPr="00F86091">
        <w:rPr>
          <w:noProof/>
        </w:rPr>
        <w:t>s</w:t>
      </w:r>
      <w:r w:rsidR="4CDE1D8C" w:rsidRPr="00F86091">
        <w:rPr>
          <w:noProof/>
        </w:rPr>
        <w:t xml:space="preserve"> of</w:t>
      </w:r>
      <w:r w:rsidR="208CC047" w:rsidRPr="00F86091">
        <w:rPr>
          <w:noProof/>
        </w:rPr>
        <w:t xml:space="preserve"> 20</w:t>
      </w:r>
      <w:r>
        <w:rPr>
          <w:noProof/>
        </w:rPr>
        <w:t> </w:t>
      </w:r>
      <w:r w:rsidR="208CC047" w:rsidRPr="00F86091">
        <w:rPr>
          <w:noProof/>
        </w:rPr>
        <w:t>µg/m³</w:t>
      </w:r>
      <w:r w:rsidR="00B47CC2" w:rsidRPr="00F86091">
        <w:rPr>
          <w:rStyle w:val="FootnoteReference"/>
          <w:noProof/>
        </w:rPr>
        <w:footnoteReference w:id="32"/>
      </w:r>
      <w:r w:rsidR="208CC047" w:rsidRPr="00F86091">
        <w:rPr>
          <w:noProof/>
        </w:rPr>
        <w:t xml:space="preserve"> / 4</w:t>
      </w:r>
      <w:r w:rsidR="007D7827">
        <w:rPr>
          <w:noProof/>
        </w:rPr>
        <w:t>,</w:t>
      </w:r>
      <w:r w:rsidR="208CC047" w:rsidRPr="00F86091">
        <w:rPr>
          <w:noProof/>
        </w:rPr>
        <w:t>2</w:t>
      </w:r>
      <w:r>
        <w:rPr>
          <w:noProof/>
        </w:rPr>
        <w:t> </w:t>
      </w:r>
      <w:r w:rsidR="208CC047" w:rsidRPr="00F86091">
        <w:rPr>
          <w:noProof/>
        </w:rPr>
        <w:t>µg/m³</w:t>
      </w:r>
      <w:r w:rsidR="00B47CC2" w:rsidRPr="00F86091">
        <w:rPr>
          <w:rStyle w:val="FootnoteReference"/>
          <w:noProof/>
        </w:rPr>
        <w:footnoteReference w:id="33"/>
      </w:r>
      <w:r>
        <w:rPr>
          <w:noProof/>
        </w:rPr>
        <w:t xml:space="preserve"> for six years</w:t>
      </w:r>
      <w:r w:rsidR="47C860B6" w:rsidRPr="00F86091">
        <w:rPr>
          <w:noProof/>
        </w:rPr>
        <w:t>.</w:t>
      </w:r>
      <w:r w:rsidR="6D0461FF" w:rsidRPr="00F86091">
        <w:rPr>
          <w:noProof/>
        </w:rPr>
        <w:t xml:space="preserve"> </w:t>
      </w:r>
      <w:r w:rsidR="4CC842D8" w:rsidRPr="00F86091">
        <w:rPr>
          <w:noProof/>
        </w:rPr>
        <w:t>These transitional values</w:t>
      </w:r>
      <w:r w:rsidR="6D0461FF" w:rsidRPr="00F86091">
        <w:rPr>
          <w:noProof/>
        </w:rPr>
        <w:t xml:space="preserve"> apply to all sectors, giving </w:t>
      </w:r>
      <w:r>
        <w:rPr>
          <w:noProof/>
        </w:rPr>
        <w:t xml:space="preserve">businesses </w:t>
      </w:r>
      <w:r w:rsidR="6D0461FF" w:rsidRPr="00F86091">
        <w:rPr>
          <w:noProof/>
        </w:rPr>
        <w:t xml:space="preserve">more time to plan their investments and allowing </w:t>
      </w:r>
      <w:r>
        <w:rPr>
          <w:noProof/>
        </w:rPr>
        <w:t xml:space="preserve">them </w:t>
      </w:r>
      <w:r w:rsidR="003A352B" w:rsidRPr="00F86091">
        <w:rPr>
          <w:noProof/>
        </w:rPr>
        <w:t xml:space="preserve">to </w:t>
      </w:r>
      <w:r w:rsidR="6D0461FF" w:rsidRPr="00F86091">
        <w:rPr>
          <w:noProof/>
        </w:rPr>
        <w:t xml:space="preserve">spread the substantial one-off investments (about 70% of the total investments in additional </w:t>
      </w:r>
      <w:r w:rsidR="0294E2F3" w:rsidRPr="00F86091">
        <w:rPr>
          <w:noProof/>
        </w:rPr>
        <w:t>RMMs</w:t>
      </w:r>
      <w:r w:rsidR="6D0461FF" w:rsidRPr="00F86091">
        <w:rPr>
          <w:noProof/>
        </w:rPr>
        <w:t xml:space="preserve">) over </w:t>
      </w:r>
      <w:r>
        <w:rPr>
          <w:noProof/>
        </w:rPr>
        <w:t>more</w:t>
      </w:r>
      <w:r w:rsidR="6D0461FF" w:rsidRPr="00F86091">
        <w:rPr>
          <w:noProof/>
        </w:rPr>
        <w:t xml:space="preserve"> years.</w:t>
      </w:r>
      <w:r w:rsidR="006741CD" w:rsidRPr="00F86091">
        <w:rPr>
          <w:noProof/>
        </w:rPr>
        <w:t xml:space="preserve"> This transitional value </w:t>
      </w:r>
      <w:r w:rsidR="000321A4" w:rsidRPr="00F86091">
        <w:rPr>
          <w:noProof/>
        </w:rPr>
        <w:t>was</w:t>
      </w:r>
      <w:r w:rsidR="6D0461FF" w:rsidRPr="00F86091">
        <w:rPr>
          <w:noProof/>
        </w:rPr>
        <w:t xml:space="preserve"> strongly recommended by the social partners and Member States within the ACSH and </w:t>
      </w:r>
      <w:r w:rsidR="00C562CC">
        <w:rPr>
          <w:noProof/>
        </w:rPr>
        <w:t xml:space="preserve">should help mitigate </w:t>
      </w:r>
      <w:r w:rsidR="6D0461FF" w:rsidRPr="00F86091">
        <w:rPr>
          <w:noProof/>
        </w:rPr>
        <w:t xml:space="preserve">the negative impacts </w:t>
      </w:r>
      <w:r w:rsidR="003A352B" w:rsidRPr="00F86091">
        <w:rPr>
          <w:noProof/>
        </w:rPr>
        <w:t xml:space="preserve">of </w:t>
      </w:r>
      <w:r w:rsidR="6D0461FF" w:rsidRPr="00F86091">
        <w:rPr>
          <w:noProof/>
        </w:rPr>
        <w:t>compliance costs for businesses.</w:t>
      </w:r>
    </w:p>
    <w:bookmarkEnd w:id="9"/>
    <w:p w14:paraId="03F1365C" w14:textId="77777777" w:rsidR="00122D9D" w:rsidRPr="00F86091" w:rsidRDefault="00C47A7C" w:rsidP="007C0C63">
      <w:pPr>
        <w:rPr>
          <w:noProof/>
        </w:rPr>
      </w:pPr>
      <w:r>
        <w:rPr>
          <w:noProof/>
        </w:rPr>
        <w:t>For</w:t>
      </w:r>
      <w:r w:rsidR="00B002A4" w:rsidRPr="00F86091">
        <w:rPr>
          <w:noProof/>
        </w:rPr>
        <w:t xml:space="preserve"> </w:t>
      </w:r>
      <w:r w:rsidR="00572A33" w:rsidRPr="00F86091">
        <w:rPr>
          <w:noProof/>
        </w:rPr>
        <w:t xml:space="preserve">PAHs, </w:t>
      </w:r>
      <w:r w:rsidR="00122D9D" w:rsidRPr="00F86091">
        <w:rPr>
          <w:noProof/>
        </w:rPr>
        <w:t>the transitional value of 140</w:t>
      </w:r>
      <w:r w:rsidR="00572086">
        <w:rPr>
          <w:noProof/>
        </w:rPr>
        <w:t> </w:t>
      </w:r>
      <w:r w:rsidR="00122D9D" w:rsidRPr="00F86091">
        <w:rPr>
          <w:noProof/>
        </w:rPr>
        <w:t>ng/m³ (</w:t>
      </w:r>
      <w:r w:rsidR="00122D9D" w:rsidRPr="00A00262">
        <w:rPr>
          <w:noProof/>
        </w:rPr>
        <w:t xml:space="preserve">double the preferred option) would apply </w:t>
      </w:r>
      <w:r w:rsidR="00572086" w:rsidRPr="00A00262">
        <w:rPr>
          <w:noProof/>
        </w:rPr>
        <w:t xml:space="preserve">for </w:t>
      </w:r>
      <w:r w:rsidR="003A352B" w:rsidRPr="00A00262">
        <w:rPr>
          <w:noProof/>
        </w:rPr>
        <w:t xml:space="preserve">six </w:t>
      </w:r>
      <w:r w:rsidR="00122D9D" w:rsidRPr="00A00262">
        <w:rPr>
          <w:noProof/>
        </w:rPr>
        <w:t xml:space="preserve">years and would be limited to </w:t>
      </w:r>
      <w:r w:rsidR="003A352B" w:rsidRPr="00A00262">
        <w:rPr>
          <w:noProof/>
        </w:rPr>
        <w:t xml:space="preserve">nine </w:t>
      </w:r>
      <w:r w:rsidR="00122D9D" w:rsidRPr="00A00262">
        <w:rPr>
          <w:noProof/>
        </w:rPr>
        <w:t xml:space="preserve">sectors: (1) steel and iron foundries, which includes ferroalloy manufacturers, (2) aluminium manufacturers, (3) carbon and graphite electrode manufacturers, (4) coking plants, (5) coal tar distillation, (6) refractory products manufacturers, (7) </w:t>
      </w:r>
      <w:r w:rsidR="00651A0E" w:rsidRPr="00A00262">
        <w:rPr>
          <w:noProof/>
        </w:rPr>
        <w:t>welding of train tracks</w:t>
      </w:r>
      <w:r w:rsidR="00122D9D" w:rsidRPr="00A00262">
        <w:rPr>
          <w:noProof/>
        </w:rPr>
        <w:t xml:space="preserve">, (8) other non-ferrous metallurgical processes, and (9) </w:t>
      </w:r>
      <w:r w:rsidR="00651A0E" w:rsidRPr="00A00262">
        <w:rPr>
          <w:noProof/>
        </w:rPr>
        <w:t>casting of metals</w:t>
      </w:r>
      <w:r w:rsidR="00122D9D" w:rsidRPr="00A00262">
        <w:rPr>
          <w:noProof/>
        </w:rPr>
        <w:t>. Among the total number of companies with workers</w:t>
      </w:r>
      <w:r w:rsidR="00122D9D" w:rsidRPr="00F86091">
        <w:rPr>
          <w:noProof/>
        </w:rPr>
        <w:t xml:space="preserve"> </w:t>
      </w:r>
      <w:r w:rsidR="00572086" w:rsidRPr="00F86091">
        <w:rPr>
          <w:noProof/>
        </w:rPr>
        <w:t xml:space="preserve">exposed </w:t>
      </w:r>
      <w:r w:rsidR="00122D9D" w:rsidRPr="00F86091">
        <w:rPr>
          <w:noProof/>
        </w:rPr>
        <w:t xml:space="preserve">to PAHs, </w:t>
      </w:r>
      <w:r w:rsidR="00C562CC">
        <w:rPr>
          <w:noProof/>
        </w:rPr>
        <w:t xml:space="preserve">companies in </w:t>
      </w:r>
      <w:r w:rsidR="00122D9D" w:rsidRPr="00F86091">
        <w:rPr>
          <w:noProof/>
        </w:rPr>
        <w:t xml:space="preserve">these </w:t>
      </w:r>
      <w:r w:rsidR="003A352B" w:rsidRPr="00F86091">
        <w:rPr>
          <w:noProof/>
        </w:rPr>
        <w:t xml:space="preserve">nine </w:t>
      </w:r>
      <w:r w:rsidR="00122D9D" w:rsidRPr="00F86091">
        <w:rPr>
          <w:noProof/>
        </w:rPr>
        <w:t>sectors are expected to face high</w:t>
      </w:r>
      <w:r w:rsidR="003A352B" w:rsidRPr="00F86091">
        <w:rPr>
          <w:noProof/>
        </w:rPr>
        <w:t>er</w:t>
      </w:r>
      <w:r w:rsidR="00122D9D" w:rsidRPr="00F86091">
        <w:rPr>
          <w:noProof/>
        </w:rPr>
        <w:t xml:space="preserve"> costs and/or are at risk of discontinuation. </w:t>
      </w:r>
      <w:r w:rsidR="006741CD" w:rsidRPr="00F86091">
        <w:rPr>
          <w:noProof/>
        </w:rPr>
        <w:t>This transitional value</w:t>
      </w:r>
      <w:r w:rsidR="00122D9D" w:rsidRPr="00F86091">
        <w:rPr>
          <w:noProof/>
        </w:rPr>
        <w:t xml:space="preserve"> give</w:t>
      </w:r>
      <w:r w:rsidR="003A352B" w:rsidRPr="00F86091">
        <w:rPr>
          <w:noProof/>
        </w:rPr>
        <w:t>s</w:t>
      </w:r>
      <w:r w:rsidR="00122D9D" w:rsidRPr="00F86091">
        <w:rPr>
          <w:noProof/>
        </w:rPr>
        <w:t xml:space="preserve"> </w:t>
      </w:r>
      <w:r w:rsidR="00C562CC">
        <w:rPr>
          <w:noProof/>
        </w:rPr>
        <w:t>companies</w:t>
      </w:r>
      <w:r w:rsidR="00122D9D" w:rsidRPr="00F86091">
        <w:rPr>
          <w:noProof/>
        </w:rPr>
        <w:t xml:space="preserve"> </w:t>
      </w:r>
      <w:r w:rsidR="00C562CC">
        <w:rPr>
          <w:noProof/>
        </w:rPr>
        <w:t xml:space="preserve">more time </w:t>
      </w:r>
      <w:r w:rsidR="00122D9D" w:rsidRPr="00F86091">
        <w:rPr>
          <w:noProof/>
        </w:rPr>
        <w:t>to plan their investments and allow</w:t>
      </w:r>
      <w:r w:rsidR="003A352B" w:rsidRPr="00F86091">
        <w:rPr>
          <w:noProof/>
        </w:rPr>
        <w:t>s</w:t>
      </w:r>
      <w:r w:rsidR="00122D9D" w:rsidRPr="00F86091">
        <w:rPr>
          <w:noProof/>
        </w:rPr>
        <w:t xml:space="preserve"> </w:t>
      </w:r>
      <w:r w:rsidR="001340FA">
        <w:rPr>
          <w:noProof/>
        </w:rPr>
        <w:t>them to spread</w:t>
      </w:r>
      <w:r w:rsidR="00122D9D" w:rsidRPr="00F86091">
        <w:rPr>
          <w:noProof/>
        </w:rPr>
        <w:t xml:space="preserve"> the substantial one-off investments over </w:t>
      </w:r>
      <w:r w:rsidR="001340FA">
        <w:rPr>
          <w:noProof/>
        </w:rPr>
        <w:t xml:space="preserve">more </w:t>
      </w:r>
      <w:r w:rsidR="00122D9D" w:rsidRPr="00F86091">
        <w:rPr>
          <w:noProof/>
        </w:rPr>
        <w:t xml:space="preserve">years, reducing </w:t>
      </w:r>
      <w:r w:rsidR="003A352B" w:rsidRPr="00F86091">
        <w:rPr>
          <w:noProof/>
        </w:rPr>
        <w:t xml:space="preserve">the negative economic impacts and </w:t>
      </w:r>
      <w:r w:rsidR="00122D9D" w:rsidRPr="00F86091">
        <w:rPr>
          <w:noProof/>
        </w:rPr>
        <w:t>the number of discontinuations.</w:t>
      </w:r>
    </w:p>
    <w:p w14:paraId="57BF1940" w14:textId="77777777" w:rsidR="00062AD2" w:rsidRPr="00F86091" w:rsidRDefault="00062AD2" w:rsidP="007C0C63">
      <w:pPr>
        <w:rPr>
          <w:noProof/>
        </w:rPr>
      </w:pPr>
      <w:r w:rsidRPr="00F86091">
        <w:rPr>
          <w:noProof/>
        </w:rPr>
        <w:t>The package of preferred options</w:t>
      </w:r>
      <w:r w:rsidR="003A352B" w:rsidRPr="00F86091">
        <w:rPr>
          <w:noProof/>
        </w:rPr>
        <w:t xml:space="preserve"> is assessed to</w:t>
      </w:r>
      <w:r w:rsidRPr="00F86091">
        <w:rPr>
          <w:noProof/>
        </w:rPr>
        <w:t xml:space="preserve"> </w:t>
      </w:r>
      <w:r w:rsidR="00B13DE4" w:rsidRPr="00F86091">
        <w:rPr>
          <w:noProof/>
        </w:rPr>
        <w:t>entail</w:t>
      </w:r>
      <w:r w:rsidRPr="00F86091">
        <w:rPr>
          <w:noProof/>
        </w:rPr>
        <w:t xml:space="preserve"> the following </w:t>
      </w:r>
      <w:r w:rsidR="00DB63C7" w:rsidRPr="00F86091">
        <w:rPr>
          <w:noProof/>
        </w:rPr>
        <w:t>impacts (more detailed information is available in the impact assessment accompanying this initiative)</w:t>
      </w:r>
      <w:r w:rsidRPr="00F86091">
        <w:rPr>
          <w:noProof/>
        </w:rPr>
        <w:t>:</w:t>
      </w:r>
    </w:p>
    <w:p w14:paraId="59387E12" w14:textId="77777777" w:rsidR="00B002A4" w:rsidRPr="00F86091" w:rsidRDefault="0059779F" w:rsidP="007C0C63">
      <w:pPr>
        <w:rPr>
          <w:i/>
          <w:iCs/>
          <w:noProof/>
        </w:rPr>
      </w:pPr>
      <w:r w:rsidRPr="00F86091">
        <w:rPr>
          <w:i/>
          <w:iCs/>
          <w:noProof/>
        </w:rPr>
        <w:t>Overall impacts on workers</w:t>
      </w:r>
    </w:p>
    <w:p w14:paraId="67495FDD" w14:textId="77777777" w:rsidR="00E82F5D" w:rsidRPr="00F86091" w:rsidRDefault="00E82F5D" w:rsidP="000859C9">
      <w:pPr>
        <w:spacing w:before="0" w:after="240"/>
        <w:rPr>
          <w:noProof/>
        </w:rPr>
      </w:pPr>
      <w:r w:rsidRPr="00F86091">
        <w:rPr>
          <w:noProof/>
        </w:rPr>
        <w:t>Overall, the preferred options are expected to prevent 1</w:t>
      </w:r>
      <w:r w:rsidR="00F86091">
        <w:rPr>
          <w:noProof/>
        </w:rPr>
        <w:t> </w:t>
      </w:r>
      <w:r w:rsidRPr="00F86091">
        <w:rPr>
          <w:noProof/>
        </w:rPr>
        <w:t>6</w:t>
      </w:r>
      <w:r w:rsidR="00A94240" w:rsidRPr="00F86091">
        <w:rPr>
          <w:noProof/>
        </w:rPr>
        <w:t>76</w:t>
      </w:r>
      <w:r w:rsidRPr="00F86091">
        <w:rPr>
          <w:noProof/>
        </w:rPr>
        <w:t xml:space="preserve"> lung cancer cases and 18</w:t>
      </w:r>
      <w:r w:rsidR="00F86091">
        <w:rPr>
          <w:noProof/>
        </w:rPr>
        <w:t> </w:t>
      </w:r>
      <w:r w:rsidRPr="00F86091">
        <w:rPr>
          <w:noProof/>
        </w:rPr>
        <w:t>912 non-cancer cases</w:t>
      </w:r>
      <w:r w:rsidRPr="00F86091">
        <w:rPr>
          <w:rStyle w:val="FootnoteReference"/>
          <w:noProof/>
        </w:rPr>
        <w:footnoteReference w:id="34"/>
      </w:r>
      <w:r w:rsidRPr="00F86091">
        <w:rPr>
          <w:noProof/>
        </w:rPr>
        <w:t xml:space="preserve"> over 40 years. </w:t>
      </w:r>
      <w:r w:rsidR="00C562CC">
        <w:rPr>
          <w:noProof/>
        </w:rPr>
        <w:t>Th</w:t>
      </w:r>
      <w:r w:rsidRPr="00F86091">
        <w:rPr>
          <w:noProof/>
        </w:rPr>
        <w:t xml:space="preserve">ese ill-health cases </w:t>
      </w:r>
      <w:r w:rsidR="00C562CC">
        <w:rPr>
          <w:noProof/>
        </w:rPr>
        <w:t xml:space="preserve">prevented </w:t>
      </w:r>
      <w:r w:rsidR="00DC2CB2">
        <w:rPr>
          <w:noProof/>
        </w:rPr>
        <w:t xml:space="preserve">would </w:t>
      </w:r>
      <w:r w:rsidRPr="00F86091">
        <w:rPr>
          <w:noProof/>
        </w:rPr>
        <w:t xml:space="preserve">represent savings </w:t>
      </w:r>
      <w:r w:rsidR="006242C1" w:rsidRPr="00F86091">
        <w:rPr>
          <w:noProof/>
        </w:rPr>
        <w:t xml:space="preserve">to governments and businesses </w:t>
      </w:r>
      <w:r w:rsidR="00C562CC">
        <w:rPr>
          <w:noProof/>
        </w:rPr>
        <w:t>totalling</w:t>
      </w:r>
      <w:r w:rsidRPr="00F86091">
        <w:rPr>
          <w:noProof/>
        </w:rPr>
        <w:t xml:space="preserve"> up to </w:t>
      </w:r>
      <w:r w:rsidR="00401DB1">
        <w:rPr>
          <w:noProof/>
        </w:rPr>
        <w:t>EUR </w:t>
      </w:r>
      <w:r w:rsidRPr="00F86091">
        <w:rPr>
          <w:noProof/>
        </w:rPr>
        <w:t>1.1</w:t>
      </w:r>
      <w:r w:rsidR="00A94240" w:rsidRPr="00F86091">
        <w:rPr>
          <w:noProof/>
        </w:rPr>
        <w:t>6</w:t>
      </w:r>
      <w:r w:rsidRPr="00F86091">
        <w:rPr>
          <w:noProof/>
        </w:rPr>
        <w:t xml:space="preserve"> billion</w:t>
      </w:r>
      <w:r w:rsidRPr="00F86091">
        <w:rPr>
          <w:rStyle w:val="FootnoteReference"/>
          <w:noProof/>
        </w:rPr>
        <w:footnoteReference w:id="35"/>
      </w:r>
      <w:r w:rsidRPr="00F86091">
        <w:rPr>
          <w:noProof/>
        </w:rPr>
        <w:t xml:space="preserve">. </w:t>
      </w:r>
      <w:r w:rsidR="0054133D">
        <w:rPr>
          <w:noProof/>
        </w:rPr>
        <w:t>T</w:t>
      </w:r>
      <w:r w:rsidRPr="00F86091">
        <w:rPr>
          <w:noProof/>
        </w:rPr>
        <w:t>he benefits</w:t>
      </w:r>
      <w:r w:rsidR="0054133D">
        <w:rPr>
          <w:noProof/>
        </w:rPr>
        <w:t xml:space="preserve"> of </w:t>
      </w:r>
      <w:r w:rsidRPr="00F86091">
        <w:rPr>
          <w:noProof/>
        </w:rPr>
        <w:t xml:space="preserve">the preferred options </w:t>
      </w:r>
      <w:r w:rsidR="00F06F32">
        <w:rPr>
          <w:noProof/>
        </w:rPr>
        <w:t>would</w:t>
      </w:r>
      <w:r w:rsidR="00F06F32" w:rsidRPr="00F86091">
        <w:rPr>
          <w:noProof/>
        </w:rPr>
        <w:t xml:space="preserve">, however, </w:t>
      </w:r>
      <w:r w:rsidR="00F06F32">
        <w:rPr>
          <w:noProof/>
        </w:rPr>
        <w:t xml:space="preserve">also be accompanied by some </w:t>
      </w:r>
      <w:r w:rsidR="006242C1" w:rsidRPr="00F86091">
        <w:rPr>
          <w:noProof/>
        </w:rPr>
        <w:t xml:space="preserve">negative economic impacts for businesses, including </w:t>
      </w:r>
      <w:r w:rsidR="0092209D">
        <w:rPr>
          <w:noProof/>
        </w:rPr>
        <w:t>closures</w:t>
      </w:r>
      <w:r w:rsidR="00A94240" w:rsidRPr="00F86091">
        <w:rPr>
          <w:noProof/>
        </w:rPr>
        <w:t>. Without any transitional periods for cobalt and its inorganic compounds and PAHs, it was estimated that</w:t>
      </w:r>
      <w:r w:rsidRPr="00F86091">
        <w:rPr>
          <w:noProof/>
        </w:rPr>
        <w:t xml:space="preserve"> about 4</w:t>
      </w:r>
      <w:r w:rsidR="00F86091">
        <w:rPr>
          <w:noProof/>
        </w:rPr>
        <w:t> </w:t>
      </w:r>
      <w:r w:rsidRPr="00F86091">
        <w:rPr>
          <w:noProof/>
        </w:rPr>
        <w:t>000 workers</w:t>
      </w:r>
      <w:r w:rsidRPr="00F86091">
        <w:rPr>
          <w:rStyle w:val="FootnoteReference"/>
          <w:noProof/>
        </w:rPr>
        <w:footnoteReference w:id="36"/>
      </w:r>
      <w:r w:rsidRPr="00F86091">
        <w:rPr>
          <w:noProof/>
        </w:rPr>
        <w:t xml:space="preserve"> </w:t>
      </w:r>
      <w:r w:rsidR="006242C1" w:rsidRPr="00F86091">
        <w:rPr>
          <w:noProof/>
        </w:rPr>
        <w:t xml:space="preserve">would </w:t>
      </w:r>
      <w:r w:rsidRPr="00F86091">
        <w:rPr>
          <w:noProof/>
        </w:rPr>
        <w:t>los</w:t>
      </w:r>
      <w:r w:rsidR="00AB1733" w:rsidRPr="00F86091">
        <w:rPr>
          <w:noProof/>
        </w:rPr>
        <w:t>e</w:t>
      </w:r>
      <w:r w:rsidRPr="00F86091">
        <w:rPr>
          <w:noProof/>
        </w:rPr>
        <w:t xml:space="preserve"> their jobs. </w:t>
      </w:r>
      <w:r w:rsidR="00A94240" w:rsidRPr="00F86091">
        <w:rPr>
          <w:noProof/>
        </w:rPr>
        <w:t xml:space="preserve">However, both policy options for those two groups of chemicals have a transitional value which </w:t>
      </w:r>
      <w:r w:rsidR="005471AE">
        <w:rPr>
          <w:noProof/>
        </w:rPr>
        <w:t>is</w:t>
      </w:r>
      <w:r w:rsidR="005471AE" w:rsidRPr="00F86091">
        <w:rPr>
          <w:noProof/>
        </w:rPr>
        <w:t xml:space="preserve"> </w:t>
      </w:r>
      <w:r w:rsidR="000859C9" w:rsidRPr="00F86091">
        <w:rPr>
          <w:noProof/>
        </w:rPr>
        <w:t>expected to</w:t>
      </w:r>
      <w:r w:rsidR="00A94240" w:rsidRPr="00F86091">
        <w:rPr>
          <w:noProof/>
        </w:rPr>
        <w:t xml:space="preserve"> reduc</w:t>
      </w:r>
      <w:r w:rsidR="000859C9" w:rsidRPr="00F86091">
        <w:rPr>
          <w:noProof/>
        </w:rPr>
        <w:t>e</w:t>
      </w:r>
      <w:r w:rsidR="00A94240" w:rsidRPr="00F86091">
        <w:rPr>
          <w:noProof/>
        </w:rPr>
        <w:t xml:space="preserve"> the</w:t>
      </w:r>
      <w:r w:rsidR="000859C9" w:rsidRPr="00F86091">
        <w:rPr>
          <w:noProof/>
        </w:rPr>
        <w:t xml:space="preserve"> </w:t>
      </w:r>
      <w:r w:rsidR="006242C1" w:rsidRPr="00F86091">
        <w:rPr>
          <w:noProof/>
        </w:rPr>
        <w:t xml:space="preserve">negative economic impacts and the </w:t>
      </w:r>
      <w:r w:rsidR="000859C9" w:rsidRPr="00F86091">
        <w:rPr>
          <w:noProof/>
        </w:rPr>
        <w:t>estimated</w:t>
      </w:r>
      <w:r w:rsidR="00A94240" w:rsidRPr="00F86091">
        <w:rPr>
          <w:noProof/>
        </w:rPr>
        <w:t xml:space="preserve"> number of </w:t>
      </w:r>
      <w:r w:rsidR="0092209D">
        <w:rPr>
          <w:noProof/>
        </w:rPr>
        <w:t>closures</w:t>
      </w:r>
      <w:r w:rsidR="00F447E5" w:rsidRPr="00F86091">
        <w:rPr>
          <w:noProof/>
        </w:rPr>
        <w:t xml:space="preserve"> </w:t>
      </w:r>
      <w:r w:rsidR="00A94240" w:rsidRPr="00F86091">
        <w:rPr>
          <w:noProof/>
        </w:rPr>
        <w:t xml:space="preserve">by giving more time to businesses to plan their investments or </w:t>
      </w:r>
      <w:r w:rsidR="006242C1" w:rsidRPr="00F86091">
        <w:rPr>
          <w:noProof/>
        </w:rPr>
        <w:t xml:space="preserve">develop </w:t>
      </w:r>
      <w:r w:rsidR="00A94240" w:rsidRPr="00F86091">
        <w:rPr>
          <w:noProof/>
        </w:rPr>
        <w:t xml:space="preserve">RMMs which allow </w:t>
      </w:r>
      <w:r w:rsidR="004F6826">
        <w:rPr>
          <w:noProof/>
        </w:rPr>
        <w:t>compliance</w:t>
      </w:r>
      <w:r w:rsidR="004F6826" w:rsidRPr="00F86091">
        <w:rPr>
          <w:noProof/>
        </w:rPr>
        <w:t xml:space="preserve"> </w:t>
      </w:r>
      <w:r w:rsidR="00A94240" w:rsidRPr="00F86091">
        <w:rPr>
          <w:noProof/>
        </w:rPr>
        <w:t>with the preferred options. In the absence of data, the impacts of the transitional measures for cobalt and inorganic cobalt compounds and PAHs could not be reflected in the overall impacts on workers.</w:t>
      </w:r>
    </w:p>
    <w:p w14:paraId="04EF8DA3" w14:textId="77777777" w:rsidR="0059779F" w:rsidRPr="00F86091" w:rsidRDefault="0059779F" w:rsidP="007C0C63">
      <w:pPr>
        <w:rPr>
          <w:i/>
          <w:iCs/>
          <w:noProof/>
        </w:rPr>
      </w:pPr>
      <w:r w:rsidRPr="00F86091">
        <w:rPr>
          <w:i/>
          <w:iCs/>
          <w:noProof/>
        </w:rPr>
        <w:t>Overall impacts on businesses, including SMEs</w:t>
      </w:r>
    </w:p>
    <w:p w14:paraId="75194C5A" w14:textId="77777777" w:rsidR="005C7535" w:rsidRPr="00F86091" w:rsidRDefault="00C33E88" w:rsidP="005C7535">
      <w:pPr>
        <w:rPr>
          <w:noProof/>
        </w:rPr>
      </w:pPr>
      <w:r w:rsidRPr="00C33E88">
        <w:rPr>
          <w:noProof/>
        </w:rPr>
        <w:t>As shown in the impact assessment supporting this initiative</w:t>
      </w:r>
      <w:r w:rsidR="0067721B">
        <w:rPr>
          <w:noProof/>
        </w:rPr>
        <w:t>,</w:t>
      </w:r>
      <w:r w:rsidRPr="00C33E88" w:rsidDel="00C33E88">
        <w:rPr>
          <w:noProof/>
        </w:rPr>
        <w:t xml:space="preserve"> </w:t>
      </w:r>
      <w:r>
        <w:rPr>
          <w:noProof/>
        </w:rPr>
        <w:t>t</w:t>
      </w:r>
      <w:r w:rsidR="005C7535" w:rsidRPr="00F86091">
        <w:rPr>
          <w:noProof/>
        </w:rPr>
        <w:t>he total adjustment costs</w:t>
      </w:r>
      <w:r w:rsidR="002C2288">
        <w:rPr>
          <w:noProof/>
        </w:rPr>
        <w:t xml:space="preserve"> </w:t>
      </w:r>
      <w:r w:rsidR="005C7535" w:rsidRPr="00F86091">
        <w:rPr>
          <w:noProof/>
        </w:rPr>
        <w:t xml:space="preserve">incurred by the preferred options over 40 years would amount to </w:t>
      </w:r>
      <w:r w:rsidR="00401DB1">
        <w:rPr>
          <w:noProof/>
        </w:rPr>
        <w:t>EUR </w:t>
      </w:r>
      <w:r w:rsidR="005C7535" w:rsidRPr="00F86091">
        <w:rPr>
          <w:noProof/>
        </w:rPr>
        <w:t>3.</w:t>
      </w:r>
      <w:r w:rsidR="00CD04B3" w:rsidRPr="00F86091">
        <w:rPr>
          <w:noProof/>
        </w:rPr>
        <w:t>3</w:t>
      </w:r>
      <w:r w:rsidR="005C7535" w:rsidRPr="00F86091">
        <w:rPr>
          <w:noProof/>
        </w:rPr>
        <w:t xml:space="preserve"> billion. </w:t>
      </w:r>
      <w:r w:rsidR="00CD04B3" w:rsidRPr="00F86091">
        <w:rPr>
          <w:noProof/>
        </w:rPr>
        <w:t xml:space="preserve">In the absence of evidence, it is not possible to break </w:t>
      </w:r>
      <w:r w:rsidR="00CF1E8D">
        <w:rPr>
          <w:noProof/>
        </w:rPr>
        <w:t xml:space="preserve">down </w:t>
      </w:r>
      <w:r w:rsidR="00CD04B3" w:rsidRPr="00F86091">
        <w:rPr>
          <w:noProof/>
        </w:rPr>
        <w:t>adjustment costs into investments in additional RMMs and discontinuations costs. However, it is expected that the transitional period</w:t>
      </w:r>
      <w:r w:rsidR="006242C1" w:rsidRPr="00F86091">
        <w:rPr>
          <w:noProof/>
        </w:rPr>
        <w:t>s</w:t>
      </w:r>
      <w:r w:rsidR="00CD04B3" w:rsidRPr="00F86091">
        <w:rPr>
          <w:noProof/>
        </w:rPr>
        <w:t xml:space="preserve"> for cobalt and its inorganic compounds and</w:t>
      </w:r>
      <w:r w:rsidR="00CF1E8D">
        <w:rPr>
          <w:noProof/>
        </w:rPr>
        <w:t xml:space="preserve"> for</w:t>
      </w:r>
      <w:r w:rsidR="00CD04B3" w:rsidRPr="00F86091">
        <w:rPr>
          <w:noProof/>
        </w:rPr>
        <w:t xml:space="preserve"> PAHs will</w:t>
      </w:r>
      <w:r w:rsidR="006242C1" w:rsidRPr="00F86091">
        <w:rPr>
          <w:noProof/>
        </w:rPr>
        <w:t xml:space="preserve"> decrease economic costs and</w:t>
      </w:r>
      <w:r w:rsidR="00CD04B3" w:rsidRPr="00F86091">
        <w:rPr>
          <w:noProof/>
        </w:rPr>
        <w:t xml:space="preserve"> result in less discontinuations compared to a scenario with the same limit values without any transitional periods, for which 209 discontinuations were estimated. As 95% of businesses expected to discontinue in the absence of transitional periods were SMEs, the inclusion of transitional measures would mainly benefit them.</w:t>
      </w:r>
    </w:p>
    <w:p w14:paraId="669303FE" w14:textId="77777777" w:rsidR="005C7535" w:rsidRPr="00F86091" w:rsidRDefault="004F6826" w:rsidP="005C7535">
      <w:pPr>
        <w:rPr>
          <w:noProof/>
        </w:rPr>
      </w:pPr>
      <w:r>
        <w:rPr>
          <w:noProof/>
        </w:rPr>
        <w:t>B</w:t>
      </w:r>
      <w:r w:rsidR="005C7535" w:rsidRPr="00F86091">
        <w:rPr>
          <w:noProof/>
        </w:rPr>
        <w:t xml:space="preserve">usinesses will also need to </w:t>
      </w:r>
      <w:r>
        <w:rPr>
          <w:noProof/>
        </w:rPr>
        <w:t>bear</w:t>
      </w:r>
      <w:r w:rsidRPr="00F86091">
        <w:rPr>
          <w:noProof/>
        </w:rPr>
        <w:t xml:space="preserve"> </w:t>
      </w:r>
      <w:r w:rsidR="005C7535" w:rsidRPr="00F86091">
        <w:rPr>
          <w:noProof/>
        </w:rPr>
        <w:t xml:space="preserve">monitoring and administrative costs amounting </w:t>
      </w:r>
      <w:r w:rsidR="002C2288">
        <w:rPr>
          <w:noProof/>
        </w:rPr>
        <w:t xml:space="preserve">in total </w:t>
      </w:r>
      <w:r>
        <w:rPr>
          <w:noProof/>
        </w:rPr>
        <w:t>to</w:t>
      </w:r>
      <w:r w:rsidRPr="00F86091">
        <w:rPr>
          <w:noProof/>
        </w:rPr>
        <w:t xml:space="preserve"> </w:t>
      </w:r>
      <w:r w:rsidR="005C7535" w:rsidRPr="00F86091">
        <w:rPr>
          <w:noProof/>
        </w:rPr>
        <w:t xml:space="preserve">about </w:t>
      </w:r>
      <w:r w:rsidR="00401DB1">
        <w:rPr>
          <w:noProof/>
        </w:rPr>
        <w:t>EUR </w:t>
      </w:r>
      <w:r w:rsidR="005C7535" w:rsidRPr="00F86091">
        <w:rPr>
          <w:noProof/>
        </w:rPr>
        <w:t>5</w:t>
      </w:r>
      <w:r w:rsidR="00CD04B3" w:rsidRPr="00F86091">
        <w:rPr>
          <w:noProof/>
        </w:rPr>
        <w:t>35</w:t>
      </w:r>
      <w:r w:rsidR="005C7535" w:rsidRPr="00F86091">
        <w:rPr>
          <w:noProof/>
        </w:rPr>
        <w:t xml:space="preserve"> million over 40 years. Overall, the total costs for businesses arising from the preferred options</w:t>
      </w:r>
      <w:r>
        <w:rPr>
          <w:noProof/>
        </w:rPr>
        <w:t xml:space="preserve"> are expected to</w:t>
      </w:r>
      <w:r w:rsidR="005C7535" w:rsidRPr="00F86091">
        <w:rPr>
          <w:noProof/>
        </w:rPr>
        <w:t xml:space="preserve"> amount to approximately </w:t>
      </w:r>
      <w:r w:rsidR="00401DB1">
        <w:rPr>
          <w:noProof/>
        </w:rPr>
        <w:t>EUR </w:t>
      </w:r>
      <w:r w:rsidR="00CD04B3" w:rsidRPr="00F86091">
        <w:rPr>
          <w:noProof/>
        </w:rPr>
        <w:t>3.8</w:t>
      </w:r>
      <w:r w:rsidR="005C7535" w:rsidRPr="00F86091">
        <w:rPr>
          <w:noProof/>
        </w:rPr>
        <w:t xml:space="preserve"> billion </w:t>
      </w:r>
      <w:r>
        <w:rPr>
          <w:noProof/>
        </w:rPr>
        <w:t xml:space="preserve">over </w:t>
      </w:r>
      <w:r w:rsidR="005C7535" w:rsidRPr="00F86091">
        <w:rPr>
          <w:noProof/>
        </w:rPr>
        <w:t>the same period.</w:t>
      </w:r>
    </w:p>
    <w:p w14:paraId="310D054F" w14:textId="77777777" w:rsidR="005C7535" w:rsidRPr="00F86091" w:rsidRDefault="005C7535" w:rsidP="005C7535">
      <w:pPr>
        <w:rPr>
          <w:noProof/>
        </w:rPr>
      </w:pPr>
      <w:r w:rsidRPr="00F86091">
        <w:rPr>
          <w:noProof/>
        </w:rPr>
        <w:t xml:space="preserve">Although the total costs for businesses are significant compared to the baseline, they would be spread over a high number of businesses. Consequently, most businesses would face costs less (and often far less) than 1% of their turnover. Nevertheless, businesses operating in some sectors with workers </w:t>
      </w:r>
      <w:r w:rsidR="008311FB" w:rsidRPr="00F86091">
        <w:rPr>
          <w:noProof/>
        </w:rPr>
        <w:t xml:space="preserve">exposed </w:t>
      </w:r>
      <w:r w:rsidRPr="00F86091">
        <w:rPr>
          <w:noProof/>
        </w:rPr>
        <w:t>to cobalt and PAHs, particular</w:t>
      </w:r>
      <w:r w:rsidR="004F6826">
        <w:rPr>
          <w:noProof/>
        </w:rPr>
        <w:t>ly</w:t>
      </w:r>
      <w:r w:rsidRPr="00F86091">
        <w:rPr>
          <w:noProof/>
        </w:rPr>
        <w:t xml:space="preserve"> SMEs, would face higher costs compared to the</w:t>
      </w:r>
      <w:r w:rsidR="004F6826">
        <w:rPr>
          <w:noProof/>
        </w:rPr>
        <w:t>ir</w:t>
      </w:r>
      <w:r w:rsidRPr="00F86091">
        <w:rPr>
          <w:noProof/>
        </w:rPr>
        <w:t xml:space="preserve"> turnover. The impact of these high costs is expected to be mitigated </w:t>
      </w:r>
      <w:r w:rsidR="008311FB">
        <w:rPr>
          <w:noProof/>
        </w:rPr>
        <w:t xml:space="preserve">by </w:t>
      </w:r>
      <w:r w:rsidRPr="00F86091">
        <w:rPr>
          <w:noProof/>
        </w:rPr>
        <w:t>the transitional values</w:t>
      </w:r>
      <w:r w:rsidR="003E04BE" w:rsidRPr="00F86091">
        <w:rPr>
          <w:noProof/>
        </w:rPr>
        <w:t xml:space="preserve">, which </w:t>
      </w:r>
      <w:bookmarkStart w:id="10" w:name="_Hlk188997419"/>
      <w:r w:rsidRPr="00F86091">
        <w:rPr>
          <w:noProof/>
        </w:rPr>
        <w:t xml:space="preserve">would enable employers to make the necessary investments in additional RMMs and to </w:t>
      </w:r>
      <w:r w:rsidR="003E04BE" w:rsidRPr="00F86091">
        <w:rPr>
          <w:noProof/>
        </w:rPr>
        <w:t xml:space="preserve">develop new </w:t>
      </w:r>
      <w:r w:rsidRPr="00F86091">
        <w:rPr>
          <w:noProof/>
        </w:rPr>
        <w:t xml:space="preserve">technical </w:t>
      </w:r>
      <w:r w:rsidR="003E04BE" w:rsidRPr="00F86091">
        <w:rPr>
          <w:noProof/>
        </w:rPr>
        <w:t xml:space="preserve">tools </w:t>
      </w:r>
      <w:r w:rsidRPr="00F86091">
        <w:rPr>
          <w:noProof/>
        </w:rPr>
        <w:t xml:space="preserve">to ensure compliance. </w:t>
      </w:r>
      <w:r w:rsidR="002D42AF" w:rsidRPr="00F86091">
        <w:rPr>
          <w:noProof/>
        </w:rPr>
        <w:t xml:space="preserve">In </w:t>
      </w:r>
      <w:r w:rsidRPr="00F86091">
        <w:rPr>
          <w:noProof/>
        </w:rPr>
        <w:t>this regard, existing EU programmes</w:t>
      </w:r>
      <w:r w:rsidR="002B1471">
        <w:rPr>
          <w:noProof/>
        </w:rPr>
        <w:t xml:space="preserve">, such as </w:t>
      </w:r>
      <w:r w:rsidRPr="00F86091">
        <w:rPr>
          <w:noProof/>
        </w:rPr>
        <w:t>Horizon Europe</w:t>
      </w:r>
      <w:r w:rsidR="002B1471">
        <w:rPr>
          <w:noProof/>
        </w:rPr>
        <w:t>,</w:t>
      </w:r>
      <w:r w:rsidRPr="00F86091">
        <w:rPr>
          <w:noProof/>
        </w:rPr>
        <w:t xml:space="preserve"> </w:t>
      </w:r>
      <w:r w:rsidR="003E04BE" w:rsidRPr="00F86091">
        <w:rPr>
          <w:noProof/>
        </w:rPr>
        <w:t xml:space="preserve">could </w:t>
      </w:r>
      <w:r w:rsidRPr="00F86091">
        <w:rPr>
          <w:noProof/>
        </w:rPr>
        <w:t>help to develop innovative solutions to protect workers’ health.</w:t>
      </w:r>
      <w:bookmarkEnd w:id="10"/>
    </w:p>
    <w:p w14:paraId="5B917FF7" w14:textId="77777777" w:rsidR="005C7535" w:rsidRPr="00F86091" w:rsidRDefault="00AF005D" w:rsidP="005C7535">
      <w:pPr>
        <w:rPr>
          <w:noProof/>
        </w:rPr>
      </w:pPr>
      <w:r w:rsidRPr="00F86091">
        <w:rPr>
          <w:noProof/>
        </w:rPr>
        <w:t>B</w:t>
      </w:r>
      <w:r w:rsidR="005C7535" w:rsidRPr="00F86091">
        <w:rPr>
          <w:noProof/>
        </w:rPr>
        <w:t>usinesses will also benefit from the package of preferred options</w:t>
      </w:r>
      <w:r w:rsidR="008311FB">
        <w:rPr>
          <w:noProof/>
        </w:rPr>
        <w:t>.</w:t>
      </w:r>
      <w:r w:rsidR="003E04BE" w:rsidRPr="00F86091">
        <w:rPr>
          <w:noProof/>
        </w:rPr>
        <w:t xml:space="preserve"> </w:t>
      </w:r>
      <w:r w:rsidR="008311FB">
        <w:rPr>
          <w:noProof/>
        </w:rPr>
        <w:t>W</w:t>
      </w:r>
      <w:r w:rsidR="005C7535" w:rsidRPr="00F86091">
        <w:rPr>
          <w:noProof/>
        </w:rPr>
        <w:t>orkers being less at risk of occupational illness</w:t>
      </w:r>
      <w:r w:rsidR="008311FB">
        <w:rPr>
          <w:noProof/>
        </w:rPr>
        <w:t xml:space="preserve"> means lower costs arising from </w:t>
      </w:r>
      <w:r w:rsidR="005C7535" w:rsidRPr="00F86091">
        <w:rPr>
          <w:noProof/>
        </w:rPr>
        <w:t>reduced productivity, costs of replacement, rehabilitation costs and medical costs</w:t>
      </w:r>
      <w:r w:rsidR="008311FB">
        <w:rPr>
          <w:noProof/>
        </w:rPr>
        <w:t>, etc</w:t>
      </w:r>
      <w:r w:rsidR="005C7535" w:rsidRPr="00F86091">
        <w:rPr>
          <w:noProof/>
        </w:rPr>
        <w:t xml:space="preserve">. In total, businesses are expected to avoid costs </w:t>
      </w:r>
      <w:r w:rsidR="008311FB">
        <w:rPr>
          <w:noProof/>
        </w:rPr>
        <w:t xml:space="preserve">totalling </w:t>
      </w:r>
      <w:r w:rsidR="00401DB1">
        <w:rPr>
          <w:noProof/>
        </w:rPr>
        <w:t>EUR </w:t>
      </w:r>
      <w:r w:rsidR="005C7535" w:rsidRPr="00F86091">
        <w:rPr>
          <w:noProof/>
        </w:rPr>
        <w:t>7 million.</w:t>
      </w:r>
    </w:p>
    <w:p w14:paraId="77E6FF84" w14:textId="77777777" w:rsidR="00531366" w:rsidRPr="00F86091" w:rsidRDefault="000859C9" w:rsidP="007C0C63">
      <w:pPr>
        <w:rPr>
          <w:noProof/>
        </w:rPr>
      </w:pPr>
      <w:r w:rsidRPr="00F86091">
        <w:rPr>
          <w:noProof/>
        </w:rPr>
        <w:t>T</w:t>
      </w:r>
      <w:r w:rsidR="00CD04B3" w:rsidRPr="00F86091">
        <w:rPr>
          <w:noProof/>
        </w:rPr>
        <w:t xml:space="preserve">he transitional measures will benefit SMEs </w:t>
      </w:r>
      <w:r w:rsidR="007B14F4">
        <w:rPr>
          <w:noProof/>
        </w:rPr>
        <w:t xml:space="preserve">more </w:t>
      </w:r>
      <w:r w:rsidR="00CD04B3" w:rsidRPr="00F86091">
        <w:rPr>
          <w:noProof/>
        </w:rPr>
        <w:t>than large companies</w:t>
      </w:r>
      <w:r w:rsidR="007B14F4">
        <w:rPr>
          <w:noProof/>
        </w:rPr>
        <w:t>,</w:t>
      </w:r>
      <w:r w:rsidR="003E04BE" w:rsidRPr="00F86091">
        <w:rPr>
          <w:noProof/>
        </w:rPr>
        <w:t xml:space="preserve"> as </w:t>
      </w:r>
      <w:r w:rsidR="007B14F4">
        <w:rPr>
          <w:noProof/>
        </w:rPr>
        <w:t xml:space="preserve">SMEs have a higher ratio </w:t>
      </w:r>
      <w:r w:rsidR="003E04BE" w:rsidRPr="00F86091">
        <w:rPr>
          <w:noProof/>
        </w:rPr>
        <w:t>of compliance costs to turnover or gross operating product</w:t>
      </w:r>
      <w:r w:rsidR="00CD04B3" w:rsidRPr="00F86091">
        <w:rPr>
          <w:noProof/>
        </w:rPr>
        <w:t xml:space="preserve">. SMEs will have more time to plan their investments, which should also reduce the number of </w:t>
      </w:r>
      <w:r w:rsidR="00886A58" w:rsidRPr="00F86091">
        <w:rPr>
          <w:noProof/>
        </w:rPr>
        <w:t>discontinuations compared</w:t>
      </w:r>
      <w:r w:rsidR="00CD04B3" w:rsidRPr="00F86091">
        <w:rPr>
          <w:noProof/>
        </w:rPr>
        <w:t xml:space="preserve"> to the same package of options without transitional periods. The impact on SMEs, although higher than on larger companies, should therefore remain limited. </w:t>
      </w:r>
      <w:bookmarkStart w:id="11" w:name="_Hlk184980599"/>
      <w:r w:rsidR="000321A4" w:rsidRPr="00F86091">
        <w:rPr>
          <w:noProof/>
        </w:rPr>
        <w:t>Furthermore, existing guidance</w:t>
      </w:r>
      <w:r w:rsidR="00531366" w:rsidRPr="00F86091">
        <w:rPr>
          <w:noProof/>
        </w:rPr>
        <w:t xml:space="preserve"> and tools, such as </w:t>
      </w:r>
      <w:r w:rsidR="001929FC">
        <w:rPr>
          <w:noProof/>
        </w:rPr>
        <w:t>the</w:t>
      </w:r>
      <w:r w:rsidR="001929FC" w:rsidRPr="00F86091">
        <w:rPr>
          <w:noProof/>
        </w:rPr>
        <w:t xml:space="preserve"> </w:t>
      </w:r>
      <w:r w:rsidR="008757C6" w:rsidRPr="00DB1CD4">
        <w:rPr>
          <w:rFonts w:eastAsia="Times New Roman"/>
          <w:noProof/>
        </w:rPr>
        <w:t>European Agency for Safety and Health at Work</w:t>
      </w:r>
      <w:r w:rsidR="008757C6">
        <w:rPr>
          <w:rFonts w:eastAsia="Times New Roman"/>
          <w:noProof/>
        </w:rPr>
        <w:t xml:space="preserve">'s </w:t>
      </w:r>
      <w:r w:rsidR="00522F02">
        <w:rPr>
          <w:rFonts w:eastAsia="Times New Roman"/>
          <w:noProof/>
        </w:rPr>
        <w:t xml:space="preserve">(EU-OSHA) </w:t>
      </w:r>
      <w:r w:rsidR="00531366" w:rsidRPr="00F86091">
        <w:rPr>
          <w:noProof/>
        </w:rPr>
        <w:t xml:space="preserve">Online </w:t>
      </w:r>
      <w:r w:rsidR="00284EB9" w:rsidRPr="00F86091">
        <w:rPr>
          <w:noProof/>
        </w:rPr>
        <w:t xml:space="preserve">interactive </w:t>
      </w:r>
      <w:r w:rsidR="00531366" w:rsidRPr="00F86091">
        <w:rPr>
          <w:noProof/>
        </w:rPr>
        <w:t>Risk Assessment</w:t>
      </w:r>
      <w:r w:rsidR="00531366" w:rsidRPr="00F86091">
        <w:rPr>
          <w:rStyle w:val="FootnoteReference"/>
          <w:noProof/>
        </w:rPr>
        <w:footnoteReference w:id="37"/>
      </w:r>
      <w:r w:rsidR="00531366" w:rsidRPr="00F86091">
        <w:rPr>
          <w:noProof/>
        </w:rPr>
        <w:t xml:space="preserve">, </w:t>
      </w:r>
      <w:r w:rsidR="001929FC">
        <w:rPr>
          <w:noProof/>
        </w:rPr>
        <w:t>can help</w:t>
      </w:r>
      <w:r w:rsidR="001929FC" w:rsidRPr="00F86091">
        <w:rPr>
          <w:noProof/>
        </w:rPr>
        <w:t xml:space="preserve"> </w:t>
      </w:r>
      <w:r w:rsidR="00531366" w:rsidRPr="00F86091">
        <w:rPr>
          <w:noProof/>
        </w:rPr>
        <w:t>businesses</w:t>
      </w:r>
      <w:r w:rsidR="001929FC">
        <w:rPr>
          <w:noProof/>
        </w:rPr>
        <w:t xml:space="preserve"> and SMEs</w:t>
      </w:r>
      <w:r w:rsidR="00531366" w:rsidRPr="00F86091">
        <w:rPr>
          <w:noProof/>
        </w:rPr>
        <w:t xml:space="preserve"> in particular SMEs, to comply with OSH regulatory requirements, including those arising from this legislative proposal</w:t>
      </w:r>
      <w:r w:rsidR="00AF7899" w:rsidRPr="00F86091">
        <w:rPr>
          <w:noProof/>
        </w:rPr>
        <w:t xml:space="preserve">, directly contributing to the </w:t>
      </w:r>
      <w:r w:rsidR="001929FC">
        <w:rPr>
          <w:noProof/>
        </w:rPr>
        <w:t>‘</w:t>
      </w:r>
      <w:r w:rsidR="00AF7899" w:rsidRPr="00F86091">
        <w:rPr>
          <w:noProof/>
        </w:rPr>
        <w:t>digital by default</w:t>
      </w:r>
      <w:r w:rsidR="001929FC">
        <w:rPr>
          <w:noProof/>
        </w:rPr>
        <w:t>’</w:t>
      </w:r>
      <w:r w:rsidR="00AF7899" w:rsidRPr="00F86091">
        <w:rPr>
          <w:noProof/>
        </w:rPr>
        <w:t xml:space="preserve"> principle</w:t>
      </w:r>
      <w:r w:rsidR="00531366" w:rsidRPr="00F86091">
        <w:rPr>
          <w:noProof/>
        </w:rPr>
        <w:t>.</w:t>
      </w:r>
      <w:bookmarkEnd w:id="11"/>
    </w:p>
    <w:p w14:paraId="73E57485" w14:textId="77777777" w:rsidR="0059779F" w:rsidRPr="00F86091" w:rsidRDefault="0059779F" w:rsidP="007C0C63">
      <w:pPr>
        <w:rPr>
          <w:i/>
          <w:iCs/>
          <w:noProof/>
        </w:rPr>
      </w:pPr>
      <w:r w:rsidRPr="00F86091">
        <w:rPr>
          <w:i/>
          <w:iCs/>
          <w:noProof/>
        </w:rPr>
        <w:t>Overall impacts on public authorities</w:t>
      </w:r>
    </w:p>
    <w:p w14:paraId="44B3FF0A" w14:textId="77777777" w:rsidR="0046418E" w:rsidRPr="00F86091" w:rsidRDefault="0046418E" w:rsidP="0046418E">
      <w:pPr>
        <w:rPr>
          <w:noProof/>
        </w:rPr>
      </w:pPr>
      <w:r w:rsidRPr="00F86091">
        <w:rPr>
          <w:noProof/>
        </w:rPr>
        <w:t xml:space="preserve">Overall, the package of preferred options would cost </w:t>
      </w:r>
      <w:r w:rsidR="008B681C">
        <w:rPr>
          <w:noProof/>
        </w:rPr>
        <w:t xml:space="preserve">all </w:t>
      </w:r>
      <w:r w:rsidRPr="00F86091">
        <w:rPr>
          <w:noProof/>
        </w:rPr>
        <w:t xml:space="preserve">public authorities about </w:t>
      </w:r>
      <w:r w:rsidR="00401DB1">
        <w:rPr>
          <w:noProof/>
        </w:rPr>
        <w:t>EUR </w:t>
      </w:r>
      <w:r w:rsidRPr="00F86091">
        <w:rPr>
          <w:noProof/>
        </w:rPr>
        <w:t>66 million over 40 years</w:t>
      </w:r>
      <w:r w:rsidR="008254B2">
        <w:rPr>
          <w:noProof/>
        </w:rPr>
        <w:t>.</w:t>
      </w:r>
      <w:r w:rsidRPr="00F86091">
        <w:rPr>
          <w:noProof/>
        </w:rPr>
        <w:t xml:space="preserve"> </w:t>
      </w:r>
      <w:r w:rsidR="008254B2">
        <w:rPr>
          <w:noProof/>
        </w:rPr>
        <w:t xml:space="preserve">Over </w:t>
      </w:r>
      <w:r w:rsidRPr="00F86091">
        <w:rPr>
          <w:noProof/>
        </w:rPr>
        <w:t xml:space="preserve">95% </w:t>
      </w:r>
      <w:r w:rsidR="008254B2">
        <w:rPr>
          <w:noProof/>
        </w:rPr>
        <w:t xml:space="preserve">of this </w:t>
      </w:r>
      <w:r w:rsidRPr="00F86091">
        <w:rPr>
          <w:noProof/>
        </w:rPr>
        <w:t>relate</w:t>
      </w:r>
      <w:r w:rsidR="008254B2">
        <w:rPr>
          <w:noProof/>
        </w:rPr>
        <w:t>s</w:t>
      </w:r>
      <w:r w:rsidRPr="00F86091">
        <w:rPr>
          <w:noProof/>
        </w:rPr>
        <w:t xml:space="preserve"> to the adjustment, monitoring and administrative costs </w:t>
      </w:r>
      <w:r w:rsidR="008254B2">
        <w:rPr>
          <w:noProof/>
        </w:rPr>
        <w:t xml:space="preserve">for </w:t>
      </w:r>
      <w:r w:rsidRPr="00F86091">
        <w:rPr>
          <w:noProof/>
        </w:rPr>
        <w:t>the preferred option for PAHs.</w:t>
      </w:r>
      <w:r w:rsidRPr="00F86091" w:rsidDel="00F06E0B">
        <w:rPr>
          <w:noProof/>
        </w:rPr>
        <w:t xml:space="preserve"> </w:t>
      </w:r>
      <w:r w:rsidR="004E786E" w:rsidRPr="00F86091">
        <w:rPr>
          <w:noProof/>
        </w:rPr>
        <w:t xml:space="preserve">These costs aim to ensure that firefighters’ exposure does not exceed the level provided </w:t>
      </w:r>
      <w:r w:rsidR="002D42AF" w:rsidRPr="00F86091">
        <w:rPr>
          <w:noProof/>
        </w:rPr>
        <w:t xml:space="preserve">for </w:t>
      </w:r>
      <w:r w:rsidR="004E786E" w:rsidRPr="00F86091">
        <w:rPr>
          <w:noProof/>
        </w:rPr>
        <w:t xml:space="preserve">in this legislative proposal. On average, </w:t>
      </w:r>
      <w:r w:rsidR="00396CF1">
        <w:rPr>
          <w:noProof/>
        </w:rPr>
        <w:t>this</w:t>
      </w:r>
      <w:r w:rsidR="00396CF1" w:rsidRPr="00F86091">
        <w:rPr>
          <w:noProof/>
        </w:rPr>
        <w:t xml:space="preserve"> </w:t>
      </w:r>
      <w:r w:rsidR="004E786E" w:rsidRPr="00F86091">
        <w:rPr>
          <w:noProof/>
        </w:rPr>
        <w:t xml:space="preserve">would cost about </w:t>
      </w:r>
      <w:r w:rsidR="006F298F">
        <w:rPr>
          <w:noProof/>
        </w:rPr>
        <w:t>EUR </w:t>
      </w:r>
      <w:r w:rsidR="004E786E" w:rsidRPr="00F86091">
        <w:rPr>
          <w:noProof/>
        </w:rPr>
        <w:t>80</w:t>
      </w:r>
      <w:r w:rsidR="00F86091">
        <w:rPr>
          <w:noProof/>
        </w:rPr>
        <w:t> </w:t>
      </w:r>
      <w:r w:rsidR="004E786E" w:rsidRPr="00F86091">
        <w:rPr>
          <w:noProof/>
        </w:rPr>
        <w:t>000 per public authority</w:t>
      </w:r>
      <w:r w:rsidR="00317F7C">
        <w:rPr>
          <w:rStyle w:val="FootnoteReference"/>
          <w:noProof/>
        </w:rPr>
        <w:footnoteReference w:id="38"/>
      </w:r>
      <w:r w:rsidR="004E786E" w:rsidRPr="00F86091">
        <w:rPr>
          <w:noProof/>
        </w:rPr>
        <w:t xml:space="preserve"> over 40 years.</w:t>
      </w:r>
      <w:r w:rsidR="00396CF1">
        <w:rPr>
          <w:noProof/>
        </w:rPr>
        <w:t xml:space="preserve"> </w:t>
      </w:r>
      <w:r w:rsidRPr="00F86091">
        <w:rPr>
          <w:noProof/>
        </w:rPr>
        <w:t xml:space="preserve">The remaining 5% relates to transposition costs. Member State </w:t>
      </w:r>
      <w:r w:rsidR="00DB63C7" w:rsidRPr="00F86091">
        <w:rPr>
          <w:noProof/>
        </w:rPr>
        <w:t xml:space="preserve">would </w:t>
      </w:r>
      <w:r w:rsidRPr="00F86091">
        <w:rPr>
          <w:noProof/>
        </w:rPr>
        <w:t xml:space="preserve">need to dedicate up to </w:t>
      </w:r>
      <w:r w:rsidR="006F298F">
        <w:rPr>
          <w:noProof/>
        </w:rPr>
        <w:t>EUR </w:t>
      </w:r>
      <w:r w:rsidRPr="00F86091">
        <w:rPr>
          <w:noProof/>
        </w:rPr>
        <w:t>100</w:t>
      </w:r>
      <w:r w:rsidR="00F86091">
        <w:rPr>
          <w:noProof/>
        </w:rPr>
        <w:t> </w:t>
      </w:r>
      <w:r w:rsidRPr="00F86091">
        <w:rPr>
          <w:noProof/>
        </w:rPr>
        <w:t>000 (corresponding to the highest transposition costs for welding fumes</w:t>
      </w:r>
      <w:r w:rsidR="00317F7C">
        <w:rPr>
          <w:rStyle w:val="FootnoteReference"/>
          <w:noProof/>
        </w:rPr>
        <w:footnoteReference w:id="39"/>
      </w:r>
      <w:r w:rsidRPr="00F86091">
        <w:rPr>
          <w:noProof/>
        </w:rPr>
        <w:t xml:space="preserve">) for </w:t>
      </w:r>
      <w:r w:rsidR="00396CF1">
        <w:rPr>
          <w:noProof/>
        </w:rPr>
        <w:t>transposing</w:t>
      </w:r>
      <w:r w:rsidRPr="00F86091">
        <w:rPr>
          <w:noProof/>
        </w:rPr>
        <w:t xml:space="preserve"> the new rules.</w:t>
      </w:r>
    </w:p>
    <w:p w14:paraId="484BEBB0" w14:textId="77777777" w:rsidR="0046418E" w:rsidRPr="00F86091" w:rsidRDefault="0046418E" w:rsidP="0046418E">
      <w:pPr>
        <w:rPr>
          <w:noProof/>
        </w:rPr>
      </w:pPr>
      <w:r w:rsidRPr="00F86091">
        <w:rPr>
          <w:noProof/>
        </w:rPr>
        <w:t xml:space="preserve">The package of preferred options would also bring benefits amounting to about </w:t>
      </w:r>
      <w:r w:rsidR="006F298F">
        <w:rPr>
          <w:noProof/>
        </w:rPr>
        <w:t>EUR </w:t>
      </w:r>
      <w:r w:rsidRPr="00F86091">
        <w:rPr>
          <w:noProof/>
        </w:rPr>
        <w:t>30.4</w:t>
      </w:r>
      <w:r w:rsidR="006F298F">
        <w:rPr>
          <w:noProof/>
        </w:rPr>
        <w:t> </w:t>
      </w:r>
      <w:r w:rsidRPr="00F86091">
        <w:rPr>
          <w:noProof/>
        </w:rPr>
        <w:t>million</w:t>
      </w:r>
      <w:r w:rsidR="00396CF1">
        <w:rPr>
          <w:noProof/>
        </w:rPr>
        <w:t xml:space="preserve"> </w:t>
      </w:r>
      <w:r w:rsidR="00396CF1" w:rsidRPr="00F86091">
        <w:rPr>
          <w:noProof/>
        </w:rPr>
        <w:t>for public authorities</w:t>
      </w:r>
      <w:r w:rsidRPr="00F86091">
        <w:rPr>
          <w:noProof/>
        </w:rPr>
        <w:t xml:space="preserve">, </w:t>
      </w:r>
      <w:r w:rsidR="003F70F5">
        <w:rPr>
          <w:noProof/>
        </w:rPr>
        <w:t>including</w:t>
      </w:r>
      <w:r w:rsidRPr="00F86091">
        <w:rPr>
          <w:noProof/>
        </w:rPr>
        <w:t xml:space="preserve"> cost savings (e.g. healthcare cost savings due to fewer cancer and non-cancer cases) </w:t>
      </w:r>
      <w:r w:rsidR="003F70F5">
        <w:rPr>
          <w:noProof/>
        </w:rPr>
        <w:t>of</w:t>
      </w:r>
      <w:r w:rsidRPr="00F86091">
        <w:rPr>
          <w:noProof/>
        </w:rPr>
        <w:t xml:space="preserve"> </w:t>
      </w:r>
      <w:r w:rsidR="006F298F">
        <w:rPr>
          <w:noProof/>
        </w:rPr>
        <w:t>EUR </w:t>
      </w:r>
      <w:r w:rsidRPr="00F86091">
        <w:rPr>
          <w:noProof/>
        </w:rPr>
        <w:t>26.65</w:t>
      </w:r>
      <w:r w:rsidR="006F298F">
        <w:rPr>
          <w:noProof/>
        </w:rPr>
        <w:t> </w:t>
      </w:r>
      <w:r w:rsidRPr="00F86091">
        <w:rPr>
          <w:noProof/>
        </w:rPr>
        <w:t xml:space="preserve">million. The remaining benefits relate to avoided costs of </w:t>
      </w:r>
      <w:r w:rsidR="00396CF1" w:rsidRPr="00F86091">
        <w:rPr>
          <w:noProof/>
        </w:rPr>
        <w:t xml:space="preserve">up to </w:t>
      </w:r>
      <w:r w:rsidR="006F298F">
        <w:rPr>
          <w:noProof/>
        </w:rPr>
        <w:t>EUR </w:t>
      </w:r>
      <w:r w:rsidR="00396CF1" w:rsidRPr="00F86091">
        <w:rPr>
          <w:noProof/>
        </w:rPr>
        <w:t xml:space="preserve">3.75 million </w:t>
      </w:r>
      <w:r w:rsidR="00396CF1">
        <w:rPr>
          <w:noProof/>
        </w:rPr>
        <w:t xml:space="preserve">for </w:t>
      </w:r>
      <w:r w:rsidRPr="00F86091">
        <w:rPr>
          <w:noProof/>
        </w:rPr>
        <w:t>setting limit values following national processes.</w:t>
      </w:r>
    </w:p>
    <w:p w14:paraId="239D9C9A" w14:textId="77777777" w:rsidR="00500E34" w:rsidRPr="00F86091" w:rsidRDefault="0046418E" w:rsidP="007C0C63">
      <w:pPr>
        <w:rPr>
          <w:noProof/>
        </w:rPr>
      </w:pPr>
      <w:r w:rsidRPr="00F86091">
        <w:rPr>
          <w:noProof/>
        </w:rPr>
        <w:t xml:space="preserve">The net costs over 40 years for public authorities would therefore amount to about </w:t>
      </w:r>
      <w:r w:rsidR="006F298F">
        <w:rPr>
          <w:noProof/>
        </w:rPr>
        <w:t>EUR </w:t>
      </w:r>
      <w:r w:rsidRPr="00F86091">
        <w:rPr>
          <w:noProof/>
        </w:rPr>
        <w:t>35.5</w:t>
      </w:r>
      <w:r w:rsidR="006F298F">
        <w:rPr>
          <w:noProof/>
        </w:rPr>
        <w:t> </w:t>
      </w:r>
      <w:r w:rsidRPr="00F86091">
        <w:rPr>
          <w:noProof/>
        </w:rPr>
        <w:t xml:space="preserve">million, of which about </w:t>
      </w:r>
      <w:r w:rsidR="006F298F">
        <w:rPr>
          <w:noProof/>
        </w:rPr>
        <w:t>EUR </w:t>
      </w:r>
      <w:r w:rsidRPr="00F86091">
        <w:rPr>
          <w:noProof/>
        </w:rPr>
        <w:t>15 million would be one-off costs</w:t>
      </w:r>
      <w:r w:rsidR="0063646E">
        <w:rPr>
          <w:rStyle w:val="FootnoteReference"/>
          <w:noProof/>
        </w:rPr>
        <w:footnoteReference w:id="40"/>
      </w:r>
      <w:r w:rsidRPr="00F86091">
        <w:rPr>
          <w:noProof/>
        </w:rPr>
        <w:t xml:space="preserve">. However, </w:t>
      </w:r>
      <w:r w:rsidR="002336DE" w:rsidRPr="00F86091">
        <w:rPr>
          <w:noProof/>
        </w:rPr>
        <w:t xml:space="preserve">the transitional value for PAHs </w:t>
      </w:r>
      <w:r w:rsidR="002336DE">
        <w:rPr>
          <w:noProof/>
        </w:rPr>
        <w:t xml:space="preserve">would give </w:t>
      </w:r>
      <w:r w:rsidRPr="00F86091">
        <w:rPr>
          <w:noProof/>
        </w:rPr>
        <w:t>public authorities more time to bear most of these one-off costs.</w:t>
      </w:r>
    </w:p>
    <w:p w14:paraId="708D755E" w14:textId="77777777" w:rsidR="0059779F" w:rsidRPr="00F86091" w:rsidRDefault="0059779F" w:rsidP="007C0C63">
      <w:pPr>
        <w:rPr>
          <w:i/>
          <w:iCs/>
          <w:noProof/>
        </w:rPr>
      </w:pPr>
      <w:bookmarkStart w:id="13" w:name="_Hlk201060116"/>
      <w:r w:rsidRPr="00F86091">
        <w:rPr>
          <w:i/>
          <w:iCs/>
          <w:noProof/>
        </w:rPr>
        <w:t>Overall impacts on the green and digital transitions</w:t>
      </w:r>
    </w:p>
    <w:bookmarkEnd w:id="13"/>
    <w:p w14:paraId="7DDC848A" w14:textId="77777777" w:rsidR="002E7C62" w:rsidRPr="00F86091" w:rsidRDefault="002E7C62" w:rsidP="002E7C62">
      <w:pPr>
        <w:rPr>
          <w:noProof/>
        </w:rPr>
      </w:pPr>
      <w:r w:rsidRPr="00F86091">
        <w:rPr>
          <w:noProof/>
        </w:rPr>
        <w:t xml:space="preserve">The package of preferred options would result in an increasing </w:t>
      </w:r>
      <w:r w:rsidR="00AF005D" w:rsidRPr="00F86091">
        <w:rPr>
          <w:noProof/>
        </w:rPr>
        <w:t xml:space="preserve">use </w:t>
      </w:r>
      <w:r w:rsidRPr="00F86091">
        <w:rPr>
          <w:noProof/>
        </w:rPr>
        <w:t>of some</w:t>
      </w:r>
      <w:r w:rsidR="00AF005D" w:rsidRPr="00F86091">
        <w:rPr>
          <w:noProof/>
        </w:rPr>
        <w:t xml:space="preserve"> enclosed</w:t>
      </w:r>
      <w:r w:rsidRPr="00F86091">
        <w:rPr>
          <w:noProof/>
        </w:rPr>
        <w:t xml:space="preserve"> processes, leading to less of some hazardous substances </w:t>
      </w:r>
      <w:r w:rsidR="00037D72">
        <w:rPr>
          <w:noProof/>
        </w:rPr>
        <w:t xml:space="preserve">being released </w:t>
      </w:r>
      <w:r w:rsidRPr="00F86091">
        <w:rPr>
          <w:noProof/>
        </w:rPr>
        <w:t>in</w:t>
      </w:r>
      <w:r w:rsidR="00037D72">
        <w:rPr>
          <w:noProof/>
        </w:rPr>
        <w:t>to</w:t>
      </w:r>
      <w:r w:rsidRPr="00F86091">
        <w:rPr>
          <w:noProof/>
        </w:rPr>
        <w:t xml:space="preserve"> the environment. However, this direct impact on </w:t>
      </w:r>
      <w:r w:rsidR="001D2236">
        <w:rPr>
          <w:noProof/>
        </w:rPr>
        <w:t xml:space="preserve">the </w:t>
      </w:r>
      <w:r w:rsidRPr="00F86091">
        <w:rPr>
          <w:noProof/>
        </w:rPr>
        <w:t>environment is expected to be negligible.</w:t>
      </w:r>
    </w:p>
    <w:p w14:paraId="0FD5A9D5" w14:textId="77777777" w:rsidR="007915A6" w:rsidRPr="00F86091" w:rsidRDefault="002E7C62" w:rsidP="002E7C62">
      <w:pPr>
        <w:rPr>
          <w:noProof/>
        </w:rPr>
      </w:pPr>
      <w:r w:rsidRPr="00F86091">
        <w:rPr>
          <w:noProof/>
        </w:rPr>
        <w:t>The package of preferred options might have some negative indirect impacts on the green transition</w:t>
      </w:r>
      <w:r w:rsidR="004E786E" w:rsidRPr="00F86091">
        <w:rPr>
          <w:noProof/>
        </w:rPr>
        <w:t xml:space="preserve"> or</w:t>
      </w:r>
      <w:r w:rsidR="00037D72">
        <w:rPr>
          <w:noProof/>
        </w:rPr>
        <w:t xml:space="preserve"> on</w:t>
      </w:r>
      <w:r w:rsidR="004E786E" w:rsidRPr="00F86091">
        <w:rPr>
          <w:noProof/>
        </w:rPr>
        <w:t xml:space="preserve"> the digital transition</w:t>
      </w:r>
      <w:r w:rsidRPr="00F86091">
        <w:rPr>
          <w:noProof/>
        </w:rPr>
        <w:t xml:space="preserve"> due to discontinuations in key sectors such as </w:t>
      </w:r>
      <w:r w:rsidR="004E786E" w:rsidRPr="00F86091">
        <w:rPr>
          <w:noProof/>
        </w:rPr>
        <w:t xml:space="preserve">coking plants, other non-ferrous metallurgy, coal tar distillation and </w:t>
      </w:r>
      <w:r w:rsidRPr="00F86091">
        <w:rPr>
          <w:noProof/>
        </w:rPr>
        <w:t xml:space="preserve">graphite and carbon electrode manufacture. </w:t>
      </w:r>
      <w:r w:rsidR="00B64FF6" w:rsidRPr="00B64FF6">
        <w:rPr>
          <w:noProof/>
        </w:rPr>
        <w:t>Indeed, these sectors play an important role in for the development of the circular economy, the manufacture of green infrastructures and the manufacture of semiconductors.</w:t>
      </w:r>
      <w:r w:rsidR="00B64FF6">
        <w:rPr>
          <w:noProof/>
        </w:rPr>
        <w:t xml:space="preserve"> </w:t>
      </w:r>
      <w:r w:rsidR="007054BC" w:rsidRPr="00F86091">
        <w:rPr>
          <w:noProof/>
        </w:rPr>
        <w:t xml:space="preserve">However, the risk of discontinuing is expected to be mitigated by the transitional measures </w:t>
      </w:r>
      <w:r w:rsidR="001D2236">
        <w:rPr>
          <w:noProof/>
        </w:rPr>
        <w:t>planned</w:t>
      </w:r>
      <w:r w:rsidR="001D2236" w:rsidRPr="00F86091">
        <w:rPr>
          <w:noProof/>
        </w:rPr>
        <w:t xml:space="preserve"> </w:t>
      </w:r>
      <w:r w:rsidR="007054BC" w:rsidRPr="00F86091">
        <w:rPr>
          <w:noProof/>
        </w:rPr>
        <w:t xml:space="preserve">in the package of preferred options, in particular </w:t>
      </w:r>
      <w:r w:rsidR="002D42AF" w:rsidRPr="00F86091">
        <w:rPr>
          <w:noProof/>
        </w:rPr>
        <w:t xml:space="preserve">by </w:t>
      </w:r>
      <w:r w:rsidR="007054BC" w:rsidRPr="00F86091">
        <w:rPr>
          <w:noProof/>
        </w:rPr>
        <w:t xml:space="preserve">the transitional period for PAHs. </w:t>
      </w:r>
      <w:r w:rsidRPr="00F86091">
        <w:rPr>
          <w:noProof/>
        </w:rPr>
        <w:t>Therefore, the overall indirect impact on the green transition should be limited.</w:t>
      </w:r>
    </w:p>
    <w:p w14:paraId="12E1020F" w14:textId="77777777" w:rsidR="002E7C62" w:rsidRPr="00F86091" w:rsidRDefault="007915A6" w:rsidP="002E7C62">
      <w:pPr>
        <w:rPr>
          <w:noProof/>
        </w:rPr>
      </w:pPr>
      <w:r w:rsidRPr="00F86091">
        <w:rPr>
          <w:noProof/>
        </w:rPr>
        <w:t xml:space="preserve">Given the expected low impacts on the environment, the ‘do no significant harm’ principle </w:t>
      </w:r>
      <w:r w:rsidR="00171C6B">
        <w:rPr>
          <w:noProof/>
        </w:rPr>
        <w:t xml:space="preserve">assessment </w:t>
      </w:r>
      <w:r w:rsidR="00AF7899" w:rsidRPr="00F86091">
        <w:rPr>
          <w:noProof/>
        </w:rPr>
        <w:t xml:space="preserve">and climate consistency check </w:t>
      </w:r>
      <w:r w:rsidRPr="00F86091">
        <w:rPr>
          <w:noProof/>
        </w:rPr>
        <w:t>w</w:t>
      </w:r>
      <w:r w:rsidR="00AF7899" w:rsidRPr="00F86091">
        <w:rPr>
          <w:noProof/>
        </w:rPr>
        <w:t>ere</w:t>
      </w:r>
      <w:r w:rsidRPr="00F86091">
        <w:rPr>
          <w:noProof/>
        </w:rPr>
        <w:t xml:space="preserve"> not </w:t>
      </w:r>
      <w:r w:rsidR="00195AE1" w:rsidRPr="00F86091">
        <w:rPr>
          <w:noProof/>
        </w:rPr>
        <w:t>conducted</w:t>
      </w:r>
      <w:r w:rsidRPr="00F86091">
        <w:rPr>
          <w:noProof/>
        </w:rPr>
        <w:t xml:space="preserve"> for the impact assessment accompanying this initiative.</w:t>
      </w:r>
    </w:p>
    <w:p w14:paraId="5D18BD55" w14:textId="77777777" w:rsidR="007054BC" w:rsidRPr="00F86091" w:rsidRDefault="007054BC" w:rsidP="002F7D96">
      <w:pPr>
        <w:rPr>
          <w:i/>
          <w:iCs/>
          <w:noProof/>
        </w:rPr>
      </w:pPr>
      <w:r w:rsidRPr="00F86091">
        <w:rPr>
          <w:i/>
          <w:iCs/>
          <w:noProof/>
        </w:rPr>
        <w:t>Overall impacts on EU Open Strategic Autonomy</w:t>
      </w:r>
    </w:p>
    <w:p w14:paraId="19245573" w14:textId="77777777" w:rsidR="007054BC" w:rsidRPr="00F86091" w:rsidRDefault="00DB63C7" w:rsidP="002F7D96">
      <w:pPr>
        <w:rPr>
          <w:noProof/>
        </w:rPr>
      </w:pPr>
      <w:r w:rsidRPr="00F86091">
        <w:rPr>
          <w:noProof/>
        </w:rPr>
        <w:t>T</w:t>
      </w:r>
      <w:r w:rsidR="007054BC" w:rsidRPr="00F86091">
        <w:rPr>
          <w:noProof/>
        </w:rPr>
        <w:t xml:space="preserve">his package could result in some coking plants discontinuing. As a result, those sectors dependent </w:t>
      </w:r>
      <w:r w:rsidR="002D42AF" w:rsidRPr="00F86091">
        <w:rPr>
          <w:noProof/>
        </w:rPr>
        <w:t xml:space="preserve">on </w:t>
      </w:r>
      <w:r w:rsidR="007054BC" w:rsidRPr="00F86091">
        <w:rPr>
          <w:noProof/>
        </w:rPr>
        <w:t xml:space="preserve">the production of coking plants (e.g. coal tar) might need to import their products from outside the EU, which would hinder the EU’s open strategic autonomy in its objective of green and digital transition as coal tar is essential in the production of batteries storing energy produced by wind turbines, semiconductors and electric vehicles. However, this negative impact should be mitigated by the transitional measures for PAHs </w:t>
      </w:r>
      <w:r w:rsidR="002D42AF" w:rsidRPr="00F86091">
        <w:rPr>
          <w:noProof/>
        </w:rPr>
        <w:t xml:space="preserve">contained </w:t>
      </w:r>
      <w:r w:rsidR="007054BC" w:rsidRPr="00F86091">
        <w:rPr>
          <w:noProof/>
        </w:rPr>
        <w:t>in the package of preferred options, which is expected to reduce the number of possible discontinuations in the coking sector.</w:t>
      </w:r>
    </w:p>
    <w:p w14:paraId="21EEE203" w14:textId="77777777" w:rsidR="00AF7899" w:rsidRPr="00F86091" w:rsidRDefault="00AF7899" w:rsidP="00AF7899">
      <w:pPr>
        <w:rPr>
          <w:i/>
          <w:iCs/>
          <w:noProof/>
        </w:rPr>
      </w:pPr>
      <w:r w:rsidRPr="00F86091">
        <w:rPr>
          <w:i/>
          <w:iCs/>
          <w:noProof/>
        </w:rPr>
        <w:t>Overall impacts on relevant sustainable development goals</w:t>
      </w:r>
    </w:p>
    <w:p w14:paraId="646160A2" w14:textId="77777777" w:rsidR="007054BC" w:rsidRPr="00F86091" w:rsidRDefault="00AF7899" w:rsidP="002F7D96">
      <w:pPr>
        <w:rPr>
          <w:noProof/>
        </w:rPr>
      </w:pPr>
      <w:r w:rsidRPr="00F86091">
        <w:rPr>
          <w:noProof/>
        </w:rPr>
        <w:t>By improving the prevention of work-related diseases, the CMRD 6 will also contribute to the United Nations 2030 Agenda for Sustainable Development</w:t>
      </w:r>
      <w:r w:rsidRPr="00F86091">
        <w:rPr>
          <w:rStyle w:val="FootnoteReference"/>
          <w:noProof/>
          <w:szCs w:val="24"/>
        </w:rPr>
        <w:footnoteReference w:id="41"/>
      </w:r>
      <w:r w:rsidRPr="00F86091">
        <w:rPr>
          <w:noProof/>
        </w:rPr>
        <w:t xml:space="preserve">, in particular </w:t>
      </w:r>
      <w:r w:rsidR="00563466">
        <w:rPr>
          <w:noProof/>
        </w:rPr>
        <w:t>sustainable development</w:t>
      </w:r>
      <w:r w:rsidR="00563466" w:rsidRPr="00F86091">
        <w:rPr>
          <w:noProof/>
        </w:rPr>
        <w:t xml:space="preserve"> </w:t>
      </w:r>
      <w:r w:rsidRPr="00F86091">
        <w:rPr>
          <w:noProof/>
        </w:rPr>
        <w:t>goal</w:t>
      </w:r>
      <w:r w:rsidR="00563466">
        <w:rPr>
          <w:noProof/>
        </w:rPr>
        <w:t> </w:t>
      </w:r>
      <w:r w:rsidRPr="00F86091">
        <w:rPr>
          <w:noProof/>
        </w:rPr>
        <w:t>3</w:t>
      </w:r>
      <w:r w:rsidRPr="00F86091">
        <w:rPr>
          <w:rStyle w:val="FootnoteReference"/>
          <w:noProof/>
          <w:szCs w:val="24"/>
        </w:rPr>
        <w:footnoteReference w:id="42"/>
      </w:r>
      <w:r w:rsidRPr="00F86091">
        <w:rPr>
          <w:noProof/>
        </w:rPr>
        <w:t xml:space="preserve"> (</w:t>
      </w:r>
      <w:r w:rsidR="00F86091">
        <w:rPr>
          <w:noProof/>
        </w:rPr>
        <w:t>‘</w:t>
      </w:r>
      <w:r w:rsidRPr="00F86091">
        <w:rPr>
          <w:noProof/>
        </w:rPr>
        <w:t>Ensuring healthy lives and promote well-being for all at all ages</w:t>
      </w:r>
      <w:r w:rsidR="00F86091">
        <w:rPr>
          <w:noProof/>
        </w:rPr>
        <w:t>’</w:t>
      </w:r>
      <w:r w:rsidRPr="00F86091">
        <w:rPr>
          <w:noProof/>
        </w:rPr>
        <w:t>) and goal</w:t>
      </w:r>
      <w:r w:rsidR="00563466">
        <w:rPr>
          <w:noProof/>
        </w:rPr>
        <w:t> </w:t>
      </w:r>
      <w:r w:rsidRPr="00F86091">
        <w:rPr>
          <w:noProof/>
        </w:rPr>
        <w:t>8</w:t>
      </w:r>
      <w:r w:rsidRPr="00F86091">
        <w:rPr>
          <w:rStyle w:val="FootnoteReference"/>
          <w:noProof/>
          <w:szCs w:val="24"/>
        </w:rPr>
        <w:footnoteReference w:id="43"/>
      </w:r>
      <w:r w:rsidRPr="00F86091">
        <w:rPr>
          <w:noProof/>
        </w:rPr>
        <w:t xml:space="preserve"> (</w:t>
      </w:r>
      <w:r w:rsidR="00F86091">
        <w:rPr>
          <w:noProof/>
        </w:rPr>
        <w:t>‘</w:t>
      </w:r>
      <w:r w:rsidRPr="00F86091">
        <w:rPr>
          <w:noProof/>
        </w:rPr>
        <w:t>Promote sustained, inclusive and sustainable economic growth, full and productive employment and decent work for all</w:t>
      </w:r>
      <w:r w:rsidR="00F86091">
        <w:rPr>
          <w:noProof/>
        </w:rPr>
        <w:t>’</w:t>
      </w:r>
      <w:r w:rsidRPr="00F86091">
        <w:rPr>
          <w:noProof/>
        </w:rPr>
        <w:t>).</w:t>
      </w:r>
    </w:p>
    <w:p w14:paraId="06C51500" w14:textId="77777777" w:rsidR="007017A3" w:rsidRPr="00F86091" w:rsidRDefault="007017A3" w:rsidP="00D31AEF">
      <w:pPr>
        <w:pStyle w:val="ManualHeading2"/>
        <w:rPr>
          <w:rFonts w:eastAsia="Arial Unicode MS"/>
          <w:noProof/>
          <w:u w:color="000000"/>
          <w:bdr w:val="nil"/>
          <w:lang w:eastAsia="en-GB"/>
        </w:rPr>
      </w:pPr>
      <w:r w:rsidRPr="00F86091">
        <w:rPr>
          <w:rFonts w:eastAsia="Arial Unicode MS"/>
          <w:noProof/>
          <w:u w:color="000000"/>
          <w:bdr w:val="nil"/>
          <w:lang w:eastAsia="en-GB"/>
        </w:rPr>
        <w:t>•</w:t>
      </w:r>
      <w:r w:rsidRPr="00F86091">
        <w:rPr>
          <w:rFonts w:eastAsia="Arial Unicode MS"/>
          <w:noProof/>
          <w:u w:color="000000"/>
          <w:bdr w:val="nil"/>
          <w:lang w:eastAsia="en-GB"/>
        </w:rPr>
        <w:tab/>
        <w:t>Regulatory fitness and simplification</w:t>
      </w:r>
    </w:p>
    <w:p w14:paraId="51C354ED" w14:textId="77777777" w:rsidR="00822D1B" w:rsidRPr="00F86091" w:rsidRDefault="00822D1B" w:rsidP="004A4413">
      <w:pPr>
        <w:spacing w:line="276" w:lineRule="auto"/>
        <w:rPr>
          <w:i/>
          <w:iCs/>
          <w:noProof/>
        </w:rPr>
      </w:pPr>
      <w:r w:rsidRPr="00F86091">
        <w:rPr>
          <w:i/>
          <w:iCs/>
          <w:noProof/>
        </w:rPr>
        <w:t>Impact on EU competitiveness</w:t>
      </w:r>
    </w:p>
    <w:p w14:paraId="4D9DDD37" w14:textId="77777777" w:rsidR="004E786E" w:rsidRPr="00F86091" w:rsidRDefault="000C7835" w:rsidP="007C0C63">
      <w:pPr>
        <w:rPr>
          <w:noProof/>
        </w:rPr>
      </w:pPr>
      <w:bookmarkStart w:id="14" w:name="_Toc139373883"/>
      <w:r w:rsidRPr="00F86091">
        <w:rPr>
          <w:noProof/>
        </w:rPr>
        <w:t>C</w:t>
      </w:r>
      <w:r w:rsidR="004E786E" w:rsidRPr="00F86091">
        <w:rPr>
          <w:noProof/>
        </w:rPr>
        <w:t xml:space="preserve">oking plants, manufacturers of refractory products, manufacturers of graphite and carbon electrode, steel and iron foundries and ferroalloy companies, businesses operating in other non-ferrous metallurgy sector and coal fired power plants would need to make investments in additional RMMs from the very beginning which would represent more than 10% of their gross operating surplus. As most of these companies (except for graphite and electrode manufacturers) are SMEs, they have less capacity to absorb these compliance costs. </w:t>
      </w:r>
      <w:r w:rsidR="004D1DE2" w:rsidRPr="00F86091">
        <w:rPr>
          <w:noProof/>
        </w:rPr>
        <w:t>I</w:t>
      </w:r>
      <w:r w:rsidR="004E786E" w:rsidRPr="00F86091">
        <w:rPr>
          <w:noProof/>
        </w:rPr>
        <w:t>t cannot be excluded that some businesses would discontinue, which would negatively impact the availability of products</w:t>
      </w:r>
      <w:r w:rsidRPr="00F86091">
        <w:rPr>
          <w:noProof/>
        </w:rPr>
        <w:t>, the diversity of supply,</w:t>
      </w:r>
      <w:r w:rsidR="004E786E" w:rsidRPr="00F86091">
        <w:rPr>
          <w:noProof/>
        </w:rPr>
        <w:t xml:space="preserve"> and</w:t>
      </w:r>
      <w:r w:rsidRPr="00F86091">
        <w:rPr>
          <w:noProof/>
        </w:rPr>
        <w:t xml:space="preserve"> would</w:t>
      </w:r>
      <w:r w:rsidR="004E786E" w:rsidRPr="00F86091">
        <w:rPr>
          <w:noProof/>
        </w:rPr>
        <w:t xml:space="preserve"> push prices up for consumers. </w:t>
      </w:r>
      <w:bookmarkStart w:id="15" w:name="_Hlk188998338"/>
      <w:r w:rsidR="004E786E" w:rsidRPr="00F86091">
        <w:rPr>
          <w:noProof/>
        </w:rPr>
        <w:t xml:space="preserve">However, </w:t>
      </w:r>
      <w:r w:rsidR="00C47A7C">
        <w:rPr>
          <w:noProof/>
        </w:rPr>
        <w:t xml:space="preserve">introducing </w:t>
      </w:r>
      <w:r w:rsidR="004E786E" w:rsidRPr="00F86091">
        <w:rPr>
          <w:noProof/>
        </w:rPr>
        <w:t>transitional periods for cobalt and its inorganic compounds and PAHs is expected to limit the number of discontinuations and give more time to businesses, particular</w:t>
      </w:r>
      <w:r w:rsidR="00563466">
        <w:rPr>
          <w:noProof/>
        </w:rPr>
        <w:t>ly</w:t>
      </w:r>
      <w:r w:rsidR="004E786E" w:rsidRPr="00F86091">
        <w:rPr>
          <w:noProof/>
        </w:rPr>
        <w:t xml:space="preserve"> SMEs, to plan and make the necessary investments in additional RMMs.</w:t>
      </w:r>
      <w:bookmarkEnd w:id="15"/>
      <w:r w:rsidR="004E786E" w:rsidRPr="00F86091">
        <w:rPr>
          <w:noProof/>
        </w:rPr>
        <w:t xml:space="preserve"> </w:t>
      </w:r>
      <w:r w:rsidRPr="00F86091">
        <w:rPr>
          <w:noProof/>
        </w:rPr>
        <w:t xml:space="preserve">Therefore, the impact on prices </w:t>
      </w:r>
      <w:r w:rsidR="00563466">
        <w:rPr>
          <w:noProof/>
        </w:rPr>
        <w:t xml:space="preserve">and </w:t>
      </w:r>
      <w:r w:rsidRPr="00F86091">
        <w:rPr>
          <w:noProof/>
        </w:rPr>
        <w:t>diversity of supply/availability of products</w:t>
      </w:r>
      <w:r w:rsidR="00563466">
        <w:rPr>
          <w:noProof/>
        </w:rPr>
        <w:t xml:space="preserve"> for consumers</w:t>
      </w:r>
      <w:r w:rsidR="003F70F5" w:rsidRPr="003F70F5">
        <w:rPr>
          <w:noProof/>
        </w:rPr>
        <w:t xml:space="preserve"> of the products produced by these businesses</w:t>
      </w:r>
      <w:r w:rsidRPr="00F86091">
        <w:rPr>
          <w:noProof/>
        </w:rPr>
        <w:t xml:space="preserve"> is expected to be </w:t>
      </w:r>
      <w:r w:rsidR="00B64FF6">
        <w:rPr>
          <w:noProof/>
        </w:rPr>
        <w:t>m</w:t>
      </w:r>
      <w:r w:rsidR="00B64FF6" w:rsidRPr="00B64FF6">
        <w:rPr>
          <w:noProof/>
        </w:rPr>
        <w:t>itigated but not totally excluded</w:t>
      </w:r>
      <w:r w:rsidRPr="00F86091">
        <w:rPr>
          <w:noProof/>
        </w:rPr>
        <w:t>.</w:t>
      </w:r>
    </w:p>
    <w:p w14:paraId="3C3C6E02" w14:textId="77777777" w:rsidR="004E786E" w:rsidRPr="00F86091" w:rsidRDefault="004E786E" w:rsidP="007C0C63">
      <w:pPr>
        <w:rPr>
          <w:noProof/>
        </w:rPr>
      </w:pPr>
      <w:r w:rsidRPr="00F86091">
        <w:rPr>
          <w:noProof/>
        </w:rPr>
        <w:t>The package of preferred option</w:t>
      </w:r>
      <w:r w:rsidR="002D42AF" w:rsidRPr="00F86091">
        <w:rPr>
          <w:noProof/>
        </w:rPr>
        <w:t>s</w:t>
      </w:r>
      <w:r w:rsidRPr="00F86091">
        <w:rPr>
          <w:noProof/>
        </w:rPr>
        <w:t xml:space="preserve"> might also negatively impact the capacity of some businesses to innovate. Although for most businesses, compliance costs represent less than 10% </w:t>
      </w:r>
      <w:r w:rsidR="00B64FF6">
        <w:rPr>
          <w:noProof/>
        </w:rPr>
        <w:t>(</w:t>
      </w:r>
      <w:r w:rsidRPr="00F86091">
        <w:rPr>
          <w:noProof/>
        </w:rPr>
        <w:t xml:space="preserve">or even </w:t>
      </w:r>
      <w:r w:rsidR="00B64FF6" w:rsidRPr="00B64FF6">
        <w:rPr>
          <w:noProof/>
        </w:rPr>
        <w:t xml:space="preserve">less than </w:t>
      </w:r>
      <w:r w:rsidRPr="00F86091">
        <w:rPr>
          <w:noProof/>
        </w:rPr>
        <w:t xml:space="preserve">1% </w:t>
      </w:r>
      <w:r w:rsidR="00B64FF6" w:rsidRPr="00B64FF6">
        <w:rPr>
          <w:noProof/>
        </w:rPr>
        <w:t>for most sectors</w:t>
      </w:r>
      <w:r w:rsidR="00B64FF6">
        <w:rPr>
          <w:noProof/>
        </w:rPr>
        <w:t>)</w:t>
      </w:r>
      <w:r w:rsidR="00B64FF6" w:rsidRPr="00B64FF6">
        <w:rPr>
          <w:noProof/>
        </w:rPr>
        <w:t xml:space="preserve"> </w:t>
      </w:r>
      <w:r w:rsidRPr="00F86091">
        <w:rPr>
          <w:noProof/>
        </w:rPr>
        <w:t xml:space="preserve">of their R&amp;D expenditures, the share is higher for SMEs operating in the following sectors: coking plants (costs to businesses represent up to 160% of R&amp;D expenditures), soil remediation (up to 155%), </w:t>
      </w:r>
      <w:r w:rsidR="00651A0E" w:rsidRPr="00651A0E">
        <w:rPr>
          <w:noProof/>
        </w:rPr>
        <w:t>welding of train tracks</w:t>
      </w:r>
      <w:r w:rsidR="005A319B" w:rsidRPr="00F86091">
        <w:rPr>
          <w:noProof/>
        </w:rPr>
        <w:t xml:space="preserve"> </w:t>
      </w:r>
      <w:r w:rsidRPr="00F86091">
        <w:rPr>
          <w:noProof/>
        </w:rPr>
        <w:t xml:space="preserve">(up to 120-135%) and other non-ferrous metallurgy (up to 53%). Again, the transitional measures provided </w:t>
      </w:r>
      <w:r w:rsidR="002D42AF" w:rsidRPr="00F86091">
        <w:rPr>
          <w:noProof/>
        </w:rPr>
        <w:t xml:space="preserve">for </w:t>
      </w:r>
      <w:r w:rsidRPr="00F86091">
        <w:rPr>
          <w:noProof/>
        </w:rPr>
        <w:t>in the package of preferred options is expected to mitigate this negative impact</w:t>
      </w:r>
      <w:r w:rsidR="000C7835" w:rsidRPr="00F86091">
        <w:rPr>
          <w:noProof/>
        </w:rPr>
        <w:t xml:space="preserve"> </w:t>
      </w:r>
      <w:r w:rsidR="005A319B">
        <w:rPr>
          <w:noProof/>
        </w:rPr>
        <w:t>by giving</w:t>
      </w:r>
      <w:r w:rsidR="005A319B" w:rsidRPr="00F86091">
        <w:rPr>
          <w:noProof/>
        </w:rPr>
        <w:t xml:space="preserve"> </w:t>
      </w:r>
      <w:r w:rsidR="000C7835" w:rsidRPr="00F86091">
        <w:rPr>
          <w:noProof/>
        </w:rPr>
        <w:t>businesses more time to plan their investments. Therefore, the impact on R&amp;D expenditures should be negligible, except for the sectors mentioned above</w:t>
      </w:r>
      <w:r w:rsidR="008757C6">
        <w:rPr>
          <w:noProof/>
        </w:rPr>
        <w:t>,</w:t>
      </w:r>
      <w:r w:rsidR="000C7835" w:rsidRPr="00F86091">
        <w:rPr>
          <w:noProof/>
        </w:rPr>
        <w:t xml:space="preserve"> which might face more difficulties maintain</w:t>
      </w:r>
      <w:r w:rsidR="005A319B">
        <w:rPr>
          <w:noProof/>
        </w:rPr>
        <w:t>ing</w:t>
      </w:r>
      <w:r w:rsidR="000C7835" w:rsidRPr="00F86091">
        <w:rPr>
          <w:noProof/>
        </w:rPr>
        <w:t xml:space="preserve"> their investments and for which the transitional measures </w:t>
      </w:r>
      <w:r w:rsidR="004D1DE2" w:rsidRPr="00F86091">
        <w:rPr>
          <w:noProof/>
        </w:rPr>
        <w:t xml:space="preserve">will </w:t>
      </w:r>
      <w:r w:rsidR="000C7835" w:rsidRPr="00F86091">
        <w:rPr>
          <w:noProof/>
        </w:rPr>
        <w:t>play an important role</w:t>
      </w:r>
      <w:r w:rsidRPr="00F86091">
        <w:rPr>
          <w:noProof/>
        </w:rPr>
        <w:t>.</w:t>
      </w:r>
    </w:p>
    <w:p w14:paraId="75551332" w14:textId="77777777" w:rsidR="005A319B" w:rsidRDefault="005A319B" w:rsidP="007C0C63">
      <w:pPr>
        <w:rPr>
          <w:noProof/>
        </w:rPr>
      </w:pPr>
      <w:r>
        <w:rPr>
          <w:noProof/>
        </w:rPr>
        <w:t>S</w:t>
      </w:r>
      <w:r w:rsidR="004E786E" w:rsidRPr="00F86091">
        <w:rPr>
          <w:noProof/>
        </w:rPr>
        <w:t xml:space="preserve">ectors such as steel and iron foundries, ferroalloys, aluminium manufacturers, other metallurgy, </w:t>
      </w:r>
      <w:r w:rsidR="00651A0E" w:rsidRPr="00651A0E">
        <w:rPr>
          <w:noProof/>
        </w:rPr>
        <w:t>casting of metals</w:t>
      </w:r>
      <w:r w:rsidR="001340FA">
        <w:rPr>
          <w:noProof/>
        </w:rPr>
        <w:t>,</w:t>
      </w:r>
      <w:r w:rsidR="004E786E" w:rsidRPr="00F86091">
        <w:rPr>
          <w:noProof/>
        </w:rPr>
        <w:t xml:space="preserve"> and graphite and carbon electrode manufacturers already experience pressure from cheaper imports, particularly from Asian countries. Therefore, additional operational costs arising from compliance costs could negatively impact their </w:t>
      </w:r>
      <w:r>
        <w:rPr>
          <w:noProof/>
        </w:rPr>
        <w:t xml:space="preserve">international </w:t>
      </w:r>
      <w:r w:rsidR="004E786E" w:rsidRPr="00F86091">
        <w:rPr>
          <w:noProof/>
        </w:rPr>
        <w:t>competitiveness against cheaper imports</w:t>
      </w:r>
      <w:r w:rsidR="000C7835" w:rsidRPr="00F86091">
        <w:rPr>
          <w:noProof/>
        </w:rPr>
        <w:t xml:space="preserve"> from outside the EU</w:t>
      </w:r>
      <w:r w:rsidR="004E786E" w:rsidRPr="00F86091">
        <w:rPr>
          <w:noProof/>
        </w:rPr>
        <w:t xml:space="preserve">. </w:t>
      </w:r>
      <w:r>
        <w:rPr>
          <w:noProof/>
        </w:rPr>
        <w:t>A</w:t>
      </w:r>
      <w:r w:rsidR="004E786E" w:rsidRPr="00F86091">
        <w:rPr>
          <w:noProof/>
        </w:rPr>
        <w:t>s mentioned above, some businesses</w:t>
      </w:r>
      <w:r>
        <w:rPr>
          <w:noProof/>
        </w:rPr>
        <w:t xml:space="preserve"> (particularly coking plants)</w:t>
      </w:r>
      <w:r w:rsidR="004E786E" w:rsidRPr="00F86091">
        <w:rPr>
          <w:noProof/>
        </w:rPr>
        <w:t xml:space="preserve"> will </w:t>
      </w:r>
      <w:r>
        <w:rPr>
          <w:noProof/>
        </w:rPr>
        <w:t xml:space="preserve">probably </w:t>
      </w:r>
      <w:r w:rsidR="004E786E" w:rsidRPr="00F86091">
        <w:rPr>
          <w:noProof/>
        </w:rPr>
        <w:t>discontinue as a result of the package of preferred options.</w:t>
      </w:r>
    </w:p>
    <w:p w14:paraId="5BCE6883" w14:textId="77777777" w:rsidR="00753C6F" w:rsidRDefault="004E786E" w:rsidP="007C0C63">
      <w:pPr>
        <w:rPr>
          <w:noProof/>
        </w:rPr>
      </w:pPr>
      <w:r w:rsidRPr="00F86091">
        <w:rPr>
          <w:noProof/>
        </w:rPr>
        <w:t xml:space="preserve">Depending on the number of discontinuations, downstream users dependent on the production of coking plants could become more dependent on imports from outside of the EU. This is particularly the case for companies producing batteries storing energy produced by wind turbines, semiconductors, and electric vehicles. </w:t>
      </w:r>
      <w:r w:rsidR="000C7835" w:rsidRPr="00F86091">
        <w:rPr>
          <w:noProof/>
        </w:rPr>
        <w:t>A</w:t>
      </w:r>
      <w:r w:rsidRPr="00F86091">
        <w:rPr>
          <w:noProof/>
        </w:rPr>
        <w:t xml:space="preserve">ll these negative impacts are expected to be mitigated by the presence of transitional measures which </w:t>
      </w:r>
      <w:r w:rsidR="000C7835" w:rsidRPr="00F86091">
        <w:rPr>
          <w:noProof/>
        </w:rPr>
        <w:t>sh</w:t>
      </w:r>
      <w:r w:rsidRPr="00F86091">
        <w:rPr>
          <w:noProof/>
        </w:rPr>
        <w:t xml:space="preserve">ould reduce the number of discontinuations and give </w:t>
      </w:r>
      <w:r w:rsidR="005A319B">
        <w:rPr>
          <w:noProof/>
        </w:rPr>
        <w:t xml:space="preserve">businesses </w:t>
      </w:r>
      <w:r w:rsidRPr="00F86091">
        <w:rPr>
          <w:noProof/>
        </w:rPr>
        <w:t xml:space="preserve">more time </w:t>
      </w:r>
      <w:r w:rsidR="005A319B">
        <w:rPr>
          <w:noProof/>
        </w:rPr>
        <w:t xml:space="preserve">to make </w:t>
      </w:r>
      <w:r w:rsidRPr="00F86091">
        <w:rPr>
          <w:noProof/>
        </w:rPr>
        <w:t xml:space="preserve">the necessary investments. </w:t>
      </w:r>
      <w:r w:rsidR="000C7835" w:rsidRPr="00F86091">
        <w:rPr>
          <w:noProof/>
        </w:rPr>
        <w:t xml:space="preserve">Overall, the impact on international competitiveness should </w:t>
      </w:r>
      <w:r w:rsidR="00B13DE4" w:rsidRPr="00F86091">
        <w:rPr>
          <w:noProof/>
        </w:rPr>
        <w:t xml:space="preserve">be </w:t>
      </w:r>
      <w:r w:rsidR="000C7835" w:rsidRPr="00F86091">
        <w:rPr>
          <w:noProof/>
        </w:rPr>
        <w:t>negligible, except for those sectors mentioned above, in particular coking plants. Transitional measures are therefore important to mitigate these negative impacts, although the evidence gathered does not allow for a precise quantification of these effects.</w:t>
      </w:r>
      <w:bookmarkEnd w:id="14"/>
    </w:p>
    <w:p w14:paraId="188C5377" w14:textId="77777777" w:rsidR="00B64FF6" w:rsidRDefault="00B64FF6" w:rsidP="00B64FF6">
      <w:pPr>
        <w:rPr>
          <w:noProof/>
        </w:rPr>
      </w:pPr>
      <w:r w:rsidRPr="00B64FF6">
        <w:rPr>
          <w:noProof/>
        </w:rPr>
        <w:t xml:space="preserve">The package of preferred options should contribute to create a more level-laying field for businesses within the internal market and improve workforce retention by providing a more protective workplace. These factors might enhance competitiveness, particularly strengthening the competitive position of EU firms with respect to non-EU competitors. </w:t>
      </w:r>
    </w:p>
    <w:p w14:paraId="5A6AC8F5" w14:textId="77777777" w:rsidR="00B64FF6" w:rsidRPr="00453F11" w:rsidRDefault="00B64FF6" w:rsidP="007C0C63">
      <w:pPr>
        <w:rPr>
          <w:noProof/>
        </w:rPr>
      </w:pPr>
      <w:r w:rsidRPr="00B64FF6">
        <w:rPr>
          <w:noProof/>
        </w:rPr>
        <w:t>A more detailed analysis of the impact on competitiveness is provided in the impact assessment accompanying this legislative proposal.</w:t>
      </w:r>
    </w:p>
    <w:p w14:paraId="4DAC38D8" w14:textId="77777777" w:rsidR="006673D7" w:rsidRPr="00F86091" w:rsidRDefault="006673D7" w:rsidP="007C0C63">
      <w:pPr>
        <w:rPr>
          <w:noProof/>
        </w:rPr>
      </w:pPr>
    </w:p>
    <w:p w14:paraId="630D8824" w14:textId="77777777" w:rsidR="007017A3" w:rsidRPr="00F86091" w:rsidRDefault="007017A3" w:rsidP="00D31AEF">
      <w:pPr>
        <w:pStyle w:val="ManualHeading2"/>
        <w:rPr>
          <w:rFonts w:eastAsia="Arial Unicode MS"/>
          <w:noProof/>
          <w:u w:color="000000"/>
          <w:bdr w:val="nil"/>
          <w:lang w:eastAsia="en-GB"/>
        </w:rPr>
      </w:pPr>
      <w:r w:rsidRPr="00F86091">
        <w:rPr>
          <w:rFonts w:eastAsia="Arial Unicode MS"/>
          <w:noProof/>
          <w:u w:color="000000"/>
          <w:bdr w:val="nil"/>
          <w:lang w:eastAsia="en-GB"/>
        </w:rPr>
        <w:t>•</w:t>
      </w:r>
      <w:r w:rsidRPr="00F86091">
        <w:rPr>
          <w:rFonts w:eastAsia="Arial Unicode MS"/>
          <w:noProof/>
          <w:u w:color="000000"/>
          <w:bdr w:val="nil"/>
          <w:lang w:eastAsia="en-GB"/>
        </w:rPr>
        <w:tab/>
        <w:t>Fundamental rights</w:t>
      </w:r>
    </w:p>
    <w:p w14:paraId="192CA678" w14:textId="77777777" w:rsidR="00FE021E" w:rsidRPr="00F86091" w:rsidRDefault="00FE021E" w:rsidP="007C0C63">
      <w:pPr>
        <w:rPr>
          <w:noProof/>
        </w:rPr>
      </w:pPr>
      <w:r w:rsidRPr="00F86091">
        <w:rPr>
          <w:noProof/>
        </w:rPr>
        <w:t>Article</w:t>
      </w:r>
      <w:r w:rsidR="00F86091">
        <w:rPr>
          <w:noProof/>
        </w:rPr>
        <w:t> </w:t>
      </w:r>
      <w:r w:rsidRPr="00F86091">
        <w:rPr>
          <w:noProof/>
        </w:rPr>
        <w:t xml:space="preserve">31 of the EU Charter of Fundamental Rights states that workers have the right to fair and just working conditions that respect their health, safety and dignity. This is further developed in the </w:t>
      </w:r>
      <w:r w:rsidR="00C75955">
        <w:rPr>
          <w:noProof/>
        </w:rPr>
        <w:t xml:space="preserve">European Pillar of Social Rights </w:t>
      </w:r>
      <w:r w:rsidRPr="00F86091">
        <w:rPr>
          <w:noProof/>
        </w:rPr>
        <w:t>which aims to build a fairer and more inclusive European Union</w:t>
      </w:r>
      <w:r w:rsidR="00EA6C87" w:rsidRPr="00F86091">
        <w:rPr>
          <w:noProof/>
        </w:rPr>
        <w:t>. This initiative</w:t>
      </w:r>
      <w:r w:rsidRPr="00F86091">
        <w:rPr>
          <w:noProof/>
        </w:rPr>
        <w:t xml:space="preserve"> </w:t>
      </w:r>
      <w:r w:rsidR="00EA6C87" w:rsidRPr="00F86091">
        <w:rPr>
          <w:noProof/>
        </w:rPr>
        <w:t>will</w:t>
      </w:r>
      <w:r w:rsidRPr="00F86091">
        <w:rPr>
          <w:noProof/>
        </w:rPr>
        <w:t xml:space="preserve"> further improve the protection of workers from the health risks posed by exposure </w:t>
      </w:r>
      <w:r w:rsidR="002D42AF" w:rsidRPr="00F86091">
        <w:rPr>
          <w:noProof/>
        </w:rPr>
        <w:t>to hazardous substances</w:t>
      </w:r>
      <w:r w:rsidR="005A5DAE">
        <w:rPr>
          <w:noProof/>
        </w:rPr>
        <w:t>,</w:t>
      </w:r>
      <w:r w:rsidR="004D1DE2" w:rsidRPr="00F86091">
        <w:rPr>
          <w:noProof/>
        </w:rPr>
        <w:t xml:space="preserve"> </w:t>
      </w:r>
      <w:r w:rsidR="005A5DAE">
        <w:rPr>
          <w:noProof/>
        </w:rPr>
        <w:t xml:space="preserve">preventing </w:t>
      </w:r>
      <w:r w:rsidR="004D1DE2" w:rsidRPr="00F86091">
        <w:rPr>
          <w:noProof/>
        </w:rPr>
        <w:t>ill-health</w:t>
      </w:r>
      <w:r w:rsidR="00EA6C87" w:rsidRPr="00F86091">
        <w:rPr>
          <w:noProof/>
        </w:rPr>
        <w:t>. Therefore, it will</w:t>
      </w:r>
      <w:r w:rsidRPr="00F86091">
        <w:rPr>
          <w:noProof/>
        </w:rPr>
        <w:t xml:space="preserve"> also positively impact this</w:t>
      </w:r>
      <w:r w:rsidR="005A5DAE">
        <w:rPr>
          <w:noProof/>
        </w:rPr>
        <w:t xml:space="preserve"> fundamental</w:t>
      </w:r>
      <w:r w:rsidRPr="00F86091">
        <w:rPr>
          <w:noProof/>
        </w:rPr>
        <w:t xml:space="preserve"> right.</w:t>
      </w:r>
    </w:p>
    <w:p w14:paraId="60FB17D1" w14:textId="77777777" w:rsidR="007017A3" w:rsidRPr="00F86091" w:rsidRDefault="007017A3" w:rsidP="00D31AEF">
      <w:pPr>
        <w:pStyle w:val="ManualHeading1"/>
        <w:rPr>
          <w:noProof/>
        </w:rPr>
      </w:pPr>
      <w:r w:rsidRPr="00F86091">
        <w:rPr>
          <w:noProof/>
        </w:rPr>
        <w:t>4.</w:t>
      </w:r>
      <w:r w:rsidRPr="00F86091">
        <w:rPr>
          <w:noProof/>
        </w:rPr>
        <w:tab/>
      </w:r>
      <w:r w:rsidR="007D7827" w:rsidRPr="003D6EE6">
        <w:rPr>
          <w:noProof/>
        </w:rPr>
        <w:t xml:space="preserve">BUDGETARY </w:t>
      </w:r>
      <w:r w:rsidRPr="007D7827">
        <w:rPr>
          <w:noProof/>
        </w:rPr>
        <w:t>IMPLICATIONS</w:t>
      </w:r>
      <w:r w:rsidR="00E25C3D">
        <w:rPr>
          <w:noProof/>
        </w:rPr>
        <w:t xml:space="preserve"> </w:t>
      </w:r>
    </w:p>
    <w:p w14:paraId="1BCD9F0B" w14:textId="77777777" w:rsidR="007017A3" w:rsidRPr="003D6EE6" w:rsidRDefault="00E04415" w:rsidP="00D31AEF">
      <w:pPr>
        <w:pBdr>
          <w:top w:val="nil"/>
          <w:left w:val="nil"/>
          <w:bottom w:val="nil"/>
          <w:right w:val="nil"/>
          <w:between w:val="nil"/>
          <w:bar w:val="nil"/>
        </w:pBdr>
        <w:spacing w:before="0" w:after="240"/>
        <w:rPr>
          <w:rFonts w:eastAsia="Arial Unicode MS"/>
          <w:noProof/>
          <w:lang w:val="en-IE"/>
        </w:rPr>
      </w:pPr>
      <w:r w:rsidRPr="00F86091">
        <w:rPr>
          <w:noProof/>
        </w:rPr>
        <w:t>The proposal does not require additional budget and staff resources for the EU budget or bodies set up by the EU.</w:t>
      </w:r>
      <w:r w:rsidR="00E25C3D">
        <w:rPr>
          <w:noProof/>
        </w:rPr>
        <w:t xml:space="preserve"> This initiative has no financial and digital implications and therefore </w:t>
      </w:r>
      <w:r w:rsidR="007D7827">
        <w:rPr>
          <w:noProof/>
        </w:rPr>
        <w:t xml:space="preserve">the </w:t>
      </w:r>
      <w:r w:rsidR="00C603DE">
        <w:rPr>
          <w:noProof/>
        </w:rPr>
        <w:t>legal</w:t>
      </w:r>
      <w:r w:rsidR="0063646E">
        <w:rPr>
          <w:noProof/>
        </w:rPr>
        <w:t>,</w:t>
      </w:r>
      <w:r w:rsidR="00C603DE">
        <w:rPr>
          <w:noProof/>
        </w:rPr>
        <w:t xml:space="preserve"> financial</w:t>
      </w:r>
      <w:r w:rsidR="0063646E">
        <w:rPr>
          <w:noProof/>
        </w:rPr>
        <w:t>,</w:t>
      </w:r>
      <w:r w:rsidR="00C603DE">
        <w:rPr>
          <w:noProof/>
        </w:rPr>
        <w:t xml:space="preserve"> digital statement (</w:t>
      </w:r>
      <w:r w:rsidR="00E25C3D">
        <w:rPr>
          <w:noProof/>
        </w:rPr>
        <w:t>LFDS</w:t>
      </w:r>
      <w:r w:rsidR="00C603DE">
        <w:rPr>
          <w:noProof/>
        </w:rPr>
        <w:t>)</w:t>
      </w:r>
      <w:r w:rsidR="00E25C3D">
        <w:rPr>
          <w:noProof/>
        </w:rPr>
        <w:t xml:space="preserve"> is not provided.</w:t>
      </w:r>
    </w:p>
    <w:p w14:paraId="3A5B34F9" w14:textId="77777777" w:rsidR="007017A3" w:rsidRPr="00F86091" w:rsidRDefault="007017A3" w:rsidP="00D31AEF">
      <w:pPr>
        <w:pStyle w:val="ManualHeading1"/>
        <w:rPr>
          <w:noProof/>
        </w:rPr>
      </w:pPr>
      <w:r w:rsidRPr="00F86091">
        <w:rPr>
          <w:noProof/>
        </w:rPr>
        <w:t>5.</w:t>
      </w:r>
      <w:r w:rsidRPr="00F86091">
        <w:rPr>
          <w:noProof/>
        </w:rPr>
        <w:tab/>
        <w:t>OTHER ELEMENTS</w:t>
      </w:r>
    </w:p>
    <w:p w14:paraId="580C1557" w14:textId="77777777" w:rsidR="007017A3" w:rsidRPr="00F86091" w:rsidRDefault="007017A3" w:rsidP="00D31AEF">
      <w:pPr>
        <w:pStyle w:val="ManualHeading2"/>
        <w:rPr>
          <w:rFonts w:eastAsia="Arial Unicode MS"/>
          <w:noProof/>
          <w:u w:color="000000"/>
          <w:bdr w:val="nil"/>
          <w:lang w:eastAsia="en-GB"/>
        </w:rPr>
      </w:pPr>
      <w:r w:rsidRPr="00F86091">
        <w:rPr>
          <w:rFonts w:eastAsia="Arial Unicode MS"/>
          <w:noProof/>
          <w:bdr w:val="nil"/>
          <w:lang w:eastAsia="en-GB"/>
        </w:rPr>
        <w:t>•</w:t>
      </w:r>
      <w:r w:rsidRPr="00F86091">
        <w:rPr>
          <w:rFonts w:eastAsia="Arial Unicode MS"/>
          <w:noProof/>
          <w:u w:color="000000"/>
          <w:bdr w:val="nil"/>
          <w:lang w:eastAsia="en-GB"/>
        </w:rPr>
        <w:tab/>
      </w:r>
      <w:r w:rsidRPr="00F86091">
        <w:rPr>
          <w:rFonts w:eastAsia="Arial Unicode MS"/>
          <w:noProof/>
          <w:bdr w:val="nil"/>
          <w:lang w:eastAsia="en-GB"/>
        </w:rPr>
        <w:t>Implementation plans and monitoring, evaluation and reporting arrangements</w:t>
      </w:r>
    </w:p>
    <w:p w14:paraId="629B7F1F" w14:textId="77777777" w:rsidR="00033946" w:rsidRDefault="3517B6B5" w:rsidP="7B1EA31D">
      <w:pPr>
        <w:spacing w:before="0" w:after="240"/>
        <w:rPr>
          <w:rFonts w:eastAsia="Times New Roman"/>
          <w:noProof/>
        </w:rPr>
      </w:pPr>
      <w:r w:rsidRPr="00F86091">
        <w:rPr>
          <w:rFonts w:eastAsia="Times New Roman"/>
          <w:noProof/>
        </w:rPr>
        <w:t xml:space="preserve">The number of cases of occupational ill-health in the EU and the reduction of costs </w:t>
      </w:r>
      <w:r w:rsidR="005A5DAE">
        <w:rPr>
          <w:rFonts w:eastAsia="Times New Roman"/>
          <w:noProof/>
        </w:rPr>
        <w:t>of</w:t>
      </w:r>
      <w:r w:rsidR="005A5DAE" w:rsidRPr="00F86091">
        <w:rPr>
          <w:rFonts w:eastAsia="Times New Roman"/>
          <w:noProof/>
        </w:rPr>
        <w:t xml:space="preserve"> </w:t>
      </w:r>
      <w:r w:rsidRPr="00F86091">
        <w:rPr>
          <w:rFonts w:eastAsia="Times New Roman"/>
          <w:noProof/>
        </w:rPr>
        <w:t xml:space="preserve">occupational ill-health (e.g. loss of productivity) </w:t>
      </w:r>
      <w:r w:rsidR="005A5DAE" w:rsidRPr="00F86091">
        <w:rPr>
          <w:rFonts w:eastAsia="Times New Roman"/>
          <w:noProof/>
        </w:rPr>
        <w:t xml:space="preserve">for </w:t>
      </w:r>
      <w:r w:rsidR="00326B28">
        <w:rPr>
          <w:rFonts w:eastAsia="Times New Roman"/>
          <w:noProof/>
        </w:rPr>
        <w:t>businesses</w:t>
      </w:r>
      <w:r w:rsidR="005A5DAE" w:rsidRPr="00F86091">
        <w:rPr>
          <w:rFonts w:eastAsia="Times New Roman"/>
          <w:noProof/>
        </w:rPr>
        <w:t xml:space="preserve"> </w:t>
      </w:r>
      <w:r w:rsidRPr="00F86091">
        <w:rPr>
          <w:rFonts w:eastAsia="Times New Roman"/>
          <w:noProof/>
        </w:rPr>
        <w:t>and social security systems in the EU are core indicators when monitoring the impacts of this Directive.</w:t>
      </w:r>
    </w:p>
    <w:p w14:paraId="0268C446" w14:textId="77777777" w:rsidR="00DA6344" w:rsidRDefault="3517B6B5" w:rsidP="7B1EA31D">
      <w:pPr>
        <w:spacing w:before="0" w:after="240"/>
        <w:rPr>
          <w:rFonts w:eastAsia="Times New Roman"/>
          <w:noProof/>
        </w:rPr>
      </w:pPr>
      <w:r w:rsidRPr="00F86091">
        <w:rPr>
          <w:rFonts w:eastAsia="Times New Roman"/>
          <w:noProof/>
        </w:rPr>
        <w:t>The monitoring of the first indicator refers to</w:t>
      </w:r>
      <w:r w:rsidR="00CD4C58">
        <w:rPr>
          <w:rFonts w:eastAsia="Times New Roman"/>
          <w:noProof/>
        </w:rPr>
        <w:t>:</w:t>
      </w:r>
    </w:p>
    <w:p w14:paraId="083E5626" w14:textId="77777777" w:rsidR="00DA6344" w:rsidRPr="00E64B19" w:rsidRDefault="00A53916" w:rsidP="00A53916">
      <w:pPr>
        <w:pStyle w:val="Point0"/>
        <w:rPr>
          <w:noProof/>
        </w:rPr>
      </w:pPr>
      <w:r w:rsidRPr="00A53916">
        <w:rPr>
          <w:noProof/>
        </w:rPr>
        <w:t>(a)</w:t>
      </w:r>
      <w:r w:rsidRPr="00A53916">
        <w:rPr>
          <w:noProof/>
        </w:rPr>
        <w:tab/>
      </w:r>
      <w:r w:rsidR="3517B6B5" w:rsidRPr="00762E14">
        <w:rPr>
          <w:noProof/>
        </w:rPr>
        <w:t xml:space="preserve">the available data </w:t>
      </w:r>
      <w:r w:rsidR="3517B6B5" w:rsidRPr="00E64B19">
        <w:rPr>
          <w:noProof/>
        </w:rPr>
        <w:t>collected by Eurostat (</w:t>
      </w:r>
      <w:r w:rsidR="005A5DAE" w:rsidRPr="00E64B19">
        <w:rPr>
          <w:noProof/>
        </w:rPr>
        <w:t xml:space="preserve">and </w:t>
      </w:r>
      <w:r w:rsidR="3517B6B5" w:rsidRPr="00E64B19">
        <w:rPr>
          <w:noProof/>
        </w:rPr>
        <w:t xml:space="preserve">other relevant information sources such as </w:t>
      </w:r>
      <w:r w:rsidR="7582F939" w:rsidRPr="00E64B19">
        <w:rPr>
          <w:noProof/>
        </w:rPr>
        <w:t>the European Agency for Saf</w:t>
      </w:r>
      <w:r w:rsidR="4E6B1D96" w:rsidRPr="00E64B19">
        <w:rPr>
          <w:noProof/>
        </w:rPr>
        <w:t>e</w:t>
      </w:r>
      <w:r w:rsidR="7582F939" w:rsidRPr="00E64B19">
        <w:rPr>
          <w:noProof/>
        </w:rPr>
        <w:t>t</w:t>
      </w:r>
      <w:r w:rsidR="06F672E5" w:rsidRPr="00E64B19">
        <w:rPr>
          <w:noProof/>
        </w:rPr>
        <w:t>y</w:t>
      </w:r>
      <w:r w:rsidR="7582F939" w:rsidRPr="00E64B19">
        <w:rPr>
          <w:noProof/>
        </w:rPr>
        <w:t xml:space="preserve"> and Health at Work</w:t>
      </w:r>
      <w:r w:rsidR="005A5DAE" w:rsidRPr="00E64B19">
        <w:rPr>
          <w:noProof/>
        </w:rPr>
        <w:t>'s</w:t>
      </w:r>
      <w:r w:rsidR="3517B6B5" w:rsidRPr="00E64B19">
        <w:rPr>
          <w:noProof/>
        </w:rPr>
        <w:t xml:space="preserve"> OSH Barometer, </w:t>
      </w:r>
      <w:r w:rsidR="6F23778C" w:rsidRPr="00E64B19">
        <w:rPr>
          <w:noProof/>
        </w:rPr>
        <w:t>European Foundation for the Improvement of Living and Working Conditions (</w:t>
      </w:r>
      <w:r w:rsidR="3517B6B5" w:rsidRPr="00E64B19">
        <w:rPr>
          <w:noProof/>
        </w:rPr>
        <w:t>Eurofound</w:t>
      </w:r>
      <w:r w:rsidR="3D3AAE45" w:rsidRPr="00E64B19">
        <w:rPr>
          <w:noProof/>
        </w:rPr>
        <w:t>)</w:t>
      </w:r>
      <w:r w:rsidR="005A5DAE" w:rsidRPr="00E64B19">
        <w:rPr>
          <w:noProof/>
        </w:rPr>
        <w:t>,</w:t>
      </w:r>
      <w:r w:rsidR="3517B6B5" w:rsidRPr="00E64B19">
        <w:rPr>
          <w:noProof/>
        </w:rPr>
        <w:t xml:space="preserve"> I</w:t>
      </w:r>
      <w:r w:rsidR="456757C1" w:rsidRPr="00E64B19">
        <w:rPr>
          <w:noProof/>
        </w:rPr>
        <w:t xml:space="preserve">nternational </w:t>
      </w:r>
      <w:r w:rsidR="3517B6B5" w:rsidRPr="00E64B19">
        <w:rPr>
          <w:noProof/>
        </w:rPr>
        <w:t>L</w:t>
      </w:r>
      <w:r w:rsidR="377203DD" w:rsidRPr="00E64B19">
        <w:rPr>
          <w:noProof/>
        </w:rPr>
        <w:t xml:space="preserve">abour </w:t>
      </w:r>
      <w:r w:rsidR="3517B6B5" w:rsidRPr="00E64B19">
        <w:rPr>
          <w:noProof/>
        </w:rPr>
        <w:t>O</w:t>
      </w:r>
      <w:r w:rsidR="170E0AA4" w:rsidRPr="00E64B19">
        <w:rPr>
          <w:noProof/>
        </w:rPr>
        <w:t>rganisation</w:t>
      </w:r>
      <w:r w:rsidR="3517B6B5" w:rsidRPr="00E64B19">
        <w:rPr>
          <w:noProof/>
        </w:rPr>
        <w:t>, W</w:t>
      </w:r>
      <w:r w:rsidR="13A44BDB" w:rsidRPr="00E64B19">
        <w:rPr>
          <w:noProof/>
        </w:rPr>
        <w:t xml:space="preserve">orld </w:t>
      </w:r>
      <w:r w:rsidR="3517B6B5" w:rsidRPr="00E64B19">
        <w:rPr>
          <w:noProof/>
        </w:rPr>
        <w:t>H</w:t>
      </w:r>
      <w:r w:rsidR="6749EC8F" w:rsidRPr="00E64B19">
        <w:rPr>
          <w:noProof/>
        </w:rPr>
        <w:t xml:space="preserve">ealth </w:t>
      </w:r>
      <w:r w:rsidR="3517B6B5" w:rsidRPr="00E64B19">
        <w:rPr>
          <w:noProof/>
        </w:rPr>
        <w:t>O</w:t>
      </w:r>
      <w:r w:rsidR="6A984C8F" w:rsidRPr="00E64B19">
        <w:rPr>
          <w:noProof/>
        </w:rPr>
        <w:t>rganisation</w:t>
      </w:r>
      <w:r w:rsidR="3517B6B5" w:rsidRPr="00E64B19">
        <w:rPr>
          <w:noProof/>
        </w:rPr>
        <w:t>)</w:t>
      </w:r>
      <w:r w:rsidR="005A5DAE" w:rsidRPr="00E64B19">
        <w:rPr>
          <w:noProof/>
        </w:rPr>
        <w:t>;</w:t>
      </w:r>
    </w:p>
    <w:p w14:paraId="5A7BA36E" w14:textId="77777777" w:rsidR="00453F11" w:rsidRDefault="00A53916" w:rsidP="00A53916">
      <w:pPr>
        <w:pStyle w:val="Point0"/>
        <w:rPr>
          <w:noProof/>
        </w:rPr>
      </w:pPr>
      <w:r w:rsidRPr="00A53916">
        <w:rPr>
          <w:noProof/>
        </w:rPr>
        <w:t>(b)</w:t>
      </w:r>
      <w:r w:rsidRPr="00A53916">
        <w:rPr>
          <w:noProof/>
        </w:rPr>
        <w:tab/>
      </w:r>
      <w:r w:rsidR="3517B6B5" w:rsidRPr="00E64B19">
        <w:rPr>
          <w:noProof/>
        </w:rPr>
        <w:t>data notified by employers to the competent national authorities in accordance with Article</w:t>
      </w:r>
      <w:r w:rsidR="00F86091" w:rsidRPr="00E64B19">
        <w:rPr>
          <w:noProof/>
        </w:rPr>
        <w:t> </w:t>
      </w:r>
      <w:r w:rsidR="3517B6B5" w:rsidRPr="00E64B19">
        <w:rPr>
          <w:noProof/>
        </w:rPr>
        <w:t>14(8) of the Directive and which may be accessed by the Commission in accordance with Article</w:t>
      </w:r>
      <w:r w:rsidR="00F86091" w:rsidRPr="00E64B19">
        <w:rPr>
          <w:noProof/>
        </w:rPr>
        <w:t> </w:t>
      </w:r>
      <w:r w:rsidR="3517B6B5" w:rsidRPr="00E64B19">
        <w:rPr>
          <w:noProof/>
        </w:rPr>
        <w:t>18 of the Directive</w:t>
      </w:r>
      <w:r w:rsidR="00033946" w:rsidRPr="00E64B19">
        <w:rPr>
          <w:noProof/>
        </w:rPr>
        <w:t>;</w:t>
      </w:r>
      <w:r w:rsidR="3517B6B5" w:rsidRPr="00E64B19">
        <w:rPr>
          <w:noProof/>
        </w:rPr>
        <w:t xml:space="preserve"> and</w:t>
      </w:r>
    </w:p>
    <w:p w14:paraId="5439A990" w14:textId="77777777" w:rsidR="00033946" w:rsidRPr="00E64B19" w:rsidRDefault="00A53916" w:rsidP="00A53916">
      <w:pPr>
        <w:pStyle w:val="Point0"/>
        <w:rPr>
          <w:noProof/>
        </w:rPr>
      </w:pPr>
      <w:r w:rsidRPr="00A53916">
        <w:rPr>
          <w:noProof/>
        </w:rPr>
        <w:t>(c)</w:t>
      </w:r>
      <w:r w:rsidRPr="00A53916">
        <w:rPr>
          <w:noProof/>
        </w:rPr>
        <w:tab/>
      </w:r>
      <w:r w:rsidR="3517B6B5" w:rsidRPr="00E64B19">
        <w:rPr>
          <w:noProof/>
        </w:rPr>
        <w:t>data submitted by Member States in their national implementation reports in accordance with Article</w:t>
      </w:r>
      <w:r w:rsidR="00F86091" w:rsidRPr="00E64B19">
        <w:rPr>
          <w:noProof/>
        </w:rPr>
        <w:t> </w:t>
      </w:r>
      <w:r w:rsidR="3517B6B5" w:rsidRPr="00E64B19">
        <w:rPr>
          <w:noProof/>
        </w:rPr>
        <w:t>17a of Directive 89/391/EEC.</w:t>
      </w:r>
    </w:p>
    <w:p w14:paraId="432AD879" w14:textId="77777777" w:rsidR="3517B6B5" w:rsidRPr="00F86091" w:rsidRDefault="3517B6B5" w:rsidP="7B1EA31D">
      <w:pPr>
        <w:spacing w:before="0" w:after="240"/>
        <w:rPr>
          <w:rFonts w:eastAsia="Times New Roman"/>
          <w:noProof/>
        </w:rPr>
      </w:pPr>
      <w:r w:rsidRPr="00F86091">
        <w:rPr>
          <w:rFonts w:eastAsia="Times New Roman"/>
          <w:noProof/>
        </w:rPr>
        <w:t xml:space="preserve">The second indicator </w:t>
      </w:r>
      <w:r w:rsidR="00033946">
        <w:rPr>
          <w:rFonts w:eastAsia="Times New Roman"/>
          <w:noProof/>
        </w:rPr>
        <w:t xml:space="preserve">is monitored by comparing </w:t>
      </w:r>
      <w:r w:rsidRPr="00F86091">
        <w:rPr>
          <w:rFonts w:eastAsia="Times New Roman"/>
          <w:noProof/>
        </w:rPr>
        <w:t xml:space="preserve">the expected figures </w:t>
      </w:r>
      <w:r w:rsidR="00033946">
        <w:rPr>
          <w:rFonts w:eastAsia="Times New Roman"/>
          <w:noProof/>
        </w:rPr>
        <w:t>for economic loss and health</w:t>
      </w:r>
      <w:r w:rsidR="006F298F">
        <w:rPr>
          <w:rFonts w:eastAsia="Times New Roman"/>
          <w:noProof/>
        </w:rPr>
        <w:t>care</w:t>
      </w:r>
      <w:r w:rsidR="00033946">
        <w:rPr>
          <w:rFonts w:eastAsia="Times New Roman"/>
          <w:noProof/>
        </w:rPr>
        <w:t xml:space="preserve"> costs caused by </w:t>
      </w:r>
      <w:r w:rsidRPr="00F86091">
        <w:rPr>
          <w:rFonts w:eastAsia="Times New Roman"/>
          <w:noProof/>
        </w:rPr>
        <w:t xml:space="preserve">occupational ill-health </w:t>
      </w:r>
      <w:r w:rsidR="00033946">
        <w:rPr>
          <w:rFonts w:eastAsia="Times New Roman"/>
          <w:noProof/>
        </w:rPr>
        <w:t xml:space="preserve">with </w:t>
      </w:r>
      <w:r w:rsidRPr="00F86091">
        <w:rPr>
          <w:rFonts w:eastAsia="Times New Roman"/>
          <w:noProof/>
        </w:rPr>
        <w:t xml:space="preserve">the </w:t>
      </w:r>
      <w:r w:rsidR="00033946">
        <w:rPr>
          <w:rFonts w:eastAsia="Times New Roman"/>
          <w:noProof/>
        </w:rPr>
        <w:t xml:space="preserve">actual </w:t>
      </w:r>
      <w:r w:rsidRPr="00F86091">
        <w:rPr>
          <w:rFonts w:eastAsia="Times New Roman"/>
          <w:noProof/>
        </w:rPr>
        <w:t xml:space="preserve">figures </w:t>
      </w:r>
      <w:r w:rsidR="00033946">
        <w:rPr>
          <w:rFonts w:eastAsia="Times New Roman"/>
          <w:noProof/>
        </w:rPr>
        <w:t xml:space="preserve">collected for these </w:t>
      </w:r>
      <w:r w:rsidRPr="00F86091">
        <w:rPr>
          <w:rFonts w:eastAsia="Times New Roman"/>
          <w:noProof/>
        </w:rPr>
        <w:t xml:space="preserve">after the adoption of the </w:t>
      </w:r>
      <w:r w:rsidR="002D42AF" w:rsidRPr="00F86091">
        <w:rPr>
          <w:rFonts w:eastAsia="Times New Roman"/>
          <w:noProof/>
        </w:rPr>
        <w:t>amend</w:t>
      </w:r>
      <w:r w:rsidR="00033946">
        <w:rPr>
          <w:rFonts w:eastAsia="Times New Roman"/>
          <w:noProof/>
        </w:rPr>
        <w:t>ed</w:t>
      </w:r>
      <w:r w:rsidR="002D42AF" w:rsidRPr="00F86091">
        <w:rPr>
          <w:rFonts w:eastAsia="Times New Roman"/>
          <w:noProof/>
        </w:rPr>
        <w:t xml:space="preserve"> directive</w:t>
      </w:r>
      <w:r w:rsidRPr="00F86091">
        <w:rPr>
          <w:rFonts w:eastAsia="Times New Roman"/>
          <w:noProof/>
        </w:rPr>
        <w:t>.</w:t>
      </w:r>
    </w:p>
    <w:p w14:paraId="5DBF67A8" w14:textId="77777777" w:rsidR="3517B6B5" w:rsidRPr="00F86091" w:rsidRDefault="3517B6B5" w:rsidP="7B1EA31D">
      <w:pPr>
        <w:spacing w:before="0" w:after="240"/>
        <w:rPr>
          <w:rFonts w:eastAsia="Times New Roman"/>
          <w:noProof/>
        </w:rPr>
      </w:pPr>
      <w:r w:rsidRPr="00F86091">
        <w:rPr>
          <w:rFonts w:eastAsia="Times New Roman"/>
          <w:noProof/>
        </w:rPr>
        <w:t xml:space="preserve">Other indicators for monitoring the operational objective of </w:t>
      </w:r>
      <w:r w:rsidR="007066DD">
        <w:rPr>
          <w:rFonts w:eastAsia="Times New Roman"/>
          <w:noProof/>
        </w:rPr>
        <w:t>better</w:t>
      </w:r>
      <w:r w:rsidRPr="00F86091">
        <w:rPr>
          <w:rFonts w:eastAsia="Times New Roman"/>
          <w:noProof/>
        </w:rPr>
        <w:t xml:space="preserve"> implementation of the Directive in the Member States include:</w:t>
      </w:r>
    </w:p>
    <w:p w14:paraId="12F87FBC" w14:textId="77777777" w:rsidR="3517B6B5" w:rsidRPr="00F86091" w:rsidRDefault="3517B6B5" w:rsidP="00AD21BD">
      <w:pPr>
        <w:pStyle w:val="Bullet0"/>
        <w:numPr>
          <w:ilvl w:val="0"/>
          <w:numId w:val="4"/>
        </w:numPr>
        <w:rPr>
          <w:noProof/>
        </w:rPr>
      </w:pPr>
      <w:r w:rsidRPr="00F86091">
        <w:rPr>
          <w:noProof/>
        </w:rPr>
        <w:t xml:space="preserve">information </w:t>
      </w:r>
      <w:r w:rsidR="007066DD">
        <w:rPr>
          <w:noProof/>
        </w:rPr>
        <w:t xml:space="preserve">on </w:t>
      </w:r>
      <w:r w:rsidR="007066DD" w:rsidRPr="00F86091">
        <w:rPr>
          <w:noProof/>
        </w:rPr>
        <w:t xml:space="preserve">adequate implementation of the Directive </w:t>
      </w:r>
      <w:r w:rsidRPr="00F86091">
        <w:rPr>
          <w:noProof/>
        </w:rPr>
        <w:t xml:space="preserve">provided by ACSH working parties and interest groups and </w:t>
      </w:r>
      <w:r w:rsidR="007066DD">
        <w:rPr>
          <w:noProof/>
        </w:rPr>
        <w:t>by</w:t>
      </w:r>
      <w:r w:rsidR="007066DD" w:rsidRPr="00F86091">
        <w:rPr>
          <w:noProof/>
        </w:rPr>
        <w:t xml:space="preserve"> </w:t>
      </w:r>
      <w:r w:rsidRPr="00F86091">
        <w:rPr>
          <w:noProof/>
        </w:rPr>
        <w:t xml:space="preserve">the </w:t>
      </w:r>
      <w:r w:rsidR="004D1DE2" w:rsidRPr="00F86091">
        <w:rPr>
          <w:rFonts w:eastAsia="Arial Unicode MS"/>
          <w:noProof/>
        </w:rPr>
        <w:t>Senior Labour Inspectors Committee (</w:t>
      </w:r>
      <w:r w:rsidRPr="00F86091">
        <w:rPr>
          <w:noProof/>
        </w:rPr>
        <w:t>SLIC</w:t>
      </w:r>
      <w:r w:rsidR="004D1DE2" w:rsidRPr="00F86091">
        <w:rPr>
          <w:noProof/>
        </w:rPr>
        <w:t>)</w:t>
      </w:r>
      <w:r w:rsidR="00DA6344">
        <w:rPr>
          <w:noProof/>
        </w:rPr>
        <w:t>;</w:t>
      </w:r>
    </w:p>
    <w:p w14:paraId="624911C2" w14:textId="77777777" w:rsidR="3517B6B5" w:rsidRPr="00F86091" w:rsidRDefault="004D1DE2" w:rsidP="00DB2B85">
      <w:pPr>
        <w:pStyle w:val="Bullet0"/>
        <w:rPr>
          <w:noProof/>
        </w:rPr>
      </w:pPr>
      <w:r w:rsidRPr="00F86091">
        <w:rPr>
          <w:noProof/>
        </w:rPr>
        <w:t xml:space="preserve">guidelines </w:t>
      </w:r>
      <w:r w:rsidR="3517B6B5" w:rsidRPr="00F86091">
        <w:rPr>
          <w:noProof/>
        </w:rPr>
        <w:t>developed by the Member States, awareness-raising campaigns, training</w:t>
      </w:r>
      <w:r w:rsidR="000633AD">
        <w:rPr>
          <w:noProof/>
        </w:rPr>
        <w:t xml:space="preserve"> course</w:t>
      </w:r>
      <w:r w:rsidR="3517B6B5" w:rsidRPr="00F86091">
        <w:rPr>
          <w:noProof/>
        </w:rPr>
        <w:t>s and other related</w:t>
      </w:r>
      <w:r w:rsidR="000633AD">
        <w:rPr>
          <w:noProof/>
        </w:rPr>
        <w:t xml:space="preserve"> </w:t>
      </w:r>
      <w:r w:rsidR="3517B6B5" w:rsidRPr="00F86091">
        <w:rPr>
          <w:noProof/>
        </w:rPr>
        <w:t>activities reported by Member States through the Questionnaire on the practical implementation of the OSH Directives under the 5-yearly country</w:t>
      </w:r>
      <w:r w:rsidR="515707B4" w:rsidRPr="00F86091">
        <w:rPr>
          <w:noProof/>
        </w:rPr>
        <w:t xml:space="preserve"> </w:t>
      </w:r>
      <w:r w:rsidR="3517B6B5" w:rsidRPr="00F86091">
        <w:rPr>
          <w:noProof/>
        </w:rPr>
        <w:t>report in accordance with Article</w:t>
      </w:r>
      <w:r w:rsidR="00F86091">
        <w:rPr>
          <w:noProof/>
        </w:rPr>
        <w:t> </w:t>
      </w:r>
      <w:r w:rsidR="3517B6B5" w:rsidRPr="00F86091">
        <w:rPr>
          <w:noProof/>
        </w:rPr>
        <w:t>17a of Directive 89/391/EEC and information from the ACSH and the SLIC</w:t>
      </w:r>
      <w:r w:rsidR="00DA6344">
        <w:rPr>
          <w:noProof/>
        </w:rPr>
        <w:t>;</w:t>
      </w:r>
    </w:p>
    <w:p w14:paraId="283B1DBD" w14:textId="77777777" w:rsidR="449BDA64" w:rsidRPr="00F86091" w:rsidRDefault="00DA6344" w:rsidP="00DB2B85">
      <w:pPr>
        <w:pStyle w:val="Bullet0"/>
        <w:rPr>
          <w:noProof/>
        </w:rPr>
      </w:pPr>
      <w:r w:rsidRPr="00F86091">
        <w:rPr>
          <w:noProof/>
        </w:rPr>
        <w:t xml:space="preserve">number </w:t>
      </w:r>
      <w:r w:rsidR="3517B6B5" w:rsidRPr="00F86091">
        <w:rPr>
          <w:noProof/>
        </w:rPr>
        <w:t>or proportion of companies encouraging good practices that prevent cases of ill-health associated with the use of CMR substances which could be monitored t</w:t>
      </w:r>
      <w:r w:rsidR="000633AD">
        <w:rPr>
          <w:noProof/>
        </w:rPr>
        <w:t>h</w:t>
      </w:r>
      <w:r w:rsidR="3517B6B5" w:rsidRPr="00F86091">
        <w:rPr>
          <w:noProof/>
        </w:rPr>
        <w:t>rough data comparison from EU-OSHA’s European Survey of Enterprises on New and Emerging Risks,</w:t>
      </w:r>
      <w:r w:rsidR="7996B706" w:rsidRPr="00F86091">
        <w:rPr>
          <w:noProof/>
        </w:rPr>
        <w:t xml:space="preserve"> </w:t>
      </w:r>
      <w:r w:rsidR="3517B6B5" w:rsidRPr="00F86091">
        <w:rPr>
          <w:noProof/>
        </w:rPr>
        <w:t>Eurofound’s European Working Conditions Survey</w:t>
      </w:r>
      <w:r w:rsidR="00BB28AF">
        <w:rPr>
          <w:noProof/>
        </w:rPr>
        <w:t>,</w:t>
      </w:r>
      <w:r w:rsidR="004D1DE2" w:rsidRPr="00F86091">
        <w:rPr>
          <w:noProof/>
        </w:rPr>
        <w:t xml:space="preserve"> and</w:t>
      </w:r>
      <w:r w:rsidR="3517B6B5" w:rsidRPr="00F86091">
        <w:rPr>
          <w:noProof/>
        </w:rPr>
        <w:t xml:space="preserve"> </w:t>
      </w:r>
      <w:r w:rsidR="17714A7F" w:rsidRPr="00F86091">
        <w:rPr>
          <w:noProof/>
        </w:rPr>
        <w:t>i</w:t>
      </w:r>
      <w:r w:rsidR="3517B6B5" w:rsidRPr="00F86091">
        <w:rPr>
          <w:noProof/>
        </w:rPr>
        <w:t>nformation from the SLIC.</w:t>
      </w:r>
    </w:p>
    <w:p w14:paraId="7EF0A277" w14:textId="77777777" w:rsidR="40F5CC90" w:rsidRPr="00F86091" w:rsidRDefault="00522F02" w:rsidP="7B1EA31D">
      <w:pPr>
        <w:spacing w:before="0" w:after="240"/>
        <w:rPr>
          <w:noProof/>
        </w:rPr>
      </w:pPr>
      <w:bookmarkStart w:id="16" w:name="_Hlk190427099"/>
      <w:r>
        <w:rPr>
          <w:noProof/>
        </w:rPr>
        <w:t>T</w:t>
      </w:r>
      <w:r w:rsidR="40F5CC90" w:rsidRPr="00F86091">
        <w:rPr>
          <w:noProof/>
        </w:rPr>
        <w:t xml:space="preserve">ransposition and conformity checks will be carried out </w:t>
      </w:r>
      <w:r>
        <w:rPr>
          <w:noProof/>
        </w:rPr>
        <w:t>in a</w:t>
      </w:r>
      <w:r w:rsidRPr="00F86091">
        <w:rPr>
          <w:noProof/>
        </w:rPr>
        <w:t xml:space="preserve"> two-stage compliance assessment </w:t>
      </w:r>
      <w:r>
        <w:rPr>
          <w:noProof/>
        </w:rPr>
        <w:t xml:space="preserve">of </w:t>
      </w:r>
      <w:r w:rsidR="00F943E9" w:rsidRPr="00F86091">
        <w:rPr>
          <w:noProof/>
        </w:rPr>
        <w:t>the</w:t>
      </w:r>
      <w:r w:rsidR="40F5CC90" w:rsidRPr="00F86091">
        <w:rPr>
          <w:noProof/>
        </w:rPr>
        <w:t xml:space="preserve"> transposition of the</w:t>
      </w:r>
      <w:r w:rsidR="00F943E9" w:rsidRPr="00F86091">
        <w:rPr>
          <w:noProof/>
        </w:rPr>
        <w:t xml:space="preserve"> established</w:t>
      </w:r>
      <w:r w:rsidR="40F5CC90" w:rsidRPr="00F86091">
        <w:rPr>
          <w:noProof/>
        </w:rPr>
        <w:t xml:space="preserve"> limit values </w:t>
      </w:r>
      <w:r w:rsidR="49A4E23A" w:rsidRPr="00F86091">
        <w:rPr>
          <w:noProof/>
        </w:rPr>
        <w:t xml:space="preserve">and other </w:t>
      </w:r>
      <w:r w:rsidR="00F943E9" w:rsidRPr="00F86091">
        <w:rPr>
          <w:noProof/>
        </w:rPr>
        <w:t xml:space="preserve">related </w:t>
      </w:r>
      <w:r w:rsidR="49A4E23A" w:rsidRPr="00F86091">
        <w:rPr>
          <w:noProof/>
        </w:rPr>
        <w:t>provisions</w:t>
      </w:r>
      <w:r w:rsidR="40F5CC90" w:rsidRPr="00F86091">
        <w:rPr>
          <w:noProof/>
        </w:rPr>
        <w:t xml:space="preserve">. </w:t>
      </w:r>
      <w:r w:rsidR="00F943E9" w:rsidRPr="00F86091">
        <w:rPr>
          <w:noProof/>
        </w:rPr>
        <w:t xml:space="preserve">The </w:t>
      </w:r>
      <w:r w:rsidR="40F5CC90" w:rsidRPr="00F86091">
        <w:rPr>
          <w:noProof/>
        </w:rPr>
        <w:t xml:space="preserve">practical implementation of the proposed amendments will </w:t>
      </w:r>
      <w:r w:rsidR="007B16CA">
        <w:rPr>
          <w:noProof/>
        </w:rPr>
        <w:t xml:space="preserve">be evaluated </w:t>
      </w:r>
      <w:r w:rsidR="00A07984">
        <w:rPr>
          <w:noProof/>
        </w:rPr>
        <w:t xml:space="preserve">as part </w:t>
      </w:r>
      <w:r w:rsidR="40F5CC90" w:rsidRPr="00F86091">
        <w:rPr>
          <w:noProof/>
        </w:rPr>
        <w:t xml:space="preserve">of the periodical evaluation to be carried out by the Commission </w:t>
      </w:r>
      <w:r w:rsidR="00A07984">
        <w:rPr>
          <w:noProof/>
        </w:rPr>
        <w:t xml:space="preserve">under </w:t>
      </w:r>
      <w:r w:rsidR="40F5CC90" w:rsidRPr="00F86091">
        <w:rPr>
          <w:noProof/>
        </w:rPr>
        <w:t>Article</w:t>
      </w:r>
      <w:r w:rsidR="00F86091">
        <w:rPr>
          <w:noProof/>
        </w:rPr>
        <w:t> </w:t>
      </w:r>
      <w:r w:rsidR="40F5CC90" w:rsidRPr="00F86091">
        <w:rPr>
          <w:noProof/>
        </w:rPr>
        <w:t>17a of Directive 89/391/EEC.</w:t>
      </w:r>
    </w:p>
    <w:bookmarkEnd w:id="16"/>
    <w:p w14:paraId="7095A205" w14:textId="77777777" w:rsidR="40F5CC90" w:rsidRPr="00F86091" w:rsidRDefault="40F5CC90" w:rsidP="7B1EA31D">
      <w:pPr>
        <w:spacing w:before="0" w:after="240"/>
        <w:rPr>
          <w:noProof/>
        </w:rPr>
      </w:pPr>
      <w:r w:rsidRPr="00F86091">
        <w:rPr>
          <w:noProof/>
        </w:rPr>
        <w:t xml:space="preserve">The application and enforcement will be </w:t>
      </w:r>
      <w:r w:rsidR="000633AD">
        <w:rPr>
          <w:noProof/>
        </w:rPr>
        <w:t xml:space="preserve">monitored </w:t>
      </w:r>
      <w:r w:rsidRPr="00F86091">
        <w:rPr>
          <w:noProof/>
        </w:rPr>
        <w:t>by national authorities, particular</w:t>
      </w:r>
      <w:r w:rsidR="000633AD">
        <w:rPr>
          <w:noProof/>
        </w:rPr>
        <w:t>ly</w:t>
      </w:r>
      <w:r w:rsidRPr="00F86091">
        <w:rPr>
          <w:noProof/>
        </w:rPr>
        <w:t xml:space="preserve"> the national labour inspectorates.</w:t>
      </w:r>
    </w:p>
    <w:p w14:paraId="37757E25" w14:textId="77777777" w:rsidR="3311598D" w:rsidRPr="00F86091" w:rsidRDefault="3311598D" w:rsidP="00CA02C0">
      <w:pPr>
        <w:spacing w:before="0" w:after="240"/>
        <w:rPr>
          <w:noProof/>
        </w:rPr>
      </w:pPr>
      <w:bookmarkStart w:id="17" w:name="_Hlk190426893"/>
      <w:r w:rsidRPr="00F86091">
        <w:rPr>
          <w:noProof/>
        </w:rPr>
        <w:t>At EU level, the SLIC will continue to inform the Commission of any practical problems relat</w:t>
      </w:r>
      <w:r w:rsidR="00F943E9" w:rsidRPr="00F86091">
        <w:rPr>
          <w:noProof/>
        </w:rPr>
        <w:t>ed</w:t>
      </w:r>
      <w:r w:rsidRPr="00F86091">
        <w:rPr>
          <w:noProof/>
        </w:rPr>
        <w:t xml:space="preserve"> to the enforcement of Directive 2004/37/EC, including difficulties </w:t>
      </w:r>
      <w:r w:rsidR="00F943E9" w:rsidRPr="00F86091">
        <w:rPr>
          <w:noProof/>
        </w:rPr>
        <w:t xml:space="preserve">linked to </w:t>
      </w:r>
      <w:r w:rsidRPr="00F86091">
        <w:rPr>
          <w:noProof/>
        </w:rPr>
        <w:t xml:space="preserve">compliance with binding limit values. </w:t>
      </w:r>
      <w:r w:rsidR="007501CE">
        <w:rPr>
          <w:noProof/>
        </w:rPr>
        <w:t xml:space="preserve">The </w:t>
      </w:r>
      <w:r w:rsidRPr="00F86091">
        <w:rPr>
          <w:noProof/>
        </w:rPr>
        <w:t xml:space="preserve">SLIC will </w:t>
      </w:r>
      <w:r w:rsidR="007501CE">
        <w:rPr>
          <w:noProof/>
        </w:rPr>
        <w:t xml:space="preserve">also </w:t>
      </w:r>
      <w:r w:rsidRPr="00F86091">
        <w:rPr>
          <w:noProof/>
        </w:rPr>
        <w:t xml:space="preserve">continue to assess the reported cases, exchange information and good practice in this regard and, if necessary, </w:t>
      </w:r>
      <w:bookmarkStart w:id="18" w:name="_Hlk200620808"/>
      <w:r w:rsidRPr="00F86091">
        <w:rPr>
          <w:noProof/>
        </w:rPr>
        <w:t xml:space="preserve">develop </w:t>
      </w:r>
      <w:r w:rsidR="007501CE">
        <w:rPr>
          <w:noProof/>
        </w:rPr>
        <w:t xml:space="preserve">guidance and other </w:t>
      </w:r>
      <w:r w:rsidRPr="00F86091">
        <w:rPr>
          <w:noProof/>
        </w:rPr>
        <w:t>supporting enforcement tools.</w:t>
      </w:r>
    </w:p>
    <w:bookmarkEnd w:id="17"/>
    <w:bookmarkEnd w:id="18"/>
    <w:p w14:paraId="317533AC" w14:textId="77777777" w:rsidR="007017A3" w:rsidRPr="00F86091" w:rsidRDefault="007017A3" w:rsidP="7B1EA31D">
      <w:pPr>
        <w:pStyle w:val="ManualHeading2"/>
        <w:spacing w:before="0" w:after="240"/>
        <w:rPr>
          <w:rFonts w:eastAsia="Arial Unicode MS"/>
          <w:noProof/>
          <w:bdr w:val="nil"/>
          <w:lang w:eastAsia="en-GB"/>
        </w:rPr>
      </w:pPr>
      <w:r w:rsidRPr="00F86091">
        <w:rPr>
          <w:rFonts w:eastAsia="Arial Unicode MS"/>
          <w:noProof/>
          <w:bdr w:val="nil"/>
          <w:lang w:eastAsia="en-GB"/>
        </w:rPr>
        <w:t>•</w:t>
      </w:r>
      <w:r w:rsidRPr="00F86091">
        <w:rPr>
          <w:rFonts w:eastAsia="Arial Unicode MS"/>
          <w:noProof/>
          <w:u w:color="000000"/>
          <w:bdr w:val="nil"/>
          <w:lang w:eastAsia="en-GB"/>
        </w:rPr>
        <w:tab/>
      </w:r>
      <w:r w:rsidRPr="00F86091">
        <w:rPr>
          <w:rFonts w:eastAsia="Arial Unicode MS"/>
          <w:noProof/>
          <w:bdr w:val="nil"/>
          <w:lang w:eastAsia="en-GB"/>
        </w:rPr>
        <w:t>Explanatory documents (for directives)</w:t>
      </w:r>
    </w:p>
    <w:p w14:paraId="784C2C57" w14:textId="77777777" w:rsidR="007017A3" w:rsidRPr="00F86091" w:rsidRDefault="004B1F3A" w:rsidP="00D31AEF">
      <w:pPr>
        <w:pBdr>
          <w:top w:val="nil"/>
          <w:left w:val="nil"/>
          <w:bottom w:val="nil"/>
          <w:right w:val="nil"/>
          <w:between w:val="nil"/>
          <w:bar w:val="nil"/>
        </w:pBdr>
        <w:spacing w:before="0" w:after="240"/>
        <w:rPr>
          <w:rFonts w:eastAsia="Arial Unicode MS"/>
          <w:noProof/>
        </w:rPr>
      </w:pPr>
      <w:r w:rsidRPr="00F86091">
        <w:rPr>
          <w:noProof/>
        </w:rPr>
        <w:t xml:space="preserve">Member States must send the Commission the text of national provisions transposing the Directive </w:t>
      </w:r>
      <w:r w:rsidR="00F943E9" w:rsidRPr="00F86091">
        <w:rPr>
          <w:noProof/>
        </w:rPr>
        <w:t xml:space="preserve">together with </w:t>
      </w:r>
      <w:r w:rsidRPr="00F86091">
        <w:rPr>
          <w:noProof/>
        </w:rPr>
        <w:t>a correlation table between those provisions and the Directive. Unambiguous information on the transposition of the new provisions is needed to ensure compliance with the minimum requirements established by the proposal. The estimated additional administrative burden of providing explanatory documents is not disproportionate (it is one</w:t>
      </w:r>
      <w:r w:rsidR="00681C8C">
        <w:rPr>
          <w:noProof/>
        </w:rPr>
        <w:t>-</w:t>
      </w:r>
      <w:r w:rsidRPr="00F86091">
        <w:rPr>
          <w:noProof/>
        </w:rPr>
        <w:t>off and should not require many organisations to be involved). The</w:t>
      </w:r>
      <w:r w:rsidR="0073366F">
        <w:rPr>
          <w:noProof/>
        </w:rPr>
        <w:t>se</w:t>
      </w:r>
      <w:r w:rsidRPr="00F86091">
        <w:rPr>
          <w:noProof/>
        </w:rPr>
        <w:t xml:space="preserve"> explanatory documents can be drafted more efficiently by the Member States. </w:t>
      </w:r>
      <w:r w:rsidR="0073366F">
        <w:rPr>
          <w:noProof/>
        </w:rPr>
        <w:t>Accordingly</w:t>
      </w:r>
      <w:r w:rsidRPr="00F86091">
        <w:rPr>
          <w:noProof/>
        </w:rPr>
        <w:t>, it is suggested that Member States undertake to notify the Commission of their transposition measures by providing one or more documents explaining the relationship between the components of the Directive and the corresponding parts of national transposition instruments.</w:t>
      </w:r>
    </w:p>
    <w:p w14:paraId="1D4E0429" w14:textId="77777777" w:rsidR="007017A3" w:rsidRPr="00F86091" w:rsidRDefault="625BABE8" w:rsidP="00D31AEF">
      <w:pPr>
        <w:pStyle w:val="ManualHeading2"/>
        <w:rPr>
          <w:rFonts w:eastAsia="Arial Unicode MS"/>
          <w:noProof/>
          <w:u w:color="000000"/>
          <w:bdr w:val="nil"/>
          <w:lang w:eastAsia="en-GB"/>
        </w:rPr>
      </w:pPr>
      <w:r w:rsidRPr="00F86091">
        <w:rPr>
          <w:rFonts w:eastAsia="Arial Unicode MS"/>
          <w:noProof/>
          <w:bdr w:val="nil"/>
          <w:lang w:eastAsia="en-GB"/>
        </w:rPr>
        <w:t>•</w:t>
      </w:r>
      <w:r w:rsidR="007017A3" w:rsidRPr="00F86091">
        <w:rPr>
          <w:rFonts w:eastAsia="Arial Unicode MS"/>
          <w:noProof/>
          <w:u w:color="000000"/>
          <w:bdr w:val="nil"/>
          <w:lang w:eastAsia="en-GB"/>
        </w:rPr>
        <w:tab/>
      </w:r>
      <w:r w:rsidRPr="00F86091">
        <w:rPr>
          <w:rFonts w:eastAsia="Arial Unicode MS"/>
          <w:noProof/>
          <w:bdr w:val="nil"/>
          <w:lang w:eastAsia="en-GB"/>
        </w:rPr>
        <w:t>Detailed explanation of the specific provisions of the proposal</w:t>
      </w:r>
    </w:p>
    <w:p w14:paraId="55026ACA" w14:textId="77777777" w:rsidR="1AE93966" w:rsidRPr="00F86091" w:rsidRDefault="1AE93966" w:rsidP="005253FE">
      <w:pPr>
        <w:shd w:val="clear" w:color="auto" w:fill="FFFFFF" w:themeFill="background1"/>
        <w:spacing w:before="0" w:after="240"/>
        <w:rPr>
          <w:i/>
          <w:iCs/>
          <w:noProof/>
        </w:rPr>
      </w:pPr>
      <w:r w:rsidRPr="00F86091">
        <w:rPr>
          <w:rFonts w:eastAsia="Times New Roman"/>
          <w:i/>
          <w:iCs/>
          <w:noProof/>
          <w:szCs w:val="24"/>
        </w:rPr>
        <w:t>Article 1</w:t>
      </w:r>
    </w:p>
    <w:p w14:paraId="58C7B5AD" w14:textId="77777777" w:rsidR="004261B2" w:rsidRPr="00F86091" w:rsidRDefault="1AE93966" w:rsidP="005253FE">
      <w:pPr>
        <w:shd w:val="clear" w:color="auto" w:fill="FFFFFF" w:themeFill="background1"/>
        <w:spacing w:before="0" w:after="240"/>
        <w:rPr>
          <w:noProof/>
        </w:rPr>
      </w:pPr>
      <w:r w:rsidRPr="00F86091">
        <w:rPr>
          <w:rFonts w:eastAsia="Times New Roman"/>
          <w:noProof/>
        </w:rPr>
        <w:t>Article</w:t>
      </w:r>
      <w:r w:rsidR="00F86091">
        <w:rPr>
          <w:rFonts w:eastAsia="Times New Roman"/>
          <w:noProof/>
        </w:rPr>
        <w:t> </w:t>
      </w:r>
      <w:r w:rsidRPr="00F86091">
        <w:rPr>
          <w:rFonts w:eastAsia="Times New Roman"/>
          <w:noProof/>
        </w:rPr>
        <w:t xml:space="preserve">1 provides for the amendment of the </w:t>
      </w:r>
      <w:r w:rsidR="006D6CAD" w:rsidRPr="00F86091">
        <w:rPr>
          <w:rFonts w:eastAsia="Times New Roman"/>
          <w:noProof/>
        </w:rPr>
        <w:t>Carcinogens, Mutagens and Reprotoxic substances Directive 2004/37/EC (</w:t>
      </w:r>
      <w:r w:rsidRPr="00F86091">
        <w:rPr>
          <w:rFonts w:eastAsia="Times New Roman"/>
          <w:noProof/>
        </w:rPr>
        <w:t>CMRD</w:t>
      </w:r>
      <w:r w:rsidR="006D6CAD" w:rsidRPr="00F86091">
        <w:rPr>
          <w:rFonts w:eastAsia="Times New Roman"/>
          <w:noProof/>
        </w:rPr>
        <w:t>)</w:t>
      </w:r>
      <w:r w:rsidR="005413F9" w:rsidRPr="00F86091">
        <w:rPr>
          <w:rFonts w:eastAsia="Times New Roman"/>
          <w:noProof/>
        </w:rPr>
        <w:t xml:space="preserve">, </w:t>
      </w:r>
      <w:r w:rsidR="0073366F">
        <w:rPr>
          <w:rFonts w:eastAsia="Times New Roman"/>
          <w:noProof/>
        </w:rPr>
        <w:t>specifically</w:t>
      </w:r>
      <w:r w:rsidR="005413F9" w:rsidRPr="00F86091">
        <w:rPr>
          <w:rFonts w:eastAsia="Times New Roman"/>
          <w:noProof/>
        </w:rPr>
        <w:t xml:space="preserve"> Annex </w:t>
      </w:r>
      <w:r w:rsidR="00966729" w:rsidRPr="00F86091">
        <w:rPr>
          <w:rFonts w:eastAsia="Times New Roman"/>
          <w:noProof/>
        </w:rPr>
        <w:t>I (</w:t>
      </w:r>
      <w:bookmarkStart w:id="19" w:name="_Hlk192769000"/>
      <w:r w:rsidR="00966729" w:rsidRPr="00F86091">
        <w:rPr>
          <w:rFonts w:eastAsia="Times New Roman"/>
          <w:noProof/>
        </w:rPr>
        <w:t xml:space="preserve">List of substances, mixtures and processes that </w:t>
      </w:r>
      <w:r w:rsidR="00AE5368" w:rsidRPr="00F86091">
        <w:rPr>
          <w:rFonts w:eastAsia="Times New Roman"/>
          <w:noProof/>
        </w:rPr>
        <w:t xml:space="preserve">fall under the definition of a </w:t>
      </w:r>
      <w:r w:rsidR="00966729" w:rsidRPr="00F86091">
        <w:rPr>
          <w:rFonts w:eastAsia="Times New Roman"/>
          <w:noProof/>
        </w:rPr>
        <w:t xml:space="preserve">carcinogen and mutagen in </w:t>
      </w:r>
      <w:r w:rsidR="00AE5368" w:rsidRPr="00F86091">
        <w:rPr>
          <w:rFonts w:eastAsia="Times New Roman"/>
          <w:noProof/>
        </w:rPr>
        <w:t>line with Article</w:t>
      </w:r>
      <w:r w:rsidR="00F86091">
        <w:rPr>
          <w:rFonts w:eastAsia="Times New Roman"/>
          <w:noProof/>
        </w:rPr>
        <w:t> </w:t>
      </w:r>
      <w:r w:rsidR="00AE5368" w:rsidRPr="00F86091">
        <w:rPr>
          <w:rFonts w:eastAsia="Times New Roman"/>
          <w:noProof/>
        </w:rPr>
        <w:t>2, points (a)(ii) and (b)(ii) of the Directive</w:t>
      </w:r>
      <w:bookmarkEnd w:id="19"/>
      <w:r w:rsidR="00966729" w:rsidRPr="00F86091">
        <w:rPr>
          <w:rFonts w:eastAsia="Times New Roman"/>
          <w:noProof/>
        </w:rPr>
        <w:t xml:space="preserve">), </w:t>
      </w:r>
      <w:r w:rsidR="00AE5368" w:rsidRPr="00F86091">
        <w:rPr>
          <w:rFonts w:eastAsia="Times New Roman"/>
          <w:noProof/>
        </w:rPr>
        <w:t xml:space="preserve">Annex </w:t>
      </w:r>
      <w:r w:rsidR="00966729" w:rsidRPr="00F86091">
        <w:rPr>
          <w:rFonts w:eastAsia="Times New Roman"/>
          <w:noProof/>
        </w:rPr>
        <w:t xml:space="preserve">III (Limit values and other directly related provisions) and </w:t>
      </w:r>
      <w:r w:rsidR="0073366F">
        <w:rPr>
          <w:rFonts w:eastAsia="Times New Roman"/>
          <w:noProof/>
        </w:rPr>
        <w:t>Annex </w:t>
      </w:r>
      <w:r w:rsidR="00966729" w:rsidRPr="00F86091">
        <w:rPr>
          <w:rFonts w:eastAsia="Times New Roman"/>
          <w:noProof/>
        </w:rPr>
        <w:t>IIIa (Biological limit values and health surveillance measures)</w:t>
      </w:r>
      <w:r w:rsidR="005413F9" w:rsidRPr="00F86091">
        <w:rPr>
          <w:rFonts w:eastAsia="Times New Roman"/>
          <w:noProof/>
        </w:rPr>
        <w:t>.</w:t>
      </w:r>
    </w:p>
    <w:p w14:paraId="00919614" w14:textId="77777777" w:rsidR="00DF5082" w:rsidRPr="00F86091" w:rsidRDefault="004261B2" w:rsidP="005253FE">
      <w:pPr>
        <w:shd w:val="clear" w:color="auto" w:fill="FFFFFF" w:themeFill="background1"/>
        <w:spacing w:before="0" w:after="240"/>
        <w:rPr>
          <w:rFonts w:eastAsia="Times New Roman"/>
          <w:noProof/>
        </w:rPr>
      </w:pPr>
      <w:r w:rsidRPr="00F86091">
        <w:rPr>
          <w:rFonts w:eastAsia="Times New Roman"/>
          <w:noProof/>
        </w:rPr>
        <w:t xml:space="preserve">To better protect workers through </w:t>
      </w:r>
      <w:r w:rsidR="005413F9" w:rsidRPr="00F86091">
        <w:rPr>
          <w:rFonts w:eastAsia="Times New Roman"/>
          <w:noProof/>
        </w:rPr>
        <w:t xml:space="preserve">occupational exposure limit values and biological limit values, </w:t>
      </w:r>
      <w:r w:rsidR="002A0B48">
        <w:rPr>
          <w:rFonts w:eastAsia="Times New Roman"/>
          <w:noProof/>
        </w:rPr>
        <w:t xml:space="preserve">these </w:t>
      </w:r>
      <w:r w:rsidR="005413F9" w:rsidRPr="00F86091">
        <w:rPr>
          <w:rFonts w:eastAsia="Times New Roman"/>
          <w:noProof/>
        </w:rPr>
        <w:t xml:space="preserve">limit values must be revised and/or established in </w:t>
      </w:r>
      <w:r w:rsidRPr="00F86091">
        <w:rPr>
          <w:rFonts w:eastAsia="Times New Roman"/>
          <w:noProof/>
        </w:rPr>
        <w:t>the most</w:t>
      </w:r>
      <w:r w:rsidR="005413F9" w:rsidRPr="00F86091">
        <w:rPr>
          <w:rFonts w:eastAsia="Times New Roman"/>
          <w:noProof/>
        </w:rPr>
        <w:t xml:space="preserve"> efficient manner whenever this becomes necessary in light of </w:t>
      </w:r>
      <w:r w:rsidR="000C2450" w:rsidRPr="00F86091">
        <w:rPr>
          <w:rFonts w:eastAsia="Times New Roman"/>
          <w:noProof/>
        </w:rPr>
        <w:t xml:space="preserve">the </w:t>
      </w:r>
      <w:r w:rsidR="002A0B48">
        <w:rPr>
          <w:rFonts w:eastAsia="Times New Roman"/>
          <w:noProof/>
        </w:rPr>
        <w:t xml:space="preserve">latest </w:t>
      </w:r>
      <w:r w:rsidR="005413F9" w:rsidRPr="00F86091">
        <w:rPr>
          <w:rFonts w:eastAsia="Times New Roman"/>
          <w:noProof/>
        </w:rPr>
        <w:t xml:space="preserve">scientific data and technical </w:t>
      </w:r>
      <w:r w:rsidR="000C2450" w:rsidRPr="00F86091">
        <w:rPr>
          <w:rFonts w:eastAsia="Times New Roman"/>
          <w:noProof/>
        </w:rPr>
        <w:t xml:space="preserve">and </w:t>
      </w:r>
      <w:r w:rsidR="005413F9" w:rsidRPr="00F86091">
        <w:rPr>
          <w:rFonts w:eastAsia="Times New Roman"/>
          <w:noProof/>
        </w:rPr>
        <w:t>scientific progress.</w:t>
      </w:r>
      <w:bookmarkStart w:id="20" w:name="_Hlk192748495"/>
    </w:p>
    <w:bookmarkEnd w:id="20"/>
    <w:p w14:paraId="6C3723C7" w14:textId="77777777" w:rsidR="009B0176" w:rsidRPr="00F86091" w:rsidRDefault="007F72DF" w:rsidP="009B0176">
      <w:pPr>
        <w:shd w:val="clear" w:color="auto" w:fill="FFFFFF" w:themeFill="background1"/>
        <w:spacing w:before="0" w:after="240"/>
        <w:rPr>
          <w:noProof/>
        </w:rPr>
      </w:pPr>
      <w:r w:rsidRPr="00F86091">
        <w:rPr>
          <w:rFonts w:eastAsia="Times New Roman"/>
          <w:noProof/>
        </w:rPr>
        <w:t>Article</w:t>
      </w:r>
      <w:r w:rsidR="00F86091">
        <w:rPr>
          <w:rFonts w:eastAsia="Times New Roman"/>
          <w:noProof/>
        </w:rPr>
        <w:t> </w:t>
      </w:r>
      <w:r w:rsidRPr="00F86091">
        <w:rPr>
          <w:rFonts w:eastAsia="Times New Roman"/>
          <w:noProof/>
        </w:rPr>
        <w:t>1 provides</w:t>
      </w:r>
      <w:r w:rsidR="1AE93966" w:rsidRPr="00F86091">
        <w:rPr>
          <w:rFonts w:eastAsia="Times New Roman"/>
          <w:noProof/>
        </w:rPr>
        <w:t xml:space="preserve"> </w:t>
      </w:r>
      <w:bookmarkStart w:id="21" w:name="_Hlk184634998"/>
      <w:r w:rsidR="00523DAD" w:rsidRPr="00F86091">
        <w:rPr>
          <w:rFonts w:eastAsia="Times New Roman"/>
          <w:noProof/>
        </w:rPr>
        <w:t xml:space="preserve">for the amendments of </w:t>
      </w:r>
      <w:r w:rsidR="1AE93966" w:rsidRPr="00F86091">
        <w:rPr>
          <w:rFonts w:eastAsia="Times New Roman"/>
          <w:noProof/>
        </w:rPr>
        <w:t>Annex I, Annex III and Annex IIIa</w:t>
      </w:r>
      <w:r w:rsidR="006B0235">
        <w:rPr>
          <w:rFonts w:eastAsia="Times New Roman"/>
          <w:noProof/>
        </w:rPr>
        <w:t>. W</w:t>
      </w:r>
      <w:r w:rsidR="002A0B48" w:rsidRPr="00F86091">
        <w:rPr>
          <w:rFonts w:eastAsia="Times New Roman"/>
          <w:noProof/>
        </w:rPr>
        <w:t xml:space="preserve">elding fumes </w:t>
      </w:r>
      <w:r w:rsidR="006B0235">
        <w:rPr>
          <w:rFonts w:eastAsia="Times New Roman"/>
          <w:noProof/>
        </w:rPr>
        <w:t xml:space="preserve">are included </w:t>
      </w:r>
      <w:r w:rsidR="00780566" w:rsidRPr="00F86091">
        <w:rPr>
          <w:rFonts w:eastAsia="Times New Roman"/>
          <w:noProof/>
        </w:rPr>
        <w:t xml:space="preserve">in the list of </w:t>
      </w:r>
      <w:r w:rsidR="00EB27EE" w:rsidRPr="00F86091">
        <w:rPr>
          <w:rFonts w:eastAsia="Times New Roman"/>
          <w:noProof/>
        </w:rPr>
        <w:t>substances, mixtures and processes</w:t>
      </w:r>
      <w:r w:rsidR="00591657" w:rsidRPr="00F86091">
        <w:rPr>
          <w:rFonts w:eastAsia="Times New Roman"/>
          <w:noProof/>
        </w:rPr>
        <w:t xml:space="preserve"> </w:t>
      </w:r>
      <w:r w:rsidR="009B0176" w:rsidRPr="00F86091">
        <w:rPr>
          <w:rFonts w:eastAsia="Times New Roman"/>
          <w:noProof/>
        </w:rPr>
        <w:t xml:space="preserve">in </w:t>
      </w:r>
      <w:r w:rsidR="003D1477" w:rsidRPr="00F86091">
        <w:rPr>
          <w:rFonts w:eastAsia="Times New Roman"/>
          <w:noProof/>
        </w:rPr>
        <w:t>Annex I</w:t>
      </w:r>
      <w:r w:rsidR="006B0235">
        <w:rPr>
          <w:rFonts w:eastAsia="Times New Roman"/>
          <w:noProof/>
        </w:rPr>
        <w:t>.</w:t>
      </w:r>
      <w:r w:rsidR="002A0B48">
        <w:rPr>
          <w:rFonts w:eastAsia="Times New Roman"/>
          <w:noProof/>
        </w:rPr>
        <w:t xml:space="preserve"> </w:t>
      </w:r>
      <w:r w:rsidR="006B0235">
        <w:rPr>
          <w:rFonts w:eastAsia="Times New Roman"/>
          <w:noProof/>
        </w:rPr>
        <w:t>O</w:t>
      </w:r>
      <w:r w:rsidR="1AE93966" w:rsidRPr="00F86091">
        <w:rPr>
          <w:rFonts w:eastAsia="Times New Roman"/>
          <w:noProof/>
        </w:rPr>
        <w:t xml:space="preserve">ccupational exposure limit values and relevant notations for cobalt and its inorganic compounds, polycyclic aromatic hydrocarbons and </w:t>
      </w:r>
      <w:r w:rsidR="007D7827">
        <w:rPr>
          <w:rFonts w:eastAsia="Times New Roman"/>
          <w:noProof/>
        </w:rPr>
        <w:t>1,4-dioxane</w:t>
      </w:r>
      <w:r w:rsidR="006B0235">
        <w:rPr>
          <w:rFonts w:eastAsia="Times New Roman"/>
          <w:noProof/>
        </w:rPr>
        <w:t xml:space="preserve"> are proposed in Annex III. A</w:t>
      </w:r>
      <w:r w:rsidR="7C3BA75C" w:rsidRPr="00F86091">
        <w:rPr>
          <w:rFonts w:eastAsia="Times New Roman"/>
          <w:noProof/>
        </w:rPr>
        <w:t xml:space="preserve"> biological limit value</w:t>
      </w:r>
      <w:r w:rsidR="1AE93966" w:rsidRPr="00F86091">
        <w:rPr>
          <w:rFonts w:eastAsia="Times New Roman"/>
          <w:noProof/>
        </w:rPr>
        <w:t xml:space="preserve"> </w:t>
      </w:r>
      <w:r w:rsidR="5BBE6C4B" w:rsidRPr="00F86091">
        <w:rPr>
          <w:rFonts w:eastAsia="Times New Roman"/>
          <w:noProof/>
        </w:rPr>
        <w:t>(</w:t>
      </w:r>
      <w:r w:rsidR="1AE93966" w:rsidRPr="00F86091">
        <w:rPr>
          <w:rFonts w:eastAsia="Times New Roman"/>
          <w:noProof/>
        </w:rPr>
        <w:t>BLV</w:t>
      </w:r>
      <w:r w:rsidR="52555A13" w:rsidRPr="00F86091">
        <w:rPr>
          <w:rFonts w:eastAsia="Times New Roman"/>
          <w:noProof/>
        </w:rPr>
        <w:t>)</w:t>
      </w:r>
      <w:r w:rsidR="1AE93966" w:rsidRPr="00F86091">
        <w:rPr>
          <w:rFonts w:eastAsia="Times New Roman"/>
          <w:noProof/>
        </w:rPr>
        <w:t xml:space="preserve"> for </w:t>
      </w:r>
      <w:r w:rsidR="007D7827">
        <w:rPr>
          <w:rFonts w:eastAsia="Times New Roman"/>
          <w:noProof/>
        </w:rPr>
        <w:t>1,4-dioxane</w:t>
      </w:r>
      <w:r w:rsidR="006B0235">
        <w:rPr>
          <w:rFonts w:eastAsia="Times New Roman"/>
          <w:noProof/>
        </w:rPr>
        <w:t>, which</w:t>
      </w:r>
      <w:r w:rsidR="1AE93966" w:rsidRPr="00F86091">
        <w:rPr>
          <w:rFonts w:eastAsia="Times New Roman"/>
          <w:noProof/>
        </w:rPr>
        <w:t xml:space="preserve"> </w:t>
      </w:r>
      <w:bookmarkEnd w:id="21"/>
      <w:r w:rsidR="006B0235">
        <w:rPr>
          <w:rFonts w:eastAsia="Times New Roman"/>
          <w:noProof/>
        </w:rPr>
        <w:t xml:space="preserve">must </w:t>
      </w:r>
      <w:r w:rsidR="009B0176" w:rsidRPr="00F86091">
        <w:rPr>
          <w:rFonts w:eastAsia="Times New Roman"/>
          <w:noProof/>
        </w:rPr>
        <w:t>not exceed 45</w:t>
      </w:r>
      <w:r w:rsidR="00326B28">
        <w:rPr>
          <w:rFonts w:eastAsia="Times New Roman"/>
          <w:noProof/>
        </w:rPr>
        <w:t> </w:t>
      </w:r>
      <w:r w:rsidR="009B0176" w:rsidRPr="00F86091">
        <w:rPr>
          <w:rFonts w:eastAsia="Times New Roman"/>
          <w:noProof/>
        </w:rPr>
        <w:t>mg (2-</w:t>
      </w:r>
      <w:r w:rsidR="00DC0075">
        <w:rPr>
          <w:rFonts w:eastAsia="Times New Roman"/>
          <w:noProof/>
        </w:rPr>
        <w:t>H</w:t>
      </w:r>
      <w:r w:rsidR="009B0176" w:rsidRPr="00F86091">
        <w:rPr>
          <w:rFonts w:eastAsia="Times New Roman"/>
          <w:noProof/>
        </w:rPr>
        <w:t>ydroxyethoxy)acetic (HEAA) in urine/g creatinine</w:t>
      </w:r>
      <w:r w:rsidR="006B0235">
        <w:rPr>
          <w:rFonts w:eastAsia="Times New Roman"/>
          <w:noProof/>
        </w:rPr>
        <w:t>, is proposed in Annex IIIa</w:t>
      </w:r>
      <w:r w:rsidR="009B0176" w:rsidRPr="00F86091">
        <w:rPr>
          <w:rFonts w:eastAsia="Times New Roman"/>
          <w:noProof/>
        </w:rPr>
        <w:t>.</w:t>
      </w:r>
    </w:p>
    <w:p w14:paraId="1A647113" w14:textId="77777777" w:rsidR="1AE93966" w:rsidRPr="00F86091" w:rsidRDefault="1AE93966" w:rsidP="005253FE">
      <w:pPr>
        <w:shd w:val="clear" w:color="auto" w:fill="FFFFFF" w:themeFill="background1"/>
        <w:spacing w:before="0" w:after="240"/>
        <w:rPr>
          <w:noProof/>
        </w:rPr>
      </w:pPr>
      <w:r w:rsidRPr="00F86091">
        <w:rPr>
          <w:rFonts w:eastAsia="Times New Roman"/>
          <w:noProof/>
        </w:rPr>
        <w:t>Article</w:t>
      </w:r>
      <w:r w:rsidR="00F86091">
        <w:rPr>
          <w:rFonts w:eastAsia="Times New Roman"/>
          <w:noProof/>
        </w:rPr>
        <w:t> </w:t>
      </w:r>
      <w:r w:rsidRPr="00F86091">
        <w:rPr>
          <w:rFonts w:eastAsia="Times New Roman"/>
          <w:noProof/>
        </w:rPr>
        <w:t xml:space="preserve">1 states that Directive 2004/37/EC is amended in accordance with </w:t>
      </w:r>
      <w:r w:rsidR="009D7A10" w:rsidRPr="00F86091">
        <w:rPr>
          <w:rFonts w:eastAsia="Times New Roman"/>
          <w:noProof/>
        </w:rPr>
        <w:t xml:space="preserve">its </w:t>
      </w:r>
      <w:r w:rsidRPr="00F86091">
        <w:rPr>
          <w:rFonts w:eastAsia="Times New Roman"/>
          <w:noProof/>
        </w:rPr>
        <w:t xml:space="preserve">Annex. Two new substances are added to Annex III, expanding the list of binding EU limit values, supplemented by a </w:t>
      </w:r>
      <w:r w:rsidR="001D092A" w:rsidRPr="00F86091">
        <w:rPr>
          <w:rFonts w:eastAsia="Times New Roman"/>
          <w:noProof/>
        </w:rPr>
        <w:t>dermal</w:t>
      </w:r>
      <w:r w:rsidRPr="00F86091">
        <w:rPr>
          <w:rFonts w:eastAsia="Times New Roman"/>
          <w:noProof/>
        </w:rPr>
        <w:t xml:space="preserve"> </w:t>
      </w:r>
      <w:r w:rsidR="001D092A" w:rsidRPr="00F86091">
        <w:rPr>
          <w:rFonts w:eastAsia="Times New Roman"/>
          <w:noProof/>
        </w:rPr>
        <w:t xml:space="preserve">and respiratory sensitisation </w:t>
      </w:r>
      <w:r w:rsidRPr="00F86091">
        <w:rPr>
          <w:rFonts w:eastAsia="Times New Roman"/>
          <w:noProof/>
        </w:rPr>
        <w:t xml:space="preserve">notation for cobalt and inorganic cobalt compounds, and a </w:t>
      </w:r>
      <w:r w:rsidR="001D092A" w:rsidRPr="00F86091">
        <w:rPr>
          <w:rFonts w:eastAsia="Times New Roman"/>
          <w:noProof/>
        </w:rPr>
        <w:t xml:space="preserve">skin </w:t>
      </w:r>
      <w:r w:rsidRPr="00F86091">
        <w:rPr>
          <w:rFonts w:eastAsia="Times New Roman"/>
          <w:noProof/>
        </w:rPr>
        <w:t xml:space="preserve">notation for </w:t>
      </w:r>
      <w:r w:rsidR="007D7827">
        <w:rPr>
          <w:rFonts w:eastAsia="Times New Roman"/>
          <w:noProof/>
        </w:rPr>
        <w:t>1,4-dioxane</w:t>
      </w:r>
      <w:r w:rsidRPr="00F86091">
        <w:rPr>
          <w:rFonts w:eastAsia="Times New Roman"/>
          <w:noProof/>
        </w:rPr>
        <w:t xml:space="preserve">. </w:t>
      </w:r>
      <w:r w:rsidR="00672D56" w:rsidRPr="00F86091">
        <w:rPr>
          <w:rFonts w:eastAsia="Times New Roman"/>
          <w:noProof/>
        </w:rPr>
        <w:t>An</w:t>
      </w:r>
      <w:r w:rsidRPr="00F86091">
        <w:rPr>
          <w:rFonts w:eastAsia="Times New Roman"/>
          <w:noProof/>
        </w:rPr>
        <w:t xml:space="preserve"> existing </w:t>
      </w:r>
      <w:r w:rsidR="00672D56" w:rsidRPr="00F86091">
        <w:rPr>
          <w:rFonts w:eastAsia="Times New Roman"/>
          <w:noProof/>
        </w:rPr>
        <w:t xml:space="preserve">entry </w:t>
      </w:r>
      <w:r w:rsidRPr="00F86091">
        <w:rPr>
          <w:rFonts w:eastAsia="Times New Roman"/>
          <w:noProof/>
        </w:rPr>
        <w:t>in Annex III, namely ‘polycyclic aromatic hydrocarbon mixtures, particularly those containing benzo[a]pyrene, which are carcinogens</w:t>
      </w:r>
      <w:r w:rsidR="00B53A0E" w:rsidRPr="00F86091">
        <w:rPr>
          <w:rFonts w:eastAsia="Times New Roman"/>
          <w:noProof/>
        </w:rPr>
        <w:t>, mutagens or reproto</w:t>
      </w:r>
      <w:r w:rsidR="008B67D0" w:rsidRPr="00F86091">
        <w:rPr>
          <w:rFonts w:eastAsia="Times New Roman"/>
          <w:noProof/>
        </w:rPr>
        <w:t>xicant</w:t>
      </w:r>
      <w:r w:rsidR="00A577D6" w:rsidRPr="00F86091">
        <w:rPr>
          <w:rFonts w:eastAsia="Times New Roman"/>
          <w:noProof/>
        </w:rPr>
        <w:t>s</w:t>
      </w:r>
      <w:r w:rsidRPr="00F86091">
        <w:rPr>
          <w:rFonts w:eastAsia="Times New Roman"/>
          <w:noProof/>
        </w:rPr>
        <w:t xml:space="preserve"> within the meaning of this Directive’, has been updated </w:t>
      </w:r>
      <w:r w:rsidR="00BD3BF2" w:rsidRPr="00F86091">
        <w:rPr>
          <w:rFonts w:eastAsia="Times New Roman"/>
          <w:noProof/>
        </w:rPr>
        <w:t xml:space="preserve">with the introduction of </w:t>
      </w:r>
      <w:r w:rsidR="00483F4F" w:rsidRPr="00F86091">
        <w:rPr>
          <w:rFonts w:eastAsia="Times New Roman"/>
          <w:noProof/>
        </w:rPr>
        <w:t>an occupational exposure limit</w:t>
      </w:r>
      <w:r w:rsidR="00586B79" w:rsidRPr="00F86091">
        <w:rPr>
          <w:rFonts w:eastAsia="Times New Roman"/>
          <w:noProof/>
        </w:rPr>
        <w:t>,</w:t>
      </w:r>
      <w:r w:rsidR="00483F4F" w:rsidRPr="00F86091">
        <w:rPr>
          <w:rFonts w:eastAsia="Times New Roman"/>
          <w:noProof/>
        </w:rPr>
        <w:t xml:space="preserve"> </w:t>
      </w:r>
      <w:r w:rsidRPr="00F86091">
        <w:rPr>
          <w:rFonts w:eastAsia="Times New Roman"/>
          <w:noProof/>
        </w:rPr>
        <w:t xml:space="preserve">while its skin notation has been kept. Transitional measures for </w:t>
      </w:r>
      <w:r w:rsidR="003C1E6E" w:rsidRPr="00F86091">
        <w:rPr>
          <w:rFonts w:eastAsia="Times New Roman"/>
          <w:noProof/>
        </w:rPr>
        <w:t xml:space="preserve">cobalt and its inorganic compounds, and </w:t>
      </w:r>
      <w:r w:rsidR="00A43279" w:rsidRPr="00F86091">
        <w:rPr>
          <w:rFonts w:eastAsia="Times New Roman"/>
          <w:noProof/>
        </w:rPr>
        <w:t xml:space="preserve">polycyclic aromatic hydrocarbon </w:t>
      </w:r>
      <w:r w:rsidR="00DA46E0" w:rsidRPr="00F86091">
        <w:rPr>
          <w:rFonts w:eastAsia="Times New Roman"/>
          <w:noProof/>
        </w:rPr>
        <w:t>mixtures</w:t>
      </w:r>
      <w:r w:rsidR="00FB76BE" w:rsidRPr="00F86091">
        <w:rPr>
          <w:rFonts w:eastAsia="Times New Roman"/>
          <w:noProof/>
        </w:rPr>
        <w:t xml:space="preserve"> (PAHs)</w:t>
      </w:r>
      <w:r w:rsidRPr="00F86091">
        <w:rPr>
          <w:rFonts w:eastAsia="Times New Roman"/>
          <w:noProof/>
        </w:rPr>
        <w:t xml:space="preserve"> have been provided for in the last column of the table. </w:t>
      </w:r>
      <w:r w:rsidR="00882E87">
        <w:rPr>
          <w:rFonts w:eastAsia="Times New Roman"/>
          <w:noProof/>
        </w:rPr>
        <w:t>I</w:t>
      </w:r>
      <w:r w:rsidRPr="00F86091">
        <w:rPr>
          <w:rFonts w:eastAsia="Times New Roman"/>
          <w:noProof/>
        </w:rPr>
        <w:t xml:space="preserve">t is proposed that the </w:t>
      </w:r>
      <w:r w:rsidR="00F943E9" w:rsidRPr="00F86091">
        <w:rPr>
          <w:rFonts w:eastAsia="Times New Roman"/>
          <w:noProof/>
        </w:rPr>
        <w:t xml:space="preserve">term used for </w:t>
      </w:r>
      <w:r w:rsidR="00882E87">
        <w:rPr>
          <w:rFonts w:eastAsia="Times New Roman"/>
          <w:noProof/>
        </w:rPr>
        <w:t xml:space="preserve">the </w:t>
      </w:r>
      <w:r w:rsidRPr="00F86091">
        <w:rPr>
          <w:rFonts w:eastAsia="Times New Roman"/>
          <w:noProof/>
        </w:rPr>
        <w:t xml:space="preserve">agent </w:t>
      </w:r>
      <w:r w:rsidR="00882E87" w:rsidRPr="00F86091">
        <w:rPr>
          <w:rFonts w:eastAsia="Times New Roman"/>
          <w:noProof/>
        </w:rPr>
        <w:t xml:space="preserve">‘mercury and divalent inorganic mercury compounds including mercuric oxide and mercuric chloride (measured as mercury)’ </w:t>
      </w:r>
      <w:r w:rsidRPr="00F86091">
        <w:rPr>
          <w:rFonts w:eastAsia="Times New Roman"/>
          <w:noProof/>
        </w:rPr>
        <w:t>is replaced by ‘mercury and divalent inorganic mercury compounds falling within the scope of Directive 2004/37/EC (measured as mercury)’</w:t>
      </w:r>
      <w:r w:rsidR="00882E87">
        <w:rPr>
          <w:rFonts w:eastAsia="Times New Roman"/>
          <w:noProof/>
        </w:rPr>
        <w:t>,</w:t>
      </w:r>
      <w:r w:rsidRPr="00F86091">
        <w:rPr>
          <w:rFonts w:eastAsia="Times New Roman"/>
          <w:noProof/>
        </w:rPr>
        <w:t xml:space="preserve"> clarifying that the limit value applies only to mercury and divalent inorganic mercury compounds that fall under the scope of the CMRD.</w:t>
      </w:r>
    </w:p>
    <w:p w14:paraId="1A529496" w14:textId="77777777" w:rsidR="1AE93966" w:rsidRPr="00F86091" w:rsidRDefault="1AE93966" w:rsidP="005253FE">
      <w:pPr>
        <w:shd w:val="clear" w:color="auto" w:fill="FFFFFF" w:themeFill="background1"/>
        <w:spacing w:before="0" w:after="240"/>
        <w:rPr>
          <w:i/>
          <w:iCs/>
          <w:noProof/>
        </w:rPr>
      </w:pPr>
      <w:r w:rsidRPr="00F86091">
        <w:rPr>
          <w:rFonts w:eastAsia="Times New Roman"/>
          <w:i/>
          <w:iCs/>
          <w:noProof/>
          <w:szCs w:val="24"/>
        </w:rPr>
        <w:t>Article 2 to 4</w:t>
      </w:r>
    </w:p>
    <w:p w14:paraId="6D1AF82F" w14:textId="77777777" w:rsidR="00DF5082" w:rsidRPr="00F86091" w:rsidRDefault="1AE93966" w:rsidP="005253FE">
      <w:pPr>
        <w:shd w:val="clear" w:color="auto" w:fill="FFFFFF" w:themeFill="background1"/>
        <w:spacing w:before="0" w:after="240"/>
        <w:rPr>
          <w:noProof/>
        </w:rPr>
      </w:pPr>
      <w:r w:rsidRPr="00F86091">
        <w:rPr>
          <w:rFonts w:eastAsia="Times New Roman"/>
          <w:noProof/>
          <w:szCs w:val="24"/>
        </w:rPr>
        <w:t>Articles 2 to 4 contain the provisions on transposition into the Member States’ national law. Article</w:t>
      </w:r>
      <w:r w:rsidR="00F86091">
        <w:rPr>
          <w:rFonts w:eastAsia="Times New Roman"/>
          <w:noProof/>
          <w:szCs w:val="24"/>
        </w:rPr>
        <w:t> </w:t>
      </w:r>
      <w:r w:rsidRPr="00F86091">
        <w:rPr>
          <w:rFonts w:eastAsia="Times New Roman"/>
          <w:noProof/>
          <w:szCs w:val="24"/>
        </w:rPr>
        <w:t xml:space="preserve">3 </w:t>
      </w:r>
      <w:r w:rsidR="00B54E17">
        <w:rPr>
          <w:rFonts w:eastAsia="Times New Roman"/>
          <w:noProof/>
          <w:szCs w:val="24"/>
        </w:rPr>
        <w:t xml:space="preserve">states </w:t>
      </w:r>
      <w:r w:rsidRPr="00F86091">
        <w:rPr>
          <w:rFonts w:eastAsia="Times New Roman"/>
          <w:noProof/>
          <w:szCs w:val="24"/>
        </w:rPr>
        <w:t>the date of entry into force of the Directive.</w:t>
      </w:r>
    </w:p>
    <w:p w14:paraId="3EB01E08" w14:textId="77777777" w:rsidR="1AE93966" w:rsidRPr="00F86091" w:rsidRDefault="1AE93966" w:rsidP="005253FE">
      <w:pPr>
        <w:shd w:val="clear" w:color="auto" w:fill="FFFFFF" w:themeFill="background1"/>
        <w:spacing w:before="0" w:after="240"/>
        <w:rPr>
          <w:i/>
          <w:iCs/>
          <w:noProof/>
        </w:rPr>
      </w:pPr>
      <w:r w:rsidRPr="00F86091">
        <w:rPr>
          <w:rFonts w:eastAsia="Times New Roman"/>
          <w:i/>
          <w:iCs/>
          <w:noProof/>
          <w:szCs w:val="24"/>
        </w:rPr>
        <w:t>Annex</w:t>
      </w:r>
    </w:p>
    <w:p w14:paraId="057CF599" w14:textId="77777777" w:rsidR="1AE93966" w:rsidRPr="00F86091" w:rsidRDefault="1AE93966" w:rsidP="005253FE">
      <w:pPr>
        <w:shd w:val="clear" w:color="auto" w:fill="FFFFFF" w:themeFill="background1"/>
        <w:spacing w:before="0" w:after="240"/>
        <w:rPr>
          <w:noProof/>
        </w:rPr>
      </w:pPr>
      <w:r w:rsidRPr="00F86091">
        <w:rPr>
          <w:rFonts w:eastAsia="Times New Roman"/>
          <w:noProof/>
          <w:szCs w:val="24"/>
        </w:rPr>
        <w:t>The term ‘limit value’ used in the Annex is defined in Article</w:t>
      </w:r>
      <w:r w:rsidR="00F86091">
        <w:rPr>
          <w:rFonts w:eastAsia="Times New Roman"/>
          <w:noProof/>
          <w:szCs w:val="24"/>
        </w:rPr>
        <w:t> </w:t>
      </w:r>
      <w:r w:rsidRPr="00F86091">
        <w:rPr>
          <w:rFonts w:eastAsia="Times New Roman"/>
          <w:noProof/>
          <w:szCs w:val="24"/>
        </w:rPr>
        <w:t xml:space="preserve">2(c) of the Directive. Limit values address the inhalation route of exposure, describing a maximum airborne concentration level for a given chemical agent above which workers should not be exposed, on average, during a </w:t>
      </w:r>
      <w:r w:rsidR="00326B28">
        <w:rPr>
          <w:rFonts w:eastAsia="Times New Roman"/>
          <w:noProof/>
          <w:szCs w:val="24"/>
        </w:rPr>
        <w:t>fixed</w:t>
      </w:r>
      <w:r w:rsidR="00326B28" w:rsidRPr="00F86091">
        <w:rPr>
          <w:rFonts w:eastAsia="Times New Roman"/>
          <w:noProof/>
          <w:szCs w:val="24"/>
        </w:rPr>
        <w:t xml:space="preserve"> </w:t>
      </w:r>
      <w:r w:rsidRPr="00F86091">
        <w:rPr>
          <w:rFonts w:eastAsia="Times New Roman"/>
          <w:noProof/>
          <w:szCs w:val="24"/>
        </w:rPr>
        <w:t>time period.</w:t>
      </w:r>
    </w:p>
    <w:p w14:paraId="25E69625" w14:textId="77777777" w:rsidR="1AE93966" w:rsidRPr="00F86091" w:rsidRDefault="00E74E23" w:rsidP="005253FE">
      <w:pPr>
        <w:shd w:val="clear" w:color="auto" w:fill="FFFFFF" w:themeFill="background1"/>
        <w:spacing w:before="0" w:after="240"/>
        <w:rPr>
          <w:rFonts w:eastAsia="Times New Roman"/>
          <w:noProof/>
        </w:rPr>
      </w:pPr>
      <w:r w:rsidRPr="00F86091">
        <w:rPr>
          <w:rFonts w:eastAsia="Times New Roman"/>
          <w:noProof/>
        </w:rPr>
        <w:t xml:space="preserve">A </w:t>
      </w:r>
      <w:r>
        <w:rPr>
          <w:rFonts w:eastAsia="Times New Roman"/>
          <w:noProof/>
        </w:rPr>
        <w:t>‘</w:t>
      </w:r>
      <w:r w:rsidRPr="00F86091">
        <w:rPr>
          <w:rFonts w:eastAsia="Times New Roman"/>
          <w:noProof/>
        </w:rPr>
        <w:t>skin notation</w:t>
      </w:r>
      <w:r>
        <w:rPr>
          <w:rFonts w:eastAsia="Times New Roman"/>
          <w:noProof/>
        </w:rPr>
        <w:t>’</w:t>
      </w:r>
      <w:r w:rsidRPr="00F86091">
        <w:rPr>
          <w:rFonts w:eastAsia="Times New Roman"/>
          <w:noProof/>
        </w:rPr>
        <w:t xml:space="preserve"> identifies the possibility of significant uptake through the skin.</w:t>
      </w:r>
      <w:r>
        <w:rPr>
          <w:rFonts w:eastAsia="Times New Roman"/>
          <w:noProof/>
        </w:rPr>
        <w:t xml:space="preserve"> It </w:t>
      </w:r>
      <w:r w:rsidR="1AE93966" w:rsidRPr="00F86091">
        <w:rPr>
          <w:rFonts w:eastAsia="Times New Roman"/>
          <w:noProof/>
        </w:rPr>
        <w:t xml:space="preserve">is assigned for those chemical agents where </w:t>
      </w:r>
      <w:r w:rsidR="000826A2" w:rsidRPr="00F86091">
        <w:rPr>
          <w:rFonts w:eastAsia="Times New Roman"/>
          <w:noProof/>
        </w:rPr>
        <w:t xml:space="preserve">the </w:t>
      </w:r>
      <w:r w:rsidR="006C6092" w:rsidRPr="006C6092">
        <w:rPr>
          <w:rFonts w:eastAsia="Times New Roman"/>
          <w:noProof/>
        </w:rPr>
        <w:t>European Chemicals Agency’s Risk Assessment Committee (RAC)</w:t>
      </w:r>
      <w:r w:rsidR="006C6092">
        <w:rPr>
          <w:rFonts w:eastAsia="Times New Roman"/>
          <w:noProof/>
        </w:rPr>
        <w:t xml:space="preserve"> </w:t>
      </w:r>
      <w:r w:rsidR="1AE93966" w:rsidRPr="00F86091">
        <w:rPr>
          <w:rFonts w:eastAsia="Times New Roman"/>
          <w:noProof/>
        </w:rPr>
        <w:t xml:space="preserve">has assessed that dermal absorption could contribute to the total body burden and consequently to possible health effects, namely </w:t>
      </w:r>
      <w:r w:rsidR="29E5D6C8" w:rsidRPr="00F86091">
        <w:rPr>
          <w:rFonts w:eastAsia="Times New Roman"/>
          <w:noProof/>
        </w:rPr>
        <w:t xml:space="preserve">for </w:t>
      </w:r>
      <w:bookmarkStart w:id="22" w:name="_Hlk191977998"/>
      <w:r w:rsidR="007D7827">
        <w:rPr>
          <w:rFonts w:eastAsia="Times New Roman"/>
          <w:noProof/>
        </w:rPr>
        <w:t>1,4-dioxane</w:t>
      </w:r>
      <w:r w:rsidR="1AE93966" w:rsidRPr="00F86091">
        <w:rPr>
          <w:rFonts w:eastAsia="Times New Roman"/>
          <w:noProof/>
        </w:rPr>
        <w:t xml:space="preserve"> </w:t>
      </w:r>
      <w:bookmarkEnd w:id="22"/>
      <w:r w:rsidR="1AE93966" w:rsidRPr="00F86091">
        <w:rPr>
          <w:rFonts w:eastAsia="Times New Roman"/>
          <w:noProof/>
        </w:rPr>
        <w:t>and PAH</w:t>
      </w:r>
      <w:r w:rsidR="00FB76BE" w:rsidRPr="00F86091">
        <w:rPr>
          <w:rFonts w:eastAsia="Times New Roman"/>
          <w:noProof/>
        </w:rPr>
        <w:t>s</w:t>
      </w:r>
      <w:r w:rsidR="009D7A10" w:rsidRPr="00F86091">
        <w:rPr>
          <w:rFonts w:eastAsia="Times New Roman"/>
          <w:noProof/>
        </w:rPr>
        <w:t>. This</w:t>
      </w:r>
      <w:r w:rsidR="1AE93966" w:rsidRPr="00F86091">
        <w:rPr>
          <w:rFonts w:eastAsia="Times New Roman"/>
          <w:noProof/>
        </w:rPr>
        <w:t xml:space="preserve"> notation </w:t>
      </w:r>
      <w:r w:rsidR="003D25F4" w:rsidRPr="00F86091">
        <w:rPr>
          <w:rFonts w:eastAsia="Times New Roman"/>
          <w:noProof/>
        </w:rPr>
        <w:t>is therefore</w:t>
      </w:r>
      <w:r>
        <w:rPr>
          <w:rFonts w:eastAsia="Times New Roman"/>
          <w:noProof/>
        </w:rPr>
        <w:t xml:space="preserve"> kept</w:t>
      </w:r>
      <w:r w:rsidR="00F943E9" w:rsidRPr="00F86091">
        <w:rPr>
          <w:rFonts w:eastAsia="Times New Roman"/>
          <w:noProof/>
        </w:rPr>
        <w:t xml:space="preserve"> for </w:t>
      </w:r>
      <w:r w:rsidR="003D25F4" w:rsidRPr="00F86091">
        <w:rPr>
          <w:rFonts w:eastAsia="Times New Roman"/>
          <w:noProof/>
        </w:rPr>
        <w:t>PAHs</w:t>
      </w:r>
      <w:r w:rsidR="003D25F4" w:rsidRPr="00F86091" w:rsidDel="003D25F4">
        <w:rPr>
          <w:rFonts w:eastAsia="Times New Roman"/>
          <w:noProof/>
        </w:rPr>
        <w:t xml:space="preserve"> </w:t>
      </w:r>
      <w:r w:rsidR="003D25F4" w:rsidRPr="00F86091">
        <w:rPr>
          <w:rFonts w:eastAsia="Times New Roman"/>
          <w:noProof/>
        </w:rPr>
        <w:t xml:space="preserve">and introduced for </w:t>
      </w:r>
      <w:r w:rsidR="007D7827">
        <w:rPr>
          <w:rFonts w:eastAsia="Times New Roman"/>
          <w:noProof/>
        </w:rPr>
        <w:t>1,4-dioxane</w:t>
      </w:r>
      <w:r w:rsidR="1AE93966" w:rsidRPr="00F86091">
        <w:rPr>
          <w:rFonts w:eastAsia="Times New Roman"/>
          <w:noProof/>
        </w:rPr>
        <w:t>. A notation for ‘dermal sensitisation</w:t>
      </w:r>
      <w:r w:rsidR="00411428" w:rsidRPr="00F86091">
        <w:rPr>
          <w:rFonts w:eastAsia="Times New Roman"/>
          <w:noProof/>
        </w:rPr>
        <w:t>’</w:t>
      </w:r>
      <w:r w:rsidR="1AE93966" w:rsidRPr="00F86091">
        <w:rPr>
          <w:rFonts w:eastAsia="Times New Roman"/>
          <w:noProof/>
        </w:rPr>
        <w:t xml:space="preserve"> is assigned for chemical agent</w:t>
      </w:r>
      <w:r w:rsidR="00C70552">
        <w:rPr>
          <w:rFonts w:eastAsia="Times New Roman"/>
          <w:noProof/>
        </w:rPr>
        <w:t xml:space="preserve">s </w:t>
      </w:r>
      <w:r>
        <w:rPr>
          <w:rFonts w:eastAsia="Times New Roman"/>
          <w:noProof/>
        </w:rPr>
        <w:t>for</w:t>
      </w:r>
      <w:r w:rsidR="00C70552">
        <w:rPr>
          <w:rFonts w:eastAsia="Times New Roman"/>
          <w:noProof/>
        </w:rPr>
        <w:t xml:space="preserve"> which the RAC has assessed that exposure is liable to </w:t>
      </w:r>
      <w:r w:rsidR="1AE93966" w:rsidRPr="00F86091">
        <w:rPr>
          <w:rFonts w:eastAsia="Times New Roman"/>
          <w:noProof/>
        </w:rPr>
        <w:t xml:space="preserve">cause adverse skin reactions, namely cobalt and its inorganic compounds. A notation for </w:t>
      </w:r>
      <w:r w:rsidR="00F86091">
        <w:rPr>
          <w:rFonts w:eastAsia="Times New Roman"/>
          <w:noProof/>
        </w:rPr>
        <w:t>‘</w:t>
      </w:r>
      <w:r w:rsidR="1AE93966" w:rsidRPr="00F86091">
        <w:rPr>
          <w:rFonts w:eastAsia="Times New Roman"/>
          <w:noProof/>
        </w:rPr>
        <w:t>respiratory sensitisation</w:t>
      </w:r>
      <w:r w:rsidR="00F86091">
        <w:rPr>
          <w:rFonts w:eastAsia="Times New Roman"/>
          <w:noProof/>
        </w:rPr>
        <w:t>’</w:t>
      </w:r>
      <w:r w:rsidR="1AE93966" w:rsidRPr="00F86091">
        <w:rPr>
          <w:rFonts w:eastAsia="Times New Roman"/>
          <w:noProof/>
        </w:rPr>
        <w:t xml:space="preserve"> is assigned for one chemical agent </w:t>
      </w:r>
      <w:r>
        <w:rPr>
          <w:rFonts w:eastAsia="Times New Roman"/>
          <w:noProof/>
        </w:rPr>
        <w:t>for</w:t>
      </w:r>
      <w:r w:rsidR="00C70552">
        <w:rPr>
          <w:rFonts w:eastAsia="Times New Roman"/>
          <w:noProof/>
        </w:rPr>
        <w:t xml:space="preserve"> which the RAC has assessed that exposure </w:t>
      </w:r>
      <w:r w:rsidR="1AE93966" w:rsidRPr="00F86091">
        <w:rPr>
          <w:rFonts w:eastAsia="Times New Roman"/>
          <w:noProof/>
        </w:rPr>
        <w:t>by inhal</w:t>
      </w:r>
      <w:r w:rsidR="00F943E9" w:rsidRPr="00F86091">
        <w:rPr>
          <w:rFonts w:eastAsia="Times New Roman"/>
          <w:noProof/>
        </w:rPr>
        <w:t>ation</w:t>
      </w:r>
      <w:r w:rsidR="1AE93966" w:rsidRPr="00F86091">
        <w:rPr>
          <w:rFonts w:eastAsia="Times New Roman"/>
          <w:noProof/>
        </w:rPr>
        <w:t xml:space="preserve"> can cause adverse reactions in the respiratory tract, namely cobalt and its inorganic compounds. Employers </w:t>
      </w:r>
      <w:r>
        <w:rPr>
          <w:rFonts w:eastAsia="Times New Roman"/>
          <w:noProof/>
        </w:rPr>
        <w:t>must take these notations</w:t>
      </w:r>
      <w:r w:rsidR="1AE93966" w:rsidRPr="00F86091">
        <w:rPr>
          <w:rFonts w:eastAsia="Times New Roman"/>
          <w:noProof/>
        </w:rPr>
        <w:t xml:space="preserve"> into account when performing risk assessment</w:t>
      </w:r>
      <w:r>
        <w:rPr>
          <w:rFonts w:eastAsia="Times New Roman"/>
          <w:noProof/>
        </w:rPr>
        <w:t>s</w:t>
      </w:r>
      <w:r w:rsidR="1AE93966" w:rsidRPr="00F86091">
        <w:rPr>
          <w:rFonts w:eastAsia="Times New Roman"/>
          <w:noProof/>
        </w:rPr>
        <w:t xml:space="preserve"> and implementing preventive and protective measures for a particular carcinogen</w:t>
      </w:r>
      <w:r w:rsidR="3B68708F" w:rsidRPr="00F86091">
        <w:rPr>
          <w:rFonts w:eastAsia="Times New Roman"/>
          <w:noProof/>
        </w:rPr>
        <w:t>,</w:t>
      </w:r>
      <w:r w:rsidR="1AE93966" w:rsidRPr="00F86091">
        <w:rPr>
          <w:rFonts w:eastAsia="Times New Roman"/>
          <w:noProof/>
        </w:rPr>
        <w:t xml:space="preserve"> mutagen </w:t>
      </w:r>
      <w:r w:rsidR="24357A2B" w:rsidRPr="00F86091">
        <w:rPr>
          <w:rFonts w:eastAsia="Times New Roman"/>
          <w:noProof/>
        </w:rPr>
        <w:t xml:space="preserve">or reprotoxic substance </w:t>
      </w:r>
      <w:r w:rsidR="1AE93966" w:rsidRPr="00F86091">
        <w:rPr>
          <w:rFonts w:eastAsia="Times New Roman"/>
          <w:noProof/>
        </w:rPr>
        <w:t>in accordance with the Directive.</w:t>
      </w:r>
    </w:p>
    <w:p w14:paraId="1A1ADFB0" w14:textId="77777777" w:rsidR="09F797AB" w:rsidRPr="00F86091" w:rsidRDefault="09F797AB" w:rsidP="005253FE">
      <w:pPr>
        <w:shd w:val="clear" w:color="auto" w:fill="FFFFFF" w:themeFill="background1"/>
        <w:spacing w:before="0" w:after="240"/>
        <w:rPr>
          <w:rFonts w:eastAsia="Times New Roman"/>
          <w:noProof/>
          <w:szCs w:val="24"/>
        </w:rPr>
      </w:pPr>
    </w:p>
    <w:p w14:paraId="1404190A" w14:textId="77777777" w:rsidR="007017A3" w:rsidRPr="00F86091" w:rsidRDefault="007017A3" w:rsidP="005253FE">
      <w:pPr>
        <w:spacing w:before="0" w:after="240"/>
        <w:jc w:val="left"/>
        <w:rPr>
          <w:noProof/>
        </w:rPr>
        <w:sectPr w:rsidR="007017A3" w:rsidRPr="00F86091" w:rsidSect="006A3F11">
          <w:headerReference w:type="even" r:id="rId15"/>
          <w:footerReference w:type="even" r:id="rId16"/>
          <w:footerReference w:type="default" r:id="rId17"/>
          <w:headerReference w:type="first" r:id="rId18"/>
          <w:footerReference w:type="first" r:id="rId19"/>
          <w:pgSz w:w="11907" w:h="16839"/>
          <w:pgMar w:top="1134" w:right="1417" w:bottom="1134" w:left="1417" w:header="709" w:footer="709" w:gutter="0"/>
          <w:cols w:space="708"/>
          <w:docGrid w:linePitch="360"/>
        </w:sectPr>
      </w:pPr>
    </w:p>
    <w:p w14:paraId="7C414DA6" w14:textId="4E0B25A3" w:rsidR="00EE603F" w:rsidRDefault="006A3F11" w:rsidP="006A3F11">
      <w:pPr>
        <w:pStyle w:val="Rfrenceinterinstitutionnelle"/>
        <w:rPr>
          <w:noProof/>
        </w:rPr>
      </w:pPr>
      <w:r w:rsidRPr="006A3F11">
        <w:t>2025/0232 (COD)</w:t>
      </w:r>
    </w:p>
    <w:p w14:paraId="704CE245" w14:textId="1EA1A6D3" w:rsidR="007017A3" w:rsidRPr="00F86091" w:rsidRDefault="006A3F11" w:rsidP="006A3F11">
      <w:pPr>
        <w:pStyle w:val="Statut"/>
        <w:rPr>
          <w:noProof/>
        </w:rPr>
      </w:pPr>
      <w:r w:rsidRPr="006A3F11">
        <w:t>Proposal for a</w:t>
      </w:r>
    </w:p>
    <w:p w14:paraId="509172C4" w14:textId="51546FAC" w:rsidR="007017A3" w:rsidRPr="00F86091" w:rsidRDefault="006A3F11" w:rsidP="006A3F11">
      <w:pPr>
        <w:pStyle w:val="Typedudocument"/>
        <w:rPr>
          <w:noProof/>
        </w:rPr>
      </w:pPr>
      <w:r w:rsidRPr="006A3F11">
        <w:t>DIRECTIVE OF THE EUROPEAN PARLIAMENT AND OF THE COUNCIL</w:t>
      </w:r>
    </w:p>
    <w:p w14:paraId="76ECB339" w14:textId="350015C2" w:rsidR="007017A3" w:rsidRPr="00F86091" w:rsidRDefault="006A3F11" w:rsidP="006A3F11">
      <w:pPr>
        <w:pStyle w:val="Titreobjet"/>
        <w:rPr>
          <w:noProof/>
        </w:rPr>
      </w:pPr>
      <w:r w:rsidRPr="006A3F11">
        <w:t>amending Directive 2004/37/EC as regards the addition of substances and setting limit values in its Annexes I, III and IIIa</w:t>
      </w:r>
    </w:p>
    <w:p w14:paraId="71A492BB" w14:textId="08607FF3" w:rsidR="007017A3" w:rsidRPr="00F86091" w:rsidRDefault="006A3F11" w:rsidP="006A3F11">
      <w:pPr>
        <w:pStyle w:val="IntrtEEE"/>
        <w:rPr>
          <w:noProof/>
        </w:rPr>
      </w:pPr>
      <w:r w:rsidRPr="006A3F11">
        <w:t>(Text with EEA relevance)</w:t>
      </w:r>
    </w:p>
    <w:p w14:paraId="519E080B" w14:textId="77777777" w:rsidR="007017A3" w:rsidRPr="00F86091" w:rsidRDefault="7A9D7DD4" w:rsidP="449BDA64">
      <w:pPr>
        <w:spacing w:before="600"/>
        <w:rPr>
          <w:noProof/>
        </w:rPr>
      </w:pPr>
      <w:r w:rsidRPr="00F86091">
        <w:rPr>
          <w:rFonts w:eastAsia="Times New Roman"/>
          <w:noProof/>
          <w:szCs w:val="24"/>
        </w:rPr>
        <w:t>THE EUROPEAN PARLIAMENT AND THE COUNCIL OF THE EUROPEAN UNION,</w:t>
      </w:r>
    </w:p>
    <w:p w14:paraId="36A76E6E" w14:textId="77777777" w:rsidR="007017A3" w:rsidRPr="00F86091" w:rsidRDefault="1396D34A" w:rsidP="449BDA64">
      <w:pPr>
        <w:rPr>
          <w:noProof/>
        </w:rPr>
      </w:pPr>
      <w:r w:rsidRPr="00F86091">
        <w:rPr>
          <w:rFonts w:eastAsia="Times New Roman"/>
          <w:noProof/>
          <w:color w:val="000000" w:themeColor="text1"/>
          <w:szCs w:val="24"/>
        </w:rPr>
        <w:t>Having regard to the Treaty on the Functioning of the European Union, and in particular Article</w:t>
      </w:r>
      <w:r w:rsidR="00F86091">
        <w:rPr>
          <w:rFonts w:eastAsia="Times New Roman"/>
          <w:noProof/>
          <w:color w:val="000000" w:themeColor="text1"/>
          <w:szCs w:val="24"/>
        </w:rPr>
        <w:t> </w:t>
      </w:r>
      <w:r w:rsidRPr="00F86091">
        <w:rPr>
          <w:rFonts w:eastAsia="Times New Roman"/>
          <w:noProof/>
          <w:color w:val="000000" w:themeColor="text1"/>
          <w:szCs w:val="24"/>
        </w:rPr>
        <w:t>153(2), point (b), in conjunction with Article</w:t>
      </w:r>
      <w:r w:rsidR="00F86091">
        <w:rPr>
          <w:rFonts w:eastAsia="Times New Roman"/>
          <w:noProof/>
          <w:color w:val="000000" w:themeColor="text1"/>
          <w:szCs w:val="24"/>
        </w:rPr>
        <w:t> </w:t>
      </w:r>
      <w:r w:rsidRPr="00F86091">
        <w:rPr>
          <w:rFonts w:eastAsia="Times New Roman"/>
          <w:noProof/>
          <w:color w:val="000000" w:themeColor="text1"/>
          <w:szCs w:val="24"/>
        </w:rPr>
        <w:t>153(1), point (a), thereof</w:t>
      </w:r>
      <w:r w:rsidRPr="00F86091">
        <w:rPr>
          <w:rFonts w:eastAsia="Times New Roman"/>
          <w:noProof/>
          <w:szCs w:val="24"/>
        </w:rPr>
        <w:t>,</w:t>
      </w:r>
    </w:p>
    <w:p w14:paraId="50444308" w14:textId="77777777" w:rsidR="007017A3" w:rsidRPr="00F86091" w:rsidRDefault="1396D34A" w:rsidP="449BDA64">
      <w:pPr>
        <w:rPr>
          <w:noProof/>
        </w:rPr>
      </w:pPr>
      <w:r w:rsidRPr="00F86091">
        <w:rPr>
          <w:rFonts w:eastAsia="Times New Roman"/>
          <w:noProof/>
          <w:szCs w:val="24"/>
        </w:rPr>
        <w:t>Having regard to the proposal from the European Commission,</w:t>
      </w:r>
    </w:p>
    <w:p w14:paraId="65CC7846" w14:textId="77777777" w:rsidR="007017A3" w:rsidRPr="00F86091" w:rsidRDefault="1396D34A" w:rsidP="449BDA64">
      <w:pPr>
        <w:rPr>
          <w:noProof/>
        </w:rPr>
      </w:pPr>
      <w:r w:rsidRPr="00F86091">
        <w:rPr>
          <w:rFonts w:eastAsia="Times New Roman"/>
          <w:noProof/>
          <w:szCs w:val="24"/>
        </w:rPr>
        <w:t>After transmission of the draft legislative act to the national parliaments,</w:t>
      </w:r>
    </w:p>
    <w:p w14:paraId="702F049F" w14:textId="77777777" w:rsidR="007017A3" w:rsidRPr="00F86091" w:rsidRDefault="1396D34A" w:rsidP="449BDA64">
      <w:pPr>
        <w:rPr>
          <w:noProof/>
        </w:rPr>
      </w:pPr>
      <w:r w:rsidRPr="00F86091">
        <w:rPr>
          <w:rFonts w:eastAsia="Times New Roman"/>
          <w:noProof/>
          <w:szCs w:val="24"/>
        </w:rPr>
        <w:t>Having regard to the opinion of the European Economic and Social Committee</w:t>
      </w:r>
      <w:r w:rsidR="00B21406">
        <w:rPr>
          <w:rStyle w:val="FootnoteReference"/>
          <w:rFonts w:eastAsia="Times New Roman"/>
          <w:noProof/>
          <w:szCs w:val="24"/>
        </w:rPr>
        <w:footnoteReference w:id="44"/>
      </w:r>
      <w:r w:rsidRPr="00F86091">
        <w:rPr>
          <w:rFonts w:eastAsia="Times New Roman"/>
          <w:noProof/>
          <w:szCs w:val="24"/>
        </w:rPr>
        <w:t>,</w:t>
      </w:r>
    </w:p>
    <w:p w14:paraId="56D136E1" w14:textId="77777777" w:rsidR="007017A3" w:rsidRPr="00F86091" w:rsidRDefault="1396D34A" w:rsidP="449BDA64">
      <w:pPr>
        <w:rPr>
          <w:noProof/>
        </w:rPr>
      </w:pPr>
      <w:r w:rsidRPr="00F86091">
        <w:rPr>
          <w:rFonts w:eastAsia="Times New Roman"/>
          <w:noProof/>
          <w:color w:val="000000" w:themeColor="text1"/>
          <w:szCs w:val="24"/>
        </w:rPr>
        <w:t xml:space="preserve">After consulting the </w:t>
      </w:r>
      <w:r w:rsidRPr="00F86091">
        <w:rPr>
          <w:rFonts w:eastAsia="Times New Roman"/>
          <w:noProof/>
          <w:szCs w:val="24"/>
        </w:rPr>
        <w:t>Committee of the Regions</w:t>
      </w:r>
      <w:r w:rsidR="00B21406">
        <w:rPr>
          <w:rStyle w:val="FootnoteReference"/>
          <w:rFonts w:eastAsia="Times New Roman"/>
          <w:noProof/>
          <w:szCs w:val="24"/>
        </w:rPr>
        <w:footnoteReference w:id="45"/>
      </w:r>
      <w:r w:rsidRPr="00F86091">
        <w:rPr>
          <w:rFonts w:eastAsia="Times New Roman"/>
          <w:noProof/>
          <w:szCs w:val="24"/>
        </w:rPr>
        <w:t>,</w:t>
      </w:r>
    </w:p>
    <w:p w14:paraId="33333DF7" w14:textId="77777777" w:rsidR="007017A3" w:rsidRPr="00F86091" w:rsidRDefault="1396D34A" w:rsidP="449BDA64">
      <w:pPr>
        <w:rPr>
          <w:noProof/>
        </w:rPr>
      </w:pPr>
      <w:r w:rsidRPr="00F86091">
        <w:rPr>
          <w:rFonts w:eastAsia="Times New Roman"/>
          <w:noProof/>
          <w:szCs w:val="24"/>
        </w:rPr>
        <w:t>Acting in accordance with the ordinary legislative procedure,</w:t>
      </w:r>
    </w:p>
    <w:p w14:paraId="4FDCF99B" w14:textId="77777777" w:rsidR="007017A3" w:rsidRPr="00F86091" w:rsidRDefault="1396D34A" w:rsidP="449BDA64">
      <w:pPr>
        <w:rPr>
          <w:noProof/>
        </w:rPr>
      </w:pPr>
      <w:r w:rsidRPr="00F86091">
        <w:rPr>
          <w:rFonts w:eastAsia="Times New Roman"/>
          <w:noProof/>
          <w:szCs w:val="24"/>
        </w:rPr>
        <w:t>Whereas:</w:t>
      </w:r>
    </w:p>
    <w:p w14:paraId="6B609715" w14:textId="77777777" w:rsidR="007017A3" w:rsidRPr="00F86091" w:rsidRDefault="00A53916" w:rsidP="00A53916">
      <w:pPr>
        <w:pStyle w:val="Point0"/>
        <w:rPr>
          <w:noProof/>
        </w:rPr>
      </w:pPr>
      <w:bookmarkStart w:id="23" w:name="_Hlk200721448"/>
      <w:r w:rsidRPr="00A53916">
        <w:rPr>
          <w:noProof/>
        </w:rPr>
        <w:t>(1)</w:t>
      </w:r>
      <w:r w:rsidRPr="00A53916">
        <w:rPr>
          <w:noProof/>
        </w:rPr>
        <w:tab/>
      </w:r>
      <w:r w:rsidR="00B21406" w:rsidRPr="00B21406">
        <w:rPr>
          <w:noProof/>
        </w:rPr>
        <w:t xml:space="preserve">To improve the protection of workers against risks from exposure to carcinogens, mutagens or reprotoxic substances at the place of work and ensure the same minimum level of protection across the Union, regular </w:t>
      </w:r>
      <w:bookmarkEnd w:id="23"/>
      <w:r w:rsidR="1396D34A" w:rsidRPr="00F86091">
        <w:rPr>
          <w:noProof/>
        </w:rPr>
        <w:t>updates of Directive 2004/37/EC</w:t>
      </w:r>
      <w:r w:rsidR="00B21406" w:rsidRPr="00B21406">
        <w:rPr>
          <w:noProof/>
        </w:rPr>
        <w:t xml:space="preserve"> </w:t>
      </w:r>
      <w:r w:rsidR="00B21406" w:rsidRPr="00F86091">
        <w:rPr>
          <w:noProof/>
        </w:rPr>
        <w:t>of the European Parliament and the Council</w:t>
      </w:r>
      <w:r w:rsidR="00B21406">
        <w:rPr>
          <w:rStyle w:val="FootnoteReference"/>
          <w:rFonts w:eastAsia="Times New Roman"/>
          <w:noProof/>
        </w:rPr>
        <w:footnoteReference w:id="46"/>
      </w:r>
      <w:r w:rsidR="1396D34A" w:rsidRPr="00F86091">
        <w:rPr>
          <w:noProof/>
        </w:rPr>
        <w:t xml:space="preserve"> are necessary. </w:t>
      </w:r>
      <w:r w:rsidR="00F22B18" w:rsidRPr="00F86091">
        <w:rPr>
          <w:noProof/>
        </w:rPr>
        <w:t>O</w:t>
      </w:r>
      <w:r w:rsidR="1396D34A" w:rsidRPr="00F86091">
        <w:rPr>
          <w:noProof/>
        </w:rPr>
        <w:t>ccupational exposure limit values should be established or revised in light of available information, including up-to-date scientific evidence and technical data, and should be based on a thorough assessment of the socio</w:t>
      </w:r>
      <w:r w:rsidR="00681C8C">
        <w:rPr>
          <w:noProof/>
        </w:rPr>
        <w:t>-economic</w:t>
      </w:r>
      <w:r w:rsidR="1396D34A" w:rsidRPr="00F86091">
        <w:rPr>
          <w:noProof/>
        </w:rPr>
        <w:t xml:space="preserve"> impact and </w:t>
      </w:r>
      <w:r w:rsidR="00AA0C77" w:rsidRPr="00F86091">
        <w:rPr>
          <w:noProof/>
        </w:rPr>
        <w:t>feasibility</w:t>
      </w:r>
      <w:r w:rsidR="001C4634" w:rsidRPr="00F86091">
        <w:rPr>
          <w:noProof/>
        </w:rPr>
        <w:t xml:space="preserve"> factors</w:t>
      </w:r>
      <w:r w:rsidR="1396D34A" w:rsidRPr="00F86091">
        <w:rPr>
          <w:noProof/>
        </w:rPr>
        <w:t xml:space="preserve">. That information should, if possible, include opinions of the Committee for Risk Assessment (RAC) of the European Chemicals Agency </w:t>
      </w:r>
      <w:r w:rsidR="009D7A10" w:rsidRPr="00F86091">
        <w:rPr>
          <w:noProof/>
        </w:rPr>
        <w:t>(ECHA)</w:t>
      </w:r>
      <w:r w:rsidR="00D52AB1">
        <w:rPr>
          <w:noProof/>
        </w:rPr>
        <w:t xml:space="preserve"> </w:t>
      </w:r>
      <w:r w:rsidR="00D52AB1" w:rsidRPr="00D52AB1">
        <w:rPr>
          <w:noProof/>
        </w:rPr>
        <w:t>established by Regulation (EC) No 1907/2006 of the European Parliament and of the Council</w:t>
      </w:r>
      <w:r w:rsidR="00D52AB1" w:rsidRPr="00804B58">
        <w:rPr>
          <w:rStyle w:val="FootnoteReference"/>
          <w:noProof/>
        </w:rPr>
        <w:footnoteReference w:id="47"/>
      </w:r>
      <w:r w:rsidR="00D10E46">
        <w:rPr>
          <w:noProof/>
        </w:rPr>
        <w:t xml:space="preserve"> </w:t>
      </w:r>
      <w:r w:rsidR="1396D34A" w:rsidRPr="00F86091">
        <w:rPr>
          <w:noProof/>
        </w:rPr>
        <w:t xml:space="preserve">and opinions of the Advisory Committee on Safety and Health at Work </w:t>
      </w:r>
      <w:r w:rsidR="009D7A10" w:rsidRPr="00F86091">
        <w:rPr>
          <w:noProof/>
        </w:rPr>
        <w:t>(ACSH)</w:t>
      </w:r>
      <w:r w:rsidR="00C603DE">
        <w:rPr>
          <w:rStyle w:val="FootnoteReference"/>
          <w:rFonts w:eastAsia="Times New Roman"/>
          <w:noProof/>
        </w:rPr>
        <w:footnoteReference w:id="48"/>
      </w:r>
      <w:r w:rsidR="1396D34A" w:rsidRPr="00F86091">
        <w:rPr>
          <w:noProof/>
        </w:rPr>
        <w:t>.</w:t>
      </w:r>
    </w:p>
    <w:p w14:paraId="7390F06B" w14:textId="77777777" w:rsidR="007017A3" w:rsidRPr="00F86091" w:rsidRDefault="00A53916" w:rsidP="00A53916">
      <w:pPr>
        <w:pStyle w:val="Point0"/>
        <w:rPr>
          <w:noProof/>
          <w:szCs w:val="24"/>
        </w:rPr>
      </w:pPr>
      <w:r w:rsidRPr="00A53916">
        <w:rPr>
          <w:noProof/>
        </w:rPr>
        <w:t>(2)</w:t>
      </w:r>
      <w:r w:rsidRPr="00A53916">
        <w:rPr>
          <w:noProof/>
        </w:rPr>
        <w:tab/>
      </w:r>
      <w:r w:rsidR="1396D34A" w:rsidRPr="00F86091">
        <w:rPr>
          <w:noProof/>
        </w:rPr>
        <w:t xml:space="preserve">Directive </w:t>
      </w:r>
      <w:bookmarkStart w:id="24" w:name="_Hlk192065810"/>
      <w:r w:rsidR="1396D34A" w:rsidRPr="00F86091">
        <w:rPr>
          <w:noProof/>
        </w:rPr>
        <w:t xml:space="preserve">2004/37/EC </w:t>
      </w:r>
      <w:bookmarkEnd w:id="24"/>
      <w:r w:rsidR="1396D34A" w:rsidRPr="00F86091">
        <w:rPr>
          <w:noProof/>
        </w:rPr>
        <w:t>cover</w:t>
      </w:r>
      <w:r w:rsidR="00705CC7">
        <w:rPr>
          <w:noProof/>
        </w:rPr>
        <w:t>s</w:t>
      </w:r>
      <w:r w:rsidR="1396D34A" w:rsidRPr="00F86091">
        <w:rPr>
          <w:noProof/>
        </w:rPr>
        <w:t xml:space="preserve"> substances or mixtures which meet the criteria for classification as a category 1A or 1B carcinogen, mutagen or reprotoxic set out in Annex I to Regulation (EC) No</w:t>
      </w:r>
      <w:r w:rsidR="00F86091">
        <w:rPr>
          <w:noProof/>
        </w:rPr>
        <w:t> </w:t>
      </w:r>
      <w:r w:rsidR="1396D34A" w:rsidRPr="00F86091">
        <w:rPr>
          <w:noProof/>
        </w:rPr>
        <w:t>1272/2008 of the European Parliament and of the Council</w:t>
      </w:r>
      <w:r w:rsidR="00705CC7">
        <w:rPr>
          <w:rStyle w:val="FootnoteReference"/>
          <w:noProof/>
        </w:rPr>
        <w:footnoteReference w:id="49"/>
      </w:r>
      <w:r w:rsidR="1396D34A" w:rsidRPr="00F86091">
        <w:rPr>
          <w:noProof/>
        </w:rPr>
        <w:t xml:space="preserve"> as well as substances, mixtures or processes referred to in Annex I</w:t>
      </w:r>
      <w:r w:rsidR="00705CC7">
        <w:rPr>
          <w:noProof/>
        </w:rPr>
        <w:t xml:space="preserve"> to that Directive</w:t>
      </w:r>
      <w:r w:rsidR="1396D34A" w:rsidRPr="00F86091">
        <w:rPr>
          <w:noProof/>
        </w:rPr>
        <w:t xml:space="preserve">. </w:t>
      </w:r>
      <w:r w:rsidR="0035576F">
        <w:rPr>
          <w:noProof/>
        </w:rPr>
        <w:t>R</w:t>
      </w:r>
      <w:r w:rsidR="0035576F" w:rsidRPr="00F86091">
        <w:rPr>
          <w:noProof/>
        </w:rPr>
        <w:t xml:space="preserve">obust scientific evidence </w:t>
      </w:r>
      <w:r w:rsidR="00705CC7">
        <w:rPr>
          <w:noProof/>
        </w:rPr>
        <w:t>is to</w:t>
      </w:r>
      <w:r w:rsidR="00705CC7" w:rsidRPr="00F86091">
        <w:rPr>
          <w:noProof/>
        </w:rPr>
        <w:t xml:space="preserve"> </w:t>
      </w:r>
      <w:r w:rsidR="0035576F" w:rsidRPr="00F86091">
        <w:rPr>
          <w:noProof/>
        </w:rPr>
        <w:t xml:space="preserve">be provided </w:t>
      </w:r>
      <w:r w:rsidR="0035576F">
        <w:rPr>
          <w:noProof/>
        </w:rPr>
        <w:t>f</w:t>
      </w:r>
      <w:r w:rsidR="1396D34A" w:rsidRPr="00F86091">
        <w:rPr>
          <w:noProof/>
        </w:rPr>
        <w:t xml:space="preserve">or any new addition to the list of substances, mixtures and processes referred to in </w:t>
      </w:r>
      <w:r w:rsidR="00705CC7">
        <w:rPr>
          <w:noProof/>
        </w:rPr>
        <w:t xml:space="preserve">that </w:t>
      </w:r>
      <w:r w:rsidR="1396D34A" w:rsidRPr="00F86091">
        <w:rPr>
          <w:noProof/>
        </w:rPr>
        <w:t xml:space="preserve">Annex I to demonstrate that these substances, mixtures and processes fall under the scope of </w:t>
      </w:r>
      <w:r w:rsidR="00A27600" w:rsidRPr="00F86091">
        <w:rPr>
          <w:noProof/>
        </w:rPr>
        <w:t>D</w:t>
      </w:r>
      <w:r w:rsidR="1396D34A" w:rsidRPr="00F86091">
        <w:rPr>
          <w:noProof/>
        </w:rPr>
        <w:t>irective</w:t>
      </w:r>
      <w:r w:rsidR="00705CC7">
        <w:rPr>
          <w:noProof/>
        </w:rPr>
        <w:t xml:space="preserve"> </w:t>
      </w:r>
      <w:r w:rsidR="00705CC7" w:rsidRPr="00705CC7">
        <w:rPr>
          <w:noProof/>
        </w:rPr>
        <w:t>2004/37/EC</w:t>
      </w:r>
      <w:r w:rsidR="1396D34A" w:rsidRPr="00F86091">
        <w:rPr>
          <w:noProof/>
        </w:rPr>
        <w:t xml:space="preserve">, based on available valid scientific sources such as </w:t>
      </w:r>
      <w:r w:rsidR="00EA2BB9">
        <w:rPr>
          <w:noProof/>
        </w:rPr>
        <w:t xml:space="preserve">the </w:t>
      </w:r>
      <w:r w:rsidR="1396D34A" w:rsidRPr="00F86091">
        <w:rPr>
          <w:noProof/>
        </w:rPr>
        <w:t xml:space="preserve">ECHA, the International Agency for Research on Cancer </w:t>
      </w:r>
      <w:r w:rsidR="00CE175D" w:rsidRPr="00CE175D">
        <w:rPr>
          <w:noProof/>
        </w:rPr>
        <w:t xml:space="preserve">(IARC) </w:t>
      </w:r>
      <w:r w:rsidR="1396D34A" w:rsidRPr="00F86091">
        <w:rPr>
          <w:noProof/>
        </w:rPr>
        <w:t>and national bodies, paying particular attention to peer-reviewed published literature on that substance.</w:t>
      </w:r>
    </w:p>
    <w:p w14:paraId="1A643960" w14:textId="77777777" w:rsidR="007017A3" w:rsidRPr="00F86091" w:rsidRDefault="00A53916" w:rsidP="00A53916">
      <w:pPr>
        <w:pStyle w:val="Point0"/>
        <w:rPr>
          <w:noProof/>
          <w:szCs w:val="24"/>
        </w:rPr>
      </w:pPr>
      <w:r w:rsidRPr="00A53916">
        <w:rPr>
          <w:noProof/>
        </w:rPr>
        <w:t>(3)</w:t>
      </w:r>
      <w:r w:rsidRPr="00A53916">
        <w:rPr>
          <w:noProof/>
        </w:rPr>
        <w:tab/>
      </w:r>
      <w:r w:rsidR="00FE1AB7">
        <w:rPr>
          <w:noProof/>
        </w:rPr>
        <w:t xml:space="preserve">The </w:t>
      </w:r>
      <w:r w:rsidR="00762E14">
        <w:rPr>
          <w:noProof/>
        </w:rPr>
        <w:t xml:space="preserve">IARC </w:t>
      </w:r>
      <w:r w:rsidR="1396D34A" w:rsidRPr="00F86091">
        <w:rPr>
          <w:noProof/>
        </w:rPr>
        <w:t xml:space="preserve">classified welding fumes as </w:t>
      </w:r>
      <w:r w:rsidR="00F86091">
        <w:rPr>
          <w:noProof/>
        </w:rPr>
        <w:t>‘</w:t>
      </w:r>
      <w:r w:rsidR="1396D34A" w:rsidRPr="00F86091">
        <w:rPr>
          <w:noProof/>
        </w:rPr>
        <w:t xml:space="preserve">carcinogenic to </w:t>
      </w:r>
      <w:r w:rsidR="1396D34A" w:rsidRPr="006E14E5">
        <w:rPr>
          <w:noProof/>
        </w:rPr>
        <w:t>humans</w:t>
      </w:r>
      <w:r w:rsidR="00F86091" w:rsidRPr="006E14E5">
        <w:rPr>
          <w:noProof/>
        </w:rPr>
        <w:t>’</w:t>
      </w:r>
      <w:r w:rsidR="1396D34A" w:rsidRPr="006E14E5">
        <w:rPr>
          <w:noProof/>
        </w:rPr>
        <w:t xml:space="preserve"> (</w:t>
      </w:r>
      <w:r w:rsidR="1396D34A" w:rsidRPr="003D6EE6">
        <w:rPr>
          <w:noProof/>
        </w:rPr>
        <w:t>Group 1</w:t>
      </w:r>
      <w:r w:rsidR="00762E14" w:rsidRPr="006E14E5">
        <w:rPr>
          <w:noProof/>
        </w:rPr>
        <w:t xml:space="preserve"> of the</w:t>
      </w:r>
      <w:r w:rsidR="00762E14">
        <w:rPr>
          <w:noProof/>
        </w:rPr>
        <w:t xml:space="preserve"> IARC classification</w:t>
      </w:r>
      <w:r w:rsidR="1396D34A" w:rsidRPr="00F86091">
        <w:rPr>
          <w:noProof/>
        </w:rPr>
        <w:t>). According to the ECHA scoping study</w:t>
      </w:r>
      <w:r w:rsidR="006E14E5">
        <w:rPr>
          <w:rStyle w:val="FootnoteReference"/>
          <w:rFonts w:eastAsia="Times New Roman"/>
          <w:noProof/>
        </w:rPr>
        <w:footnoteReference w:id="50"/>
      </w:r>
      <w:r w:rsidR="002E2537">
        <w:rPr>
          <w:noProof/>
        </w:rPr>
        <w:t xml:space="preserve">, </w:t>
      </w:r>
      <w:r w:rsidR="1396D34A" w:rsidRPr="00F86091">
        <w:rPr>
          <w:noProof/>
        </w:rPr>
        <w:t xml:space="preserve">welding fumes are complex and may </w:t>
      </w:r>
      <w:r w:rsidR="000C33A9" w:rsidRPr="00F86091">
        <w:rPr>
          <w:noProof/>
        </w:rPr>
        <w:t>inc</w:t>
      </w:r>
      <w:r w:rsidR="00C15548" w:rsidRPr="00F86091">
        <w:rPr>
          <w:noProof/>
        </w:rPr>
        <w:t>l</w:t>
      </w:r>
      <w:r w:rsidR="000C33A9" w:rsidRPr="00F86091">
        <w:rPr>
          <w:noProof/>
        </w:rPr>
        <w:t xml:space="preserve">ude </w:t>
      </w:r>
      <w:r w:rsidR="1396D34A" w:rsidRPr="00F86091">
        <w:rPr>
          <w:noProof/>
        </w:rPr>
        <w:t xml:space="preserve">carcinogens, mutagens or reprotoxic substances, such as chromium(VI) compounds, nickel compounds, cadmium and its inorganic compounds. </w:t>
      </w:r>
      <w:r w:rsidR="00484022" w:rsidRPr="00F86091">
        <w:rPr>
          <w:noProof/>
        </w:rPr>
        <w:t>T</w:t>
      </w:r>
      <w:r w:rsidR="1396D34A" w:rsidRPr="00F86091">
        <w:rPr>
          <w:noProof/>
        </w:rPr>
        <w:t>he complexity and heterogeneity of welding fumes, together with the absence of harmonised classification in the Regulation</w:t>
      </w:r>
      <w:r w:rsidR="00CE175D">
        <w:rPr>
          <w:noProof/>
        </w:rPr>
        <w:t xml:space="preserve"> (EC)</w:t>
      </w:r>
      <w:r w:rsidR="00CE175D" w:rsidRPr="00CE175D">
        <w:rPr>
          <w:noProof/>
        </w:rPr>
        <w:t xml:space="preserve"> 1272/2008</w:t>
      </w:r>
      <w:r w:rsidR="1396D34A" w:rsidRPr="00F86091">
        <w:rPr>
          <w:noProof/>
        </w:rPr>
        <w:t>, contribute to a lack of clarity on their possible dangerousness for workers, and therefore a lack of appropriate risk management measures at the workplace. Addressing th</w:t>
      </w:r>
      <w:r w:rsidR="00CE175D">
        <w:rPr>
          <w:noProof/>
        </w:rPr>
        <w:t>at</w:t>
      </w:r>
      <w:r w:rsidR="1396D34A" w:rsidRPr="00F86091">
        <w:rPr>
          <w:noProof/>
        </w:rPr>
        <w:t xml:space="preserve"> absence of classification for welding fumes at </w:t>
      </w:r>
      <w:r w:rsidR="00CE175D">
        <w:rPr>
          <w:noProof/>
        </w:rPr>
        <w:t>Union</w:t>
      </w:r>
      <w:r w:rsidR="00CE175D" w:rsidRPr="00F86091">
        <w:rPr>
          <w:noProof/>
        </w:rPr>
        <w:t xml:space="preserve"> </w:t>
      </w:r>
      <w:r w:rsidR="1396D34A" w:rsidRPr="00F86091">
        <w:rPr>
          <w:noProof/>
        </w:rPr>
        <w:t>level would ensure more legal clarity in terms of the applica</w:t>
      </w:r>
      <w:r w:rsidR="00CE175D">
        <w:rPr>
          <w:noProof/>
        </w:rPr>
        <w:t>tion</w:t>
      </w:r>
      <w:r w:rsidR="1396D34A" w:rsidRPr="00F86091">
        <w:rPr>
          <w:noProof/>
        </w:rPr>
        <w:t xml:space="preserve"> of Directive 2004/37EC. It is therefore appropriate</w:t>
      </w:r>
      <w:r w:rsidR="004762DD" w:rsidRPr="00F86091">
        <w:rPr>
          <w:noProof/>
        </w:rPr>
        <w:t xml:space="preserve">, </w:t>
      </w:r>
      <w:r w:rsidR="004552D3" w:rsidRPr="00F86091">
        <w:rPr>
          <w:noProof/>
        </w:rPr>
        <w:t>in line with the opinion of</w:t>
      </w:r>
      <w:r w:rsidR="004762DD" w:rsidRPr="00F86091">
        <w:rPr>
          <w:noProof/>
        </w:rPr>
        <w:t xml:space="preserve"> the ACSH</w:t>
      </w:r>
      <w:r w:rsidR="00CE175D">
        <w:rPr>
          <w:rStyle w:val="FootnoteReference"/>
          <w:rFonts w:eastAsia="Times New Roman"/>
          <w:noProof/>
        </w:rPr>
        <w:footnoteReference w:id="51"/>
      </w:r>
      <w:r w:rsidR="004762DD" w:rsidRPr="00F86091">
        <w:rPr>
          <w:noProof/>
        </w:rPr>
        <w:t xml:space="preserve">, </w:t>
      </w:r>
      <w:r w:rsidR="1396D34A" w:rsidRPr="00F86091">
        <w:rPr>
          <w:noProof/>
        </w:rPr>
        <w:t>to include in Annex I to Directive 2004/37/EC work involving exposure to fumes from welding processes containing substances that meet the criteria for a substance or mixture which meets the criteria for classification as a category 1A or 1B carcinogen, mutagen or reprotoxic set out in Annex I to Regulation (EC) No</w:t>
      </w:r>
      <w:r w:rsidR="00F86091">
        <w:rPr>
          <w:noProof/>
        </w:rPr>
        <w:t> </w:t>
      </w:r>
      <w:r w:rsidR="1396D34A" w:rsidRPr="00F86091">
        <w:rPr>
          <w:noProof/>
        </w:rPr>
        <w:t>1272/2008.</w:t>
      </w:r>
    </w:p>
    <w:p w14:paraId="11F9DF23" w14:textId="77777777" w:rsidR="007017A3" w:rsidRPr="00F86091" w:rsidRDefault="00A53916" w:rsidP="00A53916">
      <w:pPr>
        <w:pStyle w:val="Point0"/>
        <w:rPr>
          <w:noProof/>
        </w:rPr>
      </w:pPr>
      <w:r w:rsidRPr="00A53916">
        <w:rPr>
          <w:noProof/>
        </w:rPr>
        <w:t>(4)</w:t>
      </w:r>
      <w:r w:rsidRPr="00A53916">
        <w:rPr>
          <w:noProof/>
        </w:rPr>
        <w:tab/>
      </w:r>
      <w:r w:rsidR="1396D34A" w:rsidRPr="00F86091">
        <w:rPr>
          <w:noProof/>
        </w:rPr>
        <w:t>Cobalt metal and several cobalt compounds meet the criteria for classification as carcinogenic</w:t>
      </w:r>
      <w:r w:rsidR="00920721" w:rsidRPr="00F86091">
        <w:rPr>
          <w:noProof/>
        </w:rPr>
        <w:t xml:space="preserve"> and </w:t>
      </w:r>
      <w:r w:rsidR="009009A8" w:rsidRPr="00F86091">
        <w:rPr>
          <w:noProof/>
        </w:rPr>
        <w:t xml:space="preserve">reprotoxicant </w:t>
      </w:r>
      <w:r w:rsidR="1396D34A" w:rsidRPr="00F86091">
        <w:rPr>
          <w:noProof/>
        </w:rPr>
        <w:t>(category 1B) in accordance with Regulation (EC) No</w:t>
      </w:r>
      <w:r w:rsidR="00F86091">
        <w:rPr>
          <w:noProof/>
        </w:rPr>
        <w:t> </w:t>
      </w:r>
      <w:r w:rsidR="1396D34A" w:rsidRPr="00F86091">
        <w:rPr>
          <w:noProof/>
        </w:rPr>
        <w:t xml:space="preserve">1272/2008 and are therefore carcinogens </w:t>
      </w:r>
      <w:r w:rsidR="00442427" w:rsidRPr="00F86091">
        <w:rPr>
          <w:noProof/>
        </w:rPr>
        <w:t xml:space="preserve">or reprotoxics </w:t>
      </w:r>
      <w:r w:rsidR="1396D34A" w:rsidRPr="00F86091">
        <w:rPr>
          <w:noProof/>
        </w:rPr>
        <w:t>within the meaning of Directive 2004/37/EC. Workers are often exposed to a mixture of cobalt compounds</w:t>
      </w:r>
      <w:r w:rsidR="004762DD" w:rsidRPr="00F86091">
        <w:rPr>
          <w:noProof/>
        </w:rPr>
        <w:t xml:space="preserve"> and </w:t>
      </w:r>
      <w:r w:rsidR="1396D34A" w:rsidRPr="00F86091">
        <w:rPr>
          <w:noProof/>
        </w:rPr>
        <w:t xml:space="preserve">occupational exposure limit values should be applied to all cobalt inorganic compounds. It is therefore appropriate, </w:t>
      </w:r>
      <w:r w:rsidR="00AB2BD1">
        <w:rPr>
          <w:noProof/>
        </w:rPr>
        <w:t xml:space="preserve">based </w:t>
      </w:r>
      <w:r w:rsidR="1396D34A" w:rsidRPr="00F86091">
        <w:rPr>
          <w:noProof/>
        </w:rPr>
        <w:t>on available information, including scientific and technical data, to establish a limit value for cobalt and its inorganic compounds in Directive</w:t>
      </w:r>
      <w:r w:rsidR="00CE175D">
        <w:rPr>
          <w:noProof/>
        </w:rPr>
        <w:t xml:space="preserve"> </w:t>
      </w:r>
      <w:r w:rsidR="00CE175D" w:rsidRPr="00CE175D">
        <w:rPr>
          <w:noProof/>
        </w:rPr>
        <w:t>2004/37/EC</w:t>
      </w:r>
      <w:r w:rsidR="1396D34A" w:rsidRPr="00F86091">
        <w:rPr>
          <w:noProof/>
        </w:rPr>
        <w:t>.</w:t>
      </w:r>
    </w:p>
    <w:p w14:paraId="39F1EB3A" w14:textId="77777777" w:rsidR="000C6273" w:rsidRPr="00F86091" w:rsidRDefault="00A53916" w:rsidP="00A53916">
      <w:pPr>
        <w:pStyle w:val="Point0"/>
        <w:rPr>
          <w:noProof/>
          <w:szCs w:val="24"/>
        </w:rPr>
      </w:pPr>
      <w:r w:rsidRPr="00A53916">
        <w:rPr>
          <w:noProof/>
        </w:rPr>
        <w:t>(5)</w:t>
      </w:r>
      <w:r w:rsidRPr="00A53916">
        <w:rPr>
          <w:noProof/>
        </w:rPr>
        <w:tab/>
      </w:r>
      <w:r w:rsidR="1396D34A" w:rsidRPr="00F86091">
        <w:rPr>
          <w:noProof/>
        </w:rPr>
        <w:t xml:space="preserve">The </w:t>
      </w:r>
      <w:r w:rsidR="00CE175D" w:rsidRPr="00CE175D">
        <w:rPr>
          <w:noProof/>
        </w:rPr>
        <w:t>Advisory Committee on Safety and Health at Work (</w:t>
      </w:r>
      <w:r w:rsidR="1396D34A" w:rsidRPr="00F86091">
        <w:rPr>
          <w:noProof/>
        </w:rPr>
        <w:t>ACSH</w:t>
      </w:r>
      <w:r w:rsidR="00CE175D">
        <w:rPr>
          <w:noProof/>
        </w:rPr>
        <w:t>)</w:t>
      </w:r>
      <w:r w:rsidR="006E14E5">
        <w:rPr>
          <w:noProof/>
        </w:rPr>
        <w:t xml:space="preserve"> set up by </w:t>
      </w:r>
      <w:r w:rsidR="006E14E5" w:rsidRPr="006E14E5">
        <w:rPr>
          <w:noProof/>
        </w:rPr>
        <w:t>Council Decision of 22 July 2003</w:t>
      </w:r>
      <w:r w:rsidR="006E14E5">
        <w:rPr>
          <w:rStyle w:val="FootnoteReference"/>
          <w:noProof/>
        </w:rPr>
        <w:footnoteReference w:id="52"/>
      </w:r>
      <w:r w:rsidR="1396D34A" w:rsidRPr="00F86091">
        <w:rPr>
          <w:noProof/>
        </w:rPr>
        <w:t>, based on the RAC opinion</w:t>
      </w:r>
      <w:r w:rsidR="002B1471">
        <w:rPr>
          <w:rStyle w:val="FootnoteReference"/>
          <w:noProof/>
        </w:rPr>
        <w:footnoteReference w:id="53"/>
      </w:r>
      <w:r w:rsidR="1396D34A" w:rsidRPr="00F86091">
        <w:rPr>
          <w:noProof/>
        </w:rPr>
        <w:t xml:space="preserve">, agreed that exposure to cobalt and its inorganic compounds </w:t>
      </w:r>
      <w:r w:rsidR="009D701A">
        <w:rPr>
          <w:noProof/>
        </w:rPr>
        <w:t xml:space="preserve">in </w:t>
      </w:r>
      <w:r w:rsidR="1396D34A" w:rsidRPr="00F86091">
        <w:rPr>
          <w:noProof/>
        </w:rPr>
        <w:t xml:space="preserve">the </w:t>
      </w:r>
      <w:r w:rsidR="009D701A">
        <w:rPr>
          <w:noProof/>
        </w:rPr>
        <w:t>work</w:t>
      </w:r>
      <w:r w:rsidR="1396D34A" w:rsidRPr="00F86091">
        <w:rPr>
          <w:noProof/>
        </w:rPr>
        <w:t>place may also result in dermal sensitisation and sensitisation of the respiratory tract. It is therefore appropriate to establish limit values for both the inhalable and respirable fractions of cobalt and its inorganic compounds within the scope of Directive 2004/37/EC and to assign to it a notation for dermal and respiratory sensitisation.</w:t>
      </w:r>
    </w:p>
    <w:p w14:paraId="10D9DBAD" w14:textId="77777777" w:rsidR="007017A3" w:rsidRPr="00F86091" w:rsidRDefault="00A53916" w:rsidP="00A53916">
      <w:pPr>
        <w:pStyle w:val="Point0"/>
        <w:rPr>
          <w:noProof/>
          <w:szCs w:val="24"/>
        </w:rPr>
      </w:pPr>
      <w:r w:rsidRPr="00A53916">
        <w:rPr>
          <w:noProof/>
        </w:rPr>
        <w:t>(6)</w:t>
      </w:r>
      <w:r w:rsidRPr="00A53916">
        <w:rPr>
          <w:noProof/>
        </w:rPr>
        <w:tab/>
      </w:r>
      <w:r w:rsidR="1396D34A" w:rsidRPr="00F86091">
        <w:rPr>
          <w:noProof/>
        </w:rPr>
        <w:t xml:space="preserve">For cobalt and its inorganic compounds, it is foreseeable that it will be difficult to comply with a limit value of </w:t>
      </w:r>
      <w:r w:rsidR="000A6AA4" w:rsidRPr="00F86091">
        <w:rPr>
          <w:noProof/>
        </w:rPr>
        <w:t>0</w:t>
      </w:r>
      <w:r w:rsidR="00CE175D">
        <w:rPr>
          <w:noProof/>
        </w:rPr>
        <w:t>,</w:t>
      </w:r>
      <w:r w:rsidR="000A6AA4" w:rsidRPr="00F86091">
        <w:rPr>
          <w:noProof/>
        </w:rPr>
        <w:t>0</w:t>
      </w:r>
      <w:r w:rsidR="1396D34A" w:rsidRPr="00F86091">
        <w:rPr>
          <w:noProof/>
        </w:rPr>
        <w:t>1</w:t>
      </w:r>
      <w:r w:rsidR="00326B28">
        <w:rPr>
          <w:noProof/>
        </w:rPr>
        <w:t> mg</w:t>
      </w:r>
      <w:r w:rsidR="1396D34A" w:rsidRPr="00F86091">
        <w:rPr>
          <w:noProof/>
        </w:rPr>
        <w:t xml:space="preserve">/m³ for the inhalable fraction and </w:t>
      </w:r>
      <w:r w:rsidR="000A6AA4" w:rsidRPr="00F86091">
        <w:rPr>
          <w:noProof/>
        </w:rPr>
        <w:t>0</w:t>
      </w:r>
      <w:r w:rsidR="00CE175D">
        <w:rPr>
          <w:noProof/>
        </w:rPr>
        <w:t>,</w:t>
      </w:r>
      <w:r w:rsidR="000A6AA4" w:rsidRPr="00F86091">
        <w:rPr>
          <w:noProof/>
        </w:rPr>
        <w:t>00</w:t>
      </w:r>
      <w:r w:rsidR="1396D34A" w:rsidRPr="00F86091">
        <w:rPr>
          <w:noProof/>
        </w:rPr>
        <w:t>25</w:t>
      </w:r>
      <w:r w:rsidR="00326B28">
        <w:rPr>
          <w:noProof/>
        </w:rPr>
        <w:t> mg</w:t>
      </w:r>
      <w:r w:rsidR="1396D34A" w:rsidRPr="00F86091">
        <w:rPr>
          <w:noProof/>
        </w:rPr>
        <w:t xml:space="preserve">/m³ for the respirable fraction in the short term. It is therefore appropriate to introduce a transitional period of </w:t>
      </w:r>
      <w:r w:rsidR="00A27600" w:rsidRPr="00F86091">
        <w:rPr>
          <w:noProof/>
        </w:rPr>
        <w:t>six</w:t>
      </w:r>
      <w:r w:rsidR="1396D34A" w:rsidRPr="00F86091">
        <w:rPr>
          <w:noProof/>
        </w:rPr>
        <w:t xml:space="preserve"> years after entry into force of th</w:t>
      </w:r>
      <w:r w:rsidR="009009A8" w:rsidRPr="00F86091">
        <w:rPr>
          <w:noProof/>
        </w:rPr>
        <w:t>is</w:t>
      </w:r>
      <w:r w:rsidR="1396D34A" w:rsidRPr="00F86091">
        <w:rPr>
          <w:noProof/>
        </w:rPr>
        <w:t xml:space="preserve"> Directive, during which the limit value</w:t>
      </w:r>
      <w:r w:rsidR="00C158D9" w:rsidRPr="00F86091">
        <w:rPr>
          <w:noProof/>
        </w:rPr>
        <w:t>s</w:t>
      </w:r>
      <w:r w:rsidR="1396D34A" w:rsidRPr="00F86091">
        <w:rPr>
          <w:noProof/>
        </w:rPr>
        <w:t xml:space="preserve"> </w:t>
      </w:r>
      <w:r w:rsidR="00C158D9" w:rsidRPr="00F86091">
        <w:rPr>
          <w:noProof/>
        </w:rPr>
        <w:t xml:space="preserve">of </w:t>
      </w:r>
      <w:r w:rsidR="000A6AA4" w:rsidRPr="00F86091">
        <w:rPr>
          <w:noProof/>
        </w:rPr>
        <w:t>0</w:t>
      </w:r>
      <w:r w:rsidR="00CE175D">
        <w:rPr>
          <w:noProof/>
        </w:rPr>
        <w:t>,</w:t>
      </w:r>
      <w:r w:rsidR="000A6AA4" w:rsidRPr="00F86091">
        <w:rPr>
          <w:noProof/>
        </w:rPr>
        <w:t>0</w:t>
      </w:r>
      <w:r w:rsidR="1396D34A" w:rsidRPr="00F86091">
        <w:rPr>
          <w:noProof/>
        </w:rPr>
        <w:t>2</w:t>
      </w:r>
      <w:r w:rsidR="00326B28">
        <w:rPr>
          <w:noProof/>
        </w:rPr>
        <w:t> mg</w:t>
      </w:r>
      <w:r w:rsidR="1396D34A" w:rsidRPr="00F86091">
        <w:rPr>
          <w:noProof/>
        </w:rPr>
        <w:t xml:space="preserve">/m³ (inhalable fraction) and </w:t>
      </w:r>
      <w:r w:rsidR="000A6AA4" w:rsidRPr="00F86091">
        <w:rPr>
          <w:noProof/>
        </w:rPr>
        <w:t>0</w:t>
      </w:r>
      <w:r w:rsidR="00CE175D">
        <w:rPr>
          <w:noProof/>
        </w:rPr>
        <w:t>,</w:t>
      </w:r>
      <w:r w:rsidR="000A6AA4" w:rsidRPr="00F86091">
        <w:rPr>
          <w:noProof/>
        </w:rPr>
        <w:t>00</w:t>
      </w:r>
      <w:r w:rsidR="1396D34A" w:rsidRPr="00F86091">
        <w:rPr>
          <w:noProof/>
        </w:rPr>
        <w:t>42</w:t>
      </w:r>
      <w:r w:rsidR="00326B28">
        <w:rPr>
          <w:noProof/>
        </w:rPr>
        <w:t> mg</w:t>
      </w:r>
      <w:r w:rsidR="1396D34A" w:rsidRPr="00F86091">
        <w:rPr>
          <w:noProof/>
        </w:rPr>
        <w:t>/m³ (respirable fraction) should apply.</w:t>
      </w:r>
    </w:p>
    <w:p w14:paraId="10CD39E4" w14:textId="77777777" w:rsidR="000C6273" w:rsidRPr="002B1471" w:rsidRDefault="00A53916" w:rsidP="00A53916">
      <w:pPr>
        <w:pStyle w:val="Point0"/>
        <w:rPr>
          <w:noProof/>
        </w:rPr>
      </w:pPr>
      <w:r w:rsidRPr="00A53916">
        <w:rPr>
          <w:noProof/>
        </w:rPr>
        <w:t>(7)</w:t>
      </w:r>
      <w:r w:rsidRPr="00A53916">
        <w:rPr>
          <w:noProof/>
        </w:rPr>
        <w:tab/>
      </w:r>
      <w:r w:rsidR="1396D34A" w:rsidRPr="00F86091">
        <w:rPr>
          <w:noProof/>
        </w:rPr>
        <w:t xml:space="preserve">Certain polycyclic aromatic hydrocarbons (PAHs) mixtures, </w:t>
      </w:r>
      <w:r w:rsidR="00C36E13" w:rsidRPr="00C36E13">
        <w:rPr>
          <w:noProof/>
        </w:rPr>
        <w:t xml:space="preserve">particularly </w:t>
      </w:r>
      <w:r w:rsidR="1396D34A" w:rsidRPr="00F86091">
        <w:rPr>
          <w:noProof/>
        </w:rPr>
        <w:t>those containing benzo[a]pyrene, meet the criteria for classification as carcinogenic</w:t>
      </w:r>
      <w:r w:rsidR="00DD0FE7" w:rsidRPr="00F86091">
        <w:rPr>
          <w:noProof/>
        </w:rPr>
        <w:t>, mutagenic or reprotoxicant</w:t>
      </w:r>
      <w:r w:rsidR="1396D34A" w:rsidRPr="00F86091">
        <w:rPr>
          <w:noProof/>
        </w:rPr>
        <w:t xml:space="preserve"> (category 1A or 1B) in accordance with Regulation (EC) No</w:t>
      </w:r>
      <w:r w:rsidR="00F86091">
        <w:rPr>
          <w:noProof/>
        </w:rPr>
        <w:t> </w:t>
      </w:r>
      <w:r w:rsidR="1396D34A" w:rsidRPr="00F86091">
        <w:rPr>
          <w:noProof/>
        </w:rPr>
        <w:t xml:space="preserve">1272/2008 and therefore </w:t>
      </w:r>
      <w:r w:rsidR="004D5C47">
        <w:rPr>
          <w:noProof/>
        </w:rPr>
        <w:t xml:space="preserve">fall under the scope of </w:t>
      </w:r>
      <w:r w:rsidR="1396D34A" w:rsidRPr="00F86091">
        <w:rPr>
          <w:noProof/>
        </w:rPr>
        <w:t xml:space="preserve">Directive 2004/37/EC. </w:t>
      </w:r>
      <w:r w:rsidR="002E2537">
        <w:rPr>
          <w:noProof/>
        </w:rPr>
        <w:t xml:space="preserve">The </w:t>
      </w:r>
      <w:r w:rsidR="1396D34A" w:rsidRPr="00F86091">
        <w:rPr>
          <w:noProof/>
        </w:rPr>
        <w:t>RAC</w:t>
      </w:r>
      <w:r w:rsidR="002B1471">
        <w:rPr>
          <w:rStyle w:val="FootnoteReference"/>
          <w:noProof/>
        </w:rPr>
        <w:footnoteReference w:id="54"/>
      </w:r>
      <w:r w:rsidR="1396D34A" w:rsidRPr="00F86091">
        <w:rPr>
          <w:noProof/>
        </w:rPr>
        <w:t xml:space="preserve"> </w:t>
      </w:r>
      <w:r w:rsidR="002E2537">
        <w:rPr>
          <w:noProof/>
        </w:rPr>
        <w:t xml:space="preserve">has </w:t>
      </w:r>
      <w:r w:rsidR="1396D34A" w:rsidRPr="00F86091">
        <w:rPr>
          <w:noProof/>
        </w:rPr>
        <w:t xml:space="preserve">identified the possibility of significant uptake through the skin for those mixtures and the ACSH </w:t>
      </w:r>
      <w:r w:rsidR="002E2537">
        <w:rPr>
          <w:noProof/>
        </w:rPr>
        <w:t xml:space="preserve">has </w:t>
      </w:r>
      <w:r w:rsidR="1396D34A" w:rsidRPr="00F86091">
        <w:rPr>
          <w:noProof/>
        </w:rPr>
        <w:t xml:space="preserve">agreed on the importance of introducing an </w:t>
      </w:r>
      <w:r w:rsidR="1396D34A" w:rsidRPr="002B1471">
        <w:rPr>
          <w:noProof/>
        </w:rPr>
        <w:t xml:space="preserve">occupational exposure limit value for </w:t>
      </w:r>
      <w:r w:rsidR="004D5C47">
        <w:rPr>
          <w:noProof/>
        </w:rPr>
        <w:t xml:space="preserve">all </w:t>
      </w:r>
      <w:r w:rsidR="1396D34A" w:rsidRPr="002B1471">
        <w:rPr>
          <w:noProof/>
        </w:rPr>
        <w:t>PAH mixtures</w:t>
      </w:r>
      <w:r w:rsidR="004D5C47">
        <w:rPr>
          <w:noProof/>
        </w:rPr>
        <w:t xml:space="preserve"> falling under the scope of Directive </w:t>
      </w:r>
      <w:r w:rsidR="004D5C47" w:rsidRPr="00F86091">
        <w:rPr>
          <w:noProof/>
        </w:rPr>
        <w:t>2004/37/EC</w:t>
      </w:r>
      <w:r w:rsidR="104FAA36" w:rsidRPr="002B1471">
        <w:rPr>
          <w:noProof/>
        </w:rPr>
        <w:t>, measured as benzo(a)</w:t>
      </w:r>
      <w:r w:rsidR="33A3CE9C" w:rsidRPr="002B1471">
        <w:rPr>
          <w:noProof/>
        </w:rPr>
        <w:t>pyrene</w:t>
      </w:r>
      <w:r w:rsidR="104FAA36" w:rsidRPr="002B1471">
        <w:rPr>
          <w:noProof/>
        </w:rPr>
        <w:t>,</w:t>
      </w:r>
      <w:r w:rsidR="1396D34A" w:rsidRPr="002B1471">
        <w:rPr>
          <w:noProof/>
        </w:rPr>
        <w:t xml:space="preserve"> and to maintain a skin notation </w:t>
      </w:r>
      <w:r w:rsidR="001C6A0F">
        <w:rPr>
          <w:noProof/>
        </w:rPr>
        <w:t xml:space="preserve">already contained </w:t>
      </w:r>
      <w:r w:rsidR="1396D34A" w:rsidRPr="002B1471">
        <w:rPr>
          <w:noProof/>
        </w:rPr>
        <w:t>in Annex III.</w:t>
      </w:r>
    </w:p>
    <w:p w14:paraId="2C32A297" w14:textId="77777777" w:rsidR="004762DD" w:rsidRPr="002B1471" w:rsidRDefault="00A53916" w:rsidP="00A53916">
      <w:pPr>
        <w:pStyle w:val="Point0"/>
        <w:rPr>
          <w:noProof/>
          <w:szCs w:val="24"/>
        </w:rPr>
      </w:pPr>
      <w:r w:rsidRPr="00A53916">
        <w:rPr>
          <w:noProof/>
        </w:rPr>
        <w:t>(8)</w:t>
      </w:r>
      <w:r w:rsidRPr="00A53916">
        <w:rPr>
          <w:noProof/>
        </w:rPr>
        <w:tab/>
      </w:r>
      <w:r w:rsidR="00C158D9" w:rsidRPr="002B1471">
        <w:rPr>
          <w:noProof/>
        </w:rPr>
        <w:t xml:space="preserve">For PAHs mixtures, it is foreseeable that it will be difficult for some sectors to comply with a limit value of </w:t>
      </w:r>
      <w:r w:rsidR="000A6AA4" w:rsidRPr="002B1471">
        <w:rPr>
          <w:noProof/>
        </w:rPr>
        <w:t>0,0000</w:t>
      </w:r>
      <w:r w:rsidR="00C158D9" w:rsidRPr="002B1471">
        <w:rPr>
          <w:noProof/>
        </w:rPr>
        <w:t>7</w:t>
      </w:r>
      <w:r w:rsidR="00086A79" w:rsidRPr="002B1471">
        <w:rPr>
          <w:noProof/>
        </w:rPr>
        <w:t xml:space="preserve"> </w:t>
      </w:r>
      <w:r w:rsidR="00326B28" w:rsidRPr="003D6EE6">
        <w:rPr>
          <w:noProof/>
        </w:rPr>
        <w:t>mg</w:t>
      </w:r>
      <w:r w:rsidR="00C158D9" w:rsidRPr="003D6EE6">
        <w:rPr>
          <w:noProof/>
        </w:rPr>
        <w:t xml:space="preserve">/m³ </w:t>
      </w:r>
      <w:r w:rsidR="003167B1" w:rsidRPr="002B1471">
        <w:rPr>
          <w:noProof/>
        </w:rPr>
        <w:t xml:space="preserve">(measured as benzo(a)pyrene) </w:t>
      </w:r>
      <w:r w:rsidR="00C158D9" w:rsidRPr="002B1471">
        <w:rPr>
          <w:noProof/>
        </w:rPr>
        <w:t xml:space="preserve">in the short term. It is therefore appropriate to introduce a transitional period of </w:t>
      </w:r>
      <w:r w:rsidR="00CF3C79" w:rsidRPr="002B1471">
        <w:rPr>
          <w:noProof/>
        </w:rPr>
        <w:t>six</w:t>
      </w:r>
      <w:r w:rsidR="00C158D9" w:rsidRPr="002B1471">
        <w:rPr>
          <w:noProof/>
        </w:rPr>
        <w:t xml:space="preserve"> years after entry into force of th</w:t>
      </w:r>
      <w:r w:rsidR="009009A8" w:rsidRPr="002B1471">
        <w:rPr>
          <w:noProof/>
        </w:rPr>
        <w:t>is</w:t>
      </w:r>
      <w:r w:rsidR="00C158D9" w:rsidRPr="002B1471">
        <w:rPr>
          <w:noProof/>
        </w:rPr>
        <w:t xml:space="preserve"> Directive, during which the limit value of </w:t>
      </w:r>
      <w:r w:rsidR="000A6AA4" w:rsidRPr="002B1471">
        <w:rPr>
          <w:noProof/>
        </w:rPr>
        <w:t>0</w:t>
      </w:r>
      <w:r w:rsidR="00CE175D" w:rsidRPr="003D6EE6">
        <w:rPr>
          <w:noProof/>
        </w:rPr>
        <w:t>,</w:t>
      </w:r>
      <w:r w:rsidR="000A6AA4" w:rsidRPr="002B1471">
        <w:rPr>
          <w:noProof/>
        </w:rPr>
        <w:t>000</w:t>
      </w:r>
      <w:r w:rsidR="00C158D9" w:rsidRPr="002B1471">
        <w:rPr>
          <w:noProof/>
        </w:rPr>
        <w:t>14</w:t>
      </w:r>
      <w:r w:rsidR="00326B28" w:rsidRPr="002B1471">
        <w:rPr>
          <w:noProof/>
        </w:rPr>
        <w:t> mg</w:t>
      </w:r>
      <w:r w:rsidR="00C158D9" w:rsidRPr="002B1471">
        <w:rPr>
          <w:noProof/>
        </w:rPr>
        <w:t xml:space="preserve">/m³ </w:t>
      </w:r>
      <w:r w:rsidR="00ED0B14" w:rsidRPr="00ED0B14">
        <w:rPr>
          <w:noProof/>
        </w:rPr>
        <w:t xml:space="preserve">(measured as benzo(a)pyrene) </w:t>
      </w:r>
      <w:r w:rsidR="00C158D9" w:rsidRPr="002B1471">
        <w:rPr>
          <w:noProof/>
        </w:rPr>
        <w:t>should apply. Th</w:t>
      </w:r>
      <w:r w:rsidR="00086A79" w:rsidRPr="003D6EE6">
        <w:rPr>
          <w:noProof/>
        </w:rPr>
        <w:t>at</w:t>
      </w:r>
      <w:r w:rsidR="00C158D9" w:rsidRPr="002B1471">
        <w:rPr>
          <w:noProof/>
        </w:rPr>
        <w:t xml:space="preserve"> transitional period should be limited to the following sectors: (</w:t>
      </w:r>
      <w:r w:rsidR="00086A79" w:rsidRPr="003D6EE6">
        <w:rPr>
          <w:noProof/>
        </w:rPr>
        <w:t>a</w:t>
      </w:r>
      <w:r w:rsidR="00C158D9" w:rsidRPr="002B1471">
        <w:rPr>
          <w:noProof/>
        </w:rPr>
        <w:t>) steel and iron foundries, which includes ferroalloy manufacturers</w:t>
      </w:r>
      <w:r w:rsidR="00305E62" w:rsidRPr="003D6EE6">
        <w:rPr>
          <w:noProof/>
        </w:rPr>
        <w:t>;</w:t>
      </w:r>
      <w:r w:rsidR="00C158D9" w:rsidRPr="002B1471">
        <w:rPr>
          <w:noProof/>
        </w:rPr>
        <w:t xml:space="preserve"> (</w:t>
      </w:r>
      <w:r w:rsidR="00086A79" w:rsidRPr="003D6EE6">
        <w:rPr>
          <w:noProof/>
        </w:rPr>
        <w:t>b</w:t>
      </w:r>
      <w:r w:rsidR="00C158D9" w:rsidRPr="002B1471">
        <w:rPr>
          <w:noProof/>
        </w:rPr>
        <w:t>) aluminium manufacturers</w:t>
      </w:r>
      <w:r w:rsidR="00305E62" w:rsidRPr="003D6EE6">
        <w:rPr>
          <w:noProof/>
        </w:rPr>
        <w:t>;</w:t>
      </w:r>
      <w:r w:rsidR="00C158D9" w:rsidRPr="002B1471">
        <w:rPr>
          <w:noProof/>
        </w:rPr>
        <w:t xml:space="preserve"> (</w:t>
      </w:r>
      <w:r w:rsidR="00086A79" w:rsidRPr="003D6EE6">
        <w:rPr>
          <w:noProof/>
        </w:rPr>
        <w:t>c</w:t>
      </w:r>
      <w:r w:rsidR="00C158D9" w:rsidRPr="002B1471">
        <w:rPr>
          <w:noProof/>
        </w:rPr>
        <w:t>) carbon and graphite electrode manufacturers</w:t>
      </w:r>
      <w:r w:rsidR="00305E62" w:rsidRPr="003D6EE6">
        <w:rPr>
          <w:noProof/>
        </w:rPr>
        <w:t>;</w:t>
      </w:r>
      <w:r w:rsidR="00C158D9" w:rsidRPr="002B1471">
        <w:rPr>
          <w:noProof/>
        </w:rPr>
        <w:t xml:space="preserve"> (</w:t>
      </w:r>
      <w:r w:rsidR="00086A79" w:rsidRPr="003D6EE6">
        <w:rPr>
          <w:noProof/>
        </w:rPr>
        <w:t>d</w:t>
      </w:r>
      <w:r w:rsidR="00C158D9" w:rsidRPr="002B1471">
        <w:rPr>
          <w:noProof/>
        </w:rPr>
        <w:t>) coking plants</w:t>
      </w:r>
      <w:r w:rsidR="00305E62" w:rsidRPr="003D6EE6">
        <w:rPr>
          <w:noProof/>
        </w:rPr>
        <w:t>;</w:t>
      </w:r>
      <w:r w:rsidR="00C158D9" w:rsidRPr="002B1471">
        <w:rPr>
          <w:noProof/>
        </w:rPr>
        <w:t xml:space="preserve"> (</w:t>
      </w:r>
      <w:r w:rsidR="00086A79" w:rsidRPr="003D6EE6">
        <w:rPr>
          <w:noProof/>
        </w:rPr>
        <w:t>e</w:t>
      </w:r>
      <w:r w:rsidR="00C158D9" w:rsidRPr="002B1471">
        <w:rPr>
          <w:noProof/>
        </w:rPr>
        <w:t>) coal tar distillation</w:t>
      </w:r>
      <w:r w:rsidR="00305E62" w:rsidRPr="003D6EE6">
        <w:rPr>
          <w:noProof/>
        </w:rPr>
        <w:t>;</w:t>
      </w:r>
      <w:r w:rsidR="00C158D9" w:rsidRPr="002B1471">
        <w:rPr>
          <w:noProof/>
        </w:rPr>
        <w:t xml:space="preserve"> (</w:t>
      </w:r>
      <w:r w:rsidR="00086A79" w:rsidRPr="003D6EE6">
        <w:rPr>
          <w:noProof/>
        </w:rPr>
        <w:t>f</w:t>
      </w:r>
      <w:r w:rsidR="00C158D9" w:rsidRPr="002B1471">
        <w:rPr>
          <w:noProof/>
        </w:rPr>
        <w:t>) refractory products manufacturers</w:t>
      </w:r>
      <w:r w:rsidR="00305E62" w:rsidRPr="003D6EE6">
        <w:rPr>
          <w:noProof/>
        </w:rPr>
        <w:t>;</w:t>
      </w:r>
      <w:r w:rsidR="00C158D9" w:rsidRPr="002B1471">
        <w:rPr>
          <w:noProof/>
        </w:rPr>
        <w:t xml:space="preserve"> (</w:t>
      </w:r>
      <w:r w:rsidR="00086A79" w:rsidRPr="003D6EE6">
        <w:rPr>
          <w:noProof/>
        </w:rPr>
        <w:t>g</w:t>
      </w:r>
      <w:r w:rsidR="00C158D9" w:rsidRPr="002B1471">
        <w:rPr>
          <w:noProof/>
        </w:rPr>
        <w:t xml:space="preserve">) </w:t>
      </w:r>
      <w:r w:rsidR="00651A0E" w:rsidRPr="002B1471">
        <w:rPr>
          <w:noProof/>
        </w:rPr>
        <w:t>welding of train tracks</w:t>
      </w:r>
      <w:r w:rsidR="00305E62" w:rsidRPr="003D6EE6">
        <w:rPr>
          <w:noProof/>
        </w:rPr>
        <w:t>;</w:t>
      </w:r>
      <w:r w:rsidR="00C158D9" w:rsidRPr="002B1471">
        <w:rPr>
          <w:noProof/>
        </w:rPr>
        <w:t xml:space="preserve"> (</w:t>
      </w:r>
      <w:r w:rsidR="00086A79" w:rsidRPr="003D6EE6">
        <w:rPr>
          <w:noProof/>
        </w:rPr>
        <w:t>h</w:t>
      </w:r>
      <w:r w:rsidR="00C158D9" w:rsidRPr="002B1471">
        <w:rPr>
          <w:noProof/>
        </w:rPr>
        <w:t>) other non-ferrous metallurgical processes</w:t>
      </w:r>
      <w:r w:rsidR="00305E62" w:rsidRPr="003D6EE6">
        <w:rPr>
          <w:noProof/>
        </w:rPr>
        <w:t>;</w:t>
      </w:r>
      <w:r w:rsidR="00C158D9" w:rsidRPr="002B1471">
        <w:rPr>
          <w:noProof/>
        </w:rPr>
        <w:t xml:space="preserve"> and (</w:t>
      </w:r>
      <w:r w:rsidR="00086A79" w:rsidRPr="003D6EE6">
        <w:rPr>
          <w:noProof/>
        </w:rPr>
        <w:t>i</w:t>
      </w:r>
      <w:r w:rsidR="00C158D9" w:rsidRPr="002B1471">
        <w:rPr>
          <w:noProof/>
        </w:rPr>
        <w:t xml:space="preserve">) </w:t>
      </w:r>
      <w:r w:rsidR="00651A0E" w:rsidRPr="002B1471">
        <w:rPr>
          <w:noProof/>
        </w:rPr>
        <w:t>casting of metals</w:t>
      </w:r>
      <w:r w:rsidR="00C158D9" w:rsidRPr="002B1471">
        <w:rPr>
          <w:noProof/>
        </w:rPr>
        <w:t>.</w:t>
      </w:r>
    </w:p>
    <w:p w14:paraId="2D944EA0" w14:textId="77777777" w:rsidR="000C6273" w:rsidRPr="00F86091" w:rsidRDefault="00A53916" w:rsidP="00A53916">
      <w:pPr>
        <w:pStyle w:val="Point0"/>
        <w:rPr>
          <w:noProof/>
        </w:rPr>
      </w:pPr>
      <w:r w:rsidRPr="00A53916">
        <w:rPr>
          <w:noProof/>
        </w:rPr>
        <w:t>(9)</w:t>
      </w:r>
      <w:r w:rsidRPr="00A53916">
        <w:rPr>
          <w:noProof/>
        </w:rPr>
        <w:tab/>
      </w:r>
      <w:r w:rsidR="1396D34A" w:rsidRPr="00F86091">
        <w:rPr>
          <w:noProof/>
        </w:rPr>
        <w:t>1,4-dioxane meets the criteria for classification as carcinogenic (category 1B) in accordance with Regulation (EC) No</w:t>
      </w:r>
      <w:r w:rsidR="00F86091">
        <w:rPr>
          <w:noProof/>
        </w:rPr>
        <w:t> </w:t>
      </w:r>
      <w:r w:rsidR="1396D34A" w:rsidRPr="00F86091">
        <w:rPr>
          <w:noProof/>
        </w:rPr>
        <w:t>1272/2008 and is therefore a carcinogen within the meaning of Directive 2004/37/EC.</w:t>
      </w:r>
      <w:r w:rsidR="1396D34A" w:rsidRPr="00F86091">
        <w:rPr>
          <w:rFonts w:ascii="Calibri" w:eastAsia="Calibri" w:hAnsi="Calibri" w:cs="Calibri"/>
          <w:noProof/>
          <w:sz w:val="27"/>
          <w:szCs w:val="27"/>
        </w:rPr>
        <w:t xml:space="preserve"> </w:t>
      </w:r>
      <w:r w:rsidR="1396D34A" w:rsidRPr="00F86091">
        <w:rPr>
          <w:noProof/>
        </w:rPr>
        <w:t xml:space="preserve">It is therefore appropriate, </w:t>
      </w:r>
      <w:r w:rsidR="00AB2BD1">
        <w:rPr>
          <w:noProof/>
        </w:rPr>
        <w:t xml:space="preserve">based </w:t>
      </w:r>
      <w:r w:rsidR="1396D34A" w:rsidRPr="00F86091">
        <w:rPr>
          <w:noProof/>
        </w:rPr>
        <w:t xml:space="preserve">on the available information, including scientific and technical data, </w:t>
      </w:r>
      <w:r w:rsidR="004762DD" w:rsidRPr="00F86091">
        <w:rPr>
          <w:noProof/>
        </w:rPr>
        <w:t xml:space="preserve">including </w:t>
      </w:r>
      <w:r w:rsidR="00AB2BD1">
        <w:rPr>
          <w:noProof/>
        </w:rPr>
        <w:t xml:space="preserve">the </w:t>
      </w:r>
      <w:r w:rsidR="00B30B11" w:rsidRPr="00F86091">
        <w:rPr>
          <w:noProof/>
        </w:rPr>
        <w:t>RAC</w:t>
      </w:r>
      <w:r w:rsidR="00ED0B14">
        <w:rPr>
          <w:rStyle w:val="FootnoteReference"/>
          <w:noProof/>
        </w:rPr>
        <w:footnoteReference w:id="55"/>
      </w:r>
      <w:r w:rsidR="00B30B11" w:rsidRPr="00F86091">
        <w:rPr>
          <w:noProof/>
        </w:rPr>
        <w:t xml:space="preserve"> and ACSH opinions, </w:t>
      </w:r>
      <w:r w:rsidR="1396D34A" w:rsidRPr="00F86091">
        <w:rPr>
          <w:noProof/>
        </w:rPr>
        <w:t xml:space="preserve">to establish a long- and short-term </w:t>
      </w:r>
      <w:r w:rsidR="00B30B11" w:rsidRPr="00F86091">
        <w:rPr>
          <w:noProof/>
        </w:rPr>
        <w:t xml:space="preserve">occupational exposure </w:t>
      </w:r>
      <w:r w:rsidR="1396D34A" w:rsidRPr="00F86091">
        <w:rPr>
          <w:noProof/>
        </w:rPr>
        <w:t xml:space="preserve">limit value </w:t>
      </w:r>
      <w:r w:rsidR="00B30B11" w:rsidRPr="00F86091">
        <w:rPr>
          <w:noProof/>
        </w:rPr>
        <w:t>of 7</w:t>
      </w:r>
      <w:r w:rsidR="00DB543C">
        <w:rPr>
          <w:noProof/>
        </w:rPr>
        <w:t>,</w:t>
      </w:r>
      <w:r w:rsidR="00B30B11" w:rsidRPr="00F86091">
        <w:rPr>
          <w:noProof/>
        </w:rPr>
        <w:t>3</w:t>
      </w:r>
      <w:r w:rsidR="00326B28">
        <w:rPr>
          <w:noProof/>
        </w:rPr>
        <w:t> </w:t>
      </w:r>
      <w:r w:rsidR="00B30B11" w:rsidRPr="00F86091">
        <w:rPr>
          <w:noProof/>
        </w:rPr>
        <w:t>mg/m³ (2</w:t>
      </w:r>
      <w:r w:rsidR="00326B28">
        <w:rPr>
          <w:noProof/>
        </w:rPr>
        <w:t> </w:t>
      </w:r>
      <w:r w:rsidR="00B30B11" w:rsidRPr="00F86091">
        <w:rPr>
          <w:noProof/>
        </w:rPr>
        <w:t>ppm) and 73</w:t>
      </w:r>
      <w:r w:rsidR="00326B28">
        <w:rPr>
          <w:noProof/>
        </w:rPr>
        <w:t> </w:t>
      </w:r>
      <w:r w:rsidR="00B30B11" w:rsidRPr="00F86091">
        <w:rPr>
          <w:noProof/>
        </w:rPr>
        <w:t>mg/m³ (20</w:t>
      </w:r>
      <w:r w:rsidR="00326B28">
        <w:rPr>
          <w:noProof/>
        </w:rPr>
        <w:t> </w:t>
      </w:r>
      <w:r w:rsidR="00B30B11" w:rsidRPr="00F86091">
        <w:rPr>
          <w:noProof/>
        </w:rPr>
        <w:t xml:space="preserve">ppm), respectively, supplemented by a </w:t>
      </w:r>
      <w:r w:rsidR="00AB2BD1">
        <w:rPr>
          <w:noProof/>
        </w:rPr>
        <w:t xml:space="preserve">skin notation and a </w:t>
      </w:r>
      <w:r w:rsidR="00B30B11" w:rsidRPr="00F86091">
        <w:rPr>
          <w:noProof/>
        </w:rPr>
        <w:t>biological limit value of 45</w:t>
      </w:r>
      <w:r w:rsidR="00326B28">
        <w:rPr>
          <w:noProof/>
        </w:rPr>
        <w:t> </w:t>
      </w:r>
      <w:r w:rsidR="00B30B11" w:rsidRPr="00F86091">
        <w:rPr>
          <w:noProof/>
        </w:rPr>
        <w:t>mg HEAA in urine/g creatinine, at the end of exposure or shift</w:t>
      </w:r>
      <w:r w:rsidR="1396D34A" w:rsidRPr="00F86091">
        <w:rPr>
          <w:noProof/>
        </w:rPr>
        <w:t>.</w:t>
      </w:r>
    </w:p>
    <w:p w14:paraId="2D992CD0" w14:textId="77777777" w:rsidR="00CD66AD" w:rsidRPr="003502B8" w:rsidRDefault="00A53916" w:rsidP="00A53916">
      <w:pPr>
        <w:pStyle w:val="Point0"/>
        <w:rPr>
          <w:noProof/>
        </w:rPr>
      </w:pPr>
      <w:r w:rsidRPr="00A53916">
        <w:rPr>
          <w:noProof/>
        </w:rPr>
        <w:t>(10)</w:t>
      </w:r>
      <w:r w:rsidRPr="00A53916">
        <w:rPr>
          <w:noProof/>
        </w:rPr>
        <w:tab/>
      </w:r>
      <w:r w:rsidR="1396D34A" w:rsidRPr="00F86091">
        <w:rPr>
          <w:noProof/>
        </w:rPr>
        <w:t xml:space="preserve">The Commission has carried out a two-stage consultation </w:t>
      </w:r>
      <w:r w:rsidR="000114D3">
        <w:rPr>
          <w:noProof/>
        </w:rPr>
        <w:t>of</w:t>
      </w:r>
      <w:r w:rsidR="003502B8">
        <w:rPr>
          <w:noProof/>
        </w:rPr>
        <w:t xml:space="preserve"> social partners </w:t>
      </w:r>
      <w:r w:rsidR="1396D34A" w:rsidRPr="00F86091">
        <w:rPr>
          <w:noProof/>
        </w:rPr>
        <w:t>in accordance with Article</w:t>
      </w:r>
      <w:r w:rsidR="00F86091">
        <w:rPr>
          <w:noProof/>
        </w:rPr>
        <w:t> </w:t>
      </w:r>
      <w:r w:rsidR="1396D34A" w:rsidRPr="00F86091">
        <w:rPr>
          <w:noProof/>
        </w:rPr>
        <w:t xml:space="preserve">154 of the Treaty on the Functioning of the European Union. It has also consulted the ACSH, which has adopted opinions for all substances </w:t>
      </w:r>
      <w:r w:rsidR="00523ABF" w:rsidRPr="00F86091">
        <w:rPr>
          <w:noProof/>
        </w:rPr>
        <w:t>subject to</w:t>
      </w:r>
      <w:r w:rsidR="1396D34A" w:rsidRPr="00F86091">
        <w:rPr>
          <w:noProof/>
        </w:rPr>
        <w:t xml:space="preserve"> this Directive</w:t>
      </w:r>
      <w:r w:rsidR="00DB543C">
        <w:rPr>
          <w:noProof/>
        </w:rPr>
        <w:t xml:space="preserve"> </w:t>
      </w:r>
      <w:r w:rsidR="00DF042C">
        <w:rPr>
          <w:noProof/>
        </w:rPr>
        <w:t xml:space="preserve">and </w:t>
      </w:r>
      <w:r w:rsidR="1396D34A" w:rsidRPr="00F86091">
        <w:rPr>
          <w:noProof/>
        </w:rPr>
        <w:t xml:space="preserve">recommended one or several binding limit values for each of them, </w:t>
      </w:r>
      <w:r w:rsidR="006A788C" w:rsidRPr="00F86091">
        <w:rPr>
          <w:noProof/>
        </w:rPr>
        <w:t xml:space="preserve">and </w:t>
      </w:r>
      <w:r w:rsidR="1396D34A" w:rsidRPr="00F86091">
        <w:rPr>
          <w:noProof/>
        </w:rPr>
        <w:t>notations</w:t>
      </w:r>
      <w:r w:rsidR="00C158D9" w:rsidRPr="00F86091">
        <w:rPr>
          <w:noProof/>
        </w:rPr>
        <w:t xml:space="preserve"> and transitional values</w:t>
      </w:r>
      <w:r w:rsidR="00C4549F" w:rsidRPr="00F86091">
        <w:rPr>
          <w:noProof/>
        </w:rPr>
        <w:t xml:space="preserve"> for some of them</w:t>
      </w:r>
      <w:r w:rsidR="1396D34A" w:rsidRPr="00F86091">
        <w:rPr>
          <w:noProof/>
        </w:rPr>
        <w:t>, where appropriate.</w:t>
      </w:r>
      <w:r w:rsidR="00C4549F" w:rsidRPr="00F86091">
        <w:rPr>
          <w:noProof/>
        </w:rPr>
        <w:t xml:space="preserve"> Transitional values should </w:t>
      </w:r>
      <w:r w:rsidR="00DF042C">
        <w:rPr>
          <w:noProof/>
        </w:rPr>
        <w:t>allow</w:t>
      </w:r>
      <w:r w:rsidR="00DF042C" w:rsidRPr="00F86091">
        <w:rPr>
          <w:noProof/>
        </w:rPr>
        <w:t xml:space="preserve"> </w:t>
      </w:r>
      <w:r w:rsidR="00C4549F" w:rsidRPr="00F86091">
        <w:rPr>
          <w:noProof/>
        </w:rPr>
        <w:t xml:space="preserve">employers make the necessary investments in additional </w:t>
      </w:r>
      <w:r w:rsidR="006A788C" w:rsidRPr="00F86091">
        <w:rPr>
          <w:noProof/>
        </w:rPr>
        <w:t xml:space="preserve">risk management measures </w:t>
      </w:r>
      <w:r w:rsidR="00C4549F" w:rsidRPr="00F86091">
        <w:rPr>
          <w:noProof/>
        </w:rPr>
        <w:t xml:space="preserve">and </w:t>
      </w:r>
      <w:r w:rsidR="006A788C" w:rsidRPr="00F86091">
        <w:rPr>
          <w:noProof/>
        </w:rPr>
        <w:t xml:space="preserve">develop </w:t>
      </w:r>
      <w:r w:rsidR="00C4549F" w:rsidRPr="00F86091">
        <w:rPr>
          <w:noProof/>
        </w:rPr>
        <w:t xml:space="preserve">technical </w:t>
      </w:r>
      <w:r w:rsidR="00DF042C">
        <w:rPr>
          <w:noProof/>
        </w:rPr>
        <w:t xml:space="preserve">means of ensuring </w:t>
      </w:r>
      <w:r w:rsidR="00C4549F" w:rsidRPr="00F86091">
        <w:rPr>
          <w:noProof/>
        </w:rPr>
        <w:t xml:space="preserve">compliance. </w:t>
      </w:r>
      <w:r w:rsidR="003502B8">
        <w:rPr>
          <w:noProof/>
        </w:rPr>
        <w:t>In this regard, e</w:t>
      </w:r>
      <w:r w:rsidR="00C4549F" w:rsidRPr="00F86091">
        <w:rPr>
          <w:noProof/>
        </w:rPr>
        <w:t xml:space="preserve">xisting </w:t>
      </w:r>
      <w:r w:rsidR="003502B8">
        <w:rPr>
          <w:noProof/>
        </w:rPr>
        <w:t>Union</w:t>
      </w:r>
      <w:r w:rsidR="003502B8" w:rsidRPr="00F86091">
        <w:rPr>
          <w:noProof/>
        </w:rPr>
        <w:t xml:space="preserve"> </w:t>
      </w:r>
      <w:r w:rsidR="00C4549F" w:rsidRPr="00F86091">
        <w:rPr>
          <w:noProof/>
        </w:rPr>
        <w:t>programmes</w:t>
      </w:r>
      <w:r w:rsidR="003502B8">
        <w:rPr>
          <w:noProof/>
        </w:rPr>
        <w:t xml:space="preserve">, such as </w:t>
      </w:r>
      <w:r w:rsidR="00C4549F" w:rsidRPr="00F86091">
        <w:rPr>
          <w:noProof/>
        </w:rPr>
        <w:t>Horizon Europe</w:t>
      </w:r>
      <w:r w:rsidR="003502B8">
        <w:rPr>
          <w:noProof/>
        </w:rPr>
        <w:t>,</w:t>
      </w:r>
      <w:r w:rsidR="00C4549F" w:rsidRPr="00F86091">
        <w:rPr>
          <w:noProof/>
        </w:rPr>
        <w:t xml:space="preserve"> </w:t>
      </w:r>
      <w:r w:rsidR="003502B8">
        <w:rPr>
          <w:noProof/>
        </w:rPr>
        <w:t>could</w:t>
      </w:r>
      <w:r w:rsidR="003502B8" w:rsidRPr="00F86091">
        <w:rPr>
          <w:noProof/>
        </w:rPr>
        <w:t xml:space="preserve"> </w:t>
      </w:r>
      <w:r w:rsidR="00C4549F" w:rsidRPr="00F86091">
        <w:rPr>
          <w:noProof/>
        </w:rPr>
        <w:t>help to develop innovative solutions to protect workers’ health.</w:t>
      </w:r>
    </w:p>
    <w:p w14:paraId="6858F57C" w14:textId="77777777" w:rsidR="000C6273" w:rsidRPr="00F86091" w:rsidRDefault="00A53916" w:rsidP="00A53916">
      <w:pPr>
        <w:pStyle w:val="Point0"/>
        <w:rPr>
          <w:noProof/>
          <w:szCs w:val="24"/>
        </w:rPr>
      </w:pPr>
      <w:r w:rsidRPr="00A53916">
        <w:rPr>
          <w:noProof/>
        </w:rPr>
        <w:t>(11)</w:t>
      </w:r>
      <w:r w:rsidRPr="00A53916">
        <w:rPr>
          <w:noProof/>
        </w:rPr>
        <w:tab/>
      </w:r>
      <w:r w:rsidR="00FD3E92" w:rsidRPr="00F86091">
        <w:rPr>
          <w:noProof/>
        </w:rPr>
        <w:t>It is of particular importance that the Commission carry out appropriate consultations during its preparatory work, including at expert level, and that those consultations be conducted in accordance with the principles laid down in the Interinstitutional Agreement of 13</w:t>
      </w:r>
      <w:r w:rsidR="00F86091">
        <w:rPr>
          <w:noProof/>
        </w:rPr>
        <w:t> </w:t>
      </w:r>
      <w:r w:rsidR="00FD3E92" w:rsidRPr="00F86091">
        <w:rPr>
          <w:noProof/>
        </w:rPr>
        <w:t>April 2016 on Better Law-Making</w:t>
      </w:r>
      <w:r w:rsidR="00FD3E92" w:rsidRPr="00F86091">
        <w:rPr>
          <w:rStyle w:val="FootnoteReference"/>
          <w:noProof/>
        </w:rPr>
        <w:footnoteReference w:id="56"/>
      </w:r>
      <w:r w:rsidR="002B64D7" w:rsidRPr="00F86091">
        <w:rPr>
          <w:noProof/>
        </w:rPr>
        <w:t>.</w:t>
      </w:r>
      <w:r w:rsidR="000D1B0A" w:rsidRPr="00F86091">
        <w:rPr>
          <w:noProof/>
        </w:rPr>
        <w:t xml:space="preserve"> </w:t>
      </w:r>
      <w:r w:rsidR="00FD3E92" w:rsidRPr="00F86091">
        <w:rPr>
          <w:noProof/>
        </w:rPr>
        <w:t>When establishing or revising limit values, the Commission should consult the RAC and the ACSH to ensure that they are evidence-based, proportionate and measurable</w:t>
      </w:r>
      <w:r w:rsidR="00104895" w:rsidRPr="00F86091">
        <w:rPr>
          <w:noProof/>
        </w:rPr>
        <w:t>.</w:t>
      </w:r>
    </w:p>
    <w:p w14:paraId="37CE92A7" w14:textId="77777777" w:rsidR="007017A3" w:rsidRPr="00F86091" w:rsidRDefault="00A53916" w:rsidP="00A53916">
      <w:pPr>
        <w:pStyle w:val="Point0"/>
        <w:rPr>
          <w:noProof/>
          <w:szCs w:val="24"/>
        </w:rPr>
      </w:pPr>
      <w:r w:rsidRPr="00A53916">
        <w:rPr>
          <w:noProof/>
        </w:rPr>
        <w:t>(12)</w:t>
      </w:r>
      <w:r w:rsidRPr="00A53916">
        <w:rPr>
          <w:noProof/>
        </w:rPr>
        <w:tab/>
      </w:r>
      <w:r w:rsidR="1396D34A" w:rsidRPr="00F86091">
        <w:rPr>
          <w:noProof/>
        </w:rPr>
        <w:t xml:space="preserve">Since the objective of this Directive, namely to protect workers from exposure to </w:t>
      </w:r>
      <w:r w:rsidR="00523ABF" w:rsidRPr="00F86091">
        <w:rPr>
          <w:noProof/>
        </w:rPr>
        <w:t>carcinogens, mutagens and</w:t>
      </w:r>
      <w:r w:rsidR="1396D34A" w:rsidRPr="00F86091">
        <w:rPr>
          <w:noProof/>
        </w:rPr>
        <w:t xml:space="preserve"> reprotoxic substances at work, cannot be sufficiently achieved by the Member States acting alone but can rather, by reason of its scale and effects, be better achieved at Union level, the Union may adopt measures, in accordance with the principle of subsidiarity as set out in Article</w:t>
      </w:r>
      <w:r w:rsidR="00F86091">
        <w:rPr>
          <w:noProof/>
        </w:rPr>
        <w:t> </w:t>
      </w:r>
      <w:r w:rsidR="1396D34A" w:rsidRPr="00F86091">
        <w:rPr>
          <w:noProof/>
        </w:rPr>
        <w:t>5 of the Treaty on European Union. In accordance with the principle of proportionality, as set out in that Article, this Directive does not go beyond what is necessary to achieve that objective.</w:t>
      </w:r>
      <w:r w:rsidR="009009A8" w:rsidRPr="00F86091">
        <w:rPr>
          <w:noProof/>
        </w:rPr>
        <w:t xml:space="preserve"> </w:t>
      </w:r>
      <w:r w:rsidR="1396D34A" w:rsidRPr="00F86091">
        <w:rPr>
          <w:noProof/>
        </w:rPr>
        <w:t>Directive 2004/37/EC should therefore be amended accordingly</w:t>
      </w:r>
      <w:r w:rsidR="003502B8">
        <w:rPr>
          <w:noProof/>
        </w:rPr>
        <w:t>,</w:t>
      </w:r>
    </w:p>
    <w:p w14:paraId="0ADCED22" w14:textId="77777777" w:rsidR="007017A3" w:rsidRPr="00F86091" w:rsidRDefault="1396D34A" w:rsidP="449BDA64">
      <w:pPr>
        <w:rPr>
          <w:noProof/>
        </w:rPr>
      </w:pPr>
      <w:r w:rsidRPr="00F86091">
        <w:rPr>
          <w:rFonts w:eastAsia="Times New Roman"/>
          <w:noProof/>
        </w:rPr>
        <w:t>HAVE ADOPTED THIS DIRECTIVE</w:t>
      </w:r>
      <w:r w:rsidRPr="00F86091">
        <w:rPr>
          <w:noProof/>
        </w:rPr>
        <w:t>:</w:t>
      </w:r>
    </w:p>
    <w:p w14:paraId="5881EA5F" w14:textId="77777777" w:rsidR="007017A3" w:rsidRPr="00F86091" w:rsidRDefault="1396D34A" w:rsidP="449BDA64">
      <w:pPr>
        <w:spacing w:before="360"/>
        <w:jc w:val="center"/>
        <w:rPr>
          <w:noProof/>
        </w:rPr>
      </w:pPr>
      <w:bookmarkStart w:id="25" w:name="_Hlk200033748"/>
      <w:r w:rsidRPr="00F86091">
        <w:rPr>
          <w:rFonts w:eastAsia="Times New Roman"/>
          <w:i/>
          <w:iCs/>
          <w:noProof/>
        </w:rPr>
        <w:t>Article 1</w:t>
      </w:r>
    </w:p>
    <w:p w14:paraId="0B09211F" w14:textId="77777777" w:rsidR="007017A3" w:rsidRPr="00F86091" w:rsidRDefault="1396D34A" w:rsidP="449BDA64">
      <w:pPr>
        <w:shd w:val="clear" w:color="auto" w:fill="FFFFFF" w:themeFill="background1"/>
        <w:tabs>
          <w:tab w:val="left" w:pos="851"/>
          <w:tab w:val="left" w:pos="1418"/>
          <w:tab w:val="left" w:pos="1985"/>
          <w:tab w:val="left" w:pos="2552"/>
        </w:tabs>
        <w:spacing w:line="360" w:lineRule="auto"/>
        <w:rPr>
          <w:noProof/>
        </w:rPr>
      </w:pPr>
      <w:r w:rsidRPr="00F86091">
        <w:rPr>
          <w:rFonts w:eastAsia="Times New Roman"/>
          <w:noProof/>
          <w:color w:val="000000" w:themeColor="text1"/>
          <w:szCs w:val="24"/>
        </w:rPr>
        <w:t>Directive 2004/37/EC is amended as follows:</w:t>
      </w:r>
    </w:p>
    <w:p w14:paraId="7848573C" w14:textId="77777777" w:rsidR="007017A3" w:rsidRPr="00F86091" w:rsidRDefault="1396D34A" w:rsidP="007C0C63">
      <w:pPr>
        <w:spacing w:line="360" w:lineRule="auto"/>
        <w:ind w:left="851" w:hanging="851"/>
        <w:rPr>
          <w:noProof/>
        </w:rPr>
      </w:pPr>
      <w:r w:rsidRPr="00F86091">
        <w:rPr>
          <w:rFonts w:eastAsia="Times New Roman"/>
          <w:noProof/>
          <w:szCs w:val="24"/>
        </w:rPr>
        <w:t xml:space="preserve">Annexes </w:t>
      </w:r>
      <w:r w:rsidR="003502B8">
        <w:rPr>
          <w:rFonts w:eastAsia="Times New Roman"/>
          <w:noProof/>
          <w:szCs w:val="24"/>
        </w:rPr>
        <w:t xml:space="preserve">I, </w:t>
      </w:r>
      <w:r w:rsidRPr="00F86091">
        <w:rPr>
          <w:rFonts w:eastAsia="Times New Roman"/>
          <w:noProof/>
          <w:szCs w:val="24"/>
        </w:rPr>
        <w:t xml:space="preserve">III and IIIa </w:t>
      </w:r>
      <w:r w:rsidR="007322A5" w:rsidRPr="007322A5">
        <w:rPr>
          <w:rFonts w:eastAsia="Times New Roman"/>
          <w:noProof/>
          <w:szCs w:val="24"/>
        </w:rPr>
        <w:t xml:space="preserve">to Directive 2004/37/EC </w:t>
      </w:r>
      <w:r w:rsidRPr="00F86091">
        <w:rPr>
          <w:rFonts w:eastAsia="Times New Roman"/>
          <w:noProof/>
          <w:szCs w:val="24"/>
        </w:rPr>
        <w:t>are amended in accordance with the Annex to this Directive.</w:t>
      </w:r>
    </w:p>
    <w:bookmarkEnd w:id="25"/>
    <w:p w14:paraId="0A4782C0" w14:textId="77777777" w:rsidR="007017A3" w:rsidRPr="00F86091" w:rsidRDefault="1396D34A" w:rsidP="61A089A6">
      <w:pPr>
        <w:spacing w:line="360" w:lineRule="auto"/>
        <w:jc w:val="center"/>
        <w:rPr>
          <w:rFonts w:eastAsia="Times New Roman"/>
          <w:i/>
          <w:iCs/>
          <w:noProof/>
        </w:rPr>
      </w:pPr>
      <w:r w:rsidRPr="00F86091">
        <w:rPr>
          <w:rFonts w:eastAsia="Times New Roman"/>
          <w:i/>
          <w:iCs/>
          <w:noProof/>
        </w:rPr>
        <w:t>Article 2</w:t>
      </w:r>
    </w:p>
    <w:p w14:paraId="746FAD3B" w14:textId="77777777" w:rsidR="007017A3" w:rsidRPr="00F86091" w:rsidRDefault="1396D34A" w:rsidP="00F514AD">
      <w:pPr>
        <w:spacing w:line="360" w:lineRule="auto"/>
        <w:rPr>
          <w:rFonts w:eastAsia="Times New Roman"/>
          <w:noProof/>
          <w:szCs w:val="24"/>
        </w:rPr>
      </w:pPr>
      <w:r w:rsidRPr="00F86091">
        <w:rPr>
          <w:rFonts w:eastAsia="Times New Roman"/>
          <w:noProof/>
        </w:rPr>
        <w:t xml:space="preserve">Member States shall bring into force the laws, regulations and administrative provisions necessary to comply with this Directive by </w:t>
      </w:r>
      <w:r w:rsidRPr="006F52C6">
        <w:rPr>
          <w:noProof/>
        </w:rPr>
        <w:t>[…] [The time limit for transposition will be as short as possible and, generally, will not exceed two years]</w:t>
      </w:r>
      <w:r w:rsidRPr="00F86091">
        <w:rPr>
          <w:rFonts w:eastAsia="Times New Roman"/>
          <w:noProof/>
        </w:rPr>
        <w:t xml:space="preserve"> at the latest. </w:t>
      </w:r>
      <w:r w:rsidRPr="00F86091">
        <w:rPr>
          <w:rFonts w:eastAsia="Times New Roman"/>
          <w:noProof/>
          <w:color w:val="333333"/>
        </w:rPr>
        <w:t>They shall immediately inform the Commission thereof</w:t>
      </w:r>
      <w:r w:rsidRPr="00F86091">
        <w:rPr>
          <w:rFonts w:eastAsia="Times New Roman"/>
          <w:noProof/>
        </w:rPr>
        <w:t>.</w:t>
      </w:r>
    </w:p>
    <w:p w14:paraId="7B559416" w14:textId="77777777" w:rsidR="007017A3" w:rsidRPr="00F86091" w:rsidRDefault="1396D34A" w:rsidP="00523ABF">
      <w:pPr>
        <w:spacing w:line="360" w:lineRule="auto"/>
        <w:rPr>
          <w:noProof/>
        </w:rPr>
      </w:pPr>
      <w:r w:rsidRPr="00F86091">
        <w:rPr>
          <w:rFonts w:eastAsia="Times New Roman"/>
          <w:noProof/>
          <w:color w:val="333333"/>
          <w:szCs w:val="24"/>
        </w:rPr>
        <w:t>When Member States adopt those measures, they shall contain a reference to this Directive or be accompanied by such a reference on the occasion of their official publication. The methods of making such reference shall be laid down by Member States</w:t>
      </w:r>
      <w:r w:rsidRPr="00F86091">
        <w:rPr>
          <w:rFonts w:eastAsia="Times New Roman"/>
          <w:noProof/>
          <w:szCs w:val="24"/>
        </w:rPr>
        <w:t>.</w:t>
      </w:r>
    </w:p>
    <w:p w14:paraId="1D1F0050" w14:textId="77777777" w:rsidR="007017A3" w:rsidRPr="00F86091" w:rsidRDefault="1396D34A" w:rsidP="001243D1">
      <w:pPr>
        <w:spacing w:line="360" w:lineRule="auto"/>
        <w:rPr>
          <w:noProof/>
        </w:rPr>
      </w:pPr>
      <w:r w:rsidRPr="00F86091">
        <w:rPr>
          <w:rFonts w:eastAsia="Times New Roman"/>
          <w:noProof/>
          <w:color w:val="333333"/>
        </w:rPr>
        <w:t>Member States shall communicate to the Commission the text of the main measures of</w:t>
      </w:r>
      <w:r w:rsidR="009009A8" w:rsidRPr="00F86091">
        <w:rPr>
          <w:rFonts w:eastAsia="Times New Roman"/>
          <w:noProof/>
          <w:color w:val="333333"/>
        </w:rPr>
        <w:t xml:space="preserve"> </w:t>
      </w:r>
      <w:r w:rsidRPr="00F86091">
        <w:rPr>
          <w:rFonts w:eastAsia="Times New Roman"/>
          <w:noProof/>
          <w:color w:val="333333"/>
        </w:rPr>
        <w:t>national law which they adopt in the field covered by this Directive</w:t>
      </w:r>
      <w:r w:rsidRPr="00F86091">
        <w:rPr>
          <w:rFonts w:eastAsia="Times New Roman"/>
          <w:noProof/>
        </w:rPr>
        <w:t>.</w:t>
      </w:r>
    </w:p>
    <w:p w14:paraId="495BBB54" w14:textId="77777777" w:rsidR="007017A3" w:rsidRPr="00F86091" w:rsidRDefault="1396D34A" w:rsidP="00615E27">
      <w:pPr>
        <w:spacing w:line="360" w:lineRule="auto"/>
        <w:jc w:val="center"/>
        <w:rPr>
          <w:noProof/>
        </w:rPr>
      </w:pPr>
      <w:r w:rsidRPr="00F86091">
        <w:rPr>
          <w:rFonts w:eastAsia="Times New Roman"/>
          <w:i/>
          <w:iCs/>
          <w:noProof/>
        </w:rPr>
        <w:t>Article 3</w:t>
      </w:r>
    </w:p>
    <w:p w14:paraId="5F2E5D2E" w14:textId="77777777" w:rsidR="007017A3" w:rsidRPr="00F86091" w:rsidRDefault="1396D34A" w:rsidP="00615E27">
      <w:pPr>
        <w:spacing w:line="360" w:lineRule="auto"/>
        <w:rPr>
          <w:noProof/>
        </w:rPr>
      </w:pPr>
      <w:r w:rsidRPr="00F86091">
        <w:rPr>
          <w:rFonts w:eastAsia="Times New Roman"/>
          <w:noProof/>
          <w:szCs w:val="24"/>
        </w:rPr>
        <w:t xml:space="preserve">This Directive shall enter into force on the </w:t>
      </w:r>
      <w:r w:rsidRPr="00F86091">
        <w:rPr>
          <w:rFonts w:eastAsia="Times New Roman"/>
          <w:noProof/>
          <w:color w:val="333333"/>
          <w:szCs w:val="24"/>
        </w:rPr>
        <w:t>twentieth</w:t>
      </w:r>
      <w:r w:rsidRPr="00F86091">
        <w:rPr>
          <w:rFonts w:eastAsia="Times New Roman"/>
          <w:noProof/>
          <w:szCs w:val="24"/>
        </w:rPr>
        <w:t xml:space="preserve"> day following that of its publication in the </w:t>
      </w:r>
      <w:r w:rsidRPr="00F86091">
        <w:rPr>
          <w:rFonts w:eastAsia="Times New Roman"/>
          <w:i/>
          <w:iCs/>
          <w:noProof/>
          <w:szCs w:val="24"/>
        </w:rPr>
        <w:t>Official Journal of the European Union</w:t>
      </w:r>
      <w:r w:rsidRPr="00F86091">
        <w:rPr>
          <w:rFonts w:eastAsia="Times New Roman"/>
          <w:noProof/>
          <w:szCs w:val="24"/>
        </w:rPr>
        <w:t>.</w:t>
      </w:r>
    </w:p>
    <w:p w14:paraId="10B99B7C" w14:textId="77777777" w:rsidR="007017A3" w:rsidRPr="00F86091" w:rsidRDefault="1396D34A" w:rsidP="00615E27">
      <w:pPr>
        <w:spacing w:line="360" w:lineRule="auto"/>
        <w:jc w:val="center"/>
        <w:rPr>
          <w:noProof/>
        </w:rPr>
      </w:pPr>
      <w:r w:rsidRPr="00F86091">
        <w:rPr>
          <w:rFonts w:eastAsia="Times New Roman"/>
          <w:i/>
          <w:iCs/>
          <w:noProof/>
          <w:szCs w:val="24"/>
        </w:rPr>
        <w:t>Article 4</w:t>
      </w:r>
    </w:p>
    <w:p w14:paraId="3B8E9B7F" w14:textId="77777777" w:rsidR="007017A3" w:rsidRPr="00F86091" w:rsidRDefault="1396D34A" w:rsidP="00615E27">
      <w:pPr>
        <w:spacing w:line="360" w:lineRule="auto"/>
        <w:rPr>
          <w:noProof/>
        </w:rPr>
      </w:pPr>
      <w:r w:rsidRPr="00F86091">
        <w:rPr>
          <w:rFonts w:eastAsia="Times New Roman"/>
          <w:noProof/>
          <w:szCs w:val="24"/>
        </w:rPr>
        <w:t>This Directive is addressed to the Member States.</w:t>
      </w:r>
    </w:p>
    <w:p w14:paraId="68F01A7F" w14:textId="77777777" w:rsidR="00615E27" w:rsidRPr="00F86091" w:rsidRDefault="00615E27" w:rsidP="00615E27">
      <w:pPr>
        <w:spacing w:line="360" w:lineRule="auto"/>
        <w:rPr>
          <w:rFonts w:eastAsia="Times New Roman"/>
          <w:noProof/>
          <w:szCs w:val="24"/>
        </w:rPr>
      </w:pPr>
    </w:p>
    <w:p w14:paraId="5E355F4A" w14:textId="77777777" w:rsidR="007017A3" w:rsidRPr="00F86091" w:rsidRDefault="1396D34A" w:rsidP="00615E27">
      <w:pPr>
        <w:spacing w:line="360" w:lineRule="auto"/>
        <w:rPr>
          <w:noProof/>
        </w:rPr>
      </w:pPr>
      <w:r w:rsidRPr="00F86091">
        <w:rPr>
          <w:rFonts w:eastAsia="Times New Roman"/>
          <w:noProof/>
          <w:szCs w:val="24"/>
        </w:rPr>
        <w:t>Done at Brussels,</w:t>
      </w:r>
    </w:p>
    <w:p w14:paraId="40957BF7" w14:textId="77777777" w:rsidR="00615E27" w:rsidRPr="00F86091" w:rsidRDefault="00615E27" w:rsidP="00615E27">
      <w:pPr>
        <w:spacing w:line="360" w:lineRule="auto"/>
        <w:rPr>
          <w:rFonts w:eastAsia="Times New Roman"/>
          <w:i/>
          <w:iCs/>
          <w:noProof/>
          <w:szCs w:val="24"/>
        </w:rPr>
      </w:pPr>
    </w:p>
    <w:p w14:paraId="41C183A7" w14:textId="12C8292F" w:rsidR="007017A3" w:rsidRPr="00F86091" w:rsidRDefault="1396D34A" w:rsidP="00615E27">
      <w:pPr>
        <w:spacing w:line="360" w:lineRule="auto"/>
        <w:rPr>
          <w:noProof/>
        </w:rPr>
      </w:pPr>
      <w:r w:rsidRPr="00F86091">
        <w:rPr>
          <w:rFonts w:eastAsia="Times New Roman"/>
          <w:i/>
          <w:iCs/>
          <w:noProof/>
          <w:szCs w:val="24"/>
        </w:rPr>
        <w:t>For the European Parliament</w:t>
      </w:r>
      <w:r w:rsidR="679CE174" w:rsidRPr="00F86091">
        <w:rPr>
          <w:noProof/>
        </w:rPr>
        <w:tab/>
      </w:r>
      <w:r w:rsidR="005022D5" w:rsidRPr="00F86091">
        <w:rPr>
          <w:noProof/>
        </w:rPr>
        <w:tab/>
      </w:r>
      <w:r w:rsidR="006A3F11">
        <w:rPr>
          <w:noProof/>
        </w:rPr>
        <w:tab/>
      </w:r>
      <w:r w:rsidRPr="00F86091">
        <w:rPr>
          <w:rFonts w:eastAsia="Times New Roman"/>
          <w:i/>
          <w:iCs/>
          <w:noProof/>
          <w:szCs w:val="24"/>
        </w:rPr>
        <w:t>For the Council</w:t>
      </w:r>
    </w:p>
    <w:p w14:paraId="37E47E1A" w14:textId="77777777" w:rsidR="006745D6" w:rsidRDefault="1396D34A" w:rsidP="00615E27">
      <w:pPr>
        <w:spacing w:line="360" w:lineRule="auto"/>
        <w:rPr>
          <w:rFonts w:eastAsia="Times New Roman"/>
          <w:i/>
          <w:iCs/>
          <w:noProof/>
          <w:szCs w:val="24"/>
        </w:rPr>
      </w:pPr>
      <w:r w:rsidRPr="00F86091">
        <w:rPr>
          <w:rFonts w:eastAsia="Times New Roman"/>
          <w:i/>
          <w:iCs/>
          <w:noProof/>
          <w:szCs w:val="24"/>
        </w:rPr>
        <w:t xml:space="preserve">The President </w:t>
      </w:r>
      <w:r w:rsidR="005022D5" w:rsidRPr="00F86091">
        <w:rPr>
          <w:rFonts w:eastAsia="Times New Roman"/>
          <w:i/>
          <w:iCs/>
          <w:noProof/>
          <w:szCs w:val="24"/>
        </w:rPr>
        <w:tab/>
      </w:r>
      <w:r w:rsidR="005022D5" w:rsidRPr="00F86091">
        <w:rPr>
          <w:rFonts w:eastAsia="Times New Roman"/>
          <w:i/>
          <w:iCs/>
          <w:noProof/>
          <w:szCs w:val="24"/>
        </w:rPr>
        <w:tab/>
      </w:r>
      <w:r w:rsidR="005022D5" w:rsidRPr="00F86091">
        <w:rPr>
          <w:rFonts w:eastAsia="Times New Roman"/>
          <w:i/>
          <w:iCs/>
          <w:noProof/>
          <w:szCs w:val="24"/>
        </w:rPr>
        <w:tab/>
      </w:r>
      <w:r w:rsidR="005022D5" w:rsidRPr="00F86091">
        <w:rPr>
          <w:rFonts w:eastAsia="Times New Roman"/>
          <w:i/>
          <w:iCs/>
          <w:noProof/>
          <w:szCs w:val="24"/>
        </w:rPr>
        <w:tab/>
      </w:r>
      <w:r w:rsidR="005022D5" w:rsidRPr="00F86091">
        <w:rPr>
          <w:rFonts w:eastAsia="Times New Roman"/>
          <w:i/>
          <w:iCs/>
          <w:noProof/>
          <w:szCs w:val="24"/>
        </w:rPr>
        <w:tab/>
      </w:r>
      <w:r w:rsidRPr="00F86091">
        <w:rPr>
          <w:rFonts w:eastAsia="Times New Roman"/>
          <w:i/>
          <w:iCs/>
          <w:noProof/>
          <w:szCs w:val="24"/>
        </w:rPr>
        <w:t xml:space="preserve"> The President</w:t>
      </w:r>
    </w:p>
    <w:p w14:paraId="53C67C84" w14:textId="77777777" w:rsidR="007017A3" w:rsidRPr="00F86091" w:rsidRDefault="007017A3" w:rsidP="00615E27">
      <w:pPr>
        <w:spacing w:line="360" w:lineRule="auto"/>
        <w:rPr>
          <w:rFonts w:eastAsia="Times New Roman"/>
          <w:i/>
          <w:iCs/>
          <w:noProof/>
          <w:szCs w:val="24"/>
        </w:rPr>
      </w:pPr>
    </w:p>
    <w:sectPr w:rsidR="007017A3" w:rsidRPr="00F86091" w:rsidSect="006A3F1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D4175" w14:textId="77777777" w:rsidR="00EC5790" w:rsidRPr="00F86091" w:rsidRDefault="00EC5790" w:rsidP="007017A3">
      <w:pPr>
        <w:spacing w:before="0" w:after="0"/>
      </w:pPr>
      <w:r w:rsidRPr="00F86091">
        <w:separator/>
      </w:r>
    </w:p>
  </w:endnote>
  <w:endnote w:type="continuationSeparator" w:id="0">
    <w:p w14:paraId="2FE6E2C6" w14:textId="77777777" w:rsidR="00EC5790" w:rsidRPr="00F86091" w:rsidRDefault="00EC5790" w:rsidP="007017A3">
      <w:pPr>
        <w:spacing w:before="0" w:after="0"/>
      </w:pPr>
      <w:r w:rsidRPr="00F86091">
        <w:continuationSeparator/>
      </w:r>
    </w:p>
  </w:endnote>
  <w:endnote w:type="continuationNotice" w:id="1">
    <w:p w14:paraId="7895F912" w14:textId="77777777" w:rsidR="00EC5790" w:rsidRPr="00F86091" w:rsidRDefault="00EC579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10384" w14:textId="67B1E317" w:rsidR="006A3F11" w:rsidRPr="006A3F11" w:rsidRDefault="006A3F11" w:rsidP="006A3F11">
    <w:pPr>
      <w:pStyle w:val="Footer"/>
      <w:rPr>
        <w:rFonts w:ascii="Arial" w:hAnsi="Arial" w:cs="Arial"/>
        <w:b/>
        <w:sz w:val="48"/>
      </w:rPr>
    </w:pPr>
    <w:r w:rsidRPr="006A3F11">
      <w:rPr>
        <w:rFonts w:ascii="Arial" w:hAnsi="Arial" w:cs="Arial"/>
        <w:b/>
        <w:sz w:val="48"/>
      </w:rPr>
      <w:t>EN</w:t>
    </w:r>
    <w:r w:rsidRPr="006A3F11">
      <w:rPr>
        <w:rFonts w:ascii="Arial" w:hAnsi="Arial" w:cs="Arial"/>
        <w:b/>
        <w:sz w:val="48"/>
      </w:rPr>
      <w:tab/>
    </w:r>
    <w:r w:rsidRPr="006A3F11">
      <w:rPr>
        <w:rFonts w:ascii="Arial" w:hAnsi="Arial" w:cs="Arial"/>
        <w:b/>
        <w:sz w:val="48"/>
      </w:rPr>
      <w:tab/>
    </w:r>
    <w:r w:rsidRPr="006A3F11">
      <w:tab/>
    </w:r>
    <w:r w:rsidRPr="006A3F11">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518A2" w14:textId="3214DCFC" w:rsidR="006A3F11" w:rsidRPr="006A3F11" w:rsidRDefault="006A3F11" w:rsidP="006A3F11">
    <w:pPr>
      <w:pStyle w:val="Footer"/>
      <w:rPr>
        <w:rFonts w:ascii="Arial" w:hAnsi="Arial" w:cs="Arial"/>
        <w:b/>
        <w:sz w:val="48"/>
      </w:rPr>
    </w:pPr>
    <w:r w:rsidRPr="006A3F11">
      <w:rPr>
        <w:rFonts w:ascii="Arial" w:hAnsi="Arial" w:cs="Arial"/>
        <w:b/>
        <w:sz w:val="48"/>
      </w:rPr>
      <w:t>EN</w:t>
    </w:r>
    <w:r w:rsidRPr="006A3F11">
      <w:rPr>
        <w:rFonts w:ascii="Arial" w:hAnsi="Arial" w:cs="Arial"/>
        <w:b/>
        <w:sz w:val="48"/>
      </w:rPr>
      <w:tab/>
    </w:r>
    <w:r w:rsidRPr="006A3F11">
      <w:rPr>
        <w:rFonts w:ascii="Arial" w:hAnsi="Arial" w:cs="Arial"/>
        <w:b/>
        <w:sz w:val="48"/>
      </w:rPr>
      <w:tab/>
    </w:r>
    <w:r w:rsidRPr="006A3F11">
      <w:tab/>
    </w:r>
    <w:r w:rsidRPr="006A3F11">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B5CDB" w14:textId="77777777" w:rsidR="006A3F11" w:rsidRPr="006A3F11" w:rsidRDefault="006A3F11" w:rsidP="006A3F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3AF31" w14:textId="77777777" w:rsidR="00A16003" w:rsidRDefault="00A1600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793D3" w14:textId="27FBF285" w:rsidR="006A3F11" w:rsidRPr="006A3F11" w:rsidRDefault="006A3F11" w:rsidP="006A3F11">
    <w:pPr>
      <w:pStyle w:val="Footer"/>
      <w:rPr>
        <w:rFonts w:ascii="Arial" w:hAnsi="Arial" w:cs="Arial"/>
        <w:b/>
        <w:sz w:val="48"/>
      </w:rPr>
    </w:pPr>
    <w:r w:rsidRPr="006A3F11">
      <w:rPr>
        <w:rFonts w:ascii="Arial" w:hAnsi="Arial" w:cs="Arial"/>
        <w:b/>
        <w:sz w:val="48"/>
      </w:rPr>
      <w:t>EN</w:t>
    </w:r>
    <w:r w:rsidRPr="006A3F11">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6A3F11">
      <w:tab/>
    </w:r>
    <w:r w:rsidRPr="006A3F11">
      <w:rPr>
        <w:rFonts w:ascii="Arial" w:hAnsi="Arial" w:cs="Arial"/>
        <w:b/>
        <w:sz w:val="48"/>
      </w:rPr>
      <w:t>EN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C94EA" w14:textId="77777777" w:rsidR="00A16003" w:rsidRDefault="00A16003" w:rsidP="006A3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51BA1" w14:textId="77777777" w:rsidR="00EC5790" w:rsidRPr="00F86091" w:rsidRDefault="00EC5790" w:rsidP="007017A3">
      <w:pPr>
        <w:spacing w:before="0" w:after="0"/>
      </w:pPr>
      <w:r w:rsidRPr="00F86091">
        <w:separator/>
      </w:r>
    </w:p>
  </w:footnote>
  <w:footnote w:type="continuationSeparator" w:id="0">
    <w:p w14:paraId="70299896" w14:textId="77777777" w:rsidR="00EC5790" w:rsidRPr="00F86091" w:rsidRDefault="00EC5790" w:rsidP="007017A3">
      <w:pPr>
        <w:spacing w:before="0" w:after="0"/>
      </w:pPr>
      <w:r w:rsidRPr="00F86091">
        <w:continuationSeparator/>
      </w:r>
    </w:p>
  </w:footnote>
  <w:footnote w:type="continuationNotice" w:id="1">
    <w:p w14:paraId="64839C66" w14:textId="77777777" w:rsidR="00EC5790" w:rsidRPr="00F86091" w:rsidRDefault="00EC5790">
      <w:pPr>
        <w:spacing w:before="0" w:after="0"/>
      </w:pPr>
    </w:p>
  </w:footnote>
  <w:footnote w:id="2">
    <w:p w14:paraId="3835D4B9" w14:textId="77777777" w:rsidR="00353B0D" w:rsidRPr="00F54CC5" w:rsidRDefault="00353B0D" w:rsidP="00C43D10">
      <w:pPr>
        <w:pStyle w:val="FootnoteText"/>
        <w:ind w:left="57" w:right="57" w:hanging="170"/>
        <w:rPr>
          <w:rFonts w:eastAsia="Times New Roman"/>
          <w:sz w:val="19"/>
          <w:szCs w:val="19"/>
        </w:rPr>
      </w:pPr>
      <w:r w:rsidRPr="00F86091">
        <w:rPr>
          <w:rStyle w:val="FootnoteReference"/>
        </w:rPr>
        <w:footnoteRef/>
      </w:r>
      <w:r w:rsidR="00F514AD" w:rsidRPr="00F86091">
        <w:rPr>
          <w:rFonts w:eastAsia="Times New Roman"/>
          <w:sz w:val="19"/>
          <w:szCs w:val="19"/>
        </w:rPr>
        <w:tab/>
      </w:r>
      <w:r w:rsidR="1B3AB25F" w:rsidRPr="00F54CC5" w:rsidDel="004E4C50">
        <w:t>Communication</w:t>
      </w:r>
      <w:r w:rsidR="1B3AB25F" w:rsidRPr="00F86091" w:rsidDel="004E4C50">
        <w:rPr>
          <w:rFonts w:eastAsia="Times New Roman"/>
          <w:sz w:val="19"/>
          <w:szCs w:val="19"/>
        </w:rPr>
        <w:t xml:space="preserve"> from the Commission </w:t>
      </w:r>
      <w:r w:rsidR="1B3AB25F" w:rsidRPr="00F86091">
        <w:rPr>
          <w:rFonts w:eastAsia="Times New Roman"/>
          <w:sz w:val="19"/>
          <w:szCs w:val="19"/>
        </w:rPr>
        <w:t>on EU strategic framework on health and safety at work 2021-2027 Occupational safety and health in a changing world of work, COM/2021/323 final</w:t>
      </w:r>
      <w:r w:rsidR="00F86091" w:rsidRPr="00F86091">
        <w:rPr>
          <w:rFonts w:eastAsia="Times New Roman"/>
          <w:sz w:val="19"/>
          <w:szCs w:val="19"/>
        </w:rPr>
        <w:t>.</w:t>
      </w:r>
    </w:p>
  </w:footnote>
  <w:footnote w:id="3">
    <w:p w14:paraId="042E90AE" w14:textId="77777777" w:rsidR="00353B0D" w:rsidRPr="00F86091" w:rsidRDefault="00353B0D" w:rsidP="00C43D10">
      <w:pPr>
        <w:pStyle w:val="FootnoteText"/>
        <w:ind w:left="57" w:right="57" w:hanging="170"/>
        <w:rPr>
          <w:rFonts w:eastAsia="Times New Roman"/>
          <w:sz w:val="19"/>
          <w:szCs w:val="19"/>
        </w:rPr>
      </w:pPr>
      <w:r w:rsidRPr="00C43D10">
        <w:rPr>
          <w:rStyle w:val="FootnoteReference"/>
        </w:rPr>
        <w:footnoteRef/>
      </w:r>
      <w:r w:rsidR="00F514AD" w:rsidRPr="00F86091">
        <w:rPr>
          <w:rFonts w:eastAsia="Times New Roman"/>
          <w:sz w:val="19"/>
          <w:szCs w:val="19"/>
        </w:rPr>
        <w:tab/>
      </w:r>
      <w:r w:rsidR="00C1079D" w:rsidRPr="00F86091">
        <w:rPr>
          <w:rFonts w:eastAsia="Times New Roman"/>
          <w:sz w:val="19"/>
          <w:szCs w:val="19"/>
        </w:rPr>
        <w:t>Interinstitutional Proclamation on the European Pillar of Social Rights,</w:t>
      </w:r>
      <w:r w:rsidR="00C1079D" w:rsidRPr="00F86091">
        <w:rPr>
          <w:rFonts w:ascii="Aptos" w:hAnsi="Aptos" w:cs="Aptos"/>
          <w:sz w:val="22"/>
          <w14:ligatures w14:val="standardContextual"/>
        </w:rPr>
        <w:t xml:space="preserve"> </w:t>
      </w:r>
      <w:r w:rsidR="00C1079D" w:rsidRPr="00F86091">
        <w:rPr>
          <w:rFonts w:eastAsia="Times New Roman"/>
          <w:sz w:val="19"/>
          <w:szCs w:val="19"/>
        </w:rPr>
        <w:t>OJ C 428, 13.12.2017.</w:t>
      </w:r>
    </w:p>
  </w:footnote>
  <w:footnote w:id="4">
    <w:p w14:paraId="09712407" w14:textId="77777777" w:rsidR="00706EDC" w:rsidRPr="00F86091" w:rsidRDefault="00706EDC" w:rsidP="00C43D10">
      <w:pPr>
        <w:pStyle w:val="FootnoteText"/>
        <w:ind w:left="57" w:right="57" w:hanging="170"/>
      </w:pPr>
      <w:r w:rsidRPr="00F86091">
        <w:rPr>
          <w:rStyle w:val="FootnoteReference"/>
        </w:rPr>
        <w:footnoteRef/>
      </w:r>
      <w:r w:rsidR="00F514AD" w:rsidRPr="00F86091">
        <w:rPr>
          <w:rFonts w:eastAsia="Times New Roman"/>
          <w:sz w:val="19"/>
          <w:szCs w:val="19"/>
        </w:rPr>
        <w:tab/>
      </w:r>
      <w:r w:rsidR="1B3AB25F" w:rsidRPr="00F86091">
        <w:rPr>
          <w:rFonts w:eastAsia="Times New Roman"/>
          <w:sz w:val="19"/>
          <w:szCs w:val="19"/>
        </w:rPr>
        <w:t>EU-OSHA (2023), Occupational safety and health in Europe: state and trends 2023 – Summary, based on International Commission on Occupational Health’s figures</w:t>
      </w:r>
      <w:r w:rsidR="00F86091" w:rsidRPr="00F86091">
        <w:rPr>
          <w:rFonts w:eastAsia="Times New Roman"/>
          <w:sz w:val="19"/>
          <w:szCs w:val="19"/>
        </w:rPr>
        <w:t>.</w:t>
      </w:r>
    </w:p>
  </w:footnote>
  <w:footnote w:id="5">
    <w:p w14:paraId="547FD897" w14:textId="77777777" w:rsidR="00005AD6" w:rsidRPr="00F86091" w:rsidRDefault="00005AD6" w:rsidP="00C43D10">
      <w:pPr>
        <w:pStyle w:val="FootnoteText"/>
        <w:ind w:left="57" w:right="57" w:hanging="170"/>
        <w:jc w:val="left"/>
      </w:pPr>
      <w:r w:rsidRPr="00F86091">
        <w:rPr>
          <w:rStyle w:val="FootnoteReference"/>
        </w:rPr>
        <w:footnoteRef/>
      </w:r>
      <w:r w:rsidR="00F514AD" w:rsidRPr="00F86091">
        <w:rPr>
          <w:rFonts w:eastAsia="Times New Roman"/>
          <w:sz w:val="19"/>
          <w:szCs w:val="19"/>
        </w:rPr>
        <w:tab/>
      </w:r>
      <w:r w:rsidR="1B3AB25F" w:rsidRPr="00F86091">
        <w:rPr>
          <w:rFonts w:eastAsia="Times New Roman"/>
          <w:sz w:val="19"/>
          <w:szCs w:val="19"/>
          <w:shd w:val="clear" w:color="auto" w:fill="FFFFFF"/>
        </w:rPr>
        <w:t>European Commission, Directorate-General for Employment, Social Affairs and Inclusion, Cary, E., Holmes, P., Vencovsky, D. et al., </w:t>
      </w:r>
      <w:r w:rsidR="1B3AB25F" w:rsidRPr="00F86091">
        <w:rPr>
          <w:rFonts w:eastAsia="Times New Roman"/>
          <w:i/>
          <w:iCs/>
          <w:sz w:val="19"/>
          <w:szCs w:val="19"/>
          <w:shd w:val="clear" w:color="auto" w:fill="FFFFFF"/>
        </w:rPr>
        <w:t>Study to collect recent information relevant to modernising EU Occupational Safety and Health chemicals legislation with a particular emphasis on reprotoxic chemicals with the view to analyse the health, socio-economic and environmental impacts in connection with possible amendments of Directive 2004/37/EC and Directive 98/24/EC – Final report. Report 1, Baseline assessment</w:t>
      </w:r>
      <w:r w:rsidR="1B3AB25F" w:rsidRPr="00F86091">
        <w:rPr>
          <w:rFonts w:eastAsia="Times New Roman"/>
          <w:sz w:val="19"/>
          <w:szCs w:val="19"/>
          <w:shd w:val="clear" w:color="auto" w:fill="FFFFFF"/>
        </w:rPr>
        <w:t>, Publications Office, 2019,</w:t>
      </w:r>
      <w:r w:rsidR="1B3AB25F" w:rsidRPr="00F86091">
        <w:rPr>
          <w:rFonts w:eastAsia="Times New Roman"/>
          <w:sz w:val="19"/>
          <w:szCs w:val="19"/>
        </w:rPr>
        <w:t xml:space="preserve"> </w:t>
      </w:r>
      <w:hyperlink r:id="rId1" w:history="1">
        <w:r w:rsidR="1B3AB25F" w:rsidRPr="00F86091">
          <w:rPr>
            <w:rStyle w:val="Hyperlink"/>
            <w:rFonts w:eastAsia="Times New Roman"/>
            <w:sz w:val="19"/>
            <w:szCs w:val="19"/>
            <w:shd w:val="clear" w:color="auto" w:fill="FFFFFF"/>
          </w:rPr>
          <w:t>https://data.europa.eu/doi/10.2767/964906</w:t>
        </w:r>
      </w:hyperlink>
      <w:r w:rsidR="00F86091" w:rsidRPr="00F86091">
        <w:rPr>
          <w:rFonts w:eastAsia="Times New Roman"/>
          <w:sz w:val="19"/>
          <w:szCs w:val="19"/>
          <w:shd w:val="clear" w:color="auto" w:fill="FFFFFF"/>
        </w:rPr>
        <w:t>.</w:t>
      </w:r>
    </w:p>
  </w:footnote>
  <w:footnote w:id="6">
    <w:p w14:paraId="47A4ED99" w14:textId="77777777" w:rsidR="005F2688" w:rsidRPr="00F86091" w:rsidRDefault="005F2688" w:rsidP="00C43D10">
      <w:pPr>
        <w:pStyle w:val="FootnoteText"/>
        <w:ind w:left="57" w:right="57" w:hanging="170"/>
      </w:pPr>
      <w:r w:rsidRPr="00F86091">
        <w:rPr>
          <w:rStyle w:val="FootnoteReference"/>
        </w:rPr>
        <w:footnoteRef/>
      </w:r>
      <w:r w:rsidR="00F514AD" w:rsidRPr="00F86091">
        <w:rPr>
          <w:rFonts w:eastAsia="Times New Roman"/>
          <w:sz w:val="19"/>
          <w:szCs w:val="19"/>
        </w:rPr>
        <w:tab/>
      </w:r>
      <w:r w:rsidR="1B3AB25F" w:rsidRPr="00F86091">
        <w:rPr>
          <w:rFonts w:eastAsia="Times New Roman"/>
          <w:sz w:val="19"/>
          <w:szCs w:val="19"/>
        </w:rPr>
        <w:t>COM/2021/323 final, op. cit., improving prevention of workplace accidents and illnesses is one of the three crosscutting key objectives identified in the EU OSH strategic framework</w:t>
      </w:r>
      <w:r w:rsidR="00F86091" w:rsidRPr="00F86091">
        <w:rPr>
          <w:rFonts w:eastAsia="Times New Roman"/>
          <w:sz w:val="19"/>
          <w:szCs w:val="19"/>
        </w:rPr>
        <w:t>.</w:t>
      </w:r>
    </w:p>
  </w:footnote>
  <w:footnote w:id="7">
    <w:p w14:paraId="1D3BF122" w14:textId="77777777" w:rsidR="0003760B" w:rsidRPr="00F86091" w:rsidRDefault="0003760B" w:rsidP="00C43D10">
      <w:pPr>
        <w:pStyle w:val="FootnoteText"/>
        <w:ind w:left="57" w:right="57" w:hanging="170"/>
      </w:pPr>
      <w:r w:rsidRPr="00F86091">
        <w:rPr>
          <w:rStyle w:val="FootnoteReference"/>
        </w:rPr>
        <w:footnoteRef/>
      </w:r>
      <w:r w:rsidR="00F514AD" w:rsidRPr="00F86091">
        <w:rPr>
          <w:rFonts w:eastAsia="Times New Roman"/>
          <w:sz w:val="19"/>
          <w:szCs w:val="19"/>
        </w:rPr>
        <w:tab/>
      </w:r>
      <w:r w:rsidR="1B3AB25F" w:rsidRPr="00F86091">
        <w:rPr>
          <w:rFonts w:eastAsia="Times New Roman"/>
          <w:sz w:val="19"/>
          <w:szCs w:val="19"/>
        </w:rPr>
        <w:t>Council Directive 89/391/EEC of 12</w:t>
      </w:r>
      <w:r w:rsidR="00F86091">
        <w:rPr>
          <w:rFonts w:eastAsia="Times New Roman"/>
          <w:sz w:val="19"/>
          <w:szCs w:val="19"/>
        </w:rPr>
        <w:t> </w:t>
      </w:r>
      <w:r w:rsidR="1B3AB25F" w:rsidRPr="00F86091">
        <w:rPr>
          <w:rFonts w:eastAsia="Times New Roman"/>
          <w:sz w:val="19"/>
          <w:szCs w:val="19"/>
        </w:rPr>
        <w:t>June 1989 on the introduction of measures to encourage improvements in the safety and health of workers at work, OJ L 183, 29.6.1989, p.</w:t>
      </w:r>
      <w:r w:rsidR="00F86091">
        <w:rPr>
          <w:rFonts w:eastAsia="Times New Roman"/>
          <w:sz w:val="19"/>
          <w:szCs w:val="19"/>
        </w:rPr>
        <w:t> </w:t>
      </w:r>
      <w:r w:rsidR="1B3AB25F" w:rsidRPr="00F86091">
        <w:rPr>
          <w:rFonts w:eastAsia="Times New Roman"/>
          <w:sz w:val="19"/>
          <w:szCs w:val="19"/>
        </w:rPr>
        <w:t>1-8</w:t>
      </w:r>
      <w:r w:rsidR="00F86091" w:rsidRPr="00F86091">
        <w:rPr>
          <w:rFonts w:eastAsia="Times New Roman"/>
          <w:sz w:val="19"/>
          <w:szCs w:val="19"/>
        </w:rPr>
        <w:t>.</w:t>
      </w:r>
    </w:p>
  </w:footnote>
  <w:footnote w:id="8">
    <w:p w14:paraId="1F9E6412" w14:textId="77777777" w:rsidR="00611D52" w:rsidRPr="00F86091" w:rsidRDefault="00611D52" w:rsidP="00C43D10">
      <w:pPr>
        <w:pStyle w:val="FootnoteText"/>
        <w:ind w:left="57" w:right="57" w:hanging="170"/>
      </w:pPr>
      <w:r w:rsidRPr="00F86091">
        <w:rPr>
          <w:rStyle w:val="FootnoteReference"/>
        </w:rPr>
        <w:footnoteRef/>
      </w:r>
      <w:r w:rsidR="00F514AD" w:rsidRPr="00F86091">
        <w:rPr>
          <w:rFonts w:eastAsia="Times New Roman"/>
          <w:sz w:val="19"/>
          <w:szCs w:val="19"/>
        </w:rPr>
        <w:tab/>
      </w:r>
      <w:r w:rsidR="00F86091">
        <w:rPr>
          <w:rFonts w:eastAsia="Times New Roman"/>
          <w:i/>
          <w:sz w:val="19"/>
          <w:szCs w:val="19"/>
        </w:rPr>
        <w:t>Ex post</w:t>
      </w:r>
      <w:r w:rsidR="1B3AB25F" w:rsidRPr="00F86091">
        <w:rPr>
          <w:rFonts w:eastAsia="Times New Roman"/>
          <w:sz w:val="19"/>
          <w:szCs w:val="19"/>
        </w:rPr>
        <w:t xml:space="preserve"> evaluation of the EU occupational safety and health </w:t>
      </w:r>
      <w:r w:rsidR="00A4708B">
        <w:rPr>
          <w:rFonts w:eastAsia="Times New Roman"/>
          <w:sz w:val="19"/>
          <w:szCs w:val="19"/>
        </w:rPr>
        <w:t>d</w:t>
      </w:r>
      <w:r w:rsidR="1B3AB25F" w:rsidRPr="00F86091">
        <w:rPr>
          <w:rFonts w:eastAsia="Times New Roman"/>
          <w:sz w:val="19"/>
          <w:szCs w:val="19"/>
        </w:rPr>
        <w:t>irectives (REFIT evaluation) – SWD (2017) 10 final</w:t>
      </w:r>
      <w:r w:rsidR="00F86091" w:rsidRPr="00F86091">
        <w:rPr>
          <w:rFonts w:eastAsia="Times New Roman"/>
          <w:sz w:val="19"/>
          <w:szCs w:val="19"/>
        </w:rPr>
        <w:t>.</w:t>
      </w:r>
    </w:p>
  </w:footnote>
  <w:footnote w:id="9">
    <w:p w14:paraId="1A71BB4B" w14:textId="77777777" w:rsidR="009C0ABE" w:rsidRPr="00F86091" w:rsidRDefault="009C0ABE" w:rsidP="00C43D10">
      <w:pPr>
        <w:pStyle w:val="FootnoteText"/>
        <w:ind w:left="57" w:right="57" w:hanging="170"/>
      </w:pPr>
      <w:r w:rsidRPr="00F86091">
        <w:rPr>
          <w:rStyle w:val="FootnoteReference"/>
        </w:rPr>
        <w:footnoteRef/>
      </w:r>
      <w:r w:rsidR="00F514AD" w:rsidRPr="00F86091">
        <w:rPr>
          <w:rFonts w:eastAsia="Times New Roman"/>
          <w:sz w:val="19"/>
          <w:szCs w:val="19"/>
        </w:rPr>
        <w:tab/>
      </w:r>
      <w:r w:rsidR="1B3AB25F" w:rsidRPr="00F86091">
        <w:rPr>
          <w:rFonts w:eastAsia="Times New Roman"/>
          <w:sz w:val="19"/>
          <w:szCs w:val="19"/>
        </w:rPr>
        <w:t>The ACSH is composed of three full members per Member States, representing national governments, trade unions and employers’ organisations.</w:t>
      </w:r>
    </w:p>
  </w:footnote>
  <w:footnote w:id="10">
    <w:p w14:paraId="182ADAEE" w14:textId="77777777" w:rsidR="005B2D85" w:rsidRPr="003D6EE6" w:rsidRDefault="005B2D85" w:rsidP="00C43D10">
      <w:pPr>
        <w:pStyle w:val="FootnoteText"/>
        <w:ind w:left="57" w:right="57" w:hanging="170"/>
        <w:rPr>
          <w:lang w:val="en-IE"/>
        </w:rPr>
      </w:pPr>
      <w:r w:rsidRPr="00804B58">
        <w:rPr>
          <w:rStyle w:val="FootnoteReference"/>
        </w:rPr>
        <w:footnoteRef/>
      </w:r>
      <w:r w:rsidR="00804B58">
        <w:tab/>
      </w:r>
      <w:r w:rsidRPr="005B2D85">
        <w:t>N</w:t>
      </w:r>
      <w:r w:rsidRPr="003D6EE6">
        <w:rPr>
          <w:lang w:val="en-IE"/>
        </w:rPr>
        <w:t>umber of exposed workers per substance</w:t>
      </w:r>
      <w:r w:rsidRPr="005B2D85">
        <w:rPr>
          <w:lang w:val="en-IE"/>
        </w:rPr>
        <w:t xml:space="preserve">: </w:t>
      </w:r>
      <w:r w:rsidRPr="003D6EE6">
        <w:rPr>
          <w:lang w:val="en-IE"/>
        </w:rPr>
        <w:t>113,000 to cobalt and its inorganic compounds</w:t>
      </w:r>
      <w:r>
        <w:rPr>
          <w:lang w:val="en-IE"/>
        </w:rPr>
        <w:t>;</w:t>
      </w:r>
      <w:r w:rsidRPr="003D6EE6">
        <w:rPr>
          <w:lang w:val="en-IE"/>
        </w:rPr>
        <w:t xml:space="preserve"> 1,284,052 to PAHs</w:t>
      </w:r>
      <w:r>
        <w:rPr>
          <w:lang w:val="en-IE"/>
        </w:rPr>
        <w:t>;</w:t>
      </w:r>
      <w:r w:rsidRPr="003D6EE6">
        <w:rPr>
          <w:lang w:val="en-IE"/>
        </w:rPr>
        <w:t xml:space="preserve"> 31,150 to 1,4-dioxane</w:t>
      </w:r>
      <w:r>
        <w:rPr>
          <w:lang w:val="en-IE"/>
        </w:rPr>
        <w:t>;</w:t>
      </w:r>
      <w:r w:rsidRPr="003D6EE6">
        <w:rPr>
          <w:lang w:val="en-IE"/>
        </w:rPr>
        <w:t xml:space="preserve"> </w:t>
      </w:r>
      <w:r w:rsidRPr="005B2D85">
        <w:rPr>
          <w:lang w:val="en-IE"/>
        </w:rPr>
        <w:t xml:space="preserve">and </w:t>
      </w:r>
      <w:r w:rsidRPr="003D6EE6">
        <w:rPr>
          <w:lang w:val="en-IE"/>
        </w:rPr>
        <w:t>1,200,000 to welding fumes.</w:t>
      </w:r>
    </w:p>
  </w:footnote>
  <w:footnote w:id="11">
    <w:p w14:paraId="3F1D9628" w14:textId="77777777" w:rsidR="00A10F51" w:rsidRPr="00F86091" w:rsidRDefault="00A10F51" w:rsidP="00C43D10">
      <w:pPr>
        <w:pStyle w:val="FootnoteText"/>
        <w:ind w:left="57" w:right="57" w:hanging="170"/>
      </w:pPr>
      <w:r w:rsidRPr="00F86091">
        <w:rPr>
          <w:rStyle w:val="FootnoteReference"/>
        </w:rPr>
        <w:footnoteRef/>
      </w:r>
      <w:r w:rsidR="00F514AD" w:rsidRPr="00F86091">
        <w:rPr>
          <w:rFonts w:eastAsia="Times New Roman"/>
          <w:sz w:val="19"/>
          <w:szCs w:val="19"/>
        </w:rPr>
        <w:tab/>
      </w:r>
      <w:r w:rsidR="1B3AB25F" w:rsidRPr="00F86091">
        <w:rPr>
          <w:rFonts w:eastAsia="Times New Roman"/>
          <w:sz w:val="19"/>
          <w:szCs w:val="19"/>
        </w:rPr>
        <w:t>Directive (EU) 2022/431 of 9</w:t>
      </w:r>
      <w:r w:rsidR="00F86091">
        <w:rPr>
          <w:rFonts w:eastAsia="Times New Roman"/>
          <w:sz w:val="19"/>
          <w:szCs w:val="19"/>
        </w:rPr>
        <w:t> </w:t>
      </w:r>
      <w:r w:rsidR="1B3AB25F" w:rsidRPr="00F86091">
        <w:rPr>
          <w:rFonts w:eastAsia="Times New Roman"/>
          <w:sz w:val="19"/>
          <w:szCs w:val="19"/>
        </w:rPr>
        <w:t>March 2022 amending Directive 2004/37/EC on the protection of workers from the risks related to exposure to carcinogens or mutagens at work,</w:t>
      </w:r>
      <w:r w:rsidR="1B3AB25F" w:rsidRPr="0063678D">
        <w:rPr>
          <w:rFonts w:eastAsia="Times New Roman"/>
          <w:sz w:val="19"/>
          <w:szCs w:val="19"/>
        </w:rPr>
        <w:t xml:space="preserve"> </w:t>
      </w:r>
      <w:r w:rsidR="1B3AB25F" w:rsidRPr="00E05EE6">
        <w:rPr>
          <w:rFonts w:eastAsia="Times New Roman"/>
          <w:sz w:val="19"/>
          <w:szCs w:val="19"/>
        </w:rPr>
        <w:t>OJ L 88, 16.3.2022, p. 1-14</w:t>
      </w:r>
      <w:r w:rsidR="00F86091" w:rsidRPr="00E05EE6">
        <w:rPr>
          <w:rFonts w:eastAsia="Times New Roman"/>
          <w:sz w:val="19"/>
          <w:szCs w:val="19"/>
        </w:rPr>
        <w:t>.</w:t>
      </w:r>
    </w:p>
  </w:footnote>
  <w:footnote w:id="12">
    <w:p w14:paraId="6D16511F" w14:textId="77777777" w:rsidR="00E67087" w:rsidRPr="00F86091" w:rsidRDefault="00E67087" w:rsidP="00C43D10">
      <w:pPr>
        <w:pStyle w:val="FootnoteText"/>
        <w:ind w:left="57" w:right="57" w:hanging="170"/>
      </w:pPr>
      <w:r w:rsidRPr="00F86091">
        <w:rPr>
          <w:rStyle w:val="FootnoteReference"/>
        </w:rPr>
        <w:footnoteRef/>
      </w:r>
      <w:r w:rsidR="007B4D84" w:rsidRPr="00F86091">
        <w:tab/>
      </w:r>
      <w:r w:rsidRPr="00F86091">
        <w:t>Commission Staff Working Document</w:t>
      </w:r>
      <w:r w:rsidR="00C673DD">
        <w:t>:</w:t>
      </w:r>
      <w:r w:rsidRPr="00F86091">
        <w:t xml:space="preserve"> List of substances to be scientifically assessed for the purposes</w:t>
      </w:r>
      <w:r w:rsidR="00E05EE6">
        <w:t xml:space="preserve"> </w:t>
      </w:r>
      <w:r w:rsidRPr="00F86091">
        <w:t>of Article</w:t>
      </w:r>
      <w:r w:rsidR="00F86091">
        <w:t> </w:t>
      </w:r>
      <w:r w:rsidRPr="00F86091">
        <w:t>18a, third paragraph, of Directive (EU) 2004/37/EC on presenting an action plan to achieve new or revised occupational exposure limit values for at least 25 substances, groups of substances or process-generated substances, SWD (2022) 438 final</w:t>
      </w:r>
      <w:r w:rsidR="00F86091" w:rsidRPr="00F86091">
        <w:t>.</w:t>
      </w:r>
    </w:p>
  </w:footnote>
  <w:footnote w:id="13">
    <w:p w14:paraId="0C33153D" w14:textId="77777777" w:rsidR="00775116" w:rsidRPr="00775116" w:rsidRDefault="00775116" w:rsidP="00C43D10">
      <w:pPr>
        <w:pStyle w:val="FootnoteText"/>
        <w:ind w:left="57" w:right="57" w:hanging="170"/>
      </w:pPr>
      <w:r w:rsidRPr="00804B58">
        <w:rPr>
          <w:rStyle w:val="FootnoteReference"/>
        </w:rPr>
        <w:footnoteRef/>
      </w:r>
      <w:r w:rsidR="00804B58">
        <w:tab/>
      </w:r>
      <w:r w:rsidRPr="00775116">
        <w:t>Communication from the Commission to the European Parliament, the Council, the European Economic and Social Committee and the Committee of the Regions, Commission work programme 2025, Moving forward together: A Bolder, Simpler, Faster Union</w:t>
      </w:r>
      <w:r>
        <w:t xml:space="preserve">, </w:t>
      </w:r>
      <w:r w:rsidRPr="00775116">
        <w:t>COM(2025) 45 final</w:t>
      </w:r>
      <w:r>
        <w:t>.</w:t>
      </w:r>
    </w:p>
  </w:footnote>
  <w:footnote w:id="14">
    <w:p w14:paraId="1EC28C1F" w14:textId="77777777" w:rsidR="00093898" w:rsidRPr="00F86091" w:rsidRDefault="00093898" w:rsidP="00C43D10">
      <w:pPr>
        <w:pStyle w:val="FootnoteText"/>
        <w:ind w:left="57" w:right="57" w:hanging="170"/>
        <w:jc w:val="left"/>
      </w:pPr>
      <w:r w:rsidRPr="00F86091">
        <w:rPr>
          <w:rStyle w:val="FootnoteReference"/>
        </w:rPr>
        <w:footnoteRef/>
      </w:r>
      <w:r w:rsidR="00F514AD" w:rsidRPr="00F86091">
        <w:rPr>
          <w:rFonts w:eastAsia="Times New Roman"/>
          <w:sz w:val="19"/>
          <w:szCs w:val="19"/>
        </w:rPr>
        <w:tab/>
      </w:r>
      <w:r w:rsidR="1B3AB25F" w:rsidRPr="00F86091">
        <w:rPr>
          <w:rFonts w:eastAsia="Times New Roman"/>
          <w:sz w:val="19"/>
          <w:szCs w:val="19"/>
        </w:rPr>
        <w:t>OJ C 202, 7.6.2016, p.</w:t>
      </w:r>
      <w:r w:rsidR="00F86091">
        <w:rPr>
          <w:rFonts w:eastAsia="Times New Roman"/>
          <w:sz w:val="19"/>
          <w:szCs w:val="19"/>
        </w:rPr>
        <w:t> </w:t>
      </w:r>
      <w:r w:rsidR="1B3AB25F" w:rsidRPr="00F86091">
        <w:rPr>
          <w:rFonts w:eastAsia="Times New Roman"/>
          <w:sz w:val="19"/>
          <w:szCs w:val="19"/>
        </w:rPr>
        <w:t>389-405</w:t>
      </w:r>
      <w:r w:rsidR="00F86091" w:rsidRPr="00F86091">
        <w:rPr>
          <w:rFonts w:eastAsia="Times New Roman"/>
          <w:sz w:val="19"/>
          <w:szCs w:val="19"/>
        </w:rPr>
        <w:t>.</w:t>
      </w:r>
    </w:p>
  </w:footnote>
  <w:footnote w:id="15">
    <w:p w14:paraId="28863544" w14:textId="77777777" w:rsidR="009B0844" w:rsidRPr="00F86091" w:rsidRDefault="009B0844" w:rsidP="00C43D10">
      <w:pPr>
        <w:pStyle w:val="FootnoteText"/>
        <w:ind w:left="57" w:right="57" w:hanging="170"/>
        <w:jc w:val="left"/>
      </w:pPr>
      <w:r w:rsidRPr="00F86091">
        <w:rPr>
          <w:rStyle w:val="FootnoteReference"/>
        </w:rPr>
        <w:footnoteRef/>
      </w:r>
      <w:r w:rsidR="00F514AD" w:rsidRPr="00F86091">
        <w:rPr>
          <w:rFonts w:eastAsia="Times New Roman"/>
          <w:sz w:val="19"/>
          <w:szCs w:val="19"/>
        </w:rPr>
        <w:tab/>
      </w:r>
      <w:bookmarkStart w:id="3" w:name="_Hlk190425564"/>
      <w:r w:rsidR="1B3AB25F" w:rsidRPr="00F86091">
        <w:rPr>
          <w:rFonts w:eastAsia="Times New Roman"/>
          <w:sz w:val="19"/>
          <w:szCs w:val="19"/>
        </w:rPr>
        <w:t>OJ L 396, 30.12.2006, p.</w:t>
      </w:r>
      <w:r w:rsidR="00F86091">
        <w:rPr>
          <w:rFonts w:eastAsia="Times New Roman"/>
          <w:sz w:val="19"/>
          <w:szCs w:val="19"/>
        </w:rPr>
        <w:t> </w:t>
      </w:r>
      <w:r w:rsidR="1B3AB25F" w:rsidRPr="00F86091">
        <w:rPr>
          <w:rFonts w:eastAsia="Times New Roman"/>
          <w:sz w:val="19"/>
          <w:szCs w:val="19"/>
        </w:rPr>
        <w:t>1-849</w:t>
      </w:r>
      <w:bookmarkEnd w:id="3"/>
      <w:r w:rsidR="00F86091" w:rsidRPr="00F86091">
        <w:rPr>
          <w:rFonts w:eastAsia="Times New Roman"/>
          <w:sz w:val="19"/>
          <w:szCs w:val="19"/>
        </w:rPr>
        <w:t>.</w:t>
      </w:r>
    </w:p>
  </w:footnote>
  <w:footnote w:id="16">
    <w:p w14:paraId="3FB6276D" w14:textId="77777777" w:rsidR="00B97430" w:rsidRPr="00F86091" w:rsidRDefault="00B97430" w:rsidP="00C43D10">
      <w:pPr>
        <w:pStyle w:val="FootnoteText"/>
        <w:ind w:left="57" w:right="57" w:hanging="170"/>
      </w:pPr>
      <w:r w:rsidRPr="00F86091">
        <w:rPr>
          <w:rStyle w:val="FootnoteReference"/>
        </w:rPr>
        <w:footnoteRef/>
      </w:r>
      <w:r w:rsidR="00F514AD" w:rsidRPr="00F86091">
        <w:rPr>
          <w:rFonts w:eastAsia="Times New Roman"/>
          <w:sz w:val="19"/>
          <w:szCs w:val="19"/>
        </w:rPr>
        <w:tab/>
      </w:r>
      <w:r w:rsidR="00D345A7" w:rsidRPr="00D345A7">
        <w:rPr>
          <w:rFonts w:eastAsia="Times New Roman"/>
          <w:sz w:val="19"/>
          <w:szCs w:val="19"/>
          <w:lang w:val="pt-PT"/>
        </w:rPr>
        <w:t>Entry 50 of Annex XVII to REACH: Benzo[a]pyrene, Benzo[e]pyrene, Benzo[j]fluoranthene, Benzo[a]anthracene, Chrysene, Dibenzo[a,h]anthracene, Benzo[k]fluoranthene and Benzo[b]fluoranthene</w:t>
      </w:r>
      <w:r w:rsidR="004A7158">
        <w:rPr>
          <w:rFonts w:eastAsia="Times New Roman"/>
          <w:sz w:val="19"/>
          <w:szCs w:val="19"/>
          <w:lang w:val="pt-PT"/>
        </w:rPr>
        <w:t>;</w:t>
      </w:r>
      <w:r w:rsidR="004A7158" w:rsidRPr="004A7158">
        <w:t xml:space="preserve"> </w:t>
      </w:r>
      <w:r w:rsidR="004A7158">
        <w:t>Entry 50a of Annex XVII to REACH: Acenaphthene, Acenaphthylene, Anthracene, Benzo[a]anthracene, Benzo[a]pyrene, Benzo[def]chrysene, Benzo[b]fluoranthene, Benzo[e]acephenanthrylene, Benzo[e]pyrene, Benzo[ghi]perylene, Benzo[j]fluoranthene, Benzo[k]fluoranthene, Chrysene, Dibenzo[a,h]anthracene, Fluoranthene, Fluorene, Indeno[1,2,3cd]pyrene, Naphthalene, Phenanthrene, Pyrene</w:t>
      </w:r>
      <w:r w:rsidR="00F86091" w:rsidRPr="00F86091">
        <w:rPr>
          <w:rFonts w:eastAsia="Times New Roman"/>
          <w:sz w:val="19"/>
          <w:szCs w:val="19"/>
        </w:rPr>
        <w:t>.</w:t>
      </w:r>
    </w:p>
  </w:footnote>
  <w:footnote w:id="17">
    <w:p w14:paraId="4A136381" w14:textId="77777777" w:rsidR="009E0DA4" w:rsidRPr="00F86091" w:rsidRDefault="009E0DA4" w:rsidP="00C43D10">
      <w:pPr>
        <w:pStyle w:val="FootnoteText"/>
        <w:ind w:left="57" w:right="57" w:hanging="170"/>
      </w:pPr>
      <w:r w:rsidRPr="00F86091">
        <w:rPr>
          <w:rStyle w:val="FootnoteReference"/>
        </w:rPr>
        <w:footnoteRef/>
      </w:r>
      <w:r w:rsidR="00F514AD" w:rsidRPr="00F86091">
        <w:tab/>
      </w:r>
      <w:r w:rsidRPr="00F86091">
        <w:t xml:space="preserve">Entry 31 of Annex XVII </w:t>
      </w:r>
      <w:r w:rsidR="00A54321">
        <w:t>to</w:t>
      </w:r>
      <w:r w:rsidRPr="00F86091">
        <w:t xml:space="preserve"> </w:t>
      </w:r>
      <w:r w:rsidR="004F5902">
        <w:t xml:space="preserve">the </w:t>
      </w:r>
      <w:r w:rsidRPr="00F86091">
        <w:t>REACH</w:t>
      </w:r>
      <w:r w:rsidR="004F5902">
        <w:t xml:space="preserve"> Regulation</w:t>
      </w:r>
      <w:r w:rsidRPr="00F86091">
        <w:t xml:space="preserve">, available at: </w:t>
      </w:r>
      <w:hyperlink r:id="rId2" w:history="1">
        <w:r w:rsidRPr="00F86091">
          <w:rPr>
            <w:rStyle w:val="Hyperlink"/>
          </w:rPr>
          <w:t>https://echa.europa.eu/documents/10162/a27e80a3-3798-3c76-01a0-32357cc09f6f</w:t>
        </w:r>
      </w:hyperlink>
      <w:r w:rsidR="00F86091" w:rsidRPr="00E05EE6">
        <w:rPr>
          <w:rStyle w:val="Hyperlink"/>
          <w:color w:val="auto"/>
          <w:u w:val="none"/>
        </w:rPr>
        <w:t>.</w:t>
      </w:r>
    </w:p>
  </w:footnote>
  <w:footnote w:id="18">
    <w:p w14:paraId="64DD1CB6" w14:textId="77777777" w:rsidR="00B97430" w:rsidRPr="00F86091" w:rsidRDefault="00B97430" w:rsidP="00C43D10">
      <w:pPr>
        <w:pStyle w:val="FootnoteText"/>
        <w:ind w:left="57" w:right="57" w:hanging="170"/>
      </w:pPr>
      <w:r w:rsidRPr="00F86091">
        <w:rPr>
          <w:rStyle w:val="FootnoteReference"/>
        </w:rPr>
        <w:footnoteRef/>
      </w:r>
      <w:r w:rsidR="00F514AD" w:rsidRPr="00F86091">
        <w:rPr>
          <w:rFonts w:eastAsia="Times New Roman"/>
          <w:sz w:val="19"/>
          <w:szCs w:val="19"/>
        </w:rPr>
        <w:tab/>
      </w:r>
      <w:r w:rsidR="1B3AB25F" w:rsidRPr="00F86091">
        <w:rPr>
          <w:rFonts w:eastAsia="Times New Roman"/>
          <w:sz w:val="19"/>
          <w:szCs w:val="19"/>
        </w:rPr>
        <w:t>Decision of ECHA dated 23</w:t>
      </w:r>
      <w:r w:rsidR="00EB2B7B">
        <w:rPr>
          <w:rFonts w:eastAsia="Times New Roman"/>
          <w:sz w:val="19"/>
          <w:szCs w:val="19"/>
        </w:rPr>
        <w:t> June </w:t>
      </w:r>
      <w:r w:rsidR="1B3AB25F" w:rsidRPr="00F86091">
        <w:rPr>
          <w:rFonts w:eastAsia="Times New Roman"/>
          <w:sz w:val="19"/>
          <w:szCs w:val="19"/>
        </w:rPr>
        <w:t xml:space="preserve">2021 on the inclusion of substances of very high concern in the </w:t>
      </w:r>
      <w:r w:rsidR="00653BAC">
        <w:rPr>
          <w:rFonts w:eastAsia="Times New Roman"/>
          <w:sz w:val="19"/>
          <w:szCs w:val="19"/>
        </w:rPr>
        <w:t>c</w:t>
      </w:r>
      <w:r w:rsidR="1B3AB25F" w:rsidRPr="00F86091">
        <w:rPr>
          <w:rFonts w:eastAsia="Times New Roman"/>
          <w:sz w:val="19"/>
          <w:szCs w:val="19"/>
        </w:rPr>
        <w:t xml:space="preserve">andidate </w:t>
      </w:r>
      <w:r w:rsidR="00653BAC">
        <w:rPr>
          <w:rFonts w:eastAsia="Times New Roman"/>
          <w:sz w:val="19"/>
          <w:szCs w:val="19"/>
        </w:rPr>
        <w:t>l</w:t>
      </w:r>
      <w:r w:rsidR="1B3AB25F" w:rsidRPr="00F86091">
        <w:rPr>
          <w:rFonts w:eastAsia="Times New Roman"/>
          <w:sz w:val="19"/>
          <w:szCs w:val="19"/>
        </w:rPr>
        <w:t xml:space="preserve">ist for eventual inclusion in Annex XIV, available at: </w:t>
      </w:r>
      <w:hyperlink r:id="rId3" w:history="1">
        <w:r w:rsidR="1B3AB25F" w:rsidRPr="00F86091">
          <w:rPr>
            <w:rStyle w:val="Hyperlink"/>
            <w:rFonts w:eastAsia="Times New Roman"/>
            <w:sz w:val="19"/>
            <w:szCs w:val="19"/>
          </w:rPr>
          <w:t>ECHA decision on inclusion in Candidate List (europa.eu)</w:t>
        </w:r>
      </w:hyperlink>
      <w:r w:rsidR="00F86091" w:rsidRPr="00E05EE6">
        <w:rPr>
          <w:rStyle w:val="Hyperlink"/>
          <w:color w:val="auto"/>
          <w:u w:val="none"/>
        </w:rPr>
        <w:t>.</w:t>
      </w:r>
    </w:p>
  </w:footnote>
  <w:footnote w:id="19">
    <w:p w14:paraId="11A34B96" w14:textId="77777777" w:rsidR="00B86042" w:rsidRPr="00F86091" w:rsidRDefault="00B86042" w:rsidP="00C43D10">
      <w:pPr>
        <w:pStyle w:val="FootnoteText"/>
        <w:ind w:left="57" w:right="57" w:hanging="170"/>
      </w:pPr>
      <w:r w:rsidRPr="00F86091">
        <w:rPr>
          <w:rStyle w:val="FootnoteReference"/>
        </w:rPr>
        <w:footnoteRef/>
      </w:r>
      <w:r w:rsidR="00F514AD" w:rsidRPr="00F86091">
        <w:rPr>
          <w:rFonts w:eastAsia="Times New Roman"/>
          <w:sz w:val="19"/>
          <w:szCs w:val="19"/>
        </w:rPr>
        <w:tab/>
      </w:r>
      <w:r w:rsidR="1B3AB25F" w:rsidRPr="00F86091">
        <w:rPr>
          <w:rFonts w:eastAsia="Times New Roman"/>
          <w:sz w:val="19"/>
          <w:szCs w:val="19"/>
        </w:rPr>
        <w:t>Communication from the Commission to the European Parliament and the Council Europe’s Beating Cancer Plan, COM/2021/44 final</w:t>
      </w:r>
      <w:r w:rsidR="00F86091" w:rsidRPr="00F86091">
        <w:rPr>
          <w:rFonts w:eastAsia="Times New Roman"/>
          <w:sz w:val="19"/>
          <w:szCs w:val="19"/>
        </w:rPr>
        <w:t>.</w:t>
      </w:r>
    </w:p>
  </w:footnote>
  <w:footnote w:id="20">
    <w:p w14:paraId="40976853" w14:textId="77777777" w:rsidR="00653889" w:rsidRPr="00F86091" w:rsidRDefault="00653889" w:rsidP="00C43D10">
      <w:pPr>
        <w:pStyle w:val="FootnoteText"/>
        <w:ind w:left="57" w:right="57" w:hanging="170"/>
      </w:pPr>
      <w:r w:rsidRPr="00F86091">
        <w:rPr>
          <w:rStyle w:val="FootnoteReference"/>
        </w:rPr>
        <w:footnoteRef/>
      </w:r>
      <w:r w:rsidR="00F514AD" w:rsidRPr="00F86091">
        <w:rPr>
          <w:rFonts w:eastAsia="Times New Roman"/>
          <w:sz w:val="19"/>
          <w:szCs w:val="19"/>
        </w:rPr>
        <w:tab/>
      </w:r>
      <w:r w:rsidR="1B3AB25F" w:rsidRPr="00F86091">
        <w:rPr>
          <w:rFonts w:eastAsia="Times New Roman"/>
          <w:sz w:val="19"/>
          <w:szCs w:val="19"/>
        </w:rPr>
        <w:t>I</w:t>
      </w:r>
      <w:r w:rsidR="004C4A09">
        <w:rPr>
          <w:rFonts w:eastAsia="Times New Roman"/>
          <w:sz w:val="19"/>
          <w:szCs w:val="19"/>
        </w:rPr>
        <w:t>taly, Luxembourg, Malta, Portugal and Slovenia</w:t>
      </w:r>
      <w:r w:rsidR="00F86091" w:rsidRPr="00F86091">
        <w:rPr>
          <w:rFonts w:eastAsia="Times New Roman"/>
          <w:sz w:val="19"/>
          <w:szCs w:val="19"/>
        </w:rPr>
        <w:t>.</w:t>
      </w:r>
    </w:p>
  </w:footnote>
  <w:footnote w:id="21">
    <w:p w14:paraId="0B89FFCA" w14:textId="77777777" w:rsidR="00E71D4E" w:rsidRPr="00F86091" w:rsidRDefault="00E71D4E" w:rsidP="00C43D10">
      <w:pPr>
        <w:pStyle w:val="FootnoteText"/>
        <w:ind w:left="57" w:right="57" w:hanging="170"/>
      </w:pPr>
      <w:r w:rsidRPr="00F86091">
        <w:rPr>
          <w:rStyle w:val="FootnoteReference"/>
        </w:rPr>
        <w:footnoteRef/>
      </w:r>
      <w:r w:rsidR="00F514AD" w:rsidRPr="00F86091">
        <w:tab/>
      </w:r>
      <w:r w:rsidRPr="00F86091">
        <w:rPr>
          <w:rFonts w:eastAsia="Times New Roman"/>
          <w:sz w:val="19"/>
          <w:szCs w:val="19"/>
        </w:rPr>
        <w:t>Regulation (EC) No</w:t>
      </w:r>
      <w:r w:rsidR="00F86091">
        <w:rPr>
          <w:rFonts w:eastAsia="Times New Roman"/>
          <w:sz w:val="19"/>
          <w:szCs w:val="19"/>
        </w:rPr>
        <w:t> </w:t>
      </w:r>
      <w:r w:rsidRPr="00F86091">
        <w:rPr>
          <w:rFonts w:eastAsia="Times New Roman"/>
          <w:sz w:val="19"/>
          <w:szCs w:val="19"/>
        </w:rPr>
        <w:t>1272/2008 of the European Parliament and of the Council of 16</w:t>
      </w:r>
      <w:r w:rsidR="00F86091">
        <w:rPr>
          <w:rFonts w:eastAsia="Times New Roman"/>
          <w:sz w:val="19"/>
          <w:szCs w:val="19"/>
        </w:rPr>
        <w:t> </w:t>
      </w:r>
      <w:r w:rsidRPr="00F86091">
        <w:rPr>
          <w:rFonts w:eastAsia="Times New Roman"/>
          <w:sz w:val="19"/>
          <w:szCs w:val="19"/>
        </w:rPr>
        <w:t>December 2008 on classification, labelling and packaging of substances and mixtures, amending and repealing Directives 67/548/EEC and 1999/45/EC, and amending Regulation (EC) No</w:t>
      </w:r>
      <w:r w:rsidR="00F86091">
        <w:rPr>
          <w:rFonts w:eastAsia="Times New Roman"/>
          <w:sz w:val="19"/>
          <w:szCs w:val="19"/>
        </w:rPr>
        <w:t> </w:t>
      </w:r>
      <w:r w:rsidRPr="00F86091">
        <w:rPr>
          <w:rFonts w:eastAsia="Times New Roman"/>
          <w:sz w:val="19"/>
          <w:szCs w:val="19"/>
        </w:rPr>
        <w:t xml:space="preserve">1907/2006, </w:t>
      </w:r>
      <w:r w:rsidRPr="00E05EE6">
        <w:rPr>
          <w:rFonts w:eastAsia="Times New Roman"/>
          <w:sz w:val="19"/>
          <w:szCs w:val="19"/>
        </w:rPr>
        <w:t>OJ L 353, 31.12.2008, p. 1-1355</w:t>
      </w:r>
      <w:r w:rsidR="00F86091" w:rsidRPr="00F86091">
        <w:t>.</w:t>
      </w:r>
    </w:p>
  </w:footnote>
  <w:footnote w:id="22">
    <w:p w14:paraId="48268E5F" w14:textId="77777777" w:rsidR="00980248" w:rsidRPr="0081276B" w:rsidRDefault="00980248" w:rsidP="00C43D10">
      <w:pPr>
        <w:pStyle w:val="FootnoteText"/>
        <w:ind w:left="57" w:right="57" w:hanging="170"/>
        <w:rPr>
          <w:lang w:val="en-IE"/>
        </w:rPr>
      </w:pPr>
      <w:r w:rsidRPr="00804B58">
        <w:rPr>
          <w:rStyle w:val="FootnoteReference"/>
        </w:rPr>
        <w:footnoteRef/>
      </w:r>
      <w:r w:rsidR="00804B58">
        <w:tab/>
      </w:r>
      <w:r>
        <w:t xml:space="preserve">The SLIC has the mandate to give its opinion on all matters relating to the enforcement by the Member States of EU legislation on health and safety at work. It consists of representatives of the labour inspection services of the Member States, as mentioned in the Commission Decision of July 1995 setting up a Committee of Senior Labour Inspectors (95/319/EC). The Committee shall comprise on full member per Member State and one alternate member may be appointed for each full member. </w:t>
      </w:r>
    </w:p>
  </w:footnote>
  <w:footnote w:id="23">
    <w:p w14:paraId="0A30AFE0" w14:textId="77777777" w:rsidR="00980248" w:rsidRPr="00581DB6" w:rsidRDefault="00980248" w:rsidP="00C43D10">
      <w:pPr>
        <w:pStyle w:val="FootnoteText"/>
        <w:ind w:left="57" w:right="57" w:hanging="170"/>
        <w:rPr>
          <w:lang w:val="en-IE"/>
        </w:rPr>
      </w:pPr>
      <w:r w:rsidRPr="00804B58">
        <w:rPr>
          <w:rStyle w:val="FootnoteReference"/>
        </w:rPr>
        <w:footnoteRef/>
      </w:r>
      <w:r w:rsidR="00804B58">
        <w:tab/>
      </w:r>
      <w:r>
        <w:t xml:space="preserve">SLIC (2018), Guidance for National Labour Inspectors on addressing health risks from Welding Fume. Available at: </w:t>
      </w:r>
      <w:hyperlink r:id="rId4" w:history="1">
        <w:r>
          <w:rPr>
            <w:rStyle w:val="Hyperlink"/>
          </w:rPr>
          <w:t>https://circabc.europa.eu/ui/group/fea534f4-2590-4490-bca6-504782b47c79/library/2997b89a-1fbd-4f35-9874-9a9b5ea1a403?p=1&amp;n=-1&amp;sort=name_ASC</w:t>
        </w:r>
      </w:hyperlink>
      <w:r>
        <w:t xml:space="preserve"> </w:t>
      </w:r>
    </w:p>
  </w:footnote>
  <w:footnote w:id="24">
    <w:p w14:paraId="08D7E44B" w14:textId="77777777" w:rsidR="004D2025" w:rsidRPr="00F86091" w:rsidRDefault="004D2025" w:rsidP="00C43D10">
      <w:pPr>
        <w:pStyle w:val="FootnoteText"/>
        <w:ind w:left="57" w:right="57" w:hanging="170"/>
      </w:pPr>
      <w:r w:rsidRPr="00F86091">
        <w:rPr>
          <w:rStyle w:val="FootnoteReference"/>
        </w:rPr>
        <w:footnoteRef/>
      </w:r>
      <w:r w:rsidR="00F514AD" w:rsidRPr="00F86091">
        <w:rPr>
          <w:rFonts w:eastAsia="Times New Roman"/>
          <w:sz w:val="19"/>
          <w:szCs w:val="19"/>
        </w:rPr>
        <w:tab/>
      </w:r>
      <w:r w:rsidR="1B3AB25F" w:rsidRPr="00F86091">
        <w:rPr>
          <w:rFonts w:eastAsia="Times New Roman"/>
          <w:sz w:val="19"/>
          <w:szCs w:val="19"/>
        </w:rPr>
        <w:t xml:space="preserve">ACSH (2023), Opinion on an EU binding Occupational Exposure Limit Value (BOEL) and notations for cobalt and its inorganic compounds, Doc. 005/23, available at: </w:t>
      </w:r>
      <w:hyperlink r:id="rId5" w:history="1">
        <w:r w:rsidR="1B3AB25F" w:rsidRPr="00F86091">
          <w:rPr>
            <w:rStyle w:val="Hyperlink"/>
            <w:rFonts w:eastAsia="Times New Roman"/>
            <w:sz w:val="19"/>
            <w:szCs w:val="19"/>
          </w:rPr>
          <w:t>ACSH Adopted opinion Cobalt and inorganic compounds 22.09.23-EN.pdf (europa.eu)</w:t>
        </w:r>
      </w:hyperlink>
      <w:r w:rsidR="00F86091" w:rsidRPr="000C5343">
        <w:rPr>
          <w:rStyle w:val="Hyperlink"/>
          <w:color w:val="auto"/>
          <w:u w:val="none"/>
        </w:rPr>
        <w:t>.</w:t>
      </w:r>
    </w:p>
  </w:footnote>
  <w:footnote w:id="25">
    <w:p w14:paraId="5D5DC266" w14:textId="77777777" w:rsidR="00D51E14" w:rsidRPr="00F86091" w:rsidRDefault="00D51E14" w:rsidP="00C43D10">
      <w:pPr>
        <w:pStyle w:val="FootnoteText"/>
        <w:ind w:left="57" w:right="57" w:hanging="170"/>
      </w:pPr>
      <w:r w:rsidRPr="00F86091">
        <w:rPr>
          <w:rStyle w:val="FootnoteReference"/>
        </w:rPr>
        <w:footnoteRef/>
      </w:r>
      <w:r w:rsidR="00F514AD" w:rsidRPr="00F86091">
        <w:rPr>
          <w:rFonts w:eastAsia="Times New Roman"/>
          <w:sz w:val="19"/>
          <w:szCs w:val="19"/>
        </w:rPr>
        <w:tab/>
      </w:r>
      <w:r w:rsidR="1B3AB25F" w:rsidRPr="00F86091">
        <w:rPr>
          <w:rFonts w:eastAsia="Times New Roman"/>
          <w:sz w:val="19"/>
          <w:szCs w:val="19"/>
        </w:rPr>
        <w:t xml:space="preserve">ACSH (2023), Opinion on an EU binding Occupational Exposure Limit Value (BOEL) for Polycyclic Aromatic Hydrocarbons (PAHs), Doc. 003/23, available at: </w:t>
      </w:r>
      <w:hyperlink r:id="rId6" w:history="1">
        <w:r w:rsidR="1B3AB25F" w:rsidRPr="00F86091">
          <w:rPr>
            <w:rStyle w:val="Hyperlink"/>
            <w:rFonts w:eastAsia="Times New Roman"/>
            <w:sz w:val="19"/>
            <w:szCs w:val="19"/>
          </w:rPr>
          <w:t>ACSH Adopted opinion PAHs 22.09.23-EN.pdf (europa.eu)</w:t>
        </w:r>
      </w:hyperlink>
      <w:r w:rsidR="00F86091" w:rsidRPr="00DC0075">
        <w:rPr>
          <w:rStyle w:val="Hyperlink"/>
          <w:color w:val="auto"/>
          <w:u w:val="none"/>
        </w:rPr>
        <w:t>.</w:t>
      </w:r>
    </w:p>
  </w:footnote>
  <w:footnote w:id="26">
    <w:p w14:paraId="70F7A2E3" w14:textId="77777777" w:rsidR="00A2041E" w:rsidRPr="00F86091" w:rsidRDefault="00A2041E" w:rsidP="00C43D10">
      <w:pPr>
        <w:pStyle w:val="FootnoteText"/>
        <w:ind w:left="57" w:right="57" w:hanging="170"/>
      </w:pPr>
      <w:r w:rsidRPr="00F86091">
        <w:rPr>
          <w:rStyle w:val="FootnoteReference"/>
        </w:rPr>
        <w:footnoteRef/>
      </w:r>
      <w:r w:rsidR="00F514AD" w:rsidRPr="00F86091">
        <w:rPr>
          <w:rFonts w:eastAsia="Times New Roman"/>
          <w:sz w:val="19"/>
          <w:szCs w:val="19"/>
        </w:rPr>
        <w:tab/>
      </w:r>
      <w:r w:rsidR="1B3AB25F" w:rsidRPr="00F86091">
        <w:rPr>
          <w:rFonts w:eastAsia="Times New Roman"/>
          <w:sz w:val="19"/>
          <w:szCs w:val="19"/>
        </w:rPr>
        <w:t>ACSH (2023), Opinion on an EU binding Occupational Exposure Limit Value (BOEL), Short-Term Exposure Limit (STEL), Biological Limit Value (BLV) and skin notation for 1</w:t>
      </w:r>
      <w:r w:rsidR="00F86091">
        <w:rPr>
          <w:rFonts w:eastAsia="Times New Roman"/>
          <w:sz w:val="19"/>
          <w:szCs w:val="19"/>
        </w:rPr>
        <w:t>.</w:t>
      </w:r>
      <w:r w:rsidR="1B3AB25F" w:rsidRPr="00F86091">
        <w:rPr>
          <w:rFonts w:eastAsia="Times New Roman"/>
          <w:sz w:val="19"/>
          <w:szCs w:val="19"/>
        </w:rPr>
        <w:t xml:space="preserve">4-dioxane, Doc. 007/23, available at: </w:t>
      </w:r>
      <w:hyperlink r:id="rId7" w:history="1">
        <w:r w:rsidR="1B3AB25F" w:rsidRPr="00F86091">
          <w:rPr>
            <w:rStyle w:val="Hyperlink"/>
            <w:rFonts w:eastAsia="Times New Roman"/>
            <w:sz w:val="19"/>
            <w:szCs w:val="19"/>
          </w:rPr>
          <w:t>ACSH Adopted opinion 1_4-dioxane 22.09.23-EN.pdf (europa.eu)</w:t>
        </w:r>
      </w:hyperlink>
      <w:r w:rsidR="00F86091" w:rsidRPr="00DC0075">
        <w:rPr>
          <w:rStyle w:val="Hyperlink"/>
          <w:color w:val="auto"/>
          <w:u w:val="none"/>
        </w:rPr>
        <w:t>.</w:t>
      </w:r>
    </w:p>
  </w:footnote>
  <w:footnote w:id="27">
    <w:p w14:paraId="6730C484" w14:textId="77777777" w:rsidR="007C3029" w:rsidRPr="00F86091" w:rsidRDefault="00DD6B0B" w:rsidP="00C43D10">
      <w:pPr>
        <w:pStyle w:val="FootnoteText"/>
        <w:ind w:left="57" w:right="57" w:hanging="170"/>
      </w:pPr>
      <w:r w:rsidRPr="00F86091">
        <w:rPr>
          <w:rStyle w:val="FootnoteReference"/>
        </w:rPr>
        <w:footnoteRef/>
      </w:r>
      <w:r w:rsidR="00F514AD" w:rsidRPr="00F86091">
        <w:rPr>
          <w:rFonts w:eastAsia="Times New Roman"/>
          <w:sz w:val="19"/>
          <w:szCs w:val="19"/>
        </w:rPr>
        <w:tab/>
      </w:r>
      <w:r w:rsidR="1B3AB25F" w:rsidRPr="00F86091">
        <w:rPr>
          <w:rFonts w:eastAsia="Times New Roman"/>
          <w:sz w:val="19"/>
          <w:szCs w:val="19"/>
        </w:rPr>
        <w:t xml:space="preserve">ACSH (2023), Opinion on an EU binding Occupational Exposure Limit Value (BOEL), for isoprene, Doc. 004/23, available at: </w:t>
      </w:r>
      <w:hyperlink r:id="rId8" w:history="1">
        <w:r w:rsidR="1B3AB25F" w:rsidRPr="00F86091">
          <w:rPr>
            <w:rStyle w:val="Hyperlink"/>
            <w:rFonts w:eastAsia="Times New Roman"/>
            <w:sz w:val="19"/>
            <w:szCs w:val="19"/>
          </w:rPr>
          <w:t>ACSH Adopted opinion Isoprene 22.09.23-EN.pdf (europa.eu)</w:t>
        </w:r>
      </w:hyperlink>
      <w:r w:rsidR="00F86091" w:rsidRPr="00DC0075">
        <w:rPr>
          <w:rStyle w:val="Hyperlink"/>
          <w:color w:val="auto"/>
          <w:u w:val="none"/>
        </w:rPr>
        <w:t>.</w:t>
      </w:r>
    </w:p>
  </w:footnote>
  <w:footnote w:id="28">
    <w:p w14:paraId="54EFE514" w14:textId="77777777" w:rsidR="007C3029" w:rsidRPr="00F86091" w:rsidRDefault="007C3029" w:rsidP="00C43D10">
      <w:pPr>
        <w:pStyle w:val="FootnoteText"/>
        <w:ind w:left="57" w:right="57" w:hanging="170"/>
      </w:pPr>
      <w:r w:rsidRPr="00F86091">
        <w:rPr>
          <w:rStyle w:val="FootnoteReference"/>
        </w:rPr>
        <w:footnoteRef/>
      </w:r>
      <w:r w:rsidR="00F514AD" w:rsidRPr="00F86091">
        <w:rPr>
          <w:rFonts w:eastAsia="Times New Roman"/>
          <w:sz w:val="19"/>
          <w:szCs w:val="19"/>
        </w:rPr>
        <w:tab/>
      </w:r>
      <w:r w:rsidR="1B3AB25F" w:rsidRPr="00F86091">
        <w:rPr>
          <w:rFonts w:eastAsia="Times New Roman"/>
          <w:sz w:val="19"/>
          <w:szCs w:val="19"/>
        </w:rPr>
        <w:t xml:space="preserve">ACSH (2023), Opinion on introducing work involving exposure to fumes from welding processes containing substances that meet the criteria for CMR category 1A/1B set out in Annex I to the CLP Regulation, Doc. 006/23, available at: </w:t>
      </w:r>
      <w:hyperlink r:id="rId9" w:history="1">
        <w:r w:rsidR="1B3AB25F" w:rsidRPr="00F86091">
          <w:rPr>
            <w:rStyle w:val="Hyperlink"/>
            <w:rFonts w:eastAsia="Times New Roman"/>
            <w:sz w:val="19"/>
            <w:szCs w:val="19"/>
          </w:rPr>
          <w:t>ACSH Adopted opinion Welding fumes 22.09.23-EN.pdf (europa.eu)</w:t>
        </w:r>
      </w:hyperlink>
      <w:r w:rsidR="00F86091" w:rsidRPr="00DC0075">
        <w:rPr>
          <w:rStyle w:val="Hyperlink"/>
          <w:color w:val="auto"/>
          <w:u w:val="none"/>
        </w:rPr>
        <w:t>.</w:t>
      </w:r>
    </w:p>
  </w:footnote>
  <w:footnote w:id="29">
    <w:p w14:paraId="1234040A" w14:textId="77777777" w:rsidR="00A33041" w:rsidRPr="00F86091" w:rsidRDefault="00A33041" w:rsidP="00C43D10">
      <w:pPr>
        <w:pStyle w:val="FootnoteText"/>
        <w:ind w:left="57" w:right="57" w:hanging="170"/>
      </w:pPr>
      <w:r w:rsidRPr="00F86091">
        <w:rPr>
          <w:rStyle w:val="FootnoteReference"/>
        </w:rPr>
        <w:footnoteRef/>
      </w:r>
      <w:r w:rsidR="00F514AD" w:rsidRPr="00F86091">
        <w:rPr>
          <w:rFonts w:eastAsia="Times New Roman"/>
          <w:sz w:val="19"/>
          <w:szCs w:val="19"/>
        </w:rPr>
        <w:tab/>
      </w:r>
      <w:r w:rsidR="1B3AB25F" w:rsidRPr="00F86091">
        <w:rPr>
          <w:rFonts w:eastAsia="Times New Roman"/>
          <w:sz w:val="19"/>
          <w:szCs w:val="19"/>
        </w:rPr>
        <w:t xml:space="preserve">ACSH (2023), Addendum to the ACSH opinion 003/23 on an EU binding Occupational Exposure Limit Value (BOEL) for Polycyclic Aromatic Hydrocarbons (PAHs), Doc. 003/23/2, available at: </w:t>
      </w:r>
      <w:hyperlink r:id="rId10" w:history="1">
        <w:r w:rsidR="1B3AB25F" w:rsidRPr="00F86091">
          <w:rPr>
            <w:rStyle w:val="Hyperlink"/>
            <w:rFonts w:eastAsia="Times New Roman"/>
            <w:sz w:val="19"/>
            <w:szCs w:val="19"/>
          </w:rPr>
          <w:t>Addendum to ACSH opinion PAHs-EN.pdf (europa.eu)</w:t>
        </w:r>
      </w:hyperlink>
      <w:r w:rsidR="00F86091" w:rsidRPr="003D6EE6">
        <w:rPr>
          <w:rStyle w:val="Hyperlink"/>
          <w:color w:val="auto"/>
          <w:u w:val="none"/>
        </w:rPr>
        <w:t>.</w:t>
      </w:r>
    </w:p>
  </w:footnote>
  <w:footnote w:id="30">
    <w:p w14:paraId="708BA9F4" w14:textId="77777777" w:rsidR="007A5E2E" w:rsidRPr="00F86091" w:rsidRDefault="007A5E2E" w:rsidP="00C43D10">
      <w:pPr>
        <w:pStyle w:val="FootnoteText"/>
        <w:ind w:left="57" w:right="57" w:hanging="170"/>
      </w:pPr>
      <w:r w:rsidRPr="00F86091">
        <w:rPr>
          <w:rStyle w:val="FootnoteReference"/>
        </w:rPr>
        <w:footnoteRef/>
      </w:r>
      <w:r w:rsidR="00F514AD" w:rsidRPr="00F86091">
        <w:rPr>
          <w:rFonts w:eastAsia="Times New Roman"/>
          <w:sz w:val="19"/>
          <w:szCs w:val="19"/>
        </w:rPr>
        <w:tab/>
      </w:r>
      <w:r w:rsidR="1B3AB25F" w:rsidRPr="00F86091">
        <w:rPr>
          <w:rFonts w:eastAsia="Times New Roman"/>
          <w:sz w:val="19"/>
          <w:szCs w:val="19"/>
        </w:rPr>
        <w:t xml:space="preserve">ECHA (2022), Scoping Study report for evaluation of limit values for welding fumes and fumes from other processes that generate fume in a similar way at the workplace, available at: </w:t>
      </w:r>
      <w:hyperlink r:id="rId11" w:history="1">
        <w:r w:rsidR="1B3AB25F" w:rsidRPr="00F86091">
          <w:rPr>
            <w:rStyle w:val="Hyperlink"/>
            <w:rFonts w:eastAsia="Times New Roman"/>
            <w:sz w:val="19"/>
            <w:szCs w:val="19"/>
          </w:rPr>
          <w:t>report_welding_fumes_en.pdf (europa.eu)</w:t>
        </w:r>
      </w:hyperlink>
      <w:r w:rsidR="00F86091" w:rsidRPr="003D6EE6">
        <w:rPr>
          <w:rStyle w:val="Hyperlink"/>
          <w:color w:val="auto"/>
          <w:u w:val="none"/>
        </w:rPr>
        <w:t>.</w:t>
      </w:r>
    </w:p>
  </w:footnote>
  <w:footnote w:id="31">
    <w:p w14:paraId="3903E9EE" w14:textId="77777777" w:rsidR="00E64594" w:rsidRPr="00F86091" w:rsidRDefault="00E64594" w:rsidP="00C43D10">
      <w:pPr>
        <w:pStyle w:val="FootnoteText"/>
        <w:ind w:left="57" w:right="57" w:hanging="170"/>
      </w:pPr>
      <w:r w:rsidRPr="00F86091">
        <w:rPr>
          <w:rStyle w:val="FootnoteReference"/>
        </w:rPr>
        <w:footnoteRef/>
      </w:r>
      <w:r w:rsidR="00F514AD" w:rsidRPr="00F86091">
        <w:rPr>
          <w:rFonts w:eastAsia="Times New Roman"/>
          <w:sz w:val="19"/>
          <w:szCs w:val="19"/>
        </w:rPr>
        <w:tab/>
      </w:r>
      <w:r w:rsidR="1B3AB25F" w:rsidRPr="00F86091">
        <w:rPr>
          <w:rFonts w:eastAsia="Times New Roman"/>
          <w:sz w:val="19"/>
          <w:szCs w:val="19"/>
        </w:rPr>
        <w:t xml:space="preserve">Available at: </w:t>
      </w:r>
      <w:hyperlink r:id="rId12" w:history="1">
        <w:r w:rsidR="1B3AB25F" w:rsidRPr="00F86091">
          <w:rPr>
            <w:rStyle w:val="Hyperlink"/>
            <w:rFonts w:eastAsia="Times New Roman"/>
            <w:sz w:val="19"/>
            <w:szCs w:val="19"/>
          </w:rPr>
          <w:t>RAC opinions on scientific evaluations of OELs - ECHA (europa.eu)</w:t>
        </w:r>
      </w:hyperlink>
      <w:r w:rsidR="00F86091" w:rsidRPr="003D6EE6">
        <w:rPr>
          <w:rStyle w:val="Hyperlink"/>
          <w:color w:val="auto"/>
          <w:u w:val="none"/>
        </w:rPr>
        <w:t>.</w:t>
      </w:r>
    </w:p>
  </w:footnote>
  <w:footnote w:id="32">
    <w:p w14:paraId="663225B4" w14:textId="77777777" w:rsidR="00B47CC2" w:rsidRPr="00F86091" w:rsidRDefault="00B47CC2" w:rsidP="00C43D10">
      <w:pPr>
        <w:pStyle w:val="FootnoteText"/>
        <w:ind w:left="57" w:right="57" w:hanging="170"/>
      </w:pPr>
      <w:r w:rsidRPr="00F86091">
        <w:rPr>
          <w:rStyle w:val="FootnoteReference"/>
        </w:rPr>
        <w:footnoteRef/>
      </w:r>
      <w:r w:rsidR="00F514AD" w:rsidRPr="00F86091">
        <w:rPr>
          <w:rFonts w:eastAsia="Times New Roman"/>
          <w:sz w:val="19"/>
          <w:szCs w:val="19"/>
        </w:rPr>
        <w:tab/>
      </w:r>
      <w:r w:rsidR="1B3AB25F" w:rsidRPr="00F86091">
        <w:rPr>
          <w:rFonts w:eastAsia="Times New Roman"/>
          <w:sz w:val="19"/>
          <w:szCs w:val="19"/>
        </w:rPr>
        <w:t>Inhalable fraction</w:t>
      </w:r>
      <w:r w:rsidR="00F86091" w:rsidRPr="00F86091">
        <w:rPr>
          <w:rFonts w:eastAsia="Times New Roman"/>
          <w:sz w:val="19"/>
          <w:szCs w:val="19"/>
        </w:rPr>
        <w:t>.</w:t>
      </w:r>
    </w:p>
  </w:footnote>
  <w:footnote w:id="33">
    <w:p w14:paraId="2CDD46DB" w14:textId="77777777" w:rsidR="00B47CC2" w:rsidRPr="00F86091" w:rsidRDefault="00B47CC2" w:rsidP="00C43D10">
      <w:pPr>
        <w:pStyle w:val="FootnoteText"/>
        <w:ind w:left="57" w:right="57" w:hanging="170"/>
      </w:pPr>
      <w:r w:rsidRPr="00F86091">
        <w:rPr>
          <w:rStyle w:val="FootnoteReference"/>
        </w:rPr>
        <w:footnoteRef/>
      </w:r>
      <w:r w:rsidR="00F514AD" w:rsidRPr="00F86091">
        <w:rPr>
          <w:rFonts w:eastAsia="Times New Roman"/>
          <w:sz w:val="19"/>
          <w:szCs w:val="19"/>
        </w:rPr>
        <w:tab/>
      </w:r>
      <w:r w:rsidR="1B3AB25F" w:rsidRPr="00F86091">
        <w:rPr>
          <w:rFonts w:eastAsia="Times New Roman"/>
          <w:sz w:val="19"/>
          <w:szCs w:val="19"/>
        </w:rPr>
        <w:t>Respirable fraction</w:t>
      </w:r>
      <w:r w:rsidR="00F86091" w:rsidRPr="00F86091">
        <w:rPr>
          <w:rFonts w:eastAsia="Times New Roman"/>
          <w:sz w:val="19"/>
          <w:szCs w:val="19"/>
        </w:rPr>
        <w:t>.</w:t>
      </w:r>
    </w:p>
  </w:footnote>
  <w:footnote w:id="34">
    <w:p w14:paraId="3FF3F894" w14:textId="77777777" w:rsidR="00E82F5D" w:rsidRPr="00F86091" w:rsidRDefault="00E82F5D" w:rsidP="00C43D10">
      <w:pPr>
        <w:pStyle w:val="FootnoteText"/>
        <w:ind w:left="57" w:right="57" w:hanging="170"/>
      </w:pPr>
      <w:r w:rsidRPr="00F86091">
        <w:rPr>
          <w:rStyle w:val="FootnoteReference"/>
        </w:rPr>
        <w:footnoteRef/>
      </w:r>
      <w:r w:rsidR="00F514AD" w:rsidRPr="00F86091">
        <w:rPr>
          <w:rFonts w:eastAsia="Times New Roman"/>
          <w:sz w:val="19"/>
          <w:szCs w:val="19"/>
        </w:rPr>
        <w:tab/>
      </w:r>
      <w:r w:rsidR="1B3AB25F" w:rsidRPr="00F86091">
        <w:rPr>
          <w:rFonts w:eastAsia="Times New Roman"/>
          <w:sz w:val="19"/>
          <w:szCs w:val="19"/>
        </w:rPr>
        <w:t>2</w:t>
      </w:r>
      <w:r w:rsidR="00F86091">
        <w:rPr>
          <w:rFonts w:eastAsia="Times New Roman"/>
          <w:sz w:val="19"/>
          <w:szCs w:val="19"/>
        </w:rPr>
        <w:t> </w:t>
      </w:r>
      <w:r w:rsidR="1B3AB25F" w:rsidRPr="00F86091">
        <w:rPr>
          <w:rFonts w:eastAsia="Times New Roman"/>
          <w:sz w:val="19"/>
          <w:szCs w:val="19"/>
        </w:rPr>
        <w:t>842 restrictive lung disease, 7</w:t>
      </w:r>
      <w:r w:rsidR="00F86091">
        <w:rPr>
          <w:rFonts w:eastAsia="Times New Roman"/>
          <w:sz w:val="19"/>
          <w:szCs w:val="19"/>
        </w:rPr>
        <w:t> </w:t>
      </w:r>
      <w:r w:rsidR="1B3AB25F" w:rsidRPr="00F86091">
        <w:rPr>
          <w:rFonts w:eastAsia="Times New Roman"/>
          <w:sz w:val="19"/>
          <w:szCs w:val="19"/>
        </w:rPr>
        <w:t>363 upper airway irritation, 38 developmental toxicity, 3</w:t>
      </w:r>
      <w:r w:rsidR="00F86091">
        <w:rPr>
          <w:rFonts w:eastAsia="Times New Roman"/>
          <w:sz w:val="19"/>
          <w:szCs w:val="19"/>
        </w:rPr>
        <w:t> </w:t>
      </w:r>
      <w:r w:rsidR="1B3AB25F" w:rsidRPr="00F86091">
        <w:rPr>
          <w:rFonts w:eastAsia="Times New Roman"/>
          <w:sz w:val="19"/>
          <w:szCs w:val="19"/>
        </w:rPr>
        <w:t>157 male infertility, 497 kidney effects, 633 liver effects and 4</w:t>
      </w:r>
      <w:r w:rsidR="00F86091">
        <w:rPr>
          <w:rFonts w:eastAsia="Times New Roman"/>
          <w:sz w:val="19"/>
          <w:szCs w:val="19"/>
        </w:rPr>
        <w:t> </w:t>
      </w:r>
      <w:r w:rsidR="1B3AB25F" w:rsidRPr="00F86091">
        <w:rPr>
          <w:rFonts w:eastAsia="Times New Roman"/>
          <w:sz w:val="19"/>
          <w:szCs w:val="19"/>
        </w:rPr>
        <w:t>382 local irritation in the nasal cavity.</w:t>
      </w:r>
    </w:p>
  </w:footnote>
  <w:footnote w:id="35">
    <w:p w14:paraId="0D942860" w14:textId="77777777" w:rsidR="00E82F5D" w:rsidRPr="001636E1" w:rsidRDefault="00E82F5D" w:rsidP="00C43D10">
      <w:pPr>
        <w:pStyle w:val="FootnoteText"/>
        <w:ind w:left="57" w:right="57" w:hanging="170"/>
        <w:rPr>
          <w:rFonts w:eastAsia="Times New Roman"/>
          <w:sz w:val="19"/>
          <w:szCs w:val="19"/>
        </w:rPr>
      </w:pPr>
      <w:r w:rsidRPr="00F86091">
        <w:rPr>
          <w:rStyle w:val="FootnoteReference"/>
        </w:rPr>
        <w:footnoteRef/>
      </w:r>
      <w:r w:rsidR="00F514AD" w:rsidRPr="00F86091">
        <w:rPr>
          <w:rFonts w:eastAsia="Times New Roman"/>
          <w:sz w:val="19"/>
          <w:szCs w:val="19"/>
        </w:rPr>
        <w:tab/>
      </w:r>
      <w:r w:rsidR="1B3AB25F" w:rsidRPr="00F86091">
        <w:rPr>
          <w:rFonts w:eastAsia="Times New Roman"/>
          <w:sz w:val="19"/>
          <w:szCs w:val="19"/>
        </w:rPr>
        <w:t>Application of willingness</w:t>
      </w:r>
      <w:r w:rsidR="00DC2CB2">
        <w:rPr>
          <w:rFonts w:eastAsia="Times New Roman"/>
          <w:sz w:val="19"/>
          <w:szCs w:val="19"/>
        </w:rPr>
        <w:t>-</w:t>
      </w:r>
      <w:r w:rsidR="1B3AB25F" w:rsidRPr="00F86091">
        <w:rPr>
          <w:rFonts w:eastAsia="Times New Roman"/>
          <w:sz w:val="19"/>
          <w:szCs w:val="19"/>
        </w:rPr>
        <w:t>to</w:t>
      </w:r>
      <w:r w:rsidR="00DC2CB2">
        <w:rPr>
          <w:rFonts w:eastAsia="Times New Roman"/>
          <w:sz w:val="19"/>
          <w:szCs w:val="19"/>
        </w:rPr>
        <w:t>-</w:t>
      </w:r>
      <w:r w:rsidR="1B3AB25F" w:rsidRPr="00F86091">
        <w:rPr>
          <w:rFonts w:eastAsia="Times New Roman"/>
          <w:sz w:val="19"/>
          <w:szCs w:val="19"/>
        </w:rPr>
        <w:t>pay values to each case (= method 1).</w:t>
      </w:r>
      <w:r w:rsidR="00471284" w:rsidRPr="00471284">
        <w:rPr>
          <w:rFonts w:eastAsia="Times New Roman"/>
          <w:sz w:val="19"/>
          <w:szCs w:val="19"/>
        </w:rPr>
        <w:t xml:space="preserve"> Willingness-to-pay values measure an individual’s willingness to pay to avoid a case of a disease. </w:t>
      </w:r>
    </w:p>
  </w:footnote>
  <w:footnote w:id="36">
    <w:p w14:paraId="07DD9FDA" w14:textId="77777777" w:rsidR="00E82F5D" w:rsidRPr="00F86091" w:rsidRDefault="00E82F5D" w:rsidP="00C43D10">
      <w:pPr>
        <w:pStyle w:val="FootnoteText"/>
        <w:ind w:left="57" w:right="57" w:hanging="170"/>
      </w:pPr>
      <w:r w:rsidRPr="00F86091">
        <w:rPr>
          <w:rStyle w:val="FootnoteReference"/>
        </w:rPr>
        <w:footnoteRef/>
      </w:r>
      <w:r w:rsidR="00F514AD" w:rsidRPr="00F86091">
        <w:rPr>
          <w:rFonts w:eastAsia="Times New Roman"/>
          <w:sz w:val="19"/>
          <w:szCs w:val="19"/>
        </w:rPr>
        <w:tab/>
      </w:r>
      <w:r w:rsidR="1B3AB25F" w:rsidRPr="00F86091">
        <w:rPr>
          <w:rFonts w:eastAsia="Times New Roman"/>
          <w:sz w:val="19"/>
          <w:szCs w:val="19"/>
        </w:rPr>
        <w:t>In the absence of data for welding fumes, the impact on employment could not be quantified.</w:t>
      </w:r>
    </w:p>
  </w:footnote>
  <w:footnote w:id="37">
    <w:p w14:paraId="5C4A31C7" w14:textId="77777777" w:rsidR="00531366" w:rsidRPr="00F86091" w:rsidRDefault="00531366" w:rsidP="00C43D10">
      <w:pPr>
        <w:pStyle w:val="FootnoteText"/>
        <w:ind w:left="57" w:right="57" w:hanging="170"/>
      </w:pPr>
      <w:bookmarkStart w:id="12" w:name="_Hlk184980790"/>
      <w:r w:rsidRPr="00F86091">
        <w:rPr>
          <w:rStyle w:val="FootnoteReference"/>
        </w:rPr>
        <w:footnoteRef/>
      </w:r>
      <w:r w:rsidR="00F514AD" w:rsidRPr="00F86091">
        <w:tab/>
      </w:r>
      <w:r w:rsidR="00070FD2">
        <w:t xml:space="preserve">The </w:t>
      </w:r>
      <w:r w:rsidR="00522F02">
        <w:t xml:space="preserve">EU-OSHA </w:t>
      </w:r>
      <w:r w:rsidR="00072127">
        <w:t>created this</w:t>
      </w:r>
      <w:r w:rsidR="002336DE">
        <w:t xml:space="preserve"> set of tools, available at</w:t>
      </w:r>
      <w:r w:rsidR="00072127">
        <w:t xml:space="preserve"> </w:t>
      </w:r>
      <w:hyperlink r:id="rId13" w:history="1">
        <w:r w:rsidR="00072127" w:rsidRPr="00F86091">
          <w:rPr>
            <w:rStyle w:val="Hyperlink"/>
          </w:rPr>
          <w:t>Online interactive Risk Assessment</w:t>
        </w:r>
      </w:hyperlink>
      <w:r w:rsidR="002336DE">
        <w:rPr>
          <w:rStyle w:val="Hyperlink"/>
        </w:rPr>
        <w:t xml:space="preserve">, </w:t>
      </w:r>
      <w:r w:rsidRPr="00F86091">
        <w:t>in 2009</w:t>
      </w:r>
      <w:r w:rsidR="00072127">
        <w:t xml:space="preserve"> </w:t>
      </w:r>
      <w:r w:rsidRPr="00F86091">
        <w:t xml:space="preserve">to provide easy-to-use tools </w:t>
      </w:r>
      <w:r w:rsidR="00072127">
        <w:t xml:space="preserve">to </w:t>
      </w:r>
      <w:r w:rsidRPr="00F86091">
        <w:t>guide micro and small organisations through the risk assessment process.</w:t>
      </w:r>
      <w:bookmarkEnd w:id="12"/>
    </w:p>
  </w:footnote>
  <w:footnote w:id="38">
    <w:p w14:paraId="2564995A" w14:textId="77777777" w:rsidR="00317F7C" w:rsidRPr="003D6EE6" w:rsidRDefault="00317F7C" w:rsidP="00C43D10">
      <w:pPr>
        <w:pStyle w:val="FootnoteText"/>
        <w:ind w:left="57" w:right="57" w:hanging="170"/>
        <w:rPr>
          <w:lang w:val="en-IE"/>
        </w:rPr>
      </w:pPr>
      <w:r w:rsidRPr="00804B58">
        <w:rPr>
          <w:rStyle w:val="FootnoteReference"/>
        </w:rPr>
        <w:footnoteRef/>
      </w:r>
      <w:r w:rsidR="00804B58">
        <w:tab/>
      </w:r>
      <w:r w:rsidRPr="00317F7C">
        <w:t>In this case, public authority means firefighting organisations. According to the evidence gathered for the impact assessment, it is assumed that 758 firefighting organisations are active across in the EU (mostly at province level).</w:t>
      </w:r>
    </w:p>
  </w:footnote>
  <w:footnote w:id="39">
    <w:p w14:paraId="1F5BE76A" w14:textId="77777777" w:rsidR="00317F7C" w:rsidRPr="003D6EE6" w:rsidRDefault="00317F7C" w:rsidP="00C43D10">
      <w:pPr>
        <w:pStyle w:val="FootnoteText"/>
        <w:ind w:left="57" w:right="57" w:hanging="170"/>
        <w:rPr>
          <w:lang w:val="en-IE"/>
        </w:rPr>
      </w:pPr>
      <w:r w:rsidRPr="00804B58">
        <w:rPr>
          <w:rStyle w:val="FootnoteReference"/>
        </w:rPr>
        <w:footnoteRef/>
      </w:r>
      <w:r w:rsidR="00804B58">
        <w:tab/>
      </w:r>
      <w:r w:rsidRPr="00317F7C">
        <w:t>As mentioned in the impact assessment, public authorities will need to transpose in their national legislations the package of preferred options as soon as the latter is stricter than existing national rules. Since Member States are expected to carry out the transposition in one go, the transposition costs for each substance will not be cumulative. Since no Member State currently has a national legislation which is in full compliance with the package of preferred options, it is reasonable to assume that Member State will need to dedicate up to €100,000 (corresponding to the highest transposition costs for welding fumes) for the transposition of the new rules.</w:t>
      </w:r>
    </w:p>
  </w:footnote>
  <w:footnote w:id="40">
    <w:p w14:paraId="23C99F8E" w14:textId="77777777" w:rsidR="0063646E" w:rsidRPr="0063646E" w:rsidRDefault="0063646E" w:rsidP="00C43D10">
      <w:pPr>
        <w:pStyle w:val="FootnoteText"/>
        <w:ind w:left="57" w:right="57" w:hanging="170"/>
        <w:rPr>
          <w:lang w:val="en-IE"/>
        </w:rPr>
      </w:pPr>
      <w:r w:rsidRPr="00804B58">
        <w:rPr>
          <w:rStyle w:val="FootnoteReference"/>
        </w:rPr>
        <w:footnoteRef/>
      </w:r>
      <w:r w:rsidR="00804B58">
        <w:tab/>
      </w:r>
      <w:r>
        <w:t xml:space="preserve">This would include for example </w:t>
      </w:r>
      <w:r w:rsidRPr="0063646E">
        <w:rPr>
          <w:lang w:val="en-IE"/>
        </w:rPr>
        <w:t>risk management measures such as installations of closed systems to comply with the new limit value.</w:t>
      </w:r>
    </w:p>
    <w:p w14:paraId="08FAE075" w14:textId="77777777" w:rsidR="0063646E" w:rsidRPr="003D6EE6" w:rsidRDefault="0063646E" w:rsidP="00C43D10">
      <w:pPr>
        <w:pStyle w:val="FootnoteText"/>
        <w:ind w:left="57" w:right="57" w:hanging="170"/>
        <w:rPr>
          <w:lang w:val="en-IE"/>
        </w:rPr>
      </w:pPr>
    </w:p>
  </w:footnote>
  <w:footnote w:id="41">
    <w:p w14:paraId="1B81A220" w14:textId="77777777" w:rsidR="00AF7899" w:rsidRPr="00F86091" w:rsidRDefault="00AF7899" w:rsidP="00C43D10">
      <w:pPr>
        <w:pStyle w:val="FootnoteText"/>
        <w:ind w:left="57" w:right="57" w:hanging="170"/>
        <w:rPr>
          <w:i/>
          <w:iCs/>
        </w:rPr>
      </w:pPr>
      <w:r w:rsidRPr="00F86091">
        <w:rPr>
          <w:rStyle w:val="FootnoteReference"/>
        </w:rPr>
        <w:footnoteRef/>
      </w:r>
      <w:r w:rsidR="00F514AD" w:rsidRPr="00F86091">
        <w:tab/>
      </w:r>
      <w:r w:rsidRPr="00F86091">
        <w:t>United Nations resolution entitled ‘Transforming our World: the 2030 Agenda for Sustainable Development, adopted at the UN Sustainable Development Summit on 25</w:t>
      </w:r>
      <w:r w:rsidR="00F86091">
        <w:t> </w:t>
      </w:r>
      <w:r w:rsidRPr="00F86091">
        <w:t>September 2015 in New York</w:t>
      </w:r>
      <w:r w:rsidR="00F86091" w:rsidRPr="00F86091">
        <w:t>.</w:t>
      </w:r>
    </w:p>
  </w:footnote>
  <w:footnote w:id="42">
    <w:p w14:paraId="57357340" w14:textId="77777777" w:rsidR="00AF7899" w:rsidRPr="00F86091" w:rsidRDefault="00AF7899" w:rsidP="00C43D10">
      <w:pPr>
        <w:pStyle w:val="FootnoteText"/>
        <w:ind w:left="57" w:right="57" w:hanging="170"/>
      </w:pPr>
      <w:r w:rsidRPr="00F86091">
        <w:rPr>
          <w:rStyle w:val="FootnoteReference"/>
        </w:rPr>
        <w:footnoteRef/>
      </w:r>
      <w:r w:rsidR="00F514AD" w:rsidRPr="00F86091">
        <w:tab/>
      </w:r>
      <w:r w:rsidRPr="00F86091">
        <w:t>In particular, target 3.4 (</w:t>
      </w:r>
      <w:r w:rsidR="00F86091">
        <w:t>‘</w:t>
      </w:r>
      <w:r w:rsidRPr="00F86091">
        <w:t>by 2030, reducing by one third premature mortality from non-communicable diseases through prevention</w:t>
      </w:r>
      <w:r w:rsidR="00F86091">
        <w:t>’</w:t>
      </w:r>
      <w:r w:rsidRPr="00F86091">
        <w:t>) and target 3.9 (</w:t>
      </w:r>
      <w:r w:rsidR="00F86091">
        <w:t>‘</w:t>
      </w:r>
      <w:r w:rsidRPr="00F86091">
        <w:t>by 2030, substantially reducing the number of deaths and illnesses from hazardous chemicals</w:t>
      </w:r>
      <w:r w:rsidR="00F86091">
        <w:t>’</w:t>
      </w:r>
      <w:r w:rsidRPr="00F86091">
        <w:t>)</w:t>
      </w:r>
      <w:r w:rsidR="00F86091" w:rsidRPr="00F86091">
        <w:t>.</w:t>
      </w:r>
    </w:p>
  </w:footnote>
  <w:footnote w:id="43">
    <w:p w14:paraId="38933EFC" w14:textId="77777777" w:rsidR="00AF7899" w:rsidRPr="00F86091" w:rsidRDefault="00AF7899" w:rsidP="00C43D10">
      <w:pPr>
        <w:pStyle w:val="FootnoteText"/>
        <w:ind w:left="57" w:right="57" w:hanging="170"/>
      </w:pPr>
      <w:r w:rsidRPr="00F86091">
        <w:rPr>
          <w:rStyle w:val="FootnoteReference"/>
        </w:rPr>
        <w:footnoteRef/>
      </w:r>
      <w:r w:rsidR="00F514AD" w:rsidRPr="00F86091">
        <w:tab/>
      </w:r>
      <w:r w:rsidRPr="00F86091">
        <w:t>In particular, target 8.8 (</w:t>
      </w:r>
      <w:r w:rsidR="00F86091">
        <w:t>‘</w:t>
      </w:r>
      <w:r w:rsidRPr="00F86091">
        <w:t>promoting safe and securing working environments for all workers</w:t>
      </w:r>
      <w:r w:rsidR="00F86091">
        <w:t>’</w:t>
      </w:r>
      <w:r w:rsidRPr="00F86091">
        <w:t>)</w:t>
      </w:r>
      <w:r w:rsidR="00F86091" w:rsidRPr="00F86091">
        <w:t>.</w:t>
      </w:r>
    </w:p>
  </w:footnote>
  <w:footnote w:id="44">
    <w:p w14:paraId="03E41022" w14:textId="77777777" w:rsidR="00B21406" w:rsidRPr="002B1471" w:rsidRDefault="00B21406" w:rsidP="00C43D10">
      <w:pPr>
        <w:pStyle w:val="FootnoteText"/>
        <w:ind w:left="57" w:right="57" w:hanging="170"/>
      </w:pPr>
      <w:r w:rsidRPr="00804B58">
        <w:rPr>
          <w:rStyle w:val="FootnoteReference"/>
        </w:rPr>
        <w:footnoteRef/>
      </w:r>
      <w:r w:rsidR="00804B58">
        <w:tab/>
      </w:r>
      <w:r w:rsidR="00ED0B14" w:rsidRPr="00ED0B14">
        <w:t>OJ C […], […], p. […].</w:t>
      </w:r>
    </w:p>
  </w:footnote>
  <w:footnote w:id="45">
    <w:p w14:paraId="5F4B9FDF" w14:textId="77777777" w:rsidR="00B21406" w:rsidRPr="002B1471" w:rsidRDefault="00B21406" w:rsidP="00C43D10">
      <w:pPr>
        <w:pStyle w:val="FootnoteText"/>
        <w:ind w:left="57" w:right="57" w:hanging="170"/>
      </w:pPr>
      <w:r w:rsidRPr="00804B58">
        <w:rPr>
          <w:rStyle w:val="FootnoteReference"/>
        </w:rPr>
        <w:footnoteRef/>
      </w:r>
      <w:r w:rsidR="00804B58">
        <w:tab/>
      </w:r>
      <w:r w:rsidR="00ED0B14" w:rsidRPr="00ED0B14">
        <w:t>OJ C […], […], p. […].</w:t>
      </w:r>
    </w:p>
  </w:footnote>
  <w:footnote w:id="46">
    <w:p w14:paraId="73411EB3" w14:textId="77777777" w:rsidR="00B21406" w:rsidRPr="002B1471" w:rsidRDefault="00B21406" w:rsidP="00C43D10">
      <w:pPr>
        <w:pStyle w:val="FootnoteText"/>
        <w:ind w:left="57" w:right="57" w:hanging="170"/>
      </w:pPr>
      <w:r w:rsidRPr="00804B58">
        <w:rPr>
          <w:rStyle w:val="FootnoteReference"/>
        </w:rPr>
        <w:footnoteRef/>
      </w:r>
      <w:r w:rsidR="00804B58">
        <w:tab/>
      </w:r>
      <w:r w:rsidR="00ED0B14">
        <w:t>Directive 2004/37/EC of the European Parliament and of the Council of 29 April 2004 on the protection of workers from the risks related to exposure to carcinogens, mutagens or reprotoxic substances at work (Sixth individual Directive within the meaning of Article 16(1) of Council Directive 89/391/EEC) (codified version), (OJ L 158, 30.4.2004, p. 50).</w:t>
      </w:r>
    </w:p>
  </w:footnote>
  <w:footnote w:id="47">
    <w:p w14:paraId="2443C06D" w14:textId="77777777" w:rsidR="00D52AB1" w:rsidRPr="00CA3375" w:rsidRDefault="00D52AB1" w:rsidP="00C43D10">
      <w:pPr>
        <w:pStyle w:val="FootnoteText"/>
        <w:ind w:left="57" w:right="57" w:hanging="170"/>
        <w:rPr>
          <w:lang w:val="en-IE"/>
        </w:rPr>
      </w:pPr>
      <w:r w:rsidRPr="00804B58">
        <w:rPr>
          <w:rStyle w:val="FootnoteReference"/>
        </w:rPr>
        <w:footnoteRef/>
      </w:r>
      <w:r w:rsidR="00804B58">
        <w:tab/>
      </w:r>
      <w:r w:rsidRPr="00CA3375">
        <w:rPr>
          <w:lang w:val="en-IE"/>
        </w:rPr>
        <w:t>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 (OJ L 396, 30.12.2006, p. 1, ELI: http://data.europa.eu/eli/reg/2006/1907/oj).</w:t>
      </w:r>
    </w:p>
  </w:footnote>
  <w:footnote w:id="48">
    <w:p w14:paraId="5639D1C4" w14:textId="77777777" w:rsidR="00ED0B14" w:rsidRPr="00ED0B14" w:rsidRDefault="00C603DE" w:rsidP="00C43D10">
      <w:pPr>
        <w:pStyle w:val="FootnoteText"/>
        <w:ind w:left="57" w:right="57" w:hanging="170"/>
      </w:pPr>
      <w:r w:rsidRPr="00804B58">
        <w:rPr>
          <w:rStyle w:val="FootnoteReference"/>
        </w:rPr>
        <w:footnoteRef/>
      </w:r>
      <w:r w:rsidR="00804B58">
        <w:tab/>
      </w:r>
      <w:r w:rsidR="006E14E5" w:rsidRPr="006E14E5">
        <w:t>Council Decision of 22 July 2003 setting up an Advisory Committee on Safety and Health at Work (OJ C 218, 13.9.2003, p. 1)</w:t>
      </w:r>
      <w:r w:rsidR="006E14E5">
        <w:t>.</w:t>
      </w:r>
    </w:p>
    <w:p w14:paraId="03312094" w14:textId="77777777" w:rsidR="00C603DE" w:rsidRPr="002B1471" w:rsidRDefault="00C603DE" w:rsidP="00C43D10">
      <w:pPr>
        <w:pStyle w:val="FootnoteText"/>
        <w:ind w:left="57" w:right="57" w:hanging="170"/>
      </w:pPr>
    </w:p>
  </w:footnote>
  <w:footnote w:id="49">
    <w:p w14:paraId="0EBB6F1D" w14:textId="77777777" w:rsidR="00705CC7" w:rsidRPr="002B1471" w:rsidRDefault="00705CC7" w:rsidP="00C43D10">
      <w:pPr>
        <w:pStyle w:val="FootnoteText"/>
        <w:ind w:left="57" w:right="57" w:hanging="170"/>
      </w:pPr>
      <w:r w:rsidRPr="00804B58">
        <w:rPr>
          <w:rStyle w:val="FootnoteReference"/>
        </w:rPr>
        <w:footnoteRef/>
      </w:r>
      <w:r w:rsidR="00804B58">
        <w:tab/>
      </w:r>
      <w:r w:rsidR="006E14E5" w:rsidRPr="006E14E5">
        <w:t>Regulation (EC) No 1272/2008 of the European Parliament and of the Council of 16 December 2008 on classification, labelling and packaging of substances and mixtures, amending and repealing Directives 67/548/EEC and 1999/45/EC, and amending Regulation (EC) No 1907/2006 (OJ L 353, 31.12.2008, p. 1).</w:t>
      </w:r>
    </w:p>
  </w:footnote>
  <w:footnote w:id="50">
    <w:p w14:paraId="47A2587F" w14:textId="77777777" w:rsidR="006E14E5" w:rsidRPr="003D6EE6" w:rsidRDefault="006E14E5" w:rsidP="00C43D10">
      <w:pPr>
        <w:pStyle w:val="FootnoteText"/>
        <w:ind w:left="57" w:right="57" w:hanging="170"/>
        <w:rPr>
          <w:lang w:val="en-IE"/>
        </w:rPr>
      </w:pPr>
      <w:r w:rsidRPr="00804B58">
        <w:rPr>
          <w:rStyle w:val="FootnoteReference"/>
        </w:rPr>
        <w:footnoteRef/>
      </w:r>
      <w:r w:rsidR="00804B58">
        <w:tab/>
      </w:r>
      <w:r w:rsidRPr="006E14E5">
        <w:t>ECHA (2022), Scoping Study report for evaluation of limit values for welding fumes and fumes from other processes that generate fume in a similar way at the workplace, available at: report_welding_fumes_en.pdf (europa.eu)</w:t>
      </w:r>
    </w:p>
  </w:footnote>
  <w:footnote w:id="51">
    <w:p w14:paraId="3A29CA04" w14:textId="77777777" w:rsidR="00CE175D" w:rsidRPr="002B1471" w:rsidRDefault="00CE175D" w:rsidP="00C43D10">
      <w:pPr>
        <w:pStyle w:val="FootnoteText"/>
        <w:ind w:left="57" w:right="57" w:hanging="170"/>
      </w:pPr>
      <w:r w:rsidRPr="00804B58">
        <w:rPr>
          <w:rStyle w:val="FootnoteReference"/>
        </w:rPr>
        <w:footnoteRef/>
      </w:r>
      <w:r w:rsidR="00804B58">
        <w:tab/>
      </w:r>
      <w:r w:rsidR="000D3702" w:rsidRPr="000D3702">
        <w:t>ACSH (2023), Opinion on introducing work involving exposure to fumes from welding processes containing substances that meet the criteria for CMR category 1A/1B set out in Annex I to the CLP Regulation, Doc. 006/23, available at: ACSH Adopted opinion Welding fumes 22.09.23-EN.pdf (europa.eu)</w:t>
      </w:r>
    </w:p>
  </w:footnote>
  <w:footnote w:id="52">
    <w:p w14:paraId="7037D909" w14:textId="77777777" w:rsidR="006E14E5" w:rsidRPr="003D6EE6" w:rsidRDefault="006E14E5" w:rsidP="00C43D10">
      <w:pPr>
        <w:pStyle w:val="FootnoteText"/>
        <w:ind w:left="57" w:right="57" w:hanging="170"/>
        <w:rPr>
          <w:lang w:val="es-ES"/>
        </w:rPr>
      </w:pPr>
      <w:r w:rsidRPr="00804B58">
        <w:rPr>
          <w:rStyle w:val="FootnoteReference"/>
        </w:rPr>
        <w:footnoteRef/>
      </w:r>
      <w:r w:rsidR="00804B58">
        <w:rPr>
          <w:lang w:val="es-ES"/>
        </w:rPr>
        <w:tab/>
      </w:r>
      <w:r w:rsidRPr="003D6EE6">
        <w:rPr>
          <w:lang w:val="es-ES"/>
        </w:rPr>
        <w:t>OJ C 218, 13.9.2003, p. 1.</w:t>
      </w:r>
    </w:p>
  </w:footnote>
  <w:footnote w:id="53">
    <w:p w14:paraId="298E2974" w14:textId="77777777" w:rsidR="002B1471" w:rsidRPr="003D6EE6" w:rsidRDefault="002B1471" w:rsidP="00C43D10">
      <w:pPr>
        <w:pStyle w:val="FootnoteText"/>
        <w:ind w:left="57" w:right="57" w:hanging="170"/>
        <w:rPr>
          <w:lang w:val="es-ES"/>
        </w:rPr>
      </w:pPr>
      <w:r w:rsidRPr="00804B58">
        <w:rPr>
          <w:rStyle w:val="FootnoteReference"/>
        </w:rPr>
        <w:footnoteRef/>
      </w:r>
      <w:r w:rsidR="00804B58">
        <w:rPr>
          <w:lang w:val="es-ES"/>
        </w:rPr>
        <w:tab/>
      </w:r>
      <w:r w:rsidRPr="003D6EE6">
        <w:rPr>
          <w:lang w:val="es-ES"/>
        </w:rPr>
        <w:t>https://echa.europa.eu/oels-activity-list/-/substance-rev/69405</w:t>
      </w:r>
    </w:p>
  </w:footnote>
  <w:footnote w:id="54">
    <w:p w14:paraId="4DD9124B" w14:textId="77777777" w:rsidR="002B1471" w:rsidRPr="003D6EE6" w:rsidRDefault="002B1471" w:rsidP="00C43D10">
      <w:pPr>
        <w:pStyle w:val="FootnoteText"/>
        <w:ind w:left="57" w:right="57" w:hanging="170"/>
        <w:rPr>
          <w:lang w:val="es-ES"/>
        </w:rPr>
      </w:pPr>
      <w:r w:rsidRPr="00804B58">
        <w:rPr>
          <w:rStyle w:val="FootnoteReference"/>
        </w:rPr>
        <w:footnoteRef/>
      </w:r>
      <w:r w:rsidR="00804B58">
        <w:rPr>
          <w:lang w:val="es-ES"/>
        </w:rPr>
        <w:tab/>
      </w:r>
      <w:r w:rsidR="00ED0B14" w:rsidRPr="003D6EE6">
        <w:rPr>
          <w:lang w:val="es-ES"/>
        </w:rPr>
        <w:t>https://echa.europa.eu/oels-activity-list/-/substance-rev/63901</w:t>
      </w:r>
    </w:p>
  </w:footnote>
  <w:footnote w:id="55">
    <w:p w14:paraId="1B9FA835" w14:textId="77777777" w:rsidR="00ED0B14" w:rsidRPr="003D6EE6" w:rsidRDefault="00ED0B14" w:rsidP="00C43D10">
      <w:pPr>
        <w:pStyle w:val="FootnoteText"/>
        <w:ind w:left="57" w:right="57" w:hanging="170"/>
        <w:rPr>
          <w:lang w:val="es-ES"/>
        </w:rPr>
      </w:pPr>
      <w:r w:rsidRPr="00804B58">
        <w:rPr>
          <w:rStyle w:val="FootnoteReference"/>
        </w:rPr>
        <w:footnoteRef/>
      </w:r>
      <w:r w:rsidR="00804B58">
        <w:rPr>
          <w:lang w:val="es-ES"/>
        </w:rPr>
        <w:tab/>
      </w:r>
      <w:r w:rsidRPr="003D6EE6">
        <w:rPr>
          <w:lang w:val="es-ES"/>
        </w:rPr>
        <w:t>https://echa.europa.eu/oels-activity-list/-/substance-rev/61801</w:t>
      </w:r>
    </w:p>
  </w:footnote>
  <w:footnote w:id="56">
    <w:p w14:paraId="5704AE61" w14:textId="77777777" w:rsidR="00FD3E92" w:rsidRPr="00F86091" w:rsidRDefault="00FD3E92" w:rsidP="00C43D10">
      <w:pPr>
        <w:pStyle w:val="FootnoteText"/>
        <w:ind w:left="57" w:right="57" w:hanging="170"/>
      </w:pPr>
      <w:r w:rsidRPr="00F86091">
        <w:rPr>
          <w:rStyle w:val="FootnoteReference"/>
        </w:rPr>
        <w:footnoteRef/>
      </w:r>
      <w:r w:rsidR="00F514AD" w:rsidRPr="00F86091">
        <w:tab/>
      </w:r>
      <w:r w:rsidRPr="00DC0075">
        <w:t>OJ L 123, 12.5.2016,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7B5F" w14:textId="77777777" w:rsidR="006A3F11" w:rsidRPr="006A3F11" w:rsidRDefault="006A3F11" w:rsidP="006A3F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7A12E" w14:textId="77777777" w:rsidR="006A3F11" w:rsidRPr="006A3F11" w:rsidRDefault="006A3F11" w:rsidP="006A3F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AEF0" w14:textId="77777777" w:rsidR="006A3F11" w:rsidRPr="006A3F11" w:rsidRDefault="006A3F11" w:rsidP="006A3F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AA65" w14:textId="77777777" w:rsidR="00A16003" w:rsidRDefault="00A1600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167C8" w14:textId="77777777" w:rsidR="00A16003" w:rsidRDefault="00A160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6AC1F5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08EEDA0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A1656E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9"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0"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1"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2"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3"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5"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7"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592208765">
    <w:abstractNumId w:val="2"/>
  </w:num>
  <w:num w:numId="2" w16cid:durableId="302466665">
    <w:abstractNumId w:val="1"/>
  </w:num>
  <w:num w:numId="3" w16cid:durableId="929199998">
    <w:abstractNumId w:val="0"/>
  </w:num>
  <w:num w:numId="4" w16cid:durableId="2138374372">
    <w:abstractNumId w:val="10"/>
    <w:lvlOverride w:ilvl="0">
      <w:startOverride w:val="1"/>
    </w:lvlOverride>
  </w:num>
  <w:num w:numId="5" w16cid:durableId="19493870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17520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8532316">
    <w:abstractNumId w:val="14"/>
  </w:num>
  <w:num w:numId="8" w16cid:durableId="831944000">
    <w:abstractNumId w:val="7"/>
  </w:num>
  <w:num w:numId="9" w16cid:durableId="1942253572">
    <w:abstractNumId w:val="16"/>
  </w:num>
  <w:num w:numId="10" w16cid:durableId="433785661">
    <w:abstractNumId w:val="6"/>
  </w:num>
  <w:num w:numId="11" w16cid:durableId="579414071">
    <w:abstractNumId w:val="8"/>
  </w:num>
  <w:num w:numId="12" w16cid:durableId="1656907812">
    <w:abstractNumId w:val="9"/>
  </w:num>
  <w:num w:numId="13" w16cid:durableId="1277952903">
    <w:abstractNumId w:val="4"/>
  </w:num>
  <w:num w:numId="14" w16cid:durableId="269513248">
    <w:abstractNumId w:val="15"/>
  </w:num>
  <w:num w:numId="15" w16cid:durableId="1260213014">
    <w:abstractNumId w:val="3"/>
  </w:num>
  <w:num w:numId="16" w16cid:durableId="1365406581">
    <w:abstractNumId w:val="10"/>
  </w:num>
  <w:num w:numId="17" w16cid:durableId="1481461683">
    <w:abstractNumId w:val="12"/>
  </w:num>
  <w:num w:numId="18" w16cid:durableId="424233190">
    <w:abstractNumId w:val="13"/>
  </w:num>
  <w:num w:numId="19" w16cid:durableId="1715157240">
    <w:abstractNumId w:val="5"/>
  </w:num>
  <w:num w:numId="20" w16cid:durableId="1348484484">
    <w:abstractNumId w:val="11"/>
  </w:num>
  <w:num w:numId="21" w16cid:durableId="457526660">
    <w:abstractNumId w:val="17"/>
  </w:num>
  <w:num w:numId="22" w16cid:durableId="434137713">
    <w:abstractNumId w:val="14"/>
  </w:num>
  <w:num w:numId="23" w16cid:durableId="1958640382">
    <w:abstractNumId w:val="7"/>
  </w:num>
  <w:num w:numId="24" w16cid:durableId="1281110099">
    <w:abstractNumId w:val="16"/>
  </w:num>
  <w:num w:numId="25" w16cid:durableId="334307629">
    <w:abstractNumId w:val="6"/>
  </w:num>
  <w:num w:numId="26" w16cid:durableId="1284967513">
    <w:abstractNumId w:val="8"/>
  </w:num>
  <w:num w:numId="27" w16cid:durableId="812212219">
    <w:abstractNumId w:val="9"/>
  </w:num>
  <w:num w:numId="28" w16cid:durableId="420222807">
    <w:abstractNumId w:val="4"/>
  </w:num>
  <w:num w:numId="29" w16cid:durableId="770322032">
    <w:abstractNumId w:val="15"/>
  </w:num>
  <w:num w:numId="30" w16cid:durableId="2137260083">
    <w:abstractNumId w:val="3"/>
  </w:num>
  <w:num w:numId="31" w16cid:durableId="532965644">
    <w:abstractNumId w:val="10"/>
  </w:num>
  <w:num w:numId="32" w16cid:durableId="1370567786">
    <w:abstractNumId w:val="12"/>
  </w:num>
  <w:num w:numId="33" w16cid:durableId="195116797">
    <w:abstractNumId w:val="13"/>
  </w:num>
  <w:num w:numId="34" w16cid:durableId="606933080">
    <w:abstractNumId w:val="5"/>
  </w:num>
  <w:num w:numId="35" w16cid:durableId="436874729">
    <w:abstractNumId w:val="11"/>
  </w:num>
  <w:num w:numId="36" w16cid:durableId="948927996">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ttachedTemplate r:id="rId1"/>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R_RefLast" w:val="0"/>
    <w:docVar w:name="DQCDateTime" w:val="2025-07-12 18:05:22"/>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LW_CORRIGENDUM" w:val="&lt;UNUSED&gt;"/>
    <w:docVar w:name="LW_COVERPAGE_EXISTS" w:val="True"/>
    <w:docVar w:name="LW_COVERPAGE_GUID" w:val="92AB7B57-3E09-46A1-9D9E-7C5671015C94"/>
    <w:docVar w:name="LW_COVERPAGE_TYPE" w:val="1"/>
    <w:docVar w:name="LW_CROSSREFERENCE" w:val="{SEC(2025) 217 final} - {SWD(2025) 191 final} - {SWD(2025) 192 final} - {SWD(2025) 193 final}"/>
    <w:docVar w:name="LW_DocType" w:val="COM"/>
    <w:docVar w:name="LW_EMISSION" w:val="18.7.2025"/>
    <w:docVar w:name="LW_EMISSION_ISODATE" w:val="2025-07-18"/>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STATUT" w:val="SJ-024"/>
    <w:docVar w:name="LW_INSERT_EXP.MOTIFS.NEW" w:val="1"/>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32"/>
    <w:docVar w:name="LW_REF.II.NEW.CP_YEAR" w:val="2025"/>
    <w:docVar w:name="LW_REF.INST.NEW" w:val="COM"/>
    <w:docVar w:name="LW_REF.INST.NEW_ADOPTED" w:val="final"/>
    <w:docVar w:name="LW_REF.INST.NEW_TEXT" w:val="(2025) 418"/>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Directive 2004/37/EC as regards the addition of substances and setting limit values in its Annexes I, III and IIIa"/>
    <w:docVar w:name="LW_TYPE.DOC.CP" w:val="DIRECTIVE OF THE EUROPEAN PARLIAMENT AND OF THE COUNCIL"/>
    <w:docVar w:name="LwApiVersions" w:val="LW4CoDe 1.24.5.0; LW 9.0, Build 20240221"/>
  </w:docVars>
  <w:rsids>
    <w:rsidRoot w:val="007017A3"/>
    <w:rsid w:val="000005DB"/>
    <w:rsid w:val="00000817"/>
    <w:rsid w:val="00001B61"/>
    <w:rsid w:val="00003DF5"/>
    <w:rsid w:val="00003FA6"/>
    <w:rsid w:val="00004683"/>
    <w:rsid w:val="000052DC"/>
    <w:rsid w:val="00005AD6"/>
    <w:rsid w:val="00006C16"/>
    <w:rsid w:val="000077D1"/>
    <w:rsid w:val="000077F6"/>
    <w:rsid w:val="000114D3"/>
    <w:rsid w:val="0001182A"/>
    <w:rsid w:val="00011EF4"/>
    <w:rsid w:val="0001248C"/>
    <w:rsid w:val="00012D7E"/>
    <w:rsid w:val="00017197"/>
    <w:rsid w:val="0002615B"/>
    <w:rsid w:val="000263B7"/>
    <w:rsid w:val="000301A4"/>
    <w:rsid w:val="000321A4"/>
    <w:rsid w:val="000330EC"/>
    <w:rsid w:val="000333C0"/>
    <w:rsid w:val="00033946"/>
    <w:rsid w:val="0003760B"/>
    <w:rsid w:val="00037D72"/>
    <w:rsid w:val="0004022A"/>
    <w:rsid w:val="0004039F"/>
    <w:rsid w:val="0004120C"/>
    <w:rsid w:val="00041422"/>
    <w:rsid w:val="0004345E"/>
    <w:rsid w:val="00045674"/>
    <w:rsid w:val="000461DB"/>
    <w:rsid w:val="00046671"/>
    <w:rsid w:val="000479D6"/>
    <w:rsid w:val="00052595"/>
    <w:rsid w:val="00052D9A"/>
    <w:rsid w:val="00053522"/>
    <w:rsid w:val="00053A25"/>
    <w:rsid w:val="00054D1B"/>
    <w:rsid w:val="00062AD2"/>
    <w:rsid w:val="00062DEC"/>
    <w:rsid w:val="000633AD"/>
    <w:rsid w:val="00066AAA"/>
    <w:rsid w:val="00066C6E"/>
    <w:rsid w:val="000670CE"/>
    <w:rsid w:val="000674B6"/>
    <w:rsid w:val="000675FF"/>
    <w:rsid w:val="00067A50"/>
    <w:rsid w:val="00070FD2"/>
    <w:rsid w:val="00071785"/>
    <w:rsid w:val="0007199E"/>
    <w:rsid w:val="00071A86"/>
    <w:rsid w:val="00072127"/>
    <w:rsid w:val="00073D2F"/>
    <w:rsid w:val="00076307"/>
    <w:rsid w:val="000770E7"/>
    <w:rsid w:val="000770F7"/>
    <w:rsid w:val="00077F53"/>
    <w:rsid w:val="00080252"/>
    <w:rsid w:val="000826A2"/>
    <w:rsid w:val="00082D4A"/>
    <w:rsid w:val="000859C9"/>
    <w:rsid w:val="00085AE6"/>
    <w:rsid w:val="00086A79"/>
    <w:rsid w:val="0008776D"/>
    <w:rsid w:val="00091803"/>
    <w:rsid w:val="00093898"/>
    <w:rsid w:val="00093FAF"/>
    <w:rsid w:val="00094B4F"/>
    <w:rsid w:val="000A0108"/>
    <w:rsid w:val="000A1171"/>
    <w:rsid w:val="000A1A39"/>
    <w:rsid w:val="000A1B01"/>
    <w:rsid w:val="000A2EBD"/>
    <w:rsid w:val="000A3E31"/>
    <w:rsid w:val="000A50DC"/>
    <w:rsid w:val="000A5C1F"/>
    <w:rsid w:val="000A6AA4"/>
    <w:rsid w:val="000A6D08"/>
    <w:rsid w:val="000A7E0B"/>
    <w:rsid w:val="000B148A"/>
    <w:rsid w:val="000B470B"/>
    <w:rsid w:val="000B6E2E"/>
    <w:rsid w:val="000C15DB"/>
    <w:rsid w:val="000C2450"/>
    <w:rsid w:val="000C2619"/>
    <w:rsid w:val="000C33A9"/>
    <w:rsid w:val="000C3BA9"/>
    <w:rsid w:val="000C4E96"/>
    <w:rsid w:val="000C5308"/>
    <w:rsid w:val="000C5343"/>
    <w:rsid w:val="000C6273"/>
    <w:rsid w:val="000C6D77"/>
    <w:rsid w:val="000C7835"/>
    <w:rsid w:val="000D03E0"/>
    <w:rsid w:val="000D136C"/>
    <w:rsid w:val="000D17F3"/>
    <w:rsid w:val="000D1B0A"/>
    <w:rsid w:val="000D1FAD"/>
    <w:rsid w:val="000D20E1"/>
    <w:rsid w:val="000D2E93"/>
    <w:rsid w:val="000D3702"/>
    <w:rsid w:val="000D56EC"/>
    <w:rsid w:val="000D7D8E"/>
    <w:rsid w:val="000E25E2"/>
    <w:rsid w:val="000E34B9"/>
    <w:rsid w:val="000E575D"/>
    <w:rsid w:val="000E620C"/>
    <w:rsid w:val="000E63B0"/>
    <w:rsid w:val="000E70D7"/>
    <w:rsid w:val="000F2B1A"/>
    <w:rsid w:val="000F6C21"/>
    <w:rsid w:val="00100129"/>
    <w:rsid w:val="00102386"/>
    <w:rsid w:val="00104895"/>
    <w:rsid w:val="001065F5"/>
    <w:rsid w:val="00106878"/>
    <w:rsid w:val="00110E1A"/>
    <w:rsid w:val="00113E62"/>
    <w:rsid w:val="0011490F"/>
    <w:rsid w:val="001151CC"/>
    <w:rsid w:val="00117EDE"/>
    <w:rsid w:val="00121982"/>
    <w:rsid w:val="00122D9D"/>
    <w:rsid w:val="00123205"/>
    <w:rsid w:val="001238EF"/>
    <w:rsid w:val="001243D1"/>
    <w:rsid w:val="00126254"/>
    <w:rsid w:val="001269B3"/>
    <w:rsid w:val="0013021B"/>
    <w:rsid w:val="0013162B"/>
    <w:rsid w:val="00133029"/>
    <w:rsid w:val="001340FA"/>
    <w:rsid w:val="001344A7"/>
    <w:rsid w:val="00135E6F"/>
    <w:rsid w:val="00136E69"/>
    <w:rsid w:val="0013741B"/>
    <w:rsid w:val="00143B8A"/>
    <w:rsid w:val="00143ECC"/>
    <w:rsid w:val="00145753"/>
    <w:rsid w:val="00147CE7"/>
    <w:rsid w:val="00154497"/>
    <w:rsid w:val="00156FC6"/>
    <w:rsid w:val="00162C34"/>
    <w:rsid w:val="001632F3"/>
    <w:rsid w:val="001636E1"/>
    <w:rsid w:val="00164F42"/>
    <w:rsid w:val="00166EC2"/>
    <w:rsid w:val="001704C1"/>
    <w:rsid w:val="001710F8"/>
    <w:rsid w:val="0017122B"/>
    <w:rsid w:val="00171C6B"/>
    <w:rsid w:val="00173CD2"/>
    <w:rsid w:val="00175BCA"/>
    <w:rsid w:val="00176519"/>
    <w:rsid w:val="00176FFF"/>
    <w:rsid w:val="0018103A"/>
    <w:rsid w:val="001868FE"/>
    <w:rsid w:val="00186A16"/>
    <w:rsid w:val="00190B73"/>
    <w:rsid w:val="001929FC"/>
    <w:rsid w:val="00193EDE"/>
    <w:rsid w:val="00195AE1"/>
    <w:rsid w:val="001967EC"/>
    <w:rsid w:val="00197613"/>
    <w:rsid w:val="001A3C9C"/>
    <w:rsid w:val="001A4B60"/>
    <w:rsid w:val="001A5407"/>
    <w:rsid w:val="001A7A08"/>
    <w:rsid w:val="001B2308"/>
    <w:rsid w:val="001B2451"/>
    <w:rsid w:val="001B3118"/>
    <w:rsid w:val="001B4E79"/>
    <w:rsid w:val="001C1C56"/>
    <w:rsid w:val="001C2732"/>
    <w:rsid w:val="001C3CEF"/>
    <w:rsid w:val="001C4634"/>
    <w:rsid w:val="001C6A0F"/>
    <w:rsid w:val="001C6A64"/>
    <w:rsid w:val="001C7C07"/>
    <w:rsid w:val="001D092A"/>
    <w:rsid w:val="001D2236"/>
    <w:rsid w:val="001D3201"/>
    <w:rsid w:val="001D5AE4"/>
    <w:rsid w:val="001D6C90"/>
    <w:rsid w:val="001D6DE6"/>
    <w:rsid w:val="001E4EC1"/>
    <w:rsid w:val="001E5A29"/>
    <w:rsid w:val="001F3001"/>
    <w:rsid w:val="001F3671"/>
    <w:rsid w:val="001F4963"/>
    <w:rsid w:val="001F6325"/>
    <w:rsid w:val="0020254D"/>
    <w:rsid w:val="002043E8"/>
    <w:rsid w:val="00205B7B"/>
    <w:rsid w:val="002071F5"/>
    <w:rsid w:val="00210C98"/>
    <w:rsid w:val="00211B5D"/>
    <w:rsid w:val="002126BA"/>
    <w:rsid w:val="00215A5C"/>
    <w:rsid w:val="002170E1"/>
    <w:rsid w:val="0022307D"/>
    <w:rsid w:val="0022396F"/>
    <w:rsid w:val="00225FAA"/>
    <w:rsid w:val="00226493"/>
    <w:rsid w:val="002302C6"/>
    <w:rsid w:val="00231BBA"/>
    <w:rsid w:val="002327E1"/>
    <w:rsid w:val="002336DE"/>
    <w:rsid w:val="00233DC7"/>
    <w:rsid w:val="0023401C"/>
    <w:rsid w:val="002341D6"/>
    <w:rsid w:val="0023423A"/>
    <w:rsid w:val="00234D27"/>
    <w:rsid w:val="0023689F"/>
    <w:rsid w:val="00240266"/>
    <w:rsid w:val="00240B87"/>
    <w:rsid w:val="00244698"/>
    <w:rsid w:val="00247779"/>
    <w:rsid w:val="00252136"/>
    <w:rsid w:val="00255A8B"/>
    <w:rsid w:val="00257289"/>
    <w:rsid w:val="00257BB4"/>
    <w:rsid w:val="002665C9"/>
    <w:rsid w:val="00266F30"/>
    <w:rsid w:val="00267641"/>
    <w:rsid w:val="002677E5"/>
    <w:rsid w:val="00273C53"/>
    <w:rsid w:val="0027685B"/>
    <w:rsid w:val="00282ECA"/>
    <w:rsid w:val="00282FCE"/>
    <w:rsid w:val="00284EB9"/>
    <w:rsid w:val="00285BEE"/>
    <w:rsid w:val="00286755"/>
    <w:rsid w:val="00286E82"/>
    <w:rsid w:val="00287AE0"/>
    <w:rsid w:val="00290456"/>
    <w:rsid w:val="00294876"/>
    <w:rsid w:val="002951D1"/>
    <w:rsid w:val="0029533F"/>
    <w:rsid w:val="00296976"/>
    <w:rsid w:val="00297288"/>
    <w:rsid w:val="00297B53"/>
    <w:rsid w:val="00297F00"/>
    <w:rsid w:val="002A0B48"/>
    <w:rsid w:val="002A0C94"/>
    <w:rsid w:val="002A14F8"/>
    <w:rsid w:val="002A2E12"/>
    <w:rsid w:val="002A3336"/>
    <w:rsid w:val="002A5964"/>
    <w:rsid w:val="002ABF56"/>
    <w:rsid w:val="002B0718"/>
    <w:rsid w:val="002B0AD5"/>
    <w:rsid w:val="002B1471"/>
    <w:rsid w:val="002B23CB"/>
    <w:rsid w:val="002B30AF"/>
    <w:rsid w:val="002B5139"/>
    <w:rsid w:val="002B51BD"/>
    <w:rsid w:val="002B64D7"/>
    <w:rsid w:val="002C050F"/>
    <w:rsid w:val="002C0F9F"/>
    <w:rsid w:val="002C2288"/>
    <w:rsid w:val="002C25DF"/>
    <w:rsid w:val="002C27C5"/>
    <w:rsid w:val="002C3011"/>
    <w:rsid w:val="002C5342"/>
    <w:rsid w:val="002C6E2F"/>
    <w:rsid w:val="002D0696"/>
    <w:rsid w:val="002D42AF"/>
    <w:rsid w:val="002E1F03"/>
    <w:rsid w:val="002E2537"/>
    <w:rsid w:val="002E5730"/>
    <w:rsid w:val="002E60B9"/>
    <w:rsid w:val="002E6C64"/>
    <w:rsid w:val="002E7C62"/>
    <w:rsid w:val="002E7E6C"/>
    <w:rsid w:val="002F3C50"/>
    <w:rsid w:val="002F60A1"/>
    <w:rsid w:val="002F752E"/>
    <w:rsid w:val="002F7D96"/>
    <w:rsid w:val="00303E9F"/>
    <w:rsid w:val="00305E62"/>
    <w:rsid w:val="00306986"/>
    <w:rsid w:val="00306A61"/>
    <w:rsid w:val="003076D4"/>
    <w:rsid w:val="00307822"/>
    <w:rsid w:val="003107B7"/>
    <w:rsid w:val="00310D95"/>
    <w:rsid w:val="003139DA"/>
    <w:rsid w:val="003167B1"/>
    <w:rsid w:val="00317F7C"/>
    <w:rsid w:val="00321E76"/>
    <w:rsid w:val="003237E4"/>
    <w:rsid w:val="00326B28"/>
    <w:rsid w:val="00327708"/>
    <w:rsid w:val="0033344A"/>
    <w:rsid w:val="00333F21"/>
    <w:rsid w:val="00334EB2"/>
    <w:rsid w:val="00334EF2"/>
    <w:rsid w:val="003377B9"/>
    <w:rsid w:val="00337A57"/>
    <w:rsid w:val="0034039E"/>
    <w:rsid w:val="00342EB9"/>
    <w:rsid w:val="00343446"/>
    <w:rsid w:val="00344D94"/>
    <w:rsid w:val="00344F80"/>
    <w:rsid w:val="003502B8"/>
    <w:rsid w:val="00350598"/>
    <w:rsid w:val="00351A56"/>
    <w:rsid w:val="00352DE0"/>
    <w:rsid w:val="00353B0D"/>
    <w:rsid w:val="00354B35"/>
    <w:rsid w:val="0035559C"/>
    <w:rsid w:val="0035576F"/>
    <w:rsid w:val="00357735"/>
    <w:rsid w:val="00357FA1"/>
    <w:rsid w:val="003604F9"/>
    <w:rsid w:val="003642BD"/>
    <w:rsid w:val="0036434D"/>
    <w:rsid w:val="00367491"/>
    <w:rsid w:val="0036792D"/>
    <w:rsid w:val="00370B85"/>
    <w:rsid w:val="00371A16"/>
    <w:rsid w:val="00371D2F"/>
    <w:rsid w:val="00371FEA"/>
    <w:rsid w:val="00372698"/>
    <w:rsid w:val="00376ED6"/>
    <w:rsid w:val="00383329"/>
    <w:rsid w:val="00387ECA"/>
    <w:rsid w:val="00391B08"/>
    <w:rsid w:val="00392CF4"/>
    <w:rsid w:val="00393293"/>
    <w:rsid w:val="003965C3"/>
    <w:rsid w:val="00396CF1"/>
    <w:rsid w:val="00397983"/>
    <w:rsid w:val="003A0C62"/>
    <w:rsid w:val="003A1195"/>
    <w:rsid w:val="003A1775"/>
    <w:rsid w:val="003A232F"/>
    <w:rsid w:val="003A2E8B"/>
    <w:rsid w:val="003A352B"/>
    <w:rsid w:val="003A39EA"/>
    <w:rsid w:val="003A3A63"/>
    <w:rsid w:val="003A5421"/>
    <w:rsid w:val="003A6AB4"/>
    <w:rsid w:val="003A708A"/>
    <w:rsid w:val="003A77C6"/>
    <w:rsid w:val="003B0BCE"/>
    <w:rsid w:val="003B1F24"/>
    <w:rsid w:val="003B29ED"/>
    <w:rsid w:val="003B43F9"/>
    <w:rsid w:val="003B4461"/>
    <w:rsid w:val="003B4E06"/>
    <w:rsid w:val="003B5124"/>
    <w:rsid w:val="003B516F"/>
    <w:rsid w:val="003B5797"/>
    <w:rsid w:val="003B7B00"/>
    <w:rsid w:val="003C18F3"/>
    <w:rsid w:val="003C1E6E"/>
    <w:rsid w:val="003C25AE"/>
    <w:rsid w:val="003C2C4C"/>
    <w:rsid w:val="003C395D"/>
    <w:rsid w:val="003D1477"/>
    <w:rsid w:val="003D1AB5"/>
    <w:rsid w:val="003D20B2"/>
    <w:rsid w:val="003D25F4"/>
    <w:rsid w:val="003D430F"/>
    <w:rsid w:val="003D5570"/>
    <w:rsid w:val="003D6EE6"/>
    <w:rsid w:val="003D6F65"/>
    <w:rsid w:val="003E04BE"/>
    <w:rsid w:val="003E218E"/>
    <w:rsid w:val="003E7142"/>
    <w:rsid w:val="003F1292"/>
    <w:rsid w:val="003F43CA"/>
    <w:rsid w:val="003F64A6"/>
    <w:rsid w:val="003F6FE4"/>
    <w:rsid w:val="003F70F5"/>
    <w:rsid w:val="00400EBF"/>
    <w:rsid w:val="00401DB1"/>
    <w:rsid w:val="00404B07"/>
    <w:rsid w:val="0040560D"/>
    <w:rsid w:val="00406600"/>
    <w:rsid w:val="00407876"/>
    <w:rsid w:val="0041131D"/>
    <w:rsid w:val="00411428"/>
    <w:rsid w:val="00413039"/>
    <w:rsid w:val="0041425B"/>
    <w:rsid w:val="00415EBB"/>
    <w:rsid w:val="00417126"/>
    <w:rsid w:val="004207A9"/>
    <w:rsid w:val="004226EF"/>
    <w:rsid w:val="004239BF"/>
    <w:rsid w:val="00425FF0"/>
    <w:rsid w:val="004261B2"/>
    <w:rsid w:val="0042648E"/>
    <w:rsid w:val="00426994"/>
    <w:rsid w:val="00430E75"/>
    <w:rsid w:val="00430E9F"/>
    <w:rsid w:val="0043151E"/>
    <w:rsid w:val="0043210E"/>
    <w:rsid w:val="004326AE"/>
    <w:rsid w:val="00436667"/>
    <w:rsid w:val="004408EC"/>
    <w:rsid w:val="00441AB3"/>
    <w:rsid w:val="00442427"/>
    <w:rsid w:val="004429F5"/>
    <w:rsid w:val="00442E5B"/>
    <w:rsid w:val="004431C4"/>
    <w:rsid w:val="00445694"/>
    <w:rsid w:val="004510C2"/>
    <w:rsid w:val="00453F11"/>
    <w:rsid w:val="004552D3"/>
    <w:rsid w:val="004552FD"/>
    <w:rsid w:val="004578E2"/>
    <w:rsid w:val="004604FD"/>
    <w:rsid w:val="00460B1B"/>
    <w:rsid w:val="0046418E"/>
    <w:rsid w:val="004674D2"/>
    <w:rsid w:val="00471284"/>
    <w:rsid w:val="004713CD"/>
    <w:rsid w:val="00471FA1"/>
    <w:rsid w:val="00472D4E"/>
    <w:rsid w:val="00472E88"/>
    <w:rsid w:val="00475BD4"/>
    <w:rsid w:val="00475DCA"/>
    <w:rsid w:val="004762DD"/>
    <w:rsid w:val="00476377"/>
    <w:rsid w:val="0048063C"/>
    <w:rsid w:val="00483F4F"/>
    <w:rsid w:val="00484022"/>
    <w:rsid w:val="004844D6"/>
    <w:rsid w:val="00487AEA"/>
    <w:rsid w:val="00492A78"/>
    <w:rsid w:val="004936D2"/>
    <w:rsid w:val="00495AF6"/>
    <w:rsid w:val="004A2971"/>
    <w:rsid w:val="004A4413"/>
    <w:rsid w:val="004A59A3"/>
    <w:rsid w:val="004A7158"/>
    <w:rsid w:val="004B1F3A"/>
    <w:rsid w:val="004B22A7"/>
    <w:rsid w:val="004B26E0"/>
    <w:rsid w:val="004B563A"/>
    <w:rsid w:val="004C0B33"/>
    <w:rsid w:val="004C1B5C"/>
    <w:rsid w:val="004C4A09"/>
    <w:rsid w:val="004D0365"/>
    <w:rsid w:val="004D1DE2"/>
    <w:rsid w:val="004D1EC8"/>
    <w:rsid w:val="004D2025"/>
    <w:rsid w:val="004D5C47"/>
    <w:rsid w:val="004E1124"/>
    <w:rsid w:val="004E257C"/>
    <w:rsid w:val="004E5EE6"/>
    <w:rsid w:val="004E60B3"/>
    <w:rsid w:val="004E786E"/>
    <w:rsid w:val="004F024D"/>
    <w:rsid w:val="004F46F5"/>
    <w:rsid w:val="004F4999"/>
    <w:rsid w:val="004F5902"/>
    <w:rsid w:val="004F6826"/>
    <w:rsid w:val="004F6F9D"/>
    <w:rsid w:val="004F7F8A"/>
    <w:rsid w:val="00500E34"/>
    <w:rsid w:val="005022D5"/>
    <w:rsid w:val="0050258C"/>
    <w:rsid w:val="00503264"/>
    <w:rsid w:val="00505C58"/>
    <w:rsid w:val="0050737F"/>
    <w:rsid w:val="00510C8F"/>
    <w:rsid w:val="005114B0"/>
    <w:rsid w:val="00511C83"/>
    <w:rsid w:val="00512166"/>
    <w:rsid w:val="00513D21"/>
    <w:rsid w:val="0051544B"/>
    <w:rsid w:val="00517755"/>
    <w:rsid w:val="00521021"/>
    <w:rsid w:val="005223D6"/>
    <w:rsid w:val="00522F02"/>
    <w:rsid w:val="00523349"/>
    <w:rsid w:val="00523ABF"/>
    <w:rsid w:val="00523DAD"/>
    <w:rsid w:val="005253FE"/>
    <w:rsid w:val="00526C1C"/>
    <w:rsid w:val="00526EE3"/>
    <w:rsid w:val="00531366"/>
    <w:rsid w:val="005317E9"/>
    <w:rsid w:val="00534404"/>
    <w:rsid w:val="005371B9"/>
    <w:rsid w:val="0053B8A9"/>
    <w:rsid w:val="00540C94"/>
    <w:rsid w:val="0054133D"/>
    <w:rsid w:val="005413F9"/>
    <w:rsid w:val="00546032"/>
    <w:rsid w:val="005464FA"/>
    <w:rsid w:val="00546FC5"/>
    <w:rsid w:val="005471AE"/>
    <w:rsid w:val="00551474"/>
    <w:rsid w:val="0055255B"/>
    <w:rsid w:val="00557B3F"/>
    <w:rsid w:val="00561D1D"/>
    <w:rsid w:val="005624A9"/>
    <w:rsid w:val="00563466"/>
    <w:rsid w:val="00564C91"/>
    <w:rsid w:val="0056540B"/>
    <w:rsid w:val="005670DB"/>
    <w:rsid w:val="00571085"/>
    <w:rsid w:val="00572086"/>
    <w:rsid w:val="00572740"/>
    <w:rsid w:val="00572A33"/>
    <w:rsid w:val="005749EA"/>
    <w:rsid w:val="00576D28"/>
    <w:rsid w:val="00581B13"/>
    <w:rsid w:val="00584E11"/>
    <w:rsid w:val="00585178"/>
    <w:rsid w:val="00586B79"/>
    <w:rsid w:val="00590D6A"/>
    <w:rsid w:val="00591210"/>
    <w:rsid w:val="00591657"/>
    <w:rsid w:val="00592C0A"/>
    <w:rsid w:val="0059483A"/>
    <w:rsid w:val="0059502B"/>
    <w:rsid w:val="005974A0"/>
    <w:rsid w:val="0059779F"/>
    <w:rsid w:val="00597FDC"/>
    <w:rsid w:val="005A0759"/>
    <w:rsid w:val="005A319B"/>
    <w:rsid w:val="005A4F98"/>
    <w:rsid w:val="005A52F1"/>
    <w:rsid w:val="005A556B"/>
    <w:rsid w:val="005A5DAE"/>
    <w:rsid w:val="005B10B9"/>
    <w:rsid w:val="005B1E4B"/>
    <w:rsid w:val="005B1EB6"/>
    <w:rsid w:val="005B2D85"/>
    <w:rsid w:val="005B405A"/>
    <w:rsid w:val="005B5A62"/>
    <w:rsid w:val="005C0BB4"/>
    <w:rsid w:val="005C25C0"/>
    <w:rsid w:val="005C26C0"/>
    <w:rsid w:val="005C48BD"/>
    <w:rsid w:val="005C6EA1"/>
    <w:rsid w:val="005C7535"/>
    <w:rsid w:val="005D052A"/>
    <w:rsid w:val="005D2992"/>
    <w:rsid w:val="005D3AC6"/>
    <w:rsid w:val="005D4C8F"/>
    <w:rsid w:val="005D64D5"/>
    <w:rsid w:val="005E0044"/>
    <w:rsid w:val="005E162D"/>
    <w:rsid w:val="005E1AFA"/>
    <w:rsid w:val="005E1BF3"/>
    <w:rsid w:val="005E1C21"/>
    <w:rsid w:val="005E2639"/>
    <w:rsid w:val="005E3DBA"/>
    <w:rsid w:val="005E40E7"/>
    <w:rsid w:val="005E63ED"/>
    <w:rsid w:val="005E63FE"/>
    <w:rsid w:val="005E7044"/>
    <w:rsid w:val="005F09FF"/>
    <w:rsid w:val="005F0BAE"/>
    <w:rsid w:val="005F1502"/>
    <w:rsid w:val="005F2688"/>
    <w:rsid w:val="005F5F3C"/>
    <w:rsid w:val="005F75E8"/>
    <w:rsid w:val="005F774F"/>
    <w:rsid w:val="00600B04"/>
    <w:rsid w:val="0060162A"/>
    <w:rsid w:val="00601EEB"/>
    <w:rsid w:val="00603750"/>
    <w:rsid w:val="006055B8"/>
    <w:rsid w:val="00605CE8"/>
    <w:rsid w:val="00606CD5"/>
    <w:rsid w:val="00610876"/>
    <w:rsid w:val="00610DBF"/>
    <w:rsid w:val="00611D52"/>
    <w:rsid w:val="00615B8E"/>
    <w:rsid w:val="00615E27"/>
    <w:rsid w:val="00616D44"/>
    <w:rsid w:val="00616F36"/>
    <w:rsid w:val="006200A6"/>
    <w:rsid w:val="00621F1B"/>
    <w:rsid w:val="006242C1"/>
    <w:rsid w:val="00624CE7"/>
    <w:rsid w:val="006255AE"/>
    <w:rsid w:val="00627A6B"/>
    <w:rsid w:val="0063502F"/>
    <w:rsid w:val="0063566F"/>
    <w:rsid w:val="0063646E"/>
    <w:rsid w:val="0063678D"/>
    <w:rsid w:val="0064056E"/>
    <w:rsid w:val="00640966"/>
    <w:rsid w:val="00641EA1"/>
    <w:rsid w:val="0064297D"/>
    <w:rsid w:val="00642B07"/>
    <w:rsid w:val="00642CD4"/>
    <w:rsid w:val="006432A1"/>
    <w:rsid w:val="00647892"/>
    <w:rsid w:val="00647A05"/>
    <w:rsid w:val="00651A0E"/>
    <w:rsid w:val="00651A98"/>
    <w:rsid w:val="0065220D"/>
    <w:rsid w:val="006533A0"/>
    <w:rsid w:val="006535D2"/>
    <w:rsid w:val="00653889"/>
    <w:rsid w:val="00653BAC"/>
    <w:rsid w:val="00654CAB"/>
    <w:rsid w:val="0066076D"/>
    <w:rsid w:val="00660B73"/>
    <w:rsid w:val="006654AD"/>
    <w:rsid w:val="00666D7B"/>
    <w:rsid w:val="006673D7"/>
    <w:rsid w:val="00670C99"/>
    <w:rsid w:val="00672D56"/>
    <w:rsid w:val="006741CD"/>
    <w:rsid w:val="00674353"/>
    <w:rsid w:val="006745D6"/>
    <w:rsid w:val="00676A84"/>
    <w:rsid w:val="0067721B"/>
    <w:rsid w:val="00677AA8"/>
    <w:rsid w:val="00680A33"/>
    <w:rsid w:val="00680ED7"/>
    <w:rsid w:val="0068132A"/>
    <w:rsid w:val="00681511"/>
    <w:rsid w:val="00681C8C"/>
    <w:rsid w:val="006825D4"/>
    <w:rsid w:val="00682DDE"/>
    <w:rsid w:val="0068391A"/>
    <w:rsid w:val="00684A38"/>
    <w:rsid w:val="00685811"/>
    <w:rsid w:val="00691B84"/>
    <w:rsid w:val="0069458E"/>
    <w:rsid w:val="0069708B"/>
    <w:rsid w:val="0069716A"/>
    <w:rsid w:val="006A3876"/>
    <w:rsid w:val="006A3F11"/>
    <w:rsid w:val="006A788C"/>
    <w:rsid w:val="006B0235"/>
    <w:rsid w:val="006B3720"/>
    <w:rsid w:val="006C1383"/>
    <w:rsid w:val="006C6092"/>
    <w:rsid w:val="006D32EC"/>
    <w:rsid w:val="006D46A2"/>
    <w:rsid w:val="006D4BC1"/>
    <w:rsid w:val="006D6854"/>
    <w:rsid w:val="006D6CAD"/>
    <w:rsid w:val="006E14E5"/>
    <w:rsid w:val="006E6762"/>
    <w:rsid w:val="006E7072"/>
    <w:rsid w:val="006E7292"/>
    <w:rsid w:val="006E78FD"/>
    <w:rsid w:val="006F298F"/>
    <w:rsid w:val="006F4C03"/>
    <w:rsid w:val="006F52C6"/>
    <w:rsid w:val="006F740B"/>
    <w:rsid w:val="006F7C07"/>
    <w:rsid w:val="007017A3"/>
    <w:rsid w:val="00704E9F"/>
    <w:rsid w:val="007054BC"/>
    <w:rsid w:val="00705CC7"/>
    <w:rsid w:val="007066DD"/>
    <w:rsid w:val="00706EDC"/>
    <w:rsid w:val="00707642"/>
    <w:rsid w:val="007145FE"/>
    <w:rsid w:val="0071573F"/>
    <w:rsid w:val="00716C3B"/>
    <w:rsid w:val="007208A2"/>
    <w:rsid w:val="00722563"/>
    <w:rsid w:val="00725DD3"/>
    <w:rsid w:val="007261E8"/>
    <w:rsid w:val="007273AE"/>
    <w:rsid w:val="00730187"/>
    <w:rsid w:val="007301D5"/>
    <w:rsid w:val="007322A5"/>
    <w:rsid w:val="0073366F"/>
    <w:rsid w:val="007350A7"/>
    <w:rsid w:val="00736A68"/>
    <w:rsid w:val="00737F49"/>
    <w:rsid w:val="0074025C"/>
    <w:rsid w:val="00741D7F"/>
    <w:rsid w:val="00742225"/>
    <w:rsid w:val="007448CA"/>
    <w:rsid w:val="00746066"/>
    <w:rsid w:val="007501CE"/>
    <w:rsid w:val="00751459"/>
    <w:rsid w:val="00752880"/>
    <w:rsid w:val="00753C6F"/>
    <w:rsid w:val="0075416E"/>
    <w:rsid w:val="0076083D"/>
    <w:rsid w:val="00762A46"/>
    <w:rsid w:val="00762E14"/>
    <w:rsid w:val="0076440A"/>
    <w:rsid w:val="00764F45"/>
    <w:rsid w:val="00766519"/>
    <w:rsid w:val="007713FF"/>
    <w:rsid w:val="00772164"/>
    <w:rsid w:val="00773331"/>
    <w:rsid w:val="0077493B"/>
    <w:rsid w:val="00775116"/>
    <w:rsid w:val="007753F3"/>
    <w:rsid w:val="00775D72"/>
    <w:rsid w:val="00780566"/>
    <w:rsid w:val="00781106"/>
    <w:rsid w:val="00781310"/>
    <w:rsid w:val="00781C90"/>
    <w:rsid w:val="00782F49"/>
    <w:rsid w:val="0078307B"/>
    <w:rsid w:val="00784DEE"/>
    <w:rsid w:val="00786272"/>
    <w:rsid w:val="00786681"/>
    <w:rsid w:val="00790588"/>
    <w:rsid w:val="00790CAE"/>
    <w:rsid w:val="007915A6"/>
    <w:rsid w:val="007925CC"/>
    <w:rsid w:val="007932EF"/>
    <w:rsid w:val="00794D4E"/>
    <w:rsid w:val="007A1205"/>
    <w:rsid w:val="007A2EC6"/>
    <w:rsid w:val="007A447F"/>
    <w:rsid w:val="007A4F45"/>
    <w:rsid w:val="007A5E2E"/>
    <w:rsid w:val="007A6B75"/>
    <w:rsid w:val="007B114B"/>
    <w:rsid w:val="007B137C"/>
    <w:rsid w:val="007B14F4"/>
    <w:rsid w:val="007B16CA"/>
    <w:rsid w:val="007B373F"/>
    <w:rsid w:val="007B4BC1"/>
    <w:rsid w:val="007B4D84"/>
    <w:rsid w:val="007B5B94"/>
    <w:rsid w:val="007B6AA2"/>
    <w:rsid w:val="007B7C51"/>
    <w:rsid w:val="007C0C41"/>
    <w:rsid w:val="007C0C63"/>
    <w:rsid w:val="007C1FED"/>
    <w:rsid w:val="007C2529"/>
    <w:rsid w:val="007C3029"/>
    <w:rsid w:val="007C5A7D"/>
    <w:rsid w:val="007D650D"/>
    <w:rsid w:val="007D7448"/>
    <w:rsid w:val="007D7827"/>
    <w:rsid w:val="007E05B0"/>
    <w:rsid w:val="007E1160"/>
    <w:rsid w:val="007E3F90"/>
    <w:rsid w:val="007E4237"/>
    <w:rsid w:val="007E728C"/>
    <w:rsid w:val="007F3A66"/>
    <w:rsid w:val="007F53B2"/>
    <w:rsid w:val="007F72DF"/>
    <w:rsid w:val="007F74C7"/>
    <w:rsid w:val="00801051"/>
    <w:rsid w:val="00803727"/>
    <w:rsid w:val="008037F2"/>
    <w:rsid w:val="00804B58"/>
    <w:rsid w:val="00804F63"/>
    <w:rsid w:val="008052E5"/>
    <w:rsid w:val="00805F73"/>
    <w:rsid w:val="00806B43"/>
    <w:rsid w:val="00806CC3"/>
    <w:rsid w:val="00811F70"/>
    <w:rsid w:val="00812AA3"/>
    <w:rsid w:val="00812B77"/>
    <w:rsid w:val="008151EE"/>
    <w:rsid w:val="00815A51"/>
    <w:rsid w:val="0081601F"/>
    <w:rsid w:val="00816AF3"/>
    <w:rsid w:val="008221F6"/>
    <w:rsid w:val="00822D1B"/>
    <w:rsid w:val="008235BB"/>
    <w:rsid w:val="008254B2"/>
    <w:rsid w:val="008311FB"/>
    <w:rsid w:val="008332BE"/>
    <w:rsid w:val="00833F26"/>
    <w:rsid w:val="00835593"/>
    <w:rsid w:val="00837D67"/>
    <w:rsid w:val="00842027"/>
    <w:rsid w:val="00843B1A"/>
    <w:rsid w:val="00844093"/>
    <w:rsid w:val="008441D8"/>
    <w:rsid w:val="0084611C"/>
    <w:rsid w:val="0084635B"/>
    <w:rsid w:val="00850E93"/>
    <w:rsid w:val="008510F6"/>
    <w:rsid w:val="00852992"/>
    <w:rsid w:val="008559E7"/>
    <w:rsid w:val="00855C56"/>
    <w:rsid w:val="00857C71"/>
    <w:rsid w:val="00860180"/>
    <w:rsid w:val="0086100A"/>
    <w:rsid w:val="008635D7"/>
    <w:rsid w:val="008651BD"/>
    <w:rsid w:val="00865D8C"/>
    <w:rsid w:val="00873535"/>
    <w:rsid w:val="00874D22"/>
    <w:rsid w:val="00874DD6"/>
    <w:rsid w:val="008757C6"/>
    <w:rsid w:val="0088119B"/>
    <w:rsid w:val="00882D9E"/>
    <w:rsid w:val="00882E87"/>
    <w:rsid w:val="0088471A"/>
    <w:rsid w:val="00885D59"/>
    <w:rsid w:val="00886A58"/>
    <w:rsid w:val="00887549"/>
    <w:rsid w:val="00893B5F"/>
    <w:rsid w:val="0089421E"/>
    <w:rsid w:val="00895BEA"/>
    <w:rsid w:val="008A1A2D"/>
    <w:rsid w:val="008A2914"/>
    <w:rsid w:val="008A3AA3"/>
    <w:rsid w:val="008A3F00"/>
    <w:rsid w:val="008A4A70"/>
    <w:rsid w:val="008A5A1D"/>
    <w:rsid w:val="008A7244"/>
    <w:rsid w:val="008B0341"/>
    <w:rsid w:val="008B0841"/>
    <w:rsid w:val="008B2BCA"/>
    <w:rsid w:val="008B2FF7"/>
    <w:rsid w:val="008B56B1"/>
    <w:rsid w:val="008B5923"/>
    <w:rsid w:val="008B67D0"/>
    <w:rsid w:val="008B681C"/>
    <w:rsid w:val="008B72B9"/>
    <w:rsid w:val="008B72EA"/>
    <w:rsid w:val="008B7D1F"/>
    <w:rsid w:val="008C0E67"/>
    <w:rsid w:val="008C1C8E"/>
    <w:rsid w:val="008C2D11"/>
    <w:rsid w:val="008D1B74"/>
    <w:rsid w:val="008D1C56"/>
    <w:rsid w:val="008D31CF"/>
    <w:rsid w:val="008D324C"/>
    <w:rsid w:val="008D398F"/>
    <w:rsid w:val="008D4087"/>
    <w:rsid w:val="008D59AC"/>
    <w:rsid w:val="008D6A00"/>
    <w:rsid w:val="008D7880"/>
    <w:rsid w:val="008E0589"/>
    <w:rsid w:val="008E1B17"/>
    <w:rsid w:val="008E4A09"/>
    <w:rsid w:val="008E4D8E"/>
    <w:rsid w:val="008E5C42"/>
    <w:rsid w:val="008E67BF"/>
    <w:rsid w:val="008F20AF"/>
    <w:rsid w:val="008F31B2"/>
    <w:rsid w:val="008F3D30"/>
    <w:rsid w:val="008F58E3"/>
    <w:rsid w:val="008F6860"/>
    <w:rsid w:val="009009A8"/>
    <w:rsid w:val="00901716"/>
    <w:rsid w:val="009019EE"/>
    <w:rsid w:val="00901A44"/>
    <w:rsid w:val="00901BD1"/>
    <w:rsid w:val="0090737D"/>
    <w:rsid w:val="00910CEB"/>
    <w:rsid w:val="009129BC"/>
    <w:rsid w:val="00912EBA"/>
    <w:rsid w:val="009137AA"/>
    <w:rsid w:val="00913E37"/>
    <w:rsid w:val="00915317"/>
    <w:rsid w:val="00915F26"/>
    <w:rsid w:val="009160CF"/>
    <w:rsid w:val="00916855"/>
    <w:rsid w:val="0091766C"/>
    <w:rsid w:val="00920721"/>
    <w:rsid w:val="0092209D"/>
    <w:rsid w:val="0093031F"/>
    <w:rsid w:val="009319B5"/>
    <w:rsid w:val="00932EB0"/>
    <w:rsid w:val="00933CCD"/>
    <w:rsid w:val="00934E94"/>
    <w:rsid w:val="009355FC"/>
    <w:rsid w:val="00937999"/>
    <w:rsid w:val="00937F91"/>
    <w:rsid w:val="00941CC1"/>
    <w:rsid w:val="00950394"/>
    <w:rsid w:val="009527EC"/>
    <w:rsid w:val="0095347D"/>
    <w:rsid w:val="009545F8"/>
    <w:rsid w:val="00956612"/>
    <w:rsid w:val="009571BB"/>
    <w:rsid w:val="0095795E"/>
    <w:rsid w:val="009665AF"/>
    <w:rsid w:val="00966729"/>
    <w:rsid w:val="00966739"/>
    <w:rsid w:val="00971D56"/>
    <w:rsid w:val="00977B69"/>
    <w:rsid w:val="00980248"/>
    <w:rsid w:val="00982FFC"/>
    <w:rsid w:val="0098300C"/>
    <w:rsid w:val="009852F0"/>
    <w:rsid w:val="0099264E"/>
    <w:rsid w:val="00993698"/>
    <w:rsid w:val="00997C07"/>
    <w:rsid w:val="009A1F7D"/>
    <w:rsid w:val="009B0176"/>
    <w:rsid w:val="009B06F3"/>
    <w:rsid w:val="009B0844"/>
    <w:rsid w:val="009B0FBD"/>
    <w:rsid w:val="009B4938"/>
    <w:rsid w:val="009B4C8F"/>
    <w:rsid w:val="009B6607"/>
    <w:rsid w:val="009B7274"/>
    <w:rsid w:val="009C0ABE"/>
    <w:rsid w:val="009C15C8"/>
    <w:rsid w:val="009C25AE"/>
    <w:rsid w:val="009C69DE"/>
    <w:rsid w:val="009C70B6"/>
    <w:rsid w:val="009D0E65"/>
    <w:rsid w:val="009D1F80"/>
    <w:rsid w:val="009D25AB"/>
    <w:rsid w:val="009D2BCC"/>
    <w:rsid w:val="009D3886"/>
    <w:rsid w:val="009D6A83"/>
    <w:rsid w:val="009D701A"/>
    <w:rsid w:val="009D7A10"/>
    <w:rsid w:val="009E0310"/>
    <w:rsid w:val="009E0DA4"/>
    <w:rsid w:val="009E38F7"/>
    <w:rsid w:val="009E4B25"/>
    <w:rsid w:val="009E589E"/>
    <w:rsid w:val="009F0C74"/>
    <w:rsid w:val="009F1CA6"/>
    <w:rsid w:val="009F4E8E"/>
    <w:rsid w:val="00A00262"/>
    <w:rsid w:val="00A00F24"/>
    <w:rsid w:val="00A016A3"/>
    <w:rsid w:val="00A01C68"/>
    <w:rsid w:val="00A01E39"/>
    <w:rsid w:val="00A024D4"/>
    <w:rsid w:val="00A05C2D"/>
    <w:rsid w:val="00A06AB1"/>
    <w:rsid w:val="00A073B9"/>
    <w:rsid w:val="00A07984"/>
    <w:rsid w:val="00A104AD"/>
    <w:rsid w:val="00A10F51"/>
    <w:rsid w:val="00A11CA1"/>
    <w:rsid w:val="00A1257A"/>
    <w:rsid w:val="00A132DE"/>
    <w:rsid w:val="00A14088"/>
    <w:rsid w:val="00A14B01"/>
    <w:rsid w:val="00A15FB4"/>
    <w:rsid w:val="00A16003"/>
    <w:rsid w:val="00A2041E"/>
    <w:rsid w:val="00A21FE1"/>
    <w:rsid w:val="00A24294"/>
    <w:rsid w:val="00A24CB3"/>
    <w:rsid w:val="00A26C78"/>
    <w:rsid w:val="00A26FB6"/>
    <w:rsid w:val="00A27600"/>
    <w:rsid w:val="00A30403"/>
    <w:rsid w:val="00A32241"/>
    <w:rsid w:val="00A33041"/>
    <w:rsid w:val="00A34536"/>
    <w:rsid w:val="00A34833"/>
    <w:rsid w:val="00A35A7C"/>
    <w:rsid w:val="00A35C05"/>
    <w:rsid w:val="00A35F05"/>
    <w:rsid w:val="00A362BF"/>
    <w:rsid w:val="00A37854"/>
    <w:rsid w:val="00A404A6"/>
    <w:rsid w:val="00A40B57"/>
    <w:rsid w:val="00A4108E"/>
    <w:rsid w:val="00A4169F"/>
    <w:rsid w:val="00A417CD"/>
    <w:rsid w:val="00A421DE"/>
    <w:rsid w:val="00A43279"/>
    <w:rsid w:val="00A466D8"/>
    <w:rsid w:val="00A4708B"/>
    <w:rsid w:val="00A4744C"/>
    <w:rsid w:val="00A50C58"/>
    <w:rsid w:val="00A516F4"/>
    <w:rsid w:val="00A51858"/>
    <w:rsid w:val="00A53916"/>
    <w:rsid w:val="00A54321"/>
    <w:rsid w:val="00A5491A"/>
    <w:rsid w:val="00A55779"/>
    <w:rsid w:val="00A56BB5"/>
    <w:rsid w:val="00A56C01"/>
    <w:rsid w:val="00A577D6"/>
    <w:rsid w:val="00A6042F"/>
    <w:rsid w:val="00A606B1"/>
    <w:rsid w:val="00A60F14"/>
    <w:rsid w:val="00A61530"/>
    <w:rsid w:val="00A62A5D"/>
    <w:rsid w:val="00A62F3B"/>
    <w:rsid w:val="00A64BDD"/>
    <w:rsid w:val="00A6570B"/>
    <w:rsid w:val="00A71DB1"/>
    <w:rsid w:val="00A73CC7"/>
    <w:rsid w:val="00A7505E"/>
    <w:rsid w:val="00A75288"/>
    <w:rsid w:val="00A75B32"/>
    <w:rsid w:val="00A768EC"/>
    <w:rsid w:val="00A82AA2"/>
    <w:rsid w:val="00A84017"/>
    <w:rsid w:val="00A85D4D"/>
    <w:rsid w:val="00A85ED6"/>
    <w:rsid w:val="00A864FD"/>
    <w:rsid w:val="00A903A1"/>
    <w:rsid w:val="00A9176F"/>
    <w:rsid w:val="00A91997"/>
    <w:rsid w:val="00A91E13"/>
    <w:rsid w:val="00A94240"/>
    <w:rsid w:val="00A94EA3"/>
    <w:rsid w:val="00A954C6"/>
    <w:rsid w:val="00A96AAD"/>
    <w:rsid w:val="00A97AA9"/>
    <w:rsid w:val="00AA0C77"/>
    <w:rsid w:val="00AA1B8E"/>
    <w:rsid w:val="00AA1CD5"/>
    <w:rsid w:val="00AA3B06"/>
    <w:rsid w:val="00AA4735"/>
    <w:rsid w:val="00AA6822"/>
    <w:rsid w:val="00AA7661"/>
    <w:rsid w:val="00AA7F01"/>
    <w:rsid w:val="00AB1733"/>
    <w:rsid w:val="00AB1A15"/>
    <w:rsid w:val="00AB2419"/>
    <w:rsid w:val="00AB2BD1"/>
    <w:rsid w:val="00AB6A4A"/>
    <w:rsid w:val="00AC1F0B"/>
    <w:rsid w:val="00AC28AD"/>
    <w:rsid w:val="00AC3D15"/>
    <w:rsid w:val="00AC4C53"/>
    <w:rsid w:val="00AC7063"/>
    <w:rsid w:val="00AC7961"/>
    <w:rsid w:val="00AC7C9D"/>
    <w:rsid w:val="00AD0125"/>
    <w:rsid w:val="00AD1B39"/>
    <w:rsid w:val="00AD21BD"/>
    <w:rsid w:val="00AD2349"/>
    <w:rsid w:val="00AD424C"/>
    <w:rsid w:val="00AD5DD4"/>
    <w:rsid w:val="00AD75AA"/>
    <w:rsid w:val="00AD7BFE"/>
    <w:rsid w:val="00AE116B"/>
    <w:rsid w:val="00AE2ADF"/>
    <w:rsid w:val="00AE2F0C"/>
    <w:rsid w:val="00AE305C"/>
    <w:rsid w:val="00AE50E5"/>
    <w:rsid w:val="00AE5368"/>
    <w:rsid w:val="00AE6F0B"/>
    <w:rsid w:val="00AE79FF"/>
    <w:rsid w:val="00AF005D"/>
    <w:rsid w:val="00AF064F"/>
    <w:rsid w:val="00AF2454"/>
    <w:rsid w:val="00AF3C26"/>
    <w:rsid w:val="00AF4376"/>
    <w:rsid w:val="00AF7899"/>
    <w:rsid w:val="00B002A4"/>
    <w:rsid w:val="00B01080"/>
    <w:rsid w:val="00B03571"/>
    <w:rsid w:val="00B11360"/>
    <w:rsid w:val="00B12CD8"/>
    <w:rsid w:val="00B13DE4"/>
    <w:rsid w:val="00B1516B"/>
    <w:rsid w:val="00B15CB1"/>
    <w:rsid w:val="00B21406"/>
    <w:rsid w:val="00B24347"/>
    <w:rsid w:val="00B2453C"/>
    <w:rsid w:val="00B246CD"/>
    <w:rsid w:val="00B255D3"/>
    <w:rsid w:val="00B26FBA"/>
    <w:rsid w:val="00B307F0"/>
    <w:rsid w:val="00B30B11"/>
    <w:rsid w:val="00B34908"/>
    <w:rsid w:val="00B35C2A"/>
    <w:rsid w:val="00B37AA2"/>
    <w:rsid w:val="00B40016"/>
    <w:rsid w:val="00B40517"/>
    <w:rsid w:val="00B42EED"/>
    <w:rsid w:val="00B42F5B"/>
    <w:rsid w:val="00B43F9B"/>
    <w:rsid w:val="00B45382"/>
    <w:rsid w:val="00B456E1"/>
    <w:rsid w:val="00B475B0"/>
    <w:rsid w:val="00B47CC2"/>
    <w:rsid w:val="00B51BC7"/>
    <w:rsid w:val="00B52836"/>
    <w:rsid w:val="00B53A0E"/>
    <w:rsid w:val="00B54A4E"/>
    <w:rsid w:val="00B54E17"/>
    <w:rsid w:val="00B56227"/>
    <w:rsid w:val="00B60988"/>
    <w:rsid w:val="00B63ED6"/>
    <w:rsid w:val="00B644DB"/>
    <w:rsid w:val="00B64BA6"/>
    <w:rsid w:val="00B64D13"/>
    <w:rsid w:val="00B64D22"/>
    <w:rsid w:val="00B64FF6"/>
    <w:rsid w:val="00B6542F"/>
    <w:rsid w:val="00B656C4"/>
    <w:rsid w:val="00B658AB"/>
    <w:rsid w:val="00B65FA2"/>
    <w:rsid w:val="00B6661F"/>
    <w:rsid w:val="00B66BF0"/>
    <w:rsid w:val="00B66D58"/>
    <w:rsid w:val="00B677AA"/>
    <w:rsid w:val="00B7283C"/>
    <w:rsid w:val="00B72BDA"/>
    <w:rsid w:val="00B748B6"/>
    <w:rsid w:val="00B74ABE"/>
    <w:rsid w:val="00B76175"/>
    <w:rsid w:val="00B800C1"/>
    <w:rsid w:val="00B80A38"/>
    <w:rsid w:val="00B83CBB"/>
    <w:rsid w:val="00B844B8"/>
    <w:rsid w:val="00B86042"/>
    <w:rsid w:val="00B911DA"/>
    <w:rsid w:val="00B91432"/>
    <w:rsid w:val="00B92066"/>
    <w:rsid w:val="00B924E6"/>
    <w:rsid w:val="00B929AC"/>
    <w:rsid w:val="00B972A6"/>
    <w:rsid w:val="00B97430"/>
    <w:rsid w:val="00BA16AD"/>
    <w:rsid w:val="00BA3849"/>
    <w:rsid w:val="00BA3D1A"/>
    <w:rsid w:val="00BB06A4"/>
    <w:rsid w:val="00BB17FB"/>
    <w:rsid w:val="00BB20ED"/>
    <w:rsid w:val="00BB28AF"/>
    <w:rsid w:val="00BB6D31"/>
    <w:rsid w:val="00BB75E6"/>
    <w:rsid w:val="00BC24DE"/>
    <w:rsid w:val="00BC3645"/>
    <w:rsid w:val="00BC4DA6"/>
    <w:rsid w:val="00BD20DD"/>
    <w:rsid w:val="00BD26E1"/>
    <w:rsid w:val="00BD3BF2"/>
    <w:rsid w:val="00BE0EE0"/>
    <w:rsid w:val="00BE3E81"/>
    <w:rsid w:val="00BE51A9"/>
    <w:rsid w:val="00BE6B2D"/>
    <w:rsid w:val="00BE6C35"/>
    <w:rsid w:val="00BE7047"/>
    <w:rsid w:val="00BE73D0"/>
    <w:rsid w:val="00BF0E71"/>
    <w:rsid w:val="00BF313B"/>
    <w:rsid w:val="00BF5290"/>
    <w:rsid w:val="00BF63F6"/>
    <w:rsid w:val="00BF6551"/>
    <w:rsid w:val="00C00040"/>
    <w:rsid w:val="00C00E5B"/>
    <w:rsid w:val="00C0273B"/>
    <w:rsid w:val="00C047B4"/>
    <w:rsid w:val="00C1008E"/>
    <w:rsid w:val="00C1079D"/>
    <w:rsid w:val="00C1142D"/>
    <w:rsid w:val="00C114FF"/>
    <w:rsid w:val="00C12301"/>
    <w:rsid w:val="00C1354F"/>
    <w:rsid w:val="00C13758"/>
    <w:rsid w:val="00C15548"/>
    <w:rsid w:val="00C158D9"/>
    <w:rsid w:val="00C16B55"/>
    <w:rsid w:val="00C16F33"/>
    <w:rsid w:val="00C17025"/>
    <w:rsid w:val="00C23155"/>
    <w:rsid w:val="00C24432"/>
    <w:rsid w:val="00C265E3"/>
    <w:rsid w:val="00C30476"/>
    <w:rsid w:val="00C30525"/>
    <w:rsid w:val="00C3149D"/>
    <w:rsid w:val="00C33599"/>
    <w:rsid w:val="00C33E88"/>
    <w:rsid w:val="00C34DC8"/>
    <w:rsid w:val="00C36E13"/>
    <w:rsid w:val="00C3723E"/>
    <w:rsid w:val="00C402A6"/>
    <w:rsid w:val="00C40B61"/>
    <w:rsid w:val="00C43D10"/>
    <w:rsid w:val="00C4549F"/>
    <w:rsid w:val="00C47A7C"/>
    <w:rsid w:val="00C5043A"/>
    <w:rsid w:val="00C55447"/>
    <w:rsid w:val="00C55E30"/>
    <w:rsid w:val="00C562CC"/>
    <w:rsid w:val="00C57162"/>
    <w:rsid w:val="00C579C1"/>
    <w:rsid w:val="00C603DE"/>
    <w:rsid w:val="00C61019"/>
    <w:rsid w:val="00C612F2"/>
    <w:rsid w:val="00C62FAC"/>
    <w:rsid w:val="00C64C27"/>
    <w:rsid w:val="00C66AAE"/>
    <w:rsid w:val="00C673DD"/>
    <w:rsid w:val="00C70552"/>
    <w:rsid w:val="00C74A17"/>
    <w:rsid w:val="00C75955"/>
    <w:rsid w:val="00C77C69"/>
    <w:rsid w:val="00C80C05"/>
    <w:rsid w:val="00C824FE"/>
    <w:rsid w:val="00C828DB"/>
    <w:rsid w:val="00C840C5"/>
    <w:rsid w:val="00C84530"/>
    <w:rsid w:val="00C84AAA"/>
    <w:rsid w:val="00C85514"/>
    <w:rsid w:val="00C85DBC"/>
    <w:rsid w:val="00C875B2"/>
    <w:rsid w:val="00C87956"/>
    <w:rsid w:val="00C9394C"/>
    <w:rsid w:val="00C9454D"/>
    <w:rsid w:val="00C94E30"/>
    <w:rsid w:val="00CA02C0"/>
    <w:rsid w:val="00CA1061"/>
    <w:rsid w:val="00CA1A13"/>
    <w:rsid w:val="00CA5444"/>
    <w:rsid w:val="00CA59A3"/>
    <w:rsid w:val="00CA60B5"/>
    <w:rsid w:val="00CA67E4"/>
    <w:rsid w:val="00CA7239"/>
    <w:rsid w:val="00CB1313"/>
    <w:rsid w:val="00CB31D4"/>
    <w:rsid w:val="00CC1A31"/>
    <w:rsid w:val="00CC2162"/>
    <w:rsid w:val="00CC6A63"/>
    <w:rsid w:val="00CC6AAE"/>
    <w:rsid w:val="00CC79DF"/>
    <w:rsid w:val="00CD04B3"/>
    <w:rsid w:val="00CD0591"/>
    <w:rsid w:val="00CD07A0"/>
    <w:rsid w:val="00CD28B3"/>
    <w:rsid w:val="00CD2F51"/>
    <w:rsid w:val="00CD310D"/>
    <w:rsid w:val="00CD4C58"/>
    <w:rsid w:val="00CD66AD"/>
    <w:rsid w:val="00CE01F0"/>
    <w:rsid w:val="00CE139B"/>
    <w:rsid w:val="00CE175D"/>
    <w:rsid w:val="00CE1AF9"/>
    <w:rsid w:val="00CE323B"/>
    <w:rsid w:val="00CE3866"/>
    <w:rsid w:val="00CE4663"/>
    <w:rsid w:val="00CE5D1F"/>
    <w:rsid w:val="00CF1E8D"/>
    <w:rsid w:val="00CF2969"/>
    <w:rsid w:val="00CF3190"/>
    <w:rsid w:val="00CF3C79"/>
    <w:rsid w:val="00CF502C"/>
    <w:rsid w:val="00CF677A"/>
    <w:rsid w:val="00CF7CD4"/>
    <w:rsid w:val="00D01121"/>
    <w:rsid w:val="00D03514"/>
    <w:rsid w:val="00D05A97"/>
    <w:rsid w:val="00D07BCB"/>
    <w:rsid w:val="00D101EB"/>
    <w:rsid w:val="00D10E46"/>
    <w:rsid w:val="00D11884"/>
    <w:rsid w:val="00D12B10"/>
    <w:rsid w:val="00D162E0"/>
    <w:rsid w:val="00D20381"/>
    <w:rsid w:val="00D203BF"/>
    <w:rsid w:val="00D20A55"/>
    <w:rsid w:val="00D22329"/>
    <w:rsid w:val="00D2237F"/>
    <w:rsid w:val="00D22FB0"/>
    <w:rsid w:val="00D242E4"/>
    <w:rsid w:val="00D257F0"/>
    <w:rsid w:val="00D25BDB"/>
    <w:rsid w:val="00D26262"/>
    <w:rsid w:val="00D31AEF"/>
    <w:rsid w:val="00D345A7"/>
    <w:rsid w:val="00D3477B"/>
    <w:rsid w:val="00D37D4F"/>
    <w:rsid w:val="00D42A9C"/>
    <w:rsid w:val="00D51E14"/>
    <w:rsid w:val="00D52AB1"/>
    <w:rsid w:val="00D57090"/>
    <w:rsid w:val="00D57E13"/>
    <w:rsid w:val="00D60C33"/>
    <w:rsid w:val="00D61787"/>
    <w:rsid w:val="00D6186B"/>
    <w:rsid w:val="00D62022"/>
    <w:rsid w:val="00D62BA0"/>
    <w:rsid w:val="00D64A2B"/>
    <w:rsid w:val="00D65333"/>
    <w:rsid w:val="00D6571C"/>
    <w:rsid w:val="00D66474"/>
    <w:rsid w:val="00D66E3F"/>
    <w:rsid w:val="00D6788F"/>
    <w:rsid w:val="00D7091E"/>
    <w:rsid w:val="00D70EF8"/>
    <w:rsid w:val="00D71C5C"/>
    <w:rsid w:val="00D72D05"/>
    <w:rsid w:val="00D73BFD"/>
    <w:rsid w:val="00D752C9"/>
    <w:rsid w:val="00D779C7"/>
    <w:rsid w:val="00D77D5E"/>
    <w:rsid w:val="00D8121B"/>
    <w:rsid w:val="00D8299C"/>
    <w:rsid w:val="00D84E5B"/>
    <w:rsid w:val="00D86FBE"/>
    <w:rsid w:val="00D94125"/>
    <w:rsid w:val="00D946D8"/>
    <w:rsid w:val="00D96FEF"/>
    <w:rsid w:val="00DA140B"/>
    <w:rsid w:val="00DA17B0"/>
    <w:rsid w:val="00DA30FF"/>
    <w:rsid w:val="00DA46E0"/>
    <w:rsid w:val="00DA6344"/>
    <w:rsid w:val="00DA682C"/>
    <w:rsid w:val="00DB2B85"/>
    <w:rsid w:val="00DB543C"/>
    <w:rsid w:val="00DB617B"/>
    <w:rsid w:val="00DB63C7"/>
    <w:rsid w:val="00DC0075"/>
    <w:rsid w:val="00DC0152"/>
    <w:rsid w:val="00DC1C0D"/>
    <w:rsid w:val="00DC2BEB"/>
    <w:rsid w:val="00DC2CB2"/>
    <w:rsid w:val="00DC2D26"/>
    <w:rsid w:val="00DC571E"/>
    <w:rsid w:val="00DC5F01"/>
    <w:rsid w:val="00DC6BE2"/>
    <w:rsid w:val="00DC7752"/>
    <w:rsid w:val="00DC7C6B"/>
    <w:rsid w:val="00DC7F3C"/>
    <w:rsid w:val="00DD0C5C"/>
    <w:rsid w:val="00DD0DF8"/>
    <w:rsid w:val="00DD0FE7"/>
    <w:rsid w:val="00DD251E"/>
    <w:rsid w:val="00DD6B0B"/>
    <w:rsid w:val="00DD78CF"/>
    <w:rsid w:val="00DE0525"/>
    <w:rsid w:val="00DE0555"/>
    <w:rsid w:val="00DE62DE"/>
    <w:rsid w:val="00DE7B31"/>
    <w:rsid w:val="00DF042C"/>
    <w:rsid w:val="00DF2ADA"/>
    <w:rsid w:val="00DF5082"/>
    <w:rsid w:val="00DF63BD"/>
    <w:rsid w:val="00DF7376"/>
    <w:rsid w:val="00E0183A"/>
    <w:rsid w:val="00E03F8B"/>
    <w:rsid w:val="00E04415"/>
    <w:rsid w:val="00E04EEA"/>
    <w:rsid w:val="00E05EE6"/>
    <w:rsid w:val="00E06768"/>
    <w:rsid w:val="00E06893"/>
    <w:rsid w:val="00E07376"/>
    <w:rsid w:val="00E11939"/>
    <w:rsid w:val="00E13457"/>
    <w:rsid w:val="00E14AF7"/>
    <w:rsid w:val="00E20BCB"/>
    <w:rsid w:val="00E21B2C"/>
    <w:rsid w:val="00E23A15"/>
    <w:rsid w:val="00E23F74"/>
    <w:rsid w:val="00E24212"/>
    <w:rsid w:val="00E25C3D"/>
    <w:rsid w:val="00E26468"/>
    <w:rsid w:val="00E31487"/>
    <w:rsid w:val="00E3719E"/>
    <w:rsid w:val="00E41547"/>
    <w:rsid w:val="00E415EB"/>
    <w:rsid w:val="00E43EE3"/>
    <w:rsid w:val="00E448C9"/>
    <w:rsid w:val="00E44EA0"/>
    <w:rsid w:val="00E4775F"/>
    <w:rsid w:val="00E5013C"/>
    <w:rsid w:val="00E60289"/>
    <w:rsid w:val="00E602FA"/>
    <w:rsid w:val="00E62EF3"/>
    <w:rsid w:val="00E64594"/>
    <w:rsid w:val="00E64B19"/>
    <w:rsid w:val="00E67087"/>
    <w:rsid w:val="00E71D4E"/>
    <w:rsid w:val="00E73AAC"/>
    <w:rsid w:val="00E73CC7"/>
    <w:rsid w:val="00E74432"/>
    <w:rsid w:val="00E74E23"/>
    <w:rsid w:val="00E768EF"/>
    <w:rsid w:val="00E76AF8"/>
    <w:rsid w:val="00E822E0"/>
    <w:rsid w:val="00E8249C"/>
    <w:rsid w:val="00E82F5D"/>
    <w:rsid w:val="00E8388B"/>
    <w:rsid w:val="00E839A1"/>
    <w:rsid w:val="00E850AD"/>
    <w:rsid w:val="00E852FD"/>
    <w:rsid w:val="00E861C0"/>
    <w:rsid w:val="00E914B0"/>
    <w:rsid w:val="00E92F8C"/>
    <w:rsid w:val="00E93A45"/>
    <w:rsid w:val="00E942C5"/>
    <w:rsid w:val="00E95B03"/>
    <w:rsid w:val="00EA0ADB"/>
    <w:rsid w:val="00EA1C76"/>
    <w:rsid w:val="00EA2BB9"/>
    <w:rsid w:val="00EA4CC3"/>
    <w:rsid w:val="00EA6C87"/>
    <w:rsid w:val="00EB0BE0"/>
    <w:rsid w:val="00EB27EE"/>
    <w:rsid w:val="00EB2B7B"/>
    <w:rsid w:val="00EB4589"/>
    <w:rsid w:val="00EC53B0"/>
    <w:rsid w:val="00EC55B4"/>
    <w:rsid w:val="00EC5790"/>
    <w:rsid w:val="00EC614F"/>
    <w:rsid w:val="00ED0015"/>
    <w:rsid w:val="00ED0B14"/>
    <w:rsid w:val="00ED2025"/>
    <w:rsid w:val="00ED3F2C"/>
    <w:rsid w:val="00ED48AB"/>
    <w:rsid w:val="00ED5BE0"/>
    <w:rsid w:val="00ED6B1B"/>
    <w:rsid w:val="00ED7695"/>
    <w:rsid w:val="00EE2C72"/>
    <w:rsid w:val="00EE3F2C"/>
    <w:rsid w:val="00EE3F2D"/>
    <w:rsid w:val="00EE42A3"/>
    <w:rsid w:val="00EE603F"/>
    <w:rsid w:val="00EE74BF"/>
    <w:rsid w:val="00EE7C34"/>
    <w:rsid w:val="00EF0EA3"/>
    <w:rsid w:val="00EF1506"/>
    <w:rsid w:val="00EF2BDC"/>
    <w:rsid w:val="00EF38B5"/>
    <w:rsid w:val="00EF4559"/>
    <w:rsid w:val="00EF487D"/>
    <w:rsid w:val="00EF5707"/>
    <w:rsid w:val="00F01CC4"/>
    <w:rsid w:val="00F022AE"/>
    <w:rsid w:val="00F0322C"/>
    <w:rsid w:val="00F0429D"/>
    <w:rsid w:val="00F06F32"/>
    <w:rsid w:val="00F074B7"/>
    <w:rsid w:val="00F07FD3"/>
    <w:rsid w:val="00F10403"/>
    <w:rsid w:val="00F11D5B"/>
    <w:rsid w:val="00F17267"/>
    <w:rsid w:val="00F17573"/>
    <w:rsid w:val="00F217FC"/>
    <w:rsid w:val="00F22B18"/>
    <w:rsid w:val="00F23528"/>
    <w:rsid w:val="00F24A0D"/>
    <w:rsid w:val="00F25473"/>
    <w:rsid w:val="00F263CA"/>
    <w:rsid w:val="00F27717"/>
    <w:rsid w:val="00F27B55"/>
    <w:rsid w:val="00F3144D"/>
    <w:rsid w:val="00F32ECC"/>
    <w:rsid w:val="00F343A0"/>
    <w:rsid w:val="00F34C25"/>
    <w:rsid w:val="00F400B5"/>
    <w:rsid w:val="00F40F65"/>
    <w:rsid w:val="00F4130D"/>
    <w:rsid w:val="00F42BCC"/>
    <w:rsid w:val="00F434D4"/>
    <w:rsid w:val="00F447E5"/>
    <w:rsid w:val="00F47BB0"/>
    <w:rsid w:val="00F500A7"/>
    <w:rsid w:val="00F514AD"/>
    <w:rsid w:val="00F54CC5"/>
    <w:rsid w:val="00F61343"/>
    <w:rsid w:val="00F615ED"/>
    <w:rsid w:val="00F6471C"/>
    <w:rsid w:val="00F6531E"/>
    <w:rsid w:val="00F6544A"/>
    <w:rsid w:val="00F65995"/>
    <w:rsid w:val="00F65D2C"/>
    <w:rsid w:val="00F7027A"/>
    <w:rsid w:val="00F705E5"/>
    <w:rsid w:val="00F7325F"/>
    <w:rsid w:val="00F74BFF"/>
    <w:rsid w:val="00F76533"/>
    <w:rsid w:val="00F76781"/>
    <w:rsid w:val="00F77B92"/>
    <w:rsid w:val="00F84010"/>
    <w:rsid w:val="00F84C28"/>
    <w:rsid w:val="00F85F5E"/>
    <w:rsid w:val="00F86091"/>
    <w:rsid w:val="00F86192"/>
    <w:rsid w:val="00F86B19"/>
    <w:rsid w:val="00F943E9"/>
    <w:rsid w:val="00F94CE8"/>
    <w:rsid w:val="00F9687F"/>
    <w:rsid w:val="00FA776C"/>
    <w:rsid w:val="00FA7784"/>
    <w:rsid w:val="00FB1982"/>
    <w:rsid w:val="00FB4B46"/>
    <w:rsid w:val="00FB6EC7"/>
    <w:rsid w:val="00FB76BE"/>
    <w:rsid w:val="00FB7E5C"/>
    <w:rsid w:val="00FC07F4"/>
    <w:rsid w:val="00FC38F8"/>
    <w:rsid w:val="00FC4053"/>
    <w:rsid w:val="00FC549B"/>
    <w:rsid w:val="00FD3E92"/>
    <w:rsid w:val="00FD542B"/>
    <w:rsid w:val="00FD656C"/>
    <w:rsid w:val="00FD78D2"/>
    <w:rsid w:val="00FE021E"/>
    <w:rsid w:val="00FE1AB7"/>
    <w:rsid w:val="00FE1FF0"/>
    <w:rsid w:val="00FE4071"/>
    <w:rsid w:val="00FE505C"/>
    <w:rsid w:val="00FE6849"/>
    <w:rsid w:val="00FF0D02"/>
    <w:rsid w:val="00FF6014"/>
    <w:rsid w:val="00FF6192"/>
    <w:rsid w:val="0108404E"/>
    <w:rsid w:val="01B29BF4"/>
    <w:rsid w:val="01B7A95F"/>
    <w:rsid w:val="01CC128C"/>
    <w:rsid w:val="01D431B1"/>
    <w:rsid w:val="01E78192"/>
    <w:rsid w:val="026808EB"/>
    <w:rsid w:val="0294E2F3"/>
    <w:rsid w:val="02A5F08D"/>
    <w:rsid w:val="02AFA17B"/>
    <w:rsid w:val="031B679E"/>
    <w:rsid w:val="035FB095"/>
    <w:rsid w:val="038B5184"/>
    <w:rsid w:val="03BD280F"/>
    <w:rsid w:val="03CD454D"/>
    <w:rsid w:val="040BC0F1"/>
    <w:rsid w:val="044CE702"/>
    <w:rsid w:val="047412B6"/>
    <w:rsid w:val="047A72EB"/>
    <w:rsid w:val="0494860B"/>
    <w:rsid w:val="04A76F3E"/>
    <w:rsid w:val="04F806A6"/>
    <w:rsid w:val="0508F081"/>
    <w:rsid w:val="05949F23"/>
    <w:rsid w:val="059A0F1A"/>
    <w:rsid w:val="05A5B1A8"/>
    <w:rsid w:val="05B978B1"/>
    <w:rsid w:val="05BE6A91"/>
    <w:rsid w:val="05DD914F"/>
    <w:rsid w:val="060F81E3"/>
    <w:rsid w:val="06312081"/>
    <w:rsid w:val="0650F2E2"/>
    <w:rsid w:val="067D61A7"/>
    <w:rsid w:val="068A3A03"/>
    <w:rsid w:val="06ECD3A9"/>
    <w:rsid w:val="06F672E5"/>
    <w:rsid w:val="0721F478"/>
    <w:rsid w:val="07302FD4"/>
    <w:rsid w:val="074DF7C5"/>
    <w:rsid w:val="07A6FFCC"/>
    <w:rsid w:val="07AD5C0C"/>
    <w:rsid w:val="08138EEC"/>
    <w:rsid w:val="0879319D"/>
    <w:rsid w:val="08E9C2EF"/>
    <w:rsid w:val="08FEFA1F"/>
    <w:rsid w:val="0937A4D4"/>
    <w:rsid w:val="0947AEAE"/>
    <w:rsid w:val="096BB0FE"/>
    <w:rsid w:val="09776DAB"/>
    <w:rsid w:val="099932B2"/>
    <w:rsid w:val="09B3A58B"/>
    <w:rsid w:val="09F797AB"/>
    <w:rsid w:val="09FE48D2"/>
    <w:rsid w:val="0A00C45D"/>
    <w:rsid w:val="0A5D62A7"/>
    <w:rsid w:val="0AC57E68"/>
    <w:rsid w:val="0AEEA32B"/>
    <w:rsid w:val="0B7AA18E"/>
    <w:rsid w:val="0BD128F6"/>
    <w:rsid w:val="0C0644F2"/>
    <w:rsid w:val="0C8B294C"/>
    <w:rsid w:val="0CBF48B0"/>
    <w:rsid w:val="0D02C50F"/>
    <w:rsid w:val="0D0D966D"/>
    <w:rsid w:val="0D4221A1"/>
    <w:rsid w:val="0D47B20D"/>
    <w:rsid w:val="0D838AEA"/>
    <w:rsid w:val="0DB58807"/>
    <w:rsid w:val="0DDCA5EB"/>
    <w:rsid w:val="0E51B420"/>
    <w:rsid w:val="0E86CD7D"/>
    <w:rsid w:val="0E8D64B2"/>
    <w:rsid w:val="0EB1F85B"/>
    <w:rsid w:val="0F00A393"/>
    <w:rsid w:val="0F11EE12"/>
    <w:rsid w:val="0F139B67"/>
    <w:rsid w:val="0F1A9629"/>
    <w:rsid w:val="0F36D93E"/>
    <w:rsid w:val="0F8E2D98"/>
    <w:rsid w:val="0FA97B43"/>
    <w:rsid w:val="0FB31D1C"/>
    <w:rsid w:val="10163EDC"/>
    <w:rsid w:val="104C541D"/>
    <w:rsid w:val="104FAA36"/>
    <w:rsid w:val="10D18592"/>
    <w:rsid w:val="10F7F39B"/>
    <w:rsid w:val="111124B9"/>
    <w:rsid w:val="119ABF51"/>
    <w:rsid w:val="11C91164"/>
    <w:rsid w:val="11E7FD09"/>
    <w:rsid w:val="126870EC"/>
    <w:rsid w:val="12940914"/>
    <w:rsid w:val="12D48ACB"/>
    <w:rsid w:val="12F723A4"/>
    <w:rsid w:val="12F85659"/>
    <w:rsid w:val="1314003B"/>
    <w:rsid w:val="1396D34A"/>
    <w:rsid w:val="139B1BD0"/>
    <w:rsid w:val="13A44BDB"/>
    <w:rsid w:val="13C3B74E"/>
    <w:rsid w:val="14251F24"/>
    <w:rsid w:val="14F02A1E"/>
    <w:rsid w:val="14F6CD62"/>
    <w:rsid w:val="15641C06"/>
    <w:rsid w:val="15820572"/>
    <w:rsid w:val="158A9897"/>
    <w:rsid w:val="15DFFD96"/>
    <w:rsid w:val="16597B49"/>
    <w:rsid w:val="16736C7D"/>
    <w:rsid w:val="1676BEAB"/>
    <w:rsid w:val="16A3D034"/>
    <w:rsid w:val="16A7A720"/>
    <w:rsid w:val="16CDCF2C"/>
    <w:rsid w:val="16D3CCF1"/>
    <w:rsid w:val="170E0AA4"/>
    <w:rsid w:val="174C80E4"/>
    <w:rsid w:val="17517B5D"/>
    <w:rsid w:val="17714A7F"/>
    <w:rsid w:val="1805ECEB"/>
    <w:rsid w:val="1831C1D0"/>
    <w:rsid w:val="183D8F6E"/>
    <w:rsid w:val="18A2D757"/>
    <w:rsid w:val="19B02BB2"/>
    <w:rsid w:val="19C6328A"/>
    <w:rsid w:val="19E1547A"/>
    <w:rsid w:val="19E8FC99"/>
    <w:rsid w:val="1A0612D3"/>
    <w:rsid w:val="1A151C5D"/>
    <w:rsid w:val="1A1C8B73"/>
    <w:rsid w:val="1A2777CB"/>
    <w:rsid w:val="1A31FD3B"/>
    <w:rsid w:val="1A3E0FB4"/>
    <w:rsid w:val="1A7CAD5B"/>
    <w:rsid w:val="1ACB87E0"/>
    <w:rsid w:val="1AE93966"/>
    <w:rsid w:val="1B00C01E"/>
    <w:rsid w:val="1B346411"/>
    <w:rsid w:val="1B3AB25F"/>
    <w:rsid w:val="1B3FDA87"/>
    <w:rsid w:val="1C3CDB90"/>
    <w:rsid w:val="1C9AD552"/>
    <w:rsid w:val="1CCDB634"/>
    <w:rsid w:val="1CE94046"/>
    <w:rsid w:val="1CEE062D"/>
    <w:rsid w:val="1D355D02"/>
    <w:rsid w:val="1D612E63"/>
    <w:rsid w:val="1D8BA3DE"/>
    <w:rsid w:val="1DFB6534"/>
    <w:rsid w:val="1E3B1097"/>
    <w:rsid w:val="1E535614"/>
    <w:rsid w:val="1E563669"/>
    <w:rsid w:val="1EA31BF2"/>
    <w:rsid w:val="1EC6CEAE"/>
    <w:rsid w:val="1F666C55"/>
    <w:rsid w:val="1FCED86D"/>
    <w:rsid w:val="2003EA28"/>
    <w:rsid w:val="2013B8B4"/>
    <w:rsid w:val="201FD20B"/>
    <w:rsid w:val="2034860E"/>
    <w:rsid w:val="203D63C9"/>
    <w:rsid w:val="206415B7"/>
    <w:rsid w:val="208CC047"/>
    <w:rsid w:val="209C2FC0"/>
    <w:rsid w:val="20FC4695"/>
    <w:rsid w:val="21540013"/>
    <w:rsid w:val="21791966"/>
    <w:rsid w:val="21B18071"/>
    <w:rsid w:val="21BACF3E"/>
    <w:rsid w:val="222BEAD5"/>
    <w:rsid w:val="223129F3"/>
    <w:rsid w:val="227631D6"/>
    <w:rsid w:val="22A76904"/>
    <w:rsid w:val="232184EA"/>
    <w:rsid w:val="238C2069"/>
    <w:rsid w:val="23BDAE93"/>
    <w:rsid w:val="23CE3A4D"/>
    <w:rsid w:val="23D546EE"/>
    <w:rsid w:val="2415FC73"/>
    <w:rsid w:val="24357A2B"/>
    <w:rsid w:val="2463B368"/>
    <w:rsid w:val="2474ACC5"/>
    <w:rsid w:val="248120FF"/>
    <w:rsid w:val="24CE3A2D"/>
    <w:rsid w:val="2556C269"/>
    <w:rsid w:val="255E0B40"/>
    <w:rsid w:val="258E282F"/>
    <w:rsid w:val="25CD3421"/>
    <w:rsid w:val="25E7F7C8"/>
    <w:rsid w:val="261146F9"/>
    <w:rsid w:val="267ADF09"/>
    <w:rsid w:val="26FBBE22"/>
    <w:rsid w:val="272BF453"/>
    <w:rsid w:val="2799A865"/>
    <w:rsid w:val="27BFCD00"/>
    <w:rsid w:val="27FF2582"/>
    <w:rsid w:val="281B3789"/>
    <w:rsid w:val="2980A3E9"/>
    <w:rsid w:val="29B95D45"/>
    <w:rsid w:val="29E5D6C8"/>
    <w:rsid w:val="29F2A18D"/>
    <w:rsid w:val="2A0439BE"/>
    <w:rsid w:val="2A45962B"/>
    <w:rsid w:val="2A510D5A"/>
    <w:rsid w:val="2A59F086"/>
    <w:rsid w:val="2ADBEA0D"/>
    <w:rsid w:val="2B3AF630"/>
    <w:rsid w:val="2B600B92"/>
    <w:rsid w:val="2B8001B5"/>
    <w:rsid w:val="2B98DBE4"/>
    <w:rsid w:val="2B9A84BE"/>
    <w:rsid w:val="2BF3C4C0"/>
    <w:rsid w:val="2C090926"/>
    <w:rsid w:val="2C495753"/>
    <w:rsid w:val="2D6D6BBC"/>
    <w:rsid w:val="2DB78409"/>
    <w:rsid w:val="2E001E2F"/>
    <w:rsid w:val="2E0A12A2"/>
    <w:rsid w:val="2E14E13E"/>
    <w:rsid w:val="2E3AD416"/>
    <w:rsid w:val="2E766C07"/>
    <w:rsid w:val="2E8E8ED4"/>
    <w:rsid w:val="2EC47273"/>
    <w:rsid w:val="2F036D89"/>
    <w:rsid w:val="2F1700BD"/>
    <w:rsid w:val="2F36840E"/>
    <w:rsid w:val="2F993F0B"/>
    <w:rsid w:val="2F9F6DFC"/>
    <w:rsid w:val="2FAF89A3"/>
    <w:rsid w:val="2FD5CFD1"/>
    <w:rsid w:val="30230DB6"/>
    <w:rsid w:val="307927AF"/>
    <w:rsid w:val="30884BF9"/>
    <w:rsid w:val="30B617BB"/>
    <w:rsid w:val="30D51B3B"/>
    <w:rsid w:val="314BFC2D"/>
    <w:rsid w:val="31B9FC3E"/>
    <w:rsid w:val="31BE6664"/>
    <w:rsid w:val="31C36D66"/>
    <w:rsid w:val="3203A9BB"/>
    <w:rsid w:val="32056ADA"/>
    <w:rsid w:val="320A0F0E"/>
    <w:rsid w:val="32285430"/>
    <w:rsid w:val="3267237B"/>
    <w:rsid w:val="327B161B"/>
    <w:rsid w:val="32ED1E7E"/>
    <w:rsid w:val="3311598D"/>
    <w:rsid w:val="3371EC73"/>
    <w:rsid w:val="33A3CE9C"/>
    <w:rsid w:val="33BAE349"/>
    <w:rsid w:val="33E61ED1"/>
    <w:rsid w:val="3431ED26"/>
    <w:rsid w:val="3439A527"/>
    <w:rsid w:val="3472C4E7"/>
    <w:rsid w:val="3483DC61"/>
    <w:rsid w:val="34ADF5D8"/>
    <w:rsid w:val="34EDD6D9"/>
    <w:rsid w:val="350951EF"/>
    <w:rsid w:val="3517B6B5"/>
    <w:rsid w:val="351B1A59"/>
    <w:rsid w:val="351FE1BA"/>
    <w:rsid w:val="352942B4"/>
    <w:rsid w:val="3566B468"/>
    <w:rsid w:val="3634575D"/>
    <w:rsid w:val="3634B304"/>
    <w:rsid w:val="36902A9E"/>
    <w:rsid w:val="36AB047A"/>
    <w:rsid w:val="370BA20C"/>
    <w:rsid w:val="371430DD"/>
    <w:rsid w:val="37406E6E"/>
    <w:rsid w:val="377203DD"/>
    <w:rsid w:val="378715D2"/>
    <w:rsid w:val="37AD5063"/>
    <w:rsid w:val="37DAA0AE"/>
    <w:rsid w:val="38037075"/>
    <w:rsid w:val="3847A770"/>
    <w:rsid w:val="385667C6"/>
    <w:rsid w:val="38CD69BF"/>
    <w:rsid w:val="38E10AD9"/>
    <w:rsid w:val="399D56DE"/>
    <w:rsid w:val="39D24BB6"/>
    <w:rsid w:val="3A352414"/>
    <w:rsid w:val="3A3B0B26"/>
    <w:rsid w:val="3AD7554D"/>
    <w:rsid w:val="3B101363"/>
    <w:rsid w:val="3B68708F"/>
    <w:rsid w:val="3B6C06B9"/>
    <w:rsid w:val="3B6EC7AE"/>
    <w:rsid w:val="3BA545DB"/>
    <w:rsid w:val="3BB8AB9B"/>
    <w:rsid w:val="3BC9141A"/>
    <w:rsid w:val="3C732858"/>
    <w:rsid w:val="3C96D257"/>
    <w:rsid w:val="3CA125E4"/>
    <w:rsid w:val="3CFB3EB6"/>
    <w:rsid w:val="3D0E2345"/>
    <w:rsid w:val="3D3AAE45"/>
    <w:rsid w:val="3D5AF7A9"/>
    <w:rsid w:val="3D94B51F"/>
    <w:rsid w:val="3DD50F9D"/>
    <w:rsid w:val="3DDFDDC4"/>
    <w:rsid w:val="3E56862B"/>
    <w:rsid w:val="3E6E5FE5"/>
    <w:rsid w:val="3EF2EC8D"/>
    <w:rsid w:val="3EF3D9FF"/>
    <w:rsid w:val="3F1BCF23"/>
    <w:rsid w:val="3FAA01B8"/>
    <w:rsid w:val="3FF7995D"/>
    <w:rsid w:val="40517C89"/>
    <w:rsid w:val="4069B34F"/>
    <w:rsid w:val="40C87A16"/>
    <w:rsid w:val="40F5CC90"/>
    <w:rsid w:val="410CEFCB"/>
    <w:rsid w:val="4190395F"/>
    <w:rsid w:val="41D59248"/>
    <w:rsid w:val="42104BD6"/>
    <w:rsid w:val="421DAF80"/>
    <w:rsid w:val="42485038"/>
    <w:rsid w:val="42CA7901"/>
    <w:rsid w:val="42D7ABB3"/>
    <w:rsid w:val="42EDAB3B"/>
    <w:rsid w:val="4356BD0C"/>
    <w:rsid w:val="43646F65"/>
    <w:rsid w:val="43D16198"/>
    <w:rsid w:val="449BDA64"/>
    <w:rsid w:val="44A4D76B"/>
    <w:rsid w:val="44E717EE"/>
    <w:rsid w:val="4502B63E"/>
    <w:rsid w:val="450E12A1"/>
    <w:rsid w:val="4517D24C"/>
    <w:rsid w:val="456757C1"/>
    <w:rsid w:val="45EFB0F8"/>
    <w:rsid w:val="46034501"/>
    <w:rsid w:val="4620E54C"/>
    <w:rsid w:val="465102E2"/>
    <w:rsid w:val="465A7C5B"/>
    <w:rsid w:val="46731EDA"/>
    <w:rsid w:val="467F3075"/>
    <w:rsid w:val="46A313FA"/>
    <w:rsid w:val="46DB347D"/>
    <w:rsid w:val="474C482D"/>
    <w:rsid w:val="479107BE"/>
    <w:rsid w:val="47B984D7"/>
    <w:rsid w:val="47C860B6"/>
    <w:rsid w:val="4822148B"/>
    <w:rsid w:val="483B30C2"/>
    <w:rsid w:val="483F1E6A"/>
    <w:rsid w:val="487A8ABF"/>
    <w:rsid w:val="487B0130"/>
    <w:rsid w:val="4930D3E5"/>
    <w:rsid w:val="49635924"/>
    <w:rsid w:val="49813FA9"/>
    <w:rsid w:val="49850AC2"/>
    <w:rsid w:val="4988E415"/>
    <w:rsid w:val="49A4E23A"/>
    <w:rsid w:val="49C7F671"/>
    <w:rsid w:val="4A29BBCC"/>
    <w:rsid w:val="4A41ACD2"/>
    <w:rsid w:val="4A4F79AB"/>
    <w:rsid w:val="4A6E064A"/>
    <w:rsid w:val="4AA5AEC4"/>
    <w:rsid w:val="4AAA12BF"/>
    <w:rsid w:val="4AD13268"/>
    <w:rsid w:val="4AFADE5B"/>
    <w:rsid w:val="4B410653"/>
    <w:rsid w:val="4B8798D8"/>
    <w:rsid w:val="4BB7D53A"/>
    <w:rsid w:val="4BD5E612"/>
    <w:rsid w:val="4BF0D751"/>
    <w:rsid w:val="4C372D2A"/>
    <w:rsid w:val="4C42329D"/>
    <w:rsid w:val="4C4CD997"/>
    <w:rsid w:val="4C55E9A3"/>
    <w:rsid w:val="4C8873AC"/>
    <w:rsid w:val="4C9FE9CB"/>
    <w:rsid w:val="4CB8C005"/>
    <w:rsid w:val="4CC842D8"/>
    <w:rsid w:val="4CDAA2BE"/>
    <w:rsid w:val="4CDE1D8C"/>
    <w:rsid w:val="4D9908BB"/>
    <w:rsid w:val="4DED86F5"/>
    <w:rsid w:val="4E042953"/>
    <w:rsid w:val="4E4347B4"/>
    <w:rsid w:val="4E6B1D96"/>
    <w:rsid w:val="4EAC2D1E"/>
    <w:rsid w:val="4EF391F2"/>
    <w:rsid w:val="4F222D9E"/>
    <w:rsid w:val="4F53FDA6"/>
    <w:rsid w:val="4F602C2B"/>
    <w:rsid w:val="4F632D9B"/>
    <w:rsid w:val="4F6ABC55"/>
    <w:rsid w:val="4F8CD69C"/>
    <w:rsid w:val="4FB09812"/>
    <w:rsid w:val="4FEC72EF"/>
    <w:rsid w:val="500B5A2B"/>
    <w:rsid w:val="502271F3"/>
    <w:rsid w:val="50DCED67"/>
    <w:rsid w:val="515707B4"/>
    <w:rsid w:val="517A0C97"/>
    <w:rsid w:val="51818A69"/>
    <w:rsid w:val="51996D7A"/>
    <w:rsid w:val="51C98DA5"/>
    <w:rsid w:val="51DA0004"/>
    <w:rsid w:val="52555A13"/>
    <w:rsid w:val="5353DDDD"/>
    <w:rsid w:val="53BA2421"/>
    <w:rsid w:val="53BE8F44"/>
    <w:rsid w:val="54128297"/>
    <w:rsid w:val="546B7DEC"/>
    <w:rsid w:val="54850429"/>
    <w:rsid w:val="54B3032C"/>
    <w:rsid w:val="54C32D02"/>
    <w:rsid w:val="54CC8BC6"/>
    <w:rsid w:val="54D16F18"/>
    <w:rsid w:val="5589D738"/>
    <w:rsid w:val="558BAC11"/>
    <w:rsid w:val="55B39D88"/>
    <w:rsid w:val="55BDD515"/>
    <w:rsid w:val="565B7A7C"/>
    <w:rsid w:val="569133EE"/>
    <w:rsid w:val="56B340D3"/>
    <w:rsid w:val="56F8EB70"/>
    <w:rsid w:val="57A56A3F"/>
    <w:rsid w:val="5811DE15"/>
    <w:rsid w:val="58341F32"/>
    <w:rsid w:val="583A4BEF"/>
    <w:rsid w:val="58B46070"/>
    <w:rsid w:val="58CE62E3"/>
    <w:rsid w:val="59538275"/>
    <w:rsid w:val="59837665"/>
    <w:rsid w:val="59ED642A"/>
    <w:rsid w:val="59F8716A"/>
    <w:rsid w:val="5A0833C5"/>
    <w:rsid w:val="5A507092"/>
    <w:rsid w:val="5A7643B8"/>
    <w:rsid w:val="5ACC5AFB"/>
    <w:rsid w:val="5B1F985B"/>
    <w:rsid w:val="5BBE6C4B"/>
    <w:rsid w:val="5C033056"/>
    <w:rsid w:val="5CCDB010"/>
    <w:rsid w:val="5D7BC0C0"/>
    <w:rsid w:val="5D8EA667"/>
    <w:rsid w:val="5DBF777A"/>
    <w:rsid w:val="5DC6DD18"/>
    <w:rsid w:val="5DC81F96"/>
    <w:rsid w:val="5DDD60CC"/>
    <w:rsid w:val="5DFD99B1"/>
    <w:rsid w:val="5E041C6E"/>
    <w:rsid w:val="5E11C0C0"/>
    <w:rsid w:val="5E23900F"/>
    <w:rsid w:val="5E251BF3"/>
    <w:rsid w:val="5E3296CF"/>
    <w:rsid w:val="5E4D2575"/>
    <w:rsid w:val="5E81697E"/>
    <w:rsid w:val="5EC40E1B"/>
    <w:rsid w:val="5EE0332A"/>
    <w:rsid w:val="5F27D922"/>
    <w:rsid w:val="5FB1840C"/>
    <w:rsid w:val="600F652B"/>
    <w:rsid w:val="602B167C"/>
    <w:rsid w:val="6060B9DB"/>
    <w:rsid w:val="6097394B"/>
    <w:rsid w:val="60C3A983"/>
    <w:rsid w:val="6159A3D4"/>
    <w:rsid w:val="61A089A6"/>
    <w:rsid w:val="61B19C3E"/>
    <w:rsid w:val="61E21E0B"/>
    <w:rsid w:val="62483A2C"/>
    <w:rsid w:val="6252FEDC"/>
    <w:rsid w:val="625BABE8"/>
    <w:rsid w:val="62779578"/>
    <w:rsid w:val="62A22C3F"/>
    <w:rsid w:val="62C80A63"/>
    <w:rsid w:val="62E7E356"/>
    <w:rsid w:val="62F1B495"/>
    <w:rsid w:val="637B6F8A"/>
    <w:rsid w:val="63B135E2"/>
    <w:rsid w:val="642FB519"/>
    <w:rsid w:val="648634DA"/>
    <w:rsid w:val="64905D4D"/>
    <w:rsid w:val="64D51D3A"/>
    <w:rsid w:val="65054E8C"/>
    <w:rsid w:val="65094A56"/>
    <w:rsid w:val="65719AD8"/>
    <w:rsid w:val="6599542A"/>
    <w:rsid w:val="660A5CAF"/>
    <w:rsid w:val="661817ED"/>
    <w:rsid w:val="6626D67B"/>
    <w:rsid w:val="66272CAA"/>
    <w:rsid w:val="6647552C"/>
    <w:rsid w:val="665A73D2"/>
    <w:rsid w:val="668F1013"/>
    <w:rsid w:val="66917AEE"/>
    <w:rsid w:val="66C600B1"/>
    <w:rsid w:val="66E6783B"/>
    <w:rsid w:val="66F2EE54"/>
    <w:rsid w:val="66F5B86C"/>
    <w:rsid w:val="6749EC8F"/>
    <w:rsid w:val="6753DF04"/>
    <w:rsid w:val="676449A1"/>
    <w:rsid w:val="679CE174"/>
    <w:rsid w:val="67C430D9"/>
    <w:rsid w:val="67E5853F"/>
    <w:rsid w:val="67F114D2"/>
    <w:rsid w:val="68563399"/>
    <w:rsid w:val="686A3389"/>
    <w:rsid w:val="689B444E"/>
    <w:rsid w:val="68A25CC1"/>
    <w:rsid w:val="68B7DC96"/>
    <w:rsid w:val="68E85773"/>
    <w:rsid w:val="68F08D05"/>
    <w:rsid w:val="690EC22F"/>
    <w:rsid w:val="698E00E1"/>
    <w:rsid w:val="69913CC4"/>
    <w:rsid w:val="69B6C55B"/>
    <w:rsid w:val="6A46EF7F"/>
    <w:rsid w:val="6A984C8F"/>
    <w:rsid w:val="6AA4429E"/>
    <w:rsid w:val="6AE31805"/>
    <w:rsid w:val="6AE98C25"/>
    <w:rsid w:val="6AF022D4"/>
    <w:rsid w:val="6AF197E3"/>
    <w:rsid w:val="6B2D2CAD"/>
    <w:rsid w:val="6B3D1219"/>
    <w:rsid w:val="6BAD147B"/>
    <w:rsid w:val="6BD5510D"/>
    <w:rsid w:val="6C04D97F"/>
    <w:rsid w:val="6C1D58DD"/>
    <w:rsid w:val="6C3D875F"/>
    <w:rsid w:val="6C740BCA"/>
    <w:rsid w:val="6CDC355D"/>
    <w:rsid w:val="6D0461FF"/>
    <w:rsid w:val="6D0B9942"/>
    <w:rsid w:val="6D5F34AA"/>
    <w:rsid w:val="6DB16AA1"/>
    <w:rsid w:val="6DDC29FC"/>
    <w:rsid w:val="6E488BDC"/>
    <w:rsid w:val="6E5D8D23"/>
    <w:rsid w:val="6E5F611D"/>
    <w:rsid w:val="6E883D2A"/>
    <w:rsid w:val="6ED78505"/>
    <w:rsid w:val="6ED9D162"/>
    <w:rsid w:val="6F23778C"/>
    <w:rsid w:val="6F7894CE"/>
    <w:rsid w:val="6F98E64F"/>
    <w:rsid w:val="6FBDC829"/>
    <w:rsid w:val="6FC5042B"/>
    <w:rsid w:val="70146054"/>
    <w:rsid w:val="707AC9E5"/>
    <w:rsid w:val="709E2EEF"/>
    <w:rsid w:val="70EA7993"/>
    <w:rsid w:val="70EFFA5C"/>
    <w:rsid w:val="7106D842"/>
    <w:rsid w:val="71E0816A"/>
    <w:rsid w:val="71F56AB1"/>
    <w:rsid w:val="72238189"/>
    <w:rsid w:val="72285B51"/>
    <w:rsid w:val="727EB475"/>
    <w:rsid w:val="728F2C98"/>
    <w:rsid w:val="72C3925B"/>
    <w:rsid w:val="72C49728"/>
    <w:rsid w:val="73037DF1"/>
    <w:rsid w:val="732F1793"/>
    <w:rsid w:val="735EDCCF"/>
    <w:rsid w:val="7372E796"/>
    <w:rsid w:val="7395598D"/>
    <w:rsid w:val="73AEEF2A"/>
    <w:rsid w:val="73C71E01"/>
    <w:rsid w:val="740C0240"/>
    <w:rsid w:val="7429C0E9"/>
    <w:rsid w:val="742B0437"/>
    <w:rsid w:val="744325E2"/>
    <w:rsid w:val="7476BA3A"/>
    <w:rsid w:val="74898A96"/>
    <w:rsid w:val="74F11B75"/>
    <w:rsid w:val="7516E6FD"/>
    <w:rsid w:val="752726DB"/>
    <w:rsid w:val="7529C98D"/>
    <w:rsid w:val="75362F9B"/>
    <w:rsid w:val="7582F939"/>
    <w:rsid w:val="75837DA8"/>
    <w:rsid w:val="759D8DE7"/>
    <w:rsid w:val="75A83510"/>
    <w:rsid w:val="75EFAC08"/>
    <w:rsid w:val="7658B381"/>
    <w:rsid w:val="767AF38D"/>
    <w:rsid w:val="769FB2F3"/>
    <w:rsid w:val="76A960A3"/>
    <w:rsid w:val="76E8F90D"/>
    <w:rsid w:val="77368664"/>
    <w:rsid w:val="77ECD190"/>
    <w:rsid w:val="781676C4"/>
    <w:rsid w:val="7824B2A6"/>
    <w:rsid w:val="787C28A1"/>
    <w:rsid w:val="78C4DE9A"/>
    <w:rsid w:val="791836A3"/>
    <w:rsid w:val="7996B706"/>
    <w:rsid w:val="7998ACB9"/>
    <w:rsid w:val="79EA6A0E"/>
    <w:rsid w:val="7A04589B"/>
    <w:rsid w:val="7A7F570B"/>
    <w:rsid w:val="7A9D7DD4"/>
    <w:rsid w:val="7AA20AD2"/>
    <w:rsid w:val="7AB6DF53"/>
    <w:rsid w:val="7AC52A92"/>
    <w:rsid w:val="7AFA74C5"/>
    <w:rsid w:val="7B1EA31D"/>
    <w:rsid w:val="7B25B21B"/>
    <w:rsid w:val="7B278EE1"/>
    <w:rsid w:val="7B2A4F38"/>
    <w:rsid w:val="7B46B9C8"/>
    <w:rsid w:val="7B4EA4C2"/>
    <w:rsid w:val="7B6173C5"/>
    <w:rsid w:val="7B718136"/>
    <w:rsid w:val="7C0F409A"/>
    <w:rsid w:val="7C172607"/>
    <w:rsid w:val="7C302F42"/>
    <w:rsid w:val="7C3788D2"/>
    <w:rsid w:val="7C3BA75C"/>
    <w:rsid w:val="7CB20E53"/>
    <w:rsid w:val="7D540AE6"/>
    <w:rsid w:val="7D5E2866"/>
    <w:rsid w:val="7D849B9A"/>
    <w:rsid w:val="7E575CFE"/>
    <w:rsid w:val="7EA7FFA7"/>
    <w:rsid w:val="7EAEA477"/>
    <w:rsid w:val="7ED81BC3"/>
    <w:rsid w:val="7F1B6AA6"/>
    <w:rsid w:val="7F1F3A44"/>
    <w:rsid w:val="7F1FFAC1"/>
    <w:rsid w:val="7F9B7A85"/>
    <w:rsid w:val="7FA68E3D"/>
    <w:rsid w:val="7FD3E424"/>
    <w:rsid w:val="7FF657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B57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Znak Znak Znak, Znak Znak Znak"/>
    <w:basedOn w:val="DefaultParagraphFont"/>
    <w:uiPriority w:val="99"/>
    <w:unhideWhenUsed/>
    <w:qFormat/>
    <w:rPr>
      <w:color w:val="0000FF" w:themeColor="hyperlink"/>
      <w:u w:val="single"/>
    </w:rPr>
  </w:style>
  <w:style w:type="paragraph" w:styleId="ListParagraph">
    <w:name w:val="List Paragraph"/>
    <w:aliases w:val="Style Bullet,Heading 2_sj,Dot pt,Numbered Para 1,No Spacing1,List Paragraph Char Char Char,Indicator Text,List Paragraph1,Bullet Points,MAIN CONTENT,List Paragraph12,F5 List Paragraph,Report Para,1st level - Bullet List Paragraph"/>
    <w:basedOn w:val="Normal"/>
    <w:link w:val="ListParagraphChar"/>
    <w:uiPriority w:val="34"/>
    <w:qFormat/>
    <w:pPr>
      <w:ind w:left="720"/>
      <w:contextualSpacing/>
    </w:pPr>
  </w:style>
  <w:style w:type="paragraph" w:styleId="ListBullet">
    <w:name w:val="List Bullet"/>
    <w:aliases w:val="List BulletLLET,*List Bullet,IPA Bullet,Знак,Aufzählungszeichen,Char"/>
    <w:basedOn w:val="Normal"/>
    <w:uiPriority w:val="4"/>
    <w:qFormat/>
    <w:rsid w:val="00353B0D"/>
    <w:pPr>
      <w:tabs>
        <w:tab w:val="num" w:pos="283"/>
      </w:tabs>
      <w:spacing w:before="0" w:after="240"/>
      <w:ind w:left="283" w:hanging="283"/>
    </w:pPr>
    <w:rPr>
      <w:rFonts w:eastAsia="Times New Roman"/>
      <w:szCs w:val="20"/>
    </w:rPr>
  </w:style>
  <w:style w:type="paragraph" w:customStyle="1" w:styleId="CharCharChar1">
    <w:name w:val="Char Char Char1"/>
    <w:basedOn w:val="Normal"/>
    <w:link w:val="FootnoteReference"/>
    <w:uiPriority w:val="99"/>
    <w:rsid w:val="00353B0D"/>
    <w:pPr>
      <w:spacing w:before="0" w:after="160" w:line="240" w:lineRule="exact"/>
    </w:pPr>
    <w:rPr>
      <w:rFonts w:asciiTheme="minorHAnsi" w:hAnsiTheme="minorHAnsi" w:cstheme="minorBidi"/>
      <w:sz w:val="22"/>
      <w:vertAlign w:val="superscript"/>
      <w:lang w:val="en-US"/>
    </w:rPr>
  </w:style>
  <w:style w:type="table" w:styleId="TableGrid">
    <w:name w:val="Table Grid"/>
    <w:aliases w:val="Document Table,CV1,Tabellengitternetz,TabelEcorys"/>
    <w:basedOn w:val="TableNormal"/>
    <w:rsid w:val="00B97430"/>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yle Bullet Char,Heading 2_sj Char,Dot pt Char,Numbered Para 1 Char,No Spacing1 Char,List Paragraph Char Char Char Char,Indicator Text Char,List Paragraph1 Char,Bullet Points Char,MAIN CONTENT Char,List Paragraph12 Char"/>
    <w:basedOn w:val="DefaultParagraphFont"/>
    <w:link w:val="ListParagraph"/>
    <w:uiPriority w:val="34"/>
    <w:qFormat/>
    <w:rsid w:val="00670C99"/>
    <w:rPr>
      <w:rFonts w:ascii="Times New Roman" w:hAnsi="Times New Roman" w:cs="Times New Roman"/>
      <w:sz w:val="24"/>
      <w:lang w:val="en-GB"/>
    </w:rPr>
  </w:style>
  <w:style w:type="paragraph" w:customStyle="1" w:styleId="paragraph">
    <w:name w:val="paragraph"/>
    <w:basedOn w:val="Normal"/>
    <w:rsid w:val="00FE021E"/>
    <w:pPr>
      <w:spacing w:before="100" w:beforeAutospacing="1" w:after="100" w:afterAutospacing="1"/>
      <w:jc w:val="left"/>
    </w:pPr>
    <w:rPr>
      <w:rFonts w:eastAsia="Times New Roman"/>
      <w:szCs w:val="24"/>
      <w:lang w:val="en-IE" w:eastAsia="en-IE"/>
    </w:r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911DA"/>
    <w:pPr>
      <w:spacing w:after="0" w:line="240" w:lineRule="auto"/>
    </w:pPr>
    <w:rPr>
      <w:rFonts w:ascii="Times New Roman" w:hAnsi="Times New Roman" w:cs="Times New Roman"/>
      <w:sz w:val="24"/>
      <w:lang w:val="en-GB"/>
    </w:rPr>
  </w:style>
  <w:style w:type="paragraph" w:styleId="CommentSubject">
    <w:name w:val="annotation subject"/>
    <w:basedOn w:val="CommentText"/>
    <w:next w:val="CommentText"/>
    <w:link w:val="CommentSubjectChar"/>
    <w:uiPriority w:val="99"/>
    <w:semiHidden/>
    <w:unhideWhenUsed/>
    <w:rsid w:val="00A6042F"/>
    <w:rPr>
      <w:b/>
      <w:bCs/>
    </w:rPr>
  </w:style>
  <w:style w:type="character" w:customStyle="1" w:styleId="CommentSubjectChar">
    <w:name w:val="Comment Subject Char"/>
    <w:basedOn w:val="CommentTextChar"/>
    <w:link w:val="CommentSubject"/>
    <w:uiPriority w:val="99"/>
    <w:semiHidden/>
    <w:rsid w:val="00A6042F"/>
    <w:rPr>
      <w:rFonts w:ascii="Times New Roman" w:hAnsi="Times New Roman" w:cs="Times New Roman"/>
      <w:b/>
      <w:bCs/>
      <w:sz w:val="20"/>
      <w:szCs w:val="20"/>
      <w:lang w:val="en-GB"/>
    </w:rPr>
  </w:style>
  <w:style w:type="paragraph" w:styleId="ListBullet2">
    <w:name w:val="List Bullet 2"/>
    <w:basedOn w:val="Normal"/>
    <w:uiPriority w:val="99"/>
    <w:semiHidden/>
    <w:unhideWhenUsed/>
    <w:rsid w:val="00436667"/>
    <w:pPr>
      <w:numPr>
        <w:numId w:val="1"/>
      </w:numPr>
      <w:contextualSpacing/>
    </w:pPr>
  </w:style>
  <w:style w:type="paragraph" w:styleId="ListBullet3">
    <w:name w:val="List Bullet 3"/>
    <w:basedOn w:val="Normal"/>
    <w:uiPriority w:val="99"/>
    <w:semiHidden/>
    <w:unhideWhenUsed/>
    <w:rsid w:val="00436667"/>
    <w:pPr>
      <w:numPr>
        <w:numId w:val="2"/>
      </w:numPr>
      <w:contextualSpacing/>
    </w:pPr>
  </w:style>
  <w:style w:type="paragraph" w:styleId="ListBullet4">
    <w:name w:val="List Bullet 4"/>
    <w:basedOn w:val="Normal"/>
    <w:uiPriority w:val="99"/>
    <w:semiHidden/>
    <w:unhideWhenUsed/>
    <w:rsid w:val="00436667"/>
    <w:pPr>
      <w:numPr>
        <w:numId w:val="3"/>
      </w:numPr>
      <w:contextualSpacing/>
    </w:pPr>
  </w:style>
  <w:style w:type="character" w:styleId="FollowedHyperlink">
    <w:name w:val="FollowedHyperlink"/>
    <w:basedOn w:val="DefaultParagraphFont"/>
    <w:uiPriority w:val="99"/>
    <w:semiHidden/>
    <w:unhideWhenUsed/>
    <w:rsid w:val="00950394"/>
    <w:rPr>
      <w:color w:val="800080" w:themeColor="followedHyperlink"/>
      <w:u w:val="single"/>
    </w:rPr>
  </w:style>
  <w:style w:type="paragraph" w:customStyle="1" w:styleId="chapter-para">
    <w:name w:val="chapter-para"/>
    <w:basedOn w:val="Normal"/>
    <w:rsid w:val="00E3719E"/>
    <w:pPr>
      <w:spacing w:before="100" w:beforeAutospacing="1" w:after="100" w:afterAutospacing="1"/>
      <w:jc w:val="left"/>
    </w:pPr>
    <w:rPr>
      <w:rFonts w:eastAsia="Times New Roman"/>
      <w:szCs w:val="24"/>
      <w:lang w:eastAsia="en-GB"/>
    </w:rPr>
  </w:style>
  <w:style w:type="character" w:customStyle="1" w:styleId="UnresolvedMention1">
    <w:name w:val="Unresolved Mention1"/>
    <w:basedOn w:val="DefaultParagraphFont"/>
    <w:uiPriority w:val="99"/>
    <w:semiHidden/>
    <w:unhideWhenUsed/>
    <w:rsid w:val="00EF38B5"/>
    <w:rPr>
      <w:color w:val="605E5C"/>
      <w:shd w:val="clear" w:color="auto" w:fill="E1DFDD"/>
    </w:rPr>
  </w:style>
  <w:style w:type="paragraph" w:customStyle="1" w:styleId="Style1">
    <w:name w:val="Style1"/>
    <w:basedOn w:val="Pagedecouverture"/>
    <w:qFormat/>
    <w:rsid w:val="009545F8"/>
  </w:style>
  <w:style w:type="character" w:customStyle="1" w:styleId="HeaderChar">
    <w:name w:val="Header Char"/>
    <w:basedOn w:val="DefaultParagraphFont"/>
    <w:link w:val="Header"/>
    <w:uiPriority w:val="99"/>
    <w:rsid w:val="006A3F11"/>
    <w:rPr>
      <w:rFonts w:ascii="Times New Roman" w:hAnsi="Times New Roman" w:cs="Times New Roman"/>
      <w:sz w:val="24"/>
      <w:lang w:val="en-GB"/>
    </w:rPr>
  </w:style>
  <w:style w:type="character" w:customStyle="1" w:styleId="FooterChar">
    <w:name w:val="Footer Char"/>
    <w:basedOn w:val="DefaultParagraphFont"/>
    <w:link w:val="Footer"/>
    <w:uiPriority w:val="99"/>
    <w:rsid w:val="006A3F11"/>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link w:val="CharCharChar1"/>
    <w:uiPriority w:val="99"/>
    <w:semiHidden/>
    <w:unhideWhenUsed/>
    <w:rPr>
      <w:shd w:val="clear" w:color="auto" w:fill="auto"/>
      <w:vertAlign w:val="superscript"/>
    </w:rPr>
  </w:style>
  <w:style w:type="paragraph" w:customStyle="1" w:styleId="HeaderSensitivity">
    <w:name w:val="Header Sensitivity"/>
    <w:basedOn w:val="Normal"/>
    <w:rsid w:val="006A3F1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6A3F11"/>
    <w:pPr>
      <w:spacing w:before="0"/>
      <w:jc w:val="right"/>
    </w:pPr>
    <w:rPr>
      <w:sz w:val="28"/>
    </w:rPr>
  </w:style>
  <w:style w:type="paragraph" w:customStyle="1" w:styleId="FooterSensitivity">
    <w:name w:val="Footer Sensitivity"/>
    <w:basedOn w:val="Normal"/>
    <w:rsid w:val="006A3F1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Tiret5">
    <w:name w:val="Tiret 5"/>
    <w:basedOn w:val="Point5"/>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NumPar5">
    <w:name w:val="NumPar 5"/>
    <w:basedOn w:val="Normal"/>
    <w:next w:val="Text2"/>
    <w:pPr>
      <w:numPr>
        <w:ilvl w:val="4"/>
        <w:numId w:val="28"/>
      </w:numPr>
    </w:pPr>
  </w:style>
  <w:style w:type="paragraph" w:customStyle="1" w:styleId="NumPar6">
    <w:name w:val="NumPar 6"/>
    <w:basedOn w:val="Normal"/>
    <w:next w:val="Text2"/>
    <w:pPr>
      <w:numPr>
        <w:ilvl w:val="5"/>
        <w:numId w:val="28"/>
      </w:numPr>
    </w:pPr>
  </w:style>
  <w:style w:type="paragraph" w:customStyle="1" w:styleId="NumPar7">
    <w:name w:val="NumPar 7"/>
    <w:basedOn w:val="Normal"/>
    <w:next w:val="Text2"/>
    <w:pPr>
      <w:numPr>
        <w:ilvl w:val="6"/>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6A3F11"/>
    <w:pPr>
      <w:tabs>
        <w:tab w:val="center" w:pos="4535"/>
        <w:tab w:val="right" w:pos="9071"/>
      </w:tabs>
      <w:spacing w:before="0"/>
    </w:pPr>
  </w:style>
  <w:style w:type="paragraph" w:customStyle="1" w:styleId="HeaderLandscape">
    <w:name w:val="HeaderLandscape"/>
    <w:basedOn w:val="Normal"/>
    <w:rsid w:val="006A3F11"/>
    <w:pPr>
      <w:tabs>
        <w:tab w:val="center" w:pos="7285"/>
        <w:tab w:val="right" w:pos="14003"/>
      </w:tabs>
      <w:spacing w:before="0"/>
    </w:pPr>
  </w:style>
  <w:style w:type="paragraph" w:styleId="Footer">
    <w:name w:val="footer"/>
    <w:basedOn w:val="Normal"/>
    <w:link w:val="FooterChar"/>
    <w:uiPriority w:val="99"/>
    <w:unhideWhenUsed/>
    <w:rsid w:val="006A3F11"/>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6A3F11"/>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56290">
      <w:bodyDiv w:val="1"/>
      <w:marLeft w:val="0"/>
      <w:marRight w:val="0"/>
      <w:marTop w:val="0"/>
      <w:marBottom w:val="0"/>
      <w:divBdr>
        <w:top w:val="none" w:sz="0" w:space="0" w:color="auto"/>
        <w:left w:val="none" w:sz="0" w:space="0" w:color="auto"/>
        <w:bottom w:val="none" w:sz="0" w:space="0" w:color="auto"/>
        <w:right w:val="none" w:sz="0" w:space="0" w:color="auto"/>
      </w:divBdr>
    </w:div>
    <w:div w:id="1268198184">
      <w:bodyDiv w:val="1"/>
      <w:marLeft w:val="0"/>
      <w:marRight w:val="0"/>
      <w:marTop w:val="0"/>
      <w:marBottom w:val="0"/>
      <w:divBdr>
        <w:top w:val="none" w:sz="0" w:space="0" w:color="auto"/>
        <w:left w:val="none" w:sz="0" w:space="0" w:color="auto"/>
        <w:bottom w:val="none" w:sz="0" w:space="0" w:color="auto"/>
        <w:right w:val="none" w:sz="0" w:space="0" w:color="auto"/>
      </w:divBdr>
    </w:div>
    <w:div w:id="1290281702">
      <w:bodyDiv w:val="1"/>
      <w:marLeft w:val="0"/>
      <w:marRight w:val="0"/>
      <w:marTop w:val="0"/>
      <w:marBottom w:val="0"/>
      <w:divBdr>
        <w:top w:val="none" w:sz="0" w:space="0" w:color="auto"/>
        <w:left w:val="none" w:sz="0" w:space="0" w:color="auto"/>
        <w:bottom w:val="none" w:sz="0" w:space="0" w:color="auto"/>
        <w:right w:val="none" w:sz="0" w:space="0" w:color="auto"/>
      </w:divBdr>
    </w:div>
    <w:div w:id="1334338460">
      <w:bodyDiv w:val="1"/>
      <w:marLeft w:val="0"/>
      <w:marRight w:val="0"/>
      <w:marTop w:val="0"/>
      <w:marBottom w:val="0"/>
      <w:divBdr>
        <w:top w:val="none" w:sz="0" w:space="0" w:color="auto"/>
        <w:left w:val="none" w:sz="0" w:space="0" w:color="auto"/>
        <w:bottom w:val="none" w:sz="0" w:space="0" w:color="auto"/>
        <w:right w:val="none" w:sz="0" w:space="0" w:color="auto"/>
      </w:divBdr>
    </w:div>
    <w:div w:id="1528904677">
      <w:bodyDiv w:val="1"/>
      <w:marLeft w:val="0"/>
      <w:marRight w:val="0"/>
      <w:marTop w:val="0"/>
      <w:marBottom w:val="0"/>
      <w:divBdr>
        <w:top w:val="none" w:sz="0" w:space="0" w:color="auto"/>
        <w:left w:val="none" w:sz="0" w:space="0" w:color="auto"/>
        <w:bottom w:val="none" w:sz="0" w:space="0" w:color="auto"/>
        <w:right w:val="none" w:sz="0" w:space="0" w:color="auto"/>
      </w:divBdr>
    </w:div>
    <w:div w:id="1559977083">
      <w:bodyDiv w:val="1"/>
      <w:marLeft w:val="0"/>
      <w:marRight w:val="0"/>
      <w:marTop w:val="0"/>
      <w:marBottom w:val="0"/>
      <w:divBdr>
        <w:top w:val="none" w:sz="0" w:space="0" w:color="auto"/>
        <w:left w:val="none" w:sz="0" w:space="0" w:color="auto"/>
        <w:bottom w:val="none" w:sz="0" w:space="0" w:color="auto"/>
        <w:right w:val="none" w:sz="0" w:space="0" w:color="auto"/>
      </w:divBdr>
      <w:divsChild>
        <w:div w:id="1039823675">
          <w:marLeft w:val="0"/>
          <w:marRight w:val="0"/>
          <w:marTop w:val="0"/>
          <w:marBottom w:val="0"/>
          <w:divBdr>
            <w:top w:val="none" w:sz="0" w:space="0" w:color="auto"/>
            <w:left w:val="none" w:sz="0" w:space="0" w:color="auto"/>
            <w:bottom w:val="none" w:sz="0" w:space="0" w:color="auto"/>
            <w:right w:val="none" w:sz="0" w:space="0" w:color="auto"/>
          </w:divBdr>
          <w:divsChild>
            <w:div w:id="1565263921">
              <w:marLeft w:val="0"/>
              <w:marRight w:val="0"/>
              <w:marTop w:val="0"/>
              <w:marBottom w:val="0"/>
              <w:divBdr>
                <w:top w:val="none" w:sz="0" w:space="0" w:color="auto"/>
                <w:left w:val="none" w:sz="0" w:space="0" w:color="auto"/>
                <w:bottom w:val="none" w:sz="0" w:space="0" w:color="auto"/>
                <w:right w:val="none" w:sz="0" w:space="0" w:color="auto"/>
              </w:divBdr>
            </w:div>
          </w:divsChild>
        </w:div>
        <w:div w:id="986859227">
          <w:marLeft w:val="0"/>
          <w:marRight w:val="0"/>
          <w:marTop w:val="0"/>
          <w:marBottom w:val="0"/>
          <w:divBdr>
            <w:top w:val="none" w:sz="0" w:space="0" w:color="auto"/>
            <w:left w:val="none" w:sz="0" w:space="0" w:color="auto"/>
            <w:bottom w:val="none" w:sz="0" w:space="0" w:color="auto"/>
            <w:right w:val="none" w:sz="0" w:space="0" w:color="auto"/>
          </w:divBdr>
          <w:divsChild>
            <w:div w:id="113144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0851">
      <w:bodyDiv w:val="1"/>
      <w:marLeft w:val="0"/>
      <w:marRight w:val="0"/>
      <w:marTop w:val="0"/>
      <w:marBottom w:val="0"/>
      <w:divBdr>
        <w:top w:val="none" w:sz="0" w:space="0" w:color="auto"/>
        <w:left w:val="none" w:sz="0" w:space="0" w:color="auto"/>
        <w:bottom w:val="none" w:sz="0" w:space="0" w:color="auto"/>
        <w:right w:val="none" w:sz="0" w:space="0" w:color="auto"/>
      </w:divBdr>
    </w:div>
    <w:div w:id="198026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circabc.europa.eu/sd/a/a781e5ed-03e1-4c35-98b4-064ea5c17880/ACSH%20Adopted%20opinion%20Isoprene%2022.09.23-EN.pdf" TargetMode="External"/><Relationship Id="rId13" Type="http://schemas.openxmlformats.org/officeDocument/2006/relationships/hyperlink" Target="https://oira.osha.europa.eu/en" TargetMode="External"/><Relationship Id="rId3" Type="http://schemas.openxmlformats.org/officeDocument/2006/relationships/hyperlink" Target="https://echa.europa.eu/documents/10162/17ab47c9-f60e-ecbc-da78-474468076133" TargetMode="External"/><Relationship Id="rId7" Type="http://schemas.openxmlformats.org/officeDocument/2006/relationships/hyperlink" Target="https://circabc.europa.eu/sd/a/fcbb5c02-0c72-45ee-ba78-0031b914b1b6/ACSH%20Adopted%20opinion%201_4-dioxane%2022.09.23-EN.pdf" TargetMode="External"/><Relationship Id="rId12" Type="http://schemas.openxmlformats.org/officeDocument/2006/relationships/hyperlink" Target="https://echa.europa.eu/rac-opinions-on-scientific-evaluations-of-oels" TargetMode="External"/><Relationship Id="rId2" Type="http://schemas.openxmlformats.org/officeDocument/2006/relationships/hyperlink" Target="https://echa.europa.eu/documents/10162/a27e80a3-3798-3c76-01a0-32357cc09f6f" TargetMode="External"/><Relationship Id="rId1" Type="http://schemas.openxmlformats.org/officeDocument/2006/relationships/hyperlink" Target="https://data.europa.eu/doi/10.2767/964906" TargetMode="External"/><Relationship Id="rId6" Type="http://schemas.openxmlformats.org/officeDocument/2006/relationships/hyperlink" Target="https://circabc.europa.eu/sd/a/5c69ed63-50c5-49d0-af6d-3165ae955a3d/ACSH%20Adopted%20opinion%20PAHs%2022.09.23-EN.pdf" TargetMode="External"/><Relationship Id="rId11" Type="http://schemas.openxmlformats.org/officeDocument/2006/relationships/hyperlink" Target="https://echa.europa.eu/documents/10162/7399806/report_welding_fumes_en.pdf" TargetMode="External"/><Relationship Id="rId5" Type="http://schemas.openxmlformats.org/officeDocument/2006/relationships/hyperlink" Target="https://circabc.europa.eu/sd/a/49d22931-7d49-452b-9dc8-f1474e6f60c6/ACSH%20Adopted%20opinion%20Cobalt%20and%20inorganic%20compounds%2022.09.23-EN.pdf" TargetMode="External"/><Relationship Id="rId10" Type="http://schemas.openxmlformats.org/officeDocument/2006/relationships/hyperlink" Target="https://circabc.europa.eu/sd/a/d83f72a6-7cb7-4a98-b77b-c0f7a74f21bb/Addendum%20to%20ACSH%20opinion%20PAHs-EN.pdf" TargetMode="External"/><Relationship Id="rId4" Type="http://schemas.openxmlformats.org/officeDocument/2006/relationships/hyperlink" Target="https://circabc.europa.eu/ui/group/fea534f4-2590-4490-bca6-504782b47c79/library/2997b89a-1fbd-4f35-9874-9a9b5ea1a403?p=1&amp;n=-1&amp;sort=name_ASC" TargetMode="External"/><Relationship Id="rId9" Type="http://schemas.openxmlformats.org/officeDocument/2006/relationships/hyperlink" Target="https://circabc.europa.eu/sd/a/ebaaf294-094d-411d-8fae-abd1e49a9557/ACSH%20Adopted%20opinion%20Welding%20fumes%2022.09.23-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D5217-710F-4037-8921-9A41185C5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23</Pages>
  <Words>8897</Words>
  <Characters>50007</Characters>
  <Application>Microsoft Office Word</Application>
  <DocSecurity>0</DocSecurity>
  <Lines>793</Lines>
  <Paragraphs>230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58674</CharactersWithSpaces>
  <SharedDoc>false</SharedDoc>
  <HLinks>
    <vt:vector size="234" baseType="variant">
      <vt:variant>
        <vt:i4>3145732</vt:i4>
      </vt:variant>
      <vt:variant>
        <vt:i4>78</vt:i4>
      </vt:variant>
      <vt:variant>
        <vt:i4>0</vt:i4>
      </vt:variant>
      <vt:variant>
        <vt:i4>5</vt:i4>
      </vt:variant>
      <vt:variant>
        <vt:lpwstr>https://euc-word-edit.officeapps.live.com/we/wordeditorframe.aspx?ui=en-US&amp;rs=en-IE&amp;wopisrc=https%3A%2F%2Feceuropaeu.sharepoint.com%2Fteams%2FGRP-CMRD6InternalDGEMPLGroup%2F_vti_bin%2Fwopi.ashx%2Ffiles%2F495b440e296549de9e1b9f7d9070e659&amp;wdpid=611a0e0b&amp;wdenableroaming=1&amp;mscc=1&amp;hid=21762BA1-00BB-8000-FF72-46864B65C92F.0&amp;uih=sharepointcom&amp;wdlcid=en-US&amp;jsapi=1&amp;jsapiver=v2&amp;corrid=4215e636-e848-066c-6739-a6c61e196d7c&amp;usid=4215e636-e848-066c-6739-a6c61e196d7c&amp;newsession=1&amp;sftc=1&amp;uihit=docaspx&amp;muv=1&amp;cac=1&amp;sams=1&amp;mtf=1&amp;sfp=1&amp;sdp=1&amp;hch=1&amp;hwfh=1&amp;dchat=1&amp;sc=%7B%22pmo%22%3A%22https%3A%2F%2Feceuropaeu.sharepoint.com%22%2C%22pmshare%22%3Atrue%7D&amp;ctp=LeastProtected&amp;rct=Normal&amp;wdorigin=Other&amp;instantedit=1&amp;wopicomplete=1&amp;wdredirectionreason=Unified_SingleFlush</vt:lpwstr>
      </vt:variant>
      <vt:variant>
        <vt:lpwstr>_ftnref13</vt:lpwstr>
      </vt:variant>
      <vt:variant>
        <vt:i4>3145732</vt:i4>
      </vt:variant>
      <vt:variant>
        <vt:i4>75</vt:i4>
      </vt:variant>
      <vt:variant>
        <vt:i4>0</vt:i4>
      </vt:variant>
      <vt:variant>
        <vt:i4>5</vt:i4>
      </vt:variant>
      <vt:variant>
        <vt:lpwstr>https://euc-word-edit.officeapps.live.com/we/wordeditorframe.aspx?ui=en-US&amp;rs=en-IE&amp;wopisrc=https%3A%2F%2Feceuropaeu.sharepoint.com%2Fteams%2FGRP-CMRD6InternalDGEMPLGroup%2F_vti_bin%2Fwopi.ashx%2Ffiles%2F495b440e296549de9e1b9f7d9070e659&amp;wdpid=611a0e0b&amp;wdenableroaming=1&amp;mscc=1&amp;hid=21762BA1-00BB-8000-FF72-46864B65C92F.0&amp;uih=sharepointcom&amp;wdlcid=en-US&amp;jsapi=1&amp;jsapiver=v2&amp;corrid=4215e636-e848-066c-6739-a6c61e196d7c&amp;usid=4215e636-e848-066c-6739-a6c61e196d7c&amp;newsession=1&amp;sftc=1&amp;uihit=docaspx&amp;muv=1&amp;cac=1&amp;sams=1&amp;mtf=1&amp;sfp=1&amp;sdp=1&amp;hch=1&amp;hwfh=1&amp;dchat=1&amp;sc=%7B%22pmo%22%3A%22https%3A%2F%2Feceuropaeu.sharepoint.com%22%2C%22pmshare%22%3Atrue%7D&amp;ctp=LeastProtected&amp;rct=Normal&amp;wdorigin=Other&amp;instantedit=1&amp;wopicomplete=1&amp;wdredirectionreason=Unified_SingleFlush</vt:lpwstr>
      </vt:variant>
      <vt:variant>
        <vt:lpwstr>_ftnref12</vt:lpwstr>
      </vt:variant>
      <vt:variant>
        <vt:i4>3145732</vt:i4>
      </vt:variant>
      <vt:variant>
        <vt:i4>72</vt:i4>
      </vt:variant>
      <vt:variant>
        <vt:i4>0</vt:i4>
      </vt:variant>
      <vt:variant>
        <vt:i4>5</vt:i4>
      </vt:variant>
      <vt:variant>
        <vt:lpwstr>https://euc-word-edit.officeapps.live.com/we/wordeditorframe.aspx?ui=en-US&amp;rs=en-IE&amp;wopisrc=https%3A%2F%2Feceuropaeu.sharepoint.com%2Fteams%2FGRP-CMRD6InternalDGEMPLGroup%2F_vti_bin%2Fwopi.ashx%2Ffiles%2F495b440e296549de9e1b9f7d9070e659&amp;wdpid=611a0e0b&amp;wdenableroaming=1&amp;mscc=1&amp;hid=21762BA1-00BB-8000-FF72-46864B65C92F.0&amp;uih=sharepointcom&amp;wdlcid=en-US&amp;jsapi=1&amp;jsapiver=v2&amp;corrid=4215e636-e848-066c-6739-a6c61e196d7c&amp;usid=4215e636-e848-066c-6739-a6c61e196d7c&amp;newsession=1&amp;sftc=1&amp;uihit=docaspx&amp;muv=1&amp;cac=1&amp;sams=1&amp;mtf=1&amp;sfp=1&amp;sdp=1&amp;hch=1&amp;hwfh=1&amp;dchat=1&amp;sc=%7B%22pmo%22%3A%22https%3A%2F%2Feceuropaeu.sharepoint.com%22%2C%22pmshare%22%3Atrue%7D&amp;ctp=LeastProtected&amp;rct=Normal&amp;wdorigin=Other&amp;instantedit=1&amp;wopicomplete=1&amp;wdredirectionreason=Unified_SingleFlush</vt:lpwstr>
      </vt:variant>
      <vt:variant>
        <vt:lpwstr>_ftnref11</vt:lpwstr>
      </vt:variant>
      <vt:variant>
        <vt:i4>3145732</vt:i4>
      </vt:variant>
      <vt:variant>
        <vt:i4>69</vt:i4>
      </vt:variant>
      <vt:variant>
        <vt:i4>0</vt:i4>
      </vt:variant>
      <vt:variant>
        <vt:i4>5</vt:i4>
      </vt:variant>
      <vt:variant>
        <vt:lpwstr>https://euc-word-edit.officeapps.live.com/we/wordeditorframe.aspx?ui=en-US&amp;rs=en-IE&amp;wopisrc=https%3A%2F%2Feceuropaeu.sharepoint.com%2Fteams%2FGRP-CMRD6InternalDGEMPLGroup%2F_vti_bin%2Fwopi.ashx%2Ffiles%2F495b440e296549de9e1b9f7d9070e659&amp;wdpid=611a0e0b&amp;wdenableroaming=1&amp;mscc=1&amp;hid=21762BA1-00BB-8000-FF72-46864B65C92F.0&amp;uih=sharepointcom&amp;wdlcid=en-US&amp;jsapi=1&amp;jsapiver=v2&amp;corrid=4215e636-e848-066c-6739-a6c61e196d7c&amp;usid=4215e636-e848-066c-6739-a6c61e196d7c&amp;newsession=1&amp;sftc=1&amp;uihit=docaspx&amp;muv=1&amp;cac=1&amp;sams=1&amp;mtf=1&amp;sfp=1&amp;sdp=1&amp;hch=1&amp;hwfh=1&amp;dchat=1&amp;sc=%7B%22pmo%22%3A%22https%3A%2F%2Feceuropaeu.sharepoint.com%22%2C%22pmshare%22%3Atrue%7D&amp;ctp=LeastProtected&amp;rct=Normal&amp;wdorigin=Other&amp;instantedit=1&amp;wopicomplete=1&amp;wdredirectionreason=Unified_SingleFlush</vt:lpwstr>
      </vt:variant>
      <vt:variant>
        <vt:lpwstr>_ftnref10</vt:lpwstr>
      </vt:variant>
      <vt:variant>
        <vt:i4>3670020</vt:i4>
      </vt:variant>
      <vt:variant>
        <vt:i4>66</vt:i4>
      </vt:variant>
      <vt:variant>
        <vt:i4>0</vt:i4>
      </vt:variant>
      <vt:variant>
        <vt:i4>5</vt:i4>
      </vt:variant>
      <vt:variant>
        <vt:lpwstr>https://euc-word-edit.officeapps.live.com/we/wordeditorframe.aspx?ui=en-US&amp;rs=en-IE&amp;wopisrc=https%3A%2F%2Feceuropaeu.sharepoint.com%2Fteams%2FGRP-CMRD6InternalDGEMPLGroup%2F_vti_bin%2Fwopi.ashx%2Ffiles%2F495b440e296549de9e1b9f7d9070e659&amp;wdpid=611a0e0b&amp;wdenableroaming=1&amp;mscc=1&amp;hid=21762BA1-00BB-8000-FF72-46864B65C92F.0&amp;uih=sharepointcom&amp;wdlcid=en-US&amp;jsapi=1&amp;jsapiver=v2&amp;corrid=4215e636-e848-066c-6739-a6c61e196d7c&amp;usid=4215e636-e848-066c-6739-a6c61e196d7c&amp;newsession=1&amp;sftc=1&amp;uihit=docaspx&amp;muv=1&amp;cac=1&amp;sams=1&amp;mtf=1&amp;sfp=1&amp;sdp=1&amp;hch=1&amp;hwfh=1&amp;dchat=1&amp;sc=%7B%22pmo%22%3A%22https%3A%2F%2Feceuropaeu.sharepoint.com%22%2C%22pmshare%22%3Atrue%7D&amp;ctp=LeastProtected&amp;rct=Normal&amp;wdorigin=Other&amp;instantedit=1&amp;wopicomplete=1&amp;wdredirectionreason=Unified_SingleFlush</vt:lpwstr>
      </vt:variant>
      <vt:variant>
        <vt:lpwstr>_ftnref9</vt:lpwstr>
      </vt:variant>
      <vt:variant>
        <vt:i4>3735556</vt:i4>
      </vt:variant>
      <vt:variant>
        <vt:i4>63</vt:i4>
      </vt:variant>
      <vt:variant>
        <vt:i4>0</vt:i4>
      </vt:variant>
      <vt:variant>
        <vt:i4>5</vt:i4>
      </vt:variant>
      <vt:variant>
        <vt:lpwstr>https://euc-word-edit.officeapps.live.com/we/wordeditorframe.aspx?ui=en-US&amp;rs=en-IE&amp;wopisrc=https%3A%2F%2Feceuropaeu.sharepoint.com%2Fteams%2FGRP-CMRD6InternalDGEMPLGroup%2F_vti_bin%2Fwopi.ashx%2Ffiles%2F495b440e296549de9e1b9f7d9070e659&amp;wdpid=611a0e0b&amp;wdenableroaming=1&amp;mscc=1&amp;hid=21762BA1-00BB-8000-FF72-46864B65C92F.0&amp;uih=sharepointcom&amp;wdlcid=en-US&amp;jsapi=1&amp;jsapiver=v2&amp;corrid=4215e636-e848-066c-6739-a6c61e196d7c&amp;usid=4215e636-e848-066c-6739-a6c61e196d7c&amp;newsession=1&amp;sftc=1&amp;uihit=docaspx&amp;muv=1&amp;cac=1&amp;sams=1&amp;mtf=1&amp;sfp=1&amp;sdp=1&amp;hch=1&amp;hwfh=1&amp;dchat=1&amp;sc=%7B%22pmo%22%3A%22https%3A%2F%2Feceuropaeu.sharepoint.com%22%2C%22pmshare%22%3Atrue%7D&amp;ctp=LeastProtected&amp;rct=Normal&amp;wdorigin=Other&amp;instantedit=1&amp;wopicomplete=1&amp;wdredirectionreason=Unified_SingleFlush</vt:lpwstr>
      </vt:variant>
      <vt:variant>
        <vt:lpwstr>_ftnref8</vt:lpwstr>
      </vt:variant>
      <vt:variant>
        <vt:i4>3538948</vt:i4>
      </vt:variant>
      <vt:variant>
        <vt:i4>60</vt:i4>
      </vt:variant>
      <vt:variant>
        <vt:i4>0</vt:i4>
      </vt:variant>
      <vt:variant>
        <vt:i4>5</vt:i4>
      </vt:variant>
      <vt:variant>
        <vt:lpwstr>https://euc-word-edit.officeapps.live.com/we/wordeditorframe.aspx?ui=en-US&amp;rs=en-IE&amp;wopisrc=https%3A%2F%2Feceuropaeu.sharepoint.com%2Fteams%2FGRP-CMRD6InternalDGEMPLGroup%2F_vti_bin%2Fwopi.ashx%2Ffiles%2F495b440e296549de9e1b9f7d9070e659&amp;wdpid=611a0e0b&amp;wdenableroaming=1&amp;mscc=1&amp;hid=21762BA1-00BB-8000-FF72-46864B65C92F.0&amp;uih=sharepointcom&amp;wdlcid=en-US&amp;jsapi=1&amp;jsapiver=v2&amp;corrid=4215e636-e848-066c-6739-a6c61e196d7c&amp;usid=4215e636-e848-066c-6739-a6c61e196d7c&amp;newsession=1&amp;sftc=1&amp;uihit=docaspx&amp;muv=1&amp;cac=1&amp;sams=1&amp;mtf=1&amp;sfp=1&amp;sdp=1&amp;hch=1&amp;hwfh=1&amp;dchat=1&amp;sc=%7B%22pmo%22%3A%22https%3A%2F%2Feceuropaeu.sharepoint.com%22%2C%22pmshare%22%3Atrue%7D&amp;ctp=LeastProtected&amp;rct=Normal&amp;wdorigin=Other&amp;instantedit=1&amp;wopicomplete=1&amp;wdredirectionreason=Unified_SingleFlush</vt:lpwstr>
      </vt:variant>
      <vt:variant>
        <vt:lpwstr>_ftnref7</vt:lpwstr>
      </vt:variant>
      <vt:variant>
        <vt:i4>8061043</vt:i4>
      </vt:variant>
      <vt:variant>
        <vt:i4>57</vt:i4>
      </vt:variant>
      <vt:variant>
        <vt:i4>0</vt:i4>
      </vt:variant>
      <vt:variant>
        <vt:i4>5</vt:i4>
      </vt:variant>
      <vt:variant>
        <vt:lpwstr>https://eur-lex.europa.eu/legal-content/EN/AUTO/?uri=OJ:C:2017:428:TOC</vt:lpwstr>
      </vt:variant>
      <vt:variant>
        <vt:lpwstr/>
      </vt:variant>
      <vt:variant>
        <vt:i4>3604484</vt:i4>
      </vt:variant>
      <vt:variant>
        <vt:i4>54</vt:i4>
      </vt:variant>
      <vt:variant>
        <vt:i4>0</vt:i4>
      </vt:variant>
      <vt:variant>
        <vt:i4>5</vt:i4>
      </vt:variant>
      <vt:variant>
        <vt:lpwstr>https://euc-word-edit.officeapps.live.com/we/wordeditorframe.aspx?ui=en-US&amp;rs=en-IE&amp;wopisrc=https%3A%2F%2Feceuropaeu.sharepoint.com%2Fteams%2FGRP-CMRD6InternalDGEMPLGroup%2F_vti_bin%2Fwopi.ashx%2Ffiles%2F495b440e296549de9e1b9f7d9070e659&amp;wdpid=611a0e0b&amp;wdenableroaming=1&amp;mscc=1&amp;hid=21762BA1-00BB-8000-FF72-46864B65C92F.0&amp;uih=sharepointcom&amp;wdlcid=en-US&amp;jsapi=1&amp;jsapiver=v2&amp;corrid=4215e636-e848-066c-6739-a6c61e196d7c&amp;usid=4215e636-e848-066c-6739-a6c61e196d7c&amp;newsession=1&amp;sftc=1&amp;uihit=docaspx&amp;muv=1&amp;cac=1&amp;sams=1&amp;mtf=1&amp;sfp=1&amp;sdp=1&amp;hch=1&amp;hwfh=1&amp;dchat=1&amp;sc=%7B%22pmo%22%3A%22https%3A%2F%2Feceuropaeu.sharepoint.com%22%2C%22pmshare%22%3Atrue%7D&amp;ctp=LeastProtected&amp;rct=Normal&amp;wdorigin=Other&amp;instantedit=1&amp;wopicomplete=1&amp;wdredirectionreason=Unified_SingleFlush</vt:lpwstr>
      </vt:variant>
      <vt:variant>
        <vt:lpwstr>_ftnref6</vt:lpwstr>
      </vt:variant>
      <vt:variant>
        <vt:i4>3407876</vt:i4>
      </vt:variant>
      <vt:variant>
        <vt:i4>51</vt:i4>
      </vt:variant>
      <vt:variant>
        <vt:i4>0</vt:i4>
      </vt:variant>
      <vt:variant>
        <vt:i4>5</vt:i4>
      </vt:variant>
      <vt:variant>
        <vt:lpwstr>https://euc-word-edit.officeapps.live.com/we/wordeditorframe.aspx?ui=en-US&amp;rs=en-IE&amp;wopisrc=https%3A%2F%2Feceuropaeu.sharepoint.com%2Fteams%2FGRP-CMRD6InternalDGEMPLGroup%2F_vti_bin%2Fwopi.ashx%2Ffiles%2F495b440e296549de9e1b9f7d9070e659&amp;wdpid=611a0e0b&amp;wdenableroaming=1&amp;mscc=1&amp;hid=21762BA1-00BB-8000-FF72-46864B65C92F.0&amp;uih=sharepointcom&amp;wdlcid=en-US&amp;jsapi=1&amp;jsapiver=v2&amp;corrid=4215e636-e848-066c-6739-a6c61e196d7c&amp;usid=4215e636-e848-066c-6739-a6c61e196d7c&amp;newsession=1&amp;sftc=1&amp;uihit=docaspx&amp;muv=1&amp;cac=1&amp;sams=1&amp;mtf=1&amp;sfp=1&amp;sdp=1&amp;hch=1&amp;hwfh=1&amp;dchat=1&amp;sc=%7B%22pmo%22%3A%22https%3A%2F%2Feceuropaeu.sharepoint.com%22%2C%22pmshare%22%3Atrue%7D&amp;ctp=LeastProtected&amp;rct=Normal&amp;wdorigin=Other&amp;instantedit=1&amp;wopicomplete=1&amp;wdredirectionreason=Unified_SingleFlush</vt:lpwstr>
      </vt:variant>
      <vt:variant>
        <vt:lpwstr>_ftnref5</vt:lpwstr>
      </vt:variant>
      <vt:variant>
        <vt:i4>3473412</vt:i4>
      </vt:variant>
      <vt:variant>
        <vt:i4>48</vt:i4>
      </vt:variant>
      <vt:variant>
        <vt:i4>0</vt:i4>
      </vt:variant>
      <vt:variant>
        <vt:i4>5</vt:i4>
      </vt:variant>
      <vt:variant>
        <vt:lpwstr>https://euc-word-edit.officeapps.live.com/we/wordeditorframe.aspx?ui=en-US&amp;rs=en-IE&amp;wopisrc=https%3A%2F%2Feceuropaeu.sharepoint.com%2Fteams%2FGRP-CMRD6InternalDGEMPLGroup%2F_vti_bin%2Fwopi.ashx%2Ffiles%2F495b440e296549de9e1b9f7d9070e659&amp;wdpid=611a0e0b&amp;wdenableroaming=1&amp;mscc=1&amp;hid=21762BA1-00BB-8000-FF72-46864B65C92F.0&amp;uih=sharepointcom&amp;wdlcid=en-US&amp;jsapi=1&amp;jsapiver=v2&amp;corrid=4215e636-e848-066c-6739-a6c61e196d7c&amp;usid=4215e636-e848-066c-6739-a6c61e196d7c&amp;newsession=1&amp;sftc=1&amp;uihit=docaspx&amp;muv=1&amp;cac=1&amp;sams=1&amp;mtf=1&amp;sfp=1&amp;sdp=1&amp;hch=1&amp;hwfh=1&amp;dchat=1&amp;sc=%7B%22pmo%22%3A%22https%3A%2F%2Feceuropaeu.sharepoint.com%22%2C%22pmshare%22%3Atrue%7D&amp;ctp=LeastProtected&amp;rct=Normal&amp;wdorigin=Other&amp;instantedit=1&amp;wopicomplete=1&amp;wdredirectionreason=Unified_SingleFlush</vt:lpwstr>
      </vt:variant>
      <vt:variant>
        <vt:lpwstr>_ftnref4</vt:lpwstr>
      </vt:variant>
      <vt:variant>
        <vt:i4>3276804</vt:i4>
      </vt:variant>
      <vt:variant>
        <vt:i4>45</vt:i4>
      </vt:variant>
      <vt:variant>
        <vt:i4>0</vt:i4>
      </vt:variant>
      <vt:variant>
        <vt:i4>5</vt:i4>
      </vt:variant>
      <vt:variant>
        <vt:lpwstr>https://euc-word-edit.officeapps.live.com/we/wordeditorframe.aspx?ui=en-US&amp;rs=en-IE&amp;wopisrc=https%3A%2F%2Feceuropaeu.sharepoint.com%2Fteams%2FGRP-CMRD6InternalDGEMPLGroup%2F_vti_bin%2Fwopi.ashx%2Ffiles%2F495b440e296549de9e1b9f7d9070e659&amp;wdpid=611a0e0b&amp;wdenableroaming=1&amp;mscc=1&amp;hid=21762BA1-00BB-8000-FF72-46864B65C92F.0&amp;uih=sharepointcom&amp;wdlcid=en-US&amp;jsapi=1&amp;jsapiver=v2&amp;corrid=4215e636-e848-066c-6739-a6c61e196d7c&amp;usid=4215e636-e848-066c-6739-a6c61e196d7c&amp;newsession=1&amp;sftc=1&amp;uihit=docaspx&amp;muv=1&amp;cac=1&amp;sams=1&amp;mtf=1&amp;sfp=1&amp;sdp=1&amp;hch=1&amp;hwfh=1&amp;dchat=1&amp;sc=%7B%22pmo%22%3A%22https%3A%2F%2Feceuropaeu.sharepoint.com%22%2C%22pmshare%22%3Atrue%7D&amp;ctp=LeastProtected&amp;rct=Normal&amp;wdorigin=Other&amp;instantedit=1&amp;wopicomplete=1&amp;wdredirectionreason=Unified_SingleFlush</vt:lpwstr>
      </vt:variant>
      <vt:variant>
        <vt:lpwstr>_ftnref3</vt:lpwstr>
      </vt:variant>
      <vt:variant>
        <vt:i4>3342340</vt:i4>
      </vt:variant>
      <vt:variant>
        <vt:i4>42</vt:i4>
      </vt:variant>
      <vt:variant>
        <vt:i4>0</vt:i4>
      </vt:variant>
      <vt:variant>
        <vt:i4>5</vt:i4>
      </vt:variant>
      <vt:variant>
        <vt:lpwstr>https://euc-word-edit.officeapps.live.com/we/wordeditorframe.aspx?ui=en-US&amp;rs=en-IE&amp;wopisrc=https%3A%2F%2Feceuropaeu.sharepoint.com%2Fteams%2FGRP-CMRD6InternalDGEMPLGroup%2F_vti_bin%2Fwopi.ashx%2Ffiles%2F495b440e296549de9e1b9f7d9070e659&amp;wdpid=611a0e0b&amp;wdenableroaming=1&amp;mscc=1&amp;hid=21762BA1-00BB-8000-FF72-46864B65C92F.0&amp;uih=sharepointcom&amp;wdlcid=en-US&amp;jsapi=1&amp;jsapiver=v2&amp;corrid=4215e636-e848-066c-6739-a6c61e196d7c&amp;usid=4215e636-e848-066c-6739-a6c61e196d7c&amp;newsession=1&amp;sftc=1&amp;uihit=docaspx&amp;muv=1&amp;cac=1&amp;sams=1&amp;mtf=1&amp;sfp=1&amp;sdp=1&amp;hch=1&amp;hwfh=1&amp;dchat=1&amp;sc=%7B%22pmo%22%3A%22https%3A%2F%2Feceuropaeu.sharepoint.com%22%2C%22pmshare%22%3Atrue%7D&amp;ctp=LeastProtected&amp;rct=Normal&amp;wdorigin=Other&amp;instantedit=1&amp;wopicomplete=1&amp;wdredirectionreason=Unified_SingleFlush</vt:lpwstr>
      </vt:variant>
      <vt:variant>
        <vt:lpwstr>_ftnref2</vt:lpwstr>
      </vt:variant>
      <vt:variant>
        <vt:i4>3145732</vt:i4>
      </vt:variant>
      <vt:variant>
        <vt:i4>39</vt:i4>
      </vt:variant>
      <vt:variant>
        <vt:i4>0</vt:i4>
      </vt:variant>
      <vt:variant>
        <vt:i4>5</vt:i4>
      </vt:variant>
      <vt:variant>
        <vt:lpwstr>https://euc-word-edit.officeapps.live.com/we/wordeditorframe.aspx?ui=en-US&amp;rs=en-IE&amp;wopisrc=https%3A%2F%2Feceuropaeu.sharepoint.com%2Fteams%2FGRP-CMRD6InternalDGEMPLGroup%2F_vti_bin%2Fwopi.ashx%2Ffiles%2F495b440e296549de9e1b9f7d9070e659&amp;wdpid=611a0e0b&amp;wdenableroaming=1&amp;mscc=1&amp;hid=21762BA1-00BB-8000-FF72-46864B65C92F.0&amp;uih=sharepointcom&amp;wdlcid=en-US&amp;jsapi=1&amp;jsapiver=v2&amp;corrid=4215e636-e848-066c-6739-a6c61e196d7c&amp;usid=4215e636-e848-066c-6739-a6c61e196d7c&amp;newsession=1&amp;sftc=1&amp;uihit=docaspx&amp;muv=1&amp;cac=1&amp;sams=1&amp;mtf=1&amp;sfp=1&amp;sdp=1&amp;hch=1&amp;hwfh=1&amp;dchat=1&amp;sc=%7B%22pmo%22%3A%22https%3A%2F%2Feceuropaeu.sharepoint.com%22%2C%22pmshare%22%3Atrue%7D&amp;ctp=LeastProtected&amp;rct=Normal&amp;wdorigin=Other&amp;instantedit=1&amp;wopicomplete=1&amp;wdredirectionreason=Unified_SingleFlush</vt:lpwstr>
      </vt:variant>
      <vt:variant>
        <vt:lpwstr>_ftnref1</vt:lpwstr>
      </vt:variant>
      <vt:variant>
        <vt:i4>5701665</vt:i4>
      </vt:variant>
      <vt:variant>
        <vt:i4>36</vt:i4>
      </vt:variant>
      <vt:variant>
        <vt:i4>0</vt:i4>
      </vt:variant>
      <vt:variant>
        <vt:i4>5</vt:i4>
      </vt:variant>
      <vt:variant>
        <vt:lpwstr>https://euc-word-edit.officeapps.live.com/we/wordeditorframe.aspx?ui=en-US&amp;rs=en-IE&amp;wopisrc=https%3A%2F%2Feceuropaeu.sharepoint.com%2Fteams%2FGRP-CMRD6InternalDGEMPLGroup%2F_vti_bin%2Fwopi.ashx%2Ffiles%2F495b440e296549de9e1b9f7d9070e659&amp;wdpid=611a0e0b&amp;wdenableroaming=1&amp;mscc=1&amp;hid=21762BA1-00BB-8000-FF72-46864B65C92F.0&amp;uih=sharepointcom&amp;wdlcid=en-US&amp;jsapi=1&amp;jsapiver=v2&amp;corrid=4215e636-e848-066c-6739-a6c61e196d7c&amp;usid=4215e636-e848-066c-6739-a6c61e196d7c&amp;newsession=1&amp;sftc=1&amp;uihit=docaspx&amp;muv=1&amp;cac=1&amp;sams=1&amp;mtf=1&amp;sfp=1&amp;sdp=1&amp;hch=1&amp;hwfh=1&amp;dchat=1&amp;sc=%7B%22pmo%22%3A%22https%3A%2F%2Feceuropaeu.sharepoint.com%22%2C%22pmshare%22%3Atrue%7D&amp;ctp=LeastProtected&amp;rct=Normal&amp;wdorigin=Other&amp;instantedit=1&amp;wopicomplete=1&amp;wdredirectionreason=Unified_SingleFlush</vt:lpwstr>
      </vt:variant>
      <vt:variant>
        <vt:lpwstr>_ftn13</vt:lpwstr>
      </vt:variant>
      <vt:variant>
        <vt:i4>5636129</vt:i4>
      </vt:variant>
      <vt:variant>
        <vt:i4>33</vt:i4>
      </vt:variant>
      <vt:variant>
        <vt:i4>0</vt:i4>
      </vt:variant>
      <vt:variant>
        <vt:i4>5</vt:i4>
      </vt:variant>
      <vt:variant>
        <vt:lpwstr>https://euc-word-edit.officeapps.live.com/we/wordeditorframe.aspx?ui=en-US&amp;rs=en-IE&amp;wopisrc=https%3A%2F%2Feceuropaeu.sharepoint.com%2Fteams%2FGRP-CMRD6InternalDGEMPLGroup%2F_vti_bin%2Fwopi.ashx%2Ffiles%2F495b440e296549de9e1b9f7d9070e659&amp;wdpid=611a0e0b&amp;wdenableroaming=1&amp;mscc=1&amp;hid=21762BA1-00BB-8000-FF72-46864B65C92F.0&amp;uih=sharepointcom&amp;wdlcid=en-US&amp;jsapi=1&amp;jsapiver=v2&amp;corrid=4215e636-e848-066c-6739-a6c61e196d7c&amp;usid=4215e636-e848-066c-6739-a6c61e196d7c&amp;newsession=1&amp;sftc=1&amp;uihit=docaspx&amp;muv=1&amp;cac=1&amp;sams=1&amp;mtf=1&amp;sfp=1&amp;sdp=1&amp;hch=1&amp;hwfh=1&amp;dchat=1&amp;sc=%7B%22pmo%22%3A%22https%3A%2F%2Feceuropaeu.sharepoint.com%22%2C%22pmshare%22%3Atrue%7D&amp;ctp=LeastProtected&amp;rct=Normal&amp;wdorigin=Other&amp;instantedit=1&amp;wopicomplete=1&amp;wdredirectionreason=Unified_SingleFlush</vt:lpwstr>
      </vt:variant>
      <vt:variant>
        <vt:lpwstr>_ftn12</vt:lpwstr>
      </vt:variant>
      <vt:variant>
        <vt:i4>5570593</vt:i4>
      </vt:variant>
      <vt:variant>
        <vt:i4>30</vt:i4>
      </vt:variant>
      <vt:variant>
        <vt:i4>0</vt:i4>
      </vt:variant>
      <vt:variant>
        <vt:i4>5</vt:i4>
      </vt:variant>
      <vt:variant>
        <vt:lpwstr>https://euc-word-edit.officeapps.live.com/we/wordeditorframe.aspx?ui=en-US&amp;rs=en-IE&amp;wopisrc=https%3A%2F%2Feceuropaeu.sharepoint.com%2Fteams%2FGRP-CMRD6InternalDGEMPLGroup%2F_vti_bin%2Fwopi.ashx%2Ffiles%2F495b440e296549de9e1b9f7d9070e659&amp;wdpid=611a0e0b&amp;wdenableroaming=1&amp;mscc=1&amp;hid=21762BA1-00BB-8000-FF72-46864B65C92F.0&amp;uih=sharepointcom&amp;wdlcid=en-US&amp;jsapi=1&amp;jsapiver=v2&amp;corrid=4215e636-e848-066c-6739-a6c61e196d7c&amp;usid=4215e636-e848-066c-6739-a6c61e196d7c&amp;newsession=1&amp;sftc=1&amp;uihit=docaspx&amp;muv=1&amp;cac=1&amp;sams=1&amp;mtf=1&amp;sfp=1&amp;sdp=1&amp;hch=1&amp;hwfh=1&amp;dchat=1&amp;sc=%7B%22pmo%22%3A%22https%3A%2F%2Feceuropaeu.sharepoint.com%22%2C%22pmshare%22%3Atrue%7D&amp;ctp=LeastProtected&amp;rct=Normal&amp;wdorigin=Other&amp;instantedit=1&amp;wopicomplete=1&amp;wdredirectionreason=Unified_SingleFlush</vt:lpwstr>
      </vt:variant>
      <vt:variant>
        <vt:lpwstr>_ftn11</vt:lpwstr>
      </vt:variant>
      <vt:variant>
        <vt:i4>5505057</vt:i4>
      </vt:variant>
      <vt:variant>
        <vt:i4>27</vt:i4>
      </vt:variant>
      <vt:variant>
        <vt:i4>0</vt:i4>
      </vt:variant>
      <vt:variant>
        <vt:i4>5</vt:i4>
      </vt:variant>
      <vt:variant>
        <vt:lpwstr>https://euc-word-edit.officeapps.live.com/we/wordeditorframe.aspx?ui=en-US&amp;rs=en-IE&amp;wopisrc=https%3A%2F%2Feceuropaeu.sharepoint.com%2Fteams%2FGRP-CMRD6InternalDGEMPLGroup%2F_vti_bin%2Fwopi.ashx%2Ffiles%2F495b440e296549de9e1b9f7d9070e659&amp;wdpid=611a0e0b&amp;wdenableroaming=1&amp;mscc=1&amp;hid=21762BA1-00BB-8000-FF72-46864B65C92F.0&amp;uih=sharepointcom&amp;wdlcid=en-US&amp;jsapi=1&amp;jsapiver=v2&amp;corrid=4215e636-e848-066c-6739-a6c61e196d7c&amp;usid=4215e636-e848-066c-6739-a6c61e196d7c&amp;newsession=1&amp;sftc=1&amp;uihit=docaspx&amp;muv=1&amp;cac=1&amp;sams=1&amp;mtf=1&amp;sfp=1&amp;sdp=1&amp;hch=1&amp;hwfh=1&amp;dchat=1&amp;sc=%7B%22pmo%22%3A%22https%3A%2F%2Feceuropaeu.sharepoint.com%22%2C%22pmshare%22%3Atrue%7D&amp;ctp=LeastProtected&amp;rct=Normal&amp;wdorigin=Other&amp;instantedit=1&amp;wopicomplete=1&amp;wdredirectionreason=Unified_SingleFlush</vt:lpwstr>
      </vt:variant>
      <vt:variant>
        <vt:lpwstr>_ftn10</vt:lpwstr>
      </vt:variant>
      <vt:variant>
        <vt:i4>6553616</vt:i4>
      </vt:variant>
      <vt:variant>
        <vt:i4>24</vt:i4>
      </vt:variant>
      <vt:variant>
        <vt:i4>0</vt:i4>
      </vt:variant>
      <vt:variant>
        <vt:i4>5</vt:i4>
      </vt:variant>
      <vt:variant>
        <vt:lpwstr>https://euc-word-edit.officeapps.live.com/we/wordeditorframe.aspx?ui=en-US&amp;rs=en-IE&amp;wopisrc=https%3A%2F%2Feceuropaeu.sharepoint.com%2Fteams%2FGRP-CMRD6InternalDGEMPLGroup%2F_vti_bin%2Fwopi.ashx%2Ffiles%2F495b440e296549de9e1b9f7d9070e659&amp;wdpid=611a0e0b&amp;wdenableroaming=1&amp;mscc=1&amp;hid=21762BA1-00BB-8000-FF72-46864B65C92F.0&amp;uih=sharepointcom&amp;wdlcid=en-US&amp;jsapi=1&amp;jsapiver=v2&amp;corrid=4215e636-e848-066c-6739-a6c61e196d7c&amp;usid=4215e636-e848-066c-6739-a6c61e196d7c&amp;newsession=1&amp;sftc=1&amp;uihit=docaspx&amp;muv=1&amp;cac=1&amp;sams=1&amp;mtf=1&amp;sfp=1&amp;sdp=1&amp;hch=1&amp;hwfh=1&amp;dchat=1&amp;sc=%7B%22pmo%22%3A%22https%3A%2F%2Feceuropaeu.sharepoint.com%22%2C%22pmshare%22%3Atrue%7D&amp;ctp=LeastProtected&amp;rct=Normal&amp;wdorigin=Other&amp;instantedit=1&amp;wopicomplete=1&amp;wdredirectionreason=Unified_SingleFlush</vt:lpwstr>
      </vt:variant>
      <vt:variant>
        <vt:lpwstr>_ftn9</vt:lpwstr>
      </vt:variant>
      <vt:variant>
        <vt:i4>6553616</vt:i4>
      </vt:variant>
      <vt:variant>
        <vt:i4>21</vt:i4>
      </vt:variant>
      <vt:variant>
        <vt:i4>0</vt:i4>
      </vt:variant>
      <vt:variant>
        <vt:i4>5</vt:i4>
      </vt:variant>
      <vt:variant>
        <vt:lpwstr>https://euc-word-edit.officeapps.live.com/we/wordeditorframe.aspx?ui=en-US&amp;rs=en-IE&amp;wopisrc=https%3A%2F%2Feceuropaeu.sharepoint.com%2Fteams%2FGRP-CMRD6InternalDGEMPLGroup%2F_vti_bin%2Fwopi.ashx%2Ffiles%2F495b440e296549de9e1b9f7d9070e659&amp;wdpid=611a0e0b&amp;wdenableroaming=1&amp;mscc=1&amp;hid=21762BA1-00BB-8000-FF72-46864B65C92F.0&amp;uih=sharepointcom&amp;wdlcid=en-US&amp;jsapi=1&amp;jsapiver=v2&amp;corrid=4215e636-e848-066c-6739-a6c61e196d7c&amp;usid=4215e636-e848-066c-6739-a6c61e196d7c&amp;newsession=1&amp;sftc=1&amp;uihit=docaspx&amp;muv=1&amp;cac=1&amp;sams=1&amp;mtf=1&amp;sfp=1&amp;sdp=1&amp;hch=1&amp;hwfh=1&amp;dchat=1&amp;sc=%7B%22pmo%22%3A%22https%3A%2F%2Feceuropaeu.sharepoint.com%22%2C%22pmshare%22%3Atrue%7D&amp;ctp=LeastProtected&amp;rct=Normal&amp;wdorigin=Other&amp;instantedit=1&amp;wopicomplete=1&amp;wdredirectionreason=Unified_SingleFlush</vt:lpwstr>
      </vt:variant>
      <vt:variant>
        <vt:lpwstr>_ftn8</vt:lpwstr>
      </vt:variant>
      <vt:variant>
        <vt:i4>6553616</vt:i4>
      </vt:variant>
      <vt:variant>
        <vt:i4>18</vt:i4>
      </vt:variant>
      <vt:variant>
        <vt:i4>0</vt:i4>
      </vt:variant>
      <vt:variant>
        <vt:i4>5</vt:i4>
      </vt:variant>
      <vt:variant>
        <vt:lpwstr>https://euc-word-edit.officeapps.live.com/we/wordeditorframe.aspx?ui=en-US&amp;rs=en-IE&amp;wopisrc=https%3A%2F%2Feceuropaeu.sharepoint.com%2Fteams%2FGRP-CMRD6InternalDGEMPLGroup%2F_vti_bin%2Fwopi.ashx%2Ffiles%2F495b440e296549de9e1b9f7d9070e659&amp;wdpid=611a0e0b&amp;wdenableroaming=1&amp;mscc=1&amp;hid=21762BA1-00BB-8000-FF72-46864B65C92F.0&amp;uih=sharepointcom&amp;wdlcid=en-US&amp;jsapi=1&amp;jsapiver=v2&amp;corrid=4215e636-e848-066c-6739-a6c61e196d7c&amp;usid=4215e636-e848-066c-6739-a6c61e196d7c&amp;newsession=1&amp;sftc=1&amp;uihit=docaspx&amp;muv=1&amp;cac=1&amp;sams=1&amp;mtf=1&amp;sfp=1&amp;sdp=1&amp;hch=1&amp;hwfh=1&amp;dchat=1&amp;sc=%7B%22pmo%22%3A%22https%3A%2F%2Feceuropaeu.sharepoint.com%22%2C%22pmshare%22%3Atrue%7D&amp;ctp=LeastProtected&amp;rct=Normal&amp;wdorigin=Other&amp;instantedit=1&amp;wopicomplete=1&amp;wdredirectionreason=Unified_SingleFlush</vt:lpwstr>
      </vt:variant>
      <vt:variant>
        <vt:lpwstr>_ftn7</vt:lpwstr>
      </vt:variant>
      <vt:variant>
        <vt:i4>6553616</vt:i4>
      </vt:variant>
      <vt:variant>
        <vt:i4>15</vt:i4>
      </vt:variant>
      <vt:variant>
        <vt:i4>0</vt:i4>
      </vt:variant>
      <vt:variant>
        <vt:i4>5</vt:i4>
      </vt:variant>
      <vt:variant>
        <vt:lpwstr>https://euc-word-edit.officeapps.live.com/we/wordeditorframe.aspx?ui=en-US&amp;rs=en-IE&amp;wopisrc=https%3A%2F%2Feceuropaeu.sharepoint.com%2Fteams%2FGRP-CMRD6InternalDGEMPLGroup%2F_vti_bin%2Fwopi.ashx%2Ffiles%2F495b440e296549de9e1b9f7d9070e659&amp;wdpid=611a0e0b&amp;wdenableroaming=1&amp;mscc=1&amp;hid=21762BA1-00BB-8000-FF72-46864B65C92F.0&amp;uih=sharepointcom&amp;wdlcid=en-US&amp;jsapi=1&amp;jsapiver=v2&amp;corrid=4215e636-e848-066c-6739-a6c61e196d7c&amp;usid=4215e636-e848-066c-6739-a6c61e196d7c&amp;newsession=1&amp;sftc=1&amp;uihit=docaspx&amp;muv=1&amp;cac=1&amp;sams=1&amp;mtf=1&amp;sfp=1&amp;sdp=1&amp;hch=1&amp;hwfh=1&amp;dchat=1&amp;sc=%7B%22pmo%22%3A%22https%3A%2F%2Feceuropaeu.sharepoint.com%22%2C%22pmshare%22%3Atrue%7D&amp;ctp=LeastProtected&amp;rct=Normal&amp;wdorigin=Other&amp;instantedit=1&amp;wopicomplete=1&amp;wdredirectionreason=Unified_SingleFlush</vt:lpwstr>
      </vt:variant>
      <vt:variant>
        <vt:lpwstr>_ftn6</vt:lpwstr>
      </vt:variant>
      <vt:variant>
        <vt:i4>6553616</vt:i4>
      </vt:variant>
      <vt:variant>
        <vt:i4>12</vt:i4>
      </vt:variant>
      <vt:variant>
        <vt:i4>0</vt:i4>
      </vt:variant>
      <vt:variant>
        <vt:i4>5</vt:i4>
      </vt:variant>
      <vt:variant>
        <vt:lpwstr>https://euc-word-edit.officeapps.live.com/we/wordeditorframe.aspx?ui=en-US&amp;rs=en-IE&amp;wopisrc=https%3A%2F%2Feceuropaeu.sharepoint.com%2Fteams%2FGRP-CMRD6InternalDGEMPLGroup%2F_vti_bin%2Fwopi.ashx%2Ffiles%2F495b440e296549de9e1b9f7d9070e659&amp;wdpid=611a0e0b&amp;wdenableroaming=1&amp;mscc=1&amp;hid=21762BA1-00BB-8000-FF72-46864B65C92F.0&amp;uih=sharepointcom&amp;wdlcid=en-US&amp;jsapi=1&amp;jsapiver=v2&amp;corrid=4215e636-e848-066c-6739-a6c61e196d7c&amp;usid=4215e636-e848-066c-6739-a6c61e196d7c&amp;newsession=1&amp;sftc=1&amp;uihit=docaspx&amp;muv=1&amp;cac=1&amp;sams=1&amp;mtf=1&amp;sfp=1&amp;sdp=1&amp;hch=1&amp;hwfh=1&amp;dchat=1&amp;sc=%7B%22pmo%22%3A%22https%3A%2F%2Feceuropaeu.sharepoint.com%22%2C%22pmshare%22%3Atrue%7D&amp;ctp=LeastProtected&amp;rct=Normal&amp;wdorigin=Other&amp;instantedit=1&amp;wopicomplete=1&amp;wdredirectionreason=Unified_SingleFlush</vt:lpwstr>
      </vt:variant>
      <vt:variant>
        <vt:lpwstr>_ftn5</vt:lpwstr>
      </vt:variant>
      <vt:variant>
        <vt:i4>6553616</vt:i4>
      </vt:variant>
      <vt:variant>
        <vt:i4>9</vt:i4>
      </vt:variant>
      <vt:variant>
        <vt:i4>0</vt:i4>
      </vt:variant>
      <vt:variant>
        <vt:i4>5</vt:i4>
      </vt:variant>
      <vt:variant>
        <vt:lpwstr>https://euc-word-edit.officeapps.live.com/we/wordeditorframe.aspx?ui=en-US&amp;rs=en-IE&amp;wopisrc=https%3A%2F%2Feceuropaeu.sharepoint.com%2Fteams%2FGRP-CMRD6InternalDGEMPLGroup%2F_vti_bin%2Fwopi.ashx%2Ffiles%2F495b440e296549de9e1b9f7d9070e659&amp;wdpid=611a0e0b&amp;wdenableroaming=1&amp;mscc=1&amp;hid=21762BA1-00BB-8000-FF72-46864B65C92F.0&amp;uih=sharepointcom&amp;wdlcid=en-US&amp;jsapi=1&amp;jsapiver=v2&amp;corrid=4215e636-e848-066c-6739-a6c61e196d7c&amp;usid=4215e636-e848-066c-6739-a6c61e196d7c&amp;newsession=1&amp;sftc=1&amp;uihit=docaspx&amp;muv=1&amp;cac=1&amp;sams=1&amp;mtf=1&amp;sfp=1&amp;sdp=1&amp;hch=1&amp;hwfh=1&amp;dchat=1&amp;sc=%7B%22pmo%22%3A%22https%3A%2F%2Feceuropaeu.sharepoint.com%22%2C%22pmshare%22%3Atrue%7D&amp;ctp=LeastProtected&amp;rct=Normal&amp;wdorigin=Other&amp;instantedit=1&amp;wopicomplete=1&amp;wdredirectionreason=Unified_SingleFlush</vt:lpwstr>
      </vt:variant>
      <vt:variant>
        <vt:lpwstr>_ftn4</vt:lpwstr>
      </vt:variant>
      <vt:variant>
        <vt:i4>6553616</vt:i4>
      </vt:variant>
      <vt:variant>
        <vt:i4>6</vt:i4>
      </vt:variant>
      <vt:variant>
        <vt:i4>0</vt:i4>
      </vt:variant>
      <vt:variant>
        <vt:i4>5</vt:i4>
      </vt:variant>
      <vt:variant>
        <vt:lpwstr>https://euc-word-edit.officeapps.live.com/we/wordeditorframe.aspx?ui=en-US&amp;rs=en-IE&amp;wopisrc=https%3A%2F%2Feceuropaeu.sharepoint.com%2Fteams%2FGRP-CMRD6InternalDGEMPLGroup%2F_vti_bin%2Fwopi.ashx%2Ffiles%2F495b440e296549de9e1b9f7d9070e659&amp;wdpid=611a0e0b&amp;wdenableroaming=1&amp;mscc=1&amp;hid=21762BA1-00BB-8000-FF72-46864B65C92F.0&amp;uih=sharepointcom&amp;wdlcid=en-US&amp;jsapi=1&amp;jsapiver=v2&amp;corrid=4215e636-e848-066c-6739-a6c61e196d7c&amp;usid=4215e636-e848-066c-6739-a6c61e196d7c&amp;newsession=1&amp;sftc=1&amp;uihit=docaspx&amp;muv=1&amp;cac=1&amp;sams=1&amp;mtf=1&amp;sfp=1&amp;sdp=1&amp;hch=1&amp;hwfh=1&amp;dchat=1&amp;sc=%7B%22pmo%22%3A%22https%3A%2F%2Feceuropaeu.sharepoint.com%22%2C%22pmshare%22%3Atrue%7D&amp;ctp=LeastProtected&amp;rct=Normal&amp;wdorigin=Other&amp;instantedit=1&amp;wopicomplete=1&amp;wdredirectionreason=Unified_SingleFlush</vt:lpwstr>
      </vt:variant>
      <vt:variant>
        <vt:lpwstr>_ftn3</vt:lpwstr>
      </vt:variant>
      <vt:variant>
        <vt:i4>6553616</vt:i4>
      </vt:variant>
      <vt:variant>
        <vt:i4>3</vt:i4>
      </vt:variant>
      <vt:variant>
        <vt:i4>0</vt:i4>
      </vt:variant>
      <vt:variant>
        <vt:i4>5</vt:i4>
      </vt:variant>
      <vt:variant>
        <vt:lpwstr>https://euc-word-edit.officeapps.live.com/we/wordeditorframe.aspx?ui=en-US&amp;rs=en-IE&amp;wopisrc=https%3A%2F%2Feceuropaeu.sharepoint.com%2Fteams%2FGRP-CMRD6InternalDGEMPLGroup%2F_vti_bin%2Fwopi.ashx%2Ffiles%2F495b440e296549de9e1b9f7d9070e659&amp;wdpid=611a0e0b&amp;wdenableroaming=1&amp;mscc=1&amp;hid=21762BA1-00BB-8000-FF72-46864B65C92F.0&amp;uih=sharepointcom&amp;wdlcid=en-US&amp;jsapi=1&amp;jsapiver=v2&amp;corrid=4215e636-e848-066c-6739-a6c61e196d7c&amp;usid=4215e636-e848-066c-6739-a6c61e196d7c&amp;newsession=1&amp;sftc=1&amp;uihit=docaspx&amp;muv=1&amp;cac=1&amp;sams=1&amp;mtf=1&amp;sfp=1&amp;sdp=1&amp;hch=1&amp;hwfh=1&amp;dchat=1&amp;sc=%7B%22pmo%22%3A%22https%3A%2F%2Feceuropaeu.sharepoint.com%22%2C%22pmshare%22%3Atrue%7D&amp;ctp=LeastProtected&amp;rct=Normal&amp;wdorigin=Other&amp;instantedit=1&amp;wopicomplete=1&amp;wdredirectionreason=Unified_SingleFlush</vt:lpwstr>
      </vt:variant>
      <vt:variant>
        <vt:lpwstr>_ftn2</vt:lpwstr>
      </vt:variant>
      <vt:variant>
        <vt:i4>6553616</vt:i4>
      </vt:variant>
      <vt:variant>
        <vt:i4>0</vt:i4>
      </vt:variant>
      <vt:variant>
        <vt:i4>0</vt:i4>
      </vt:variant>
      <vt:variant>
        <vt:i4>5</vt:i4>
      </vt:variant>
      <vt:variant>
        <vt:lpwstr>https://euc-word-edit.officeapps.live.com/we/wordeditorframe.aspx?ui=en-US&amp;rs=en-IE&amp;wopisrc=https%3A%2F%2Feceuropaeu.sharepoint.com%2Fteams%2FGRP-CMRD6InternalDGEMPLGroup%2F_vti_bin%2Fwopi.ashx%2Ffiles%2F495b440e296549de9e1b9f7d9070e659&amp;wdpid=611a0e0b&amp;wdenableroaming=1&amp;mscc=1&amp;hid=21762BA1-00BB-8000-FF72-46864B65C92F.0&amp;uih=sharepointcom&amp;wdlcid=en-US&amp;jsapi=1&amp;jsapiver=v2&amp;corrid=4215e636-e848-066c-6739-a6c61e196d7c&amp;usid=4215e636-e848-066c-6739-a6c61e196d7c&amp;newsession=1&amp;sftc=1&amp;uihit=docaspx&amp;muv=1&amp;cac=1&amp;sams=1&amp;mtf=1&amp;sfp=1&amp;sdp=1&amp;hch=1&amp;hwfh=1&amp;dchat=1&amp;sc=%7B%22pmo%22%3A%22https%3A%2F%2Feceuropaeu.sharepoint.com%22%2C%22pmshare%22%3Atrue%7D&amp;ctp=LeastProtected&amp;rct=Normal&amp;wdorigin=Other&amp;instantedit=1&amp;wopicomplete=1&amp;wdredirectionreason=Unified_SingleFlush</vt:lpwstr>
      </vt:variant>
      <vt:variant>
        <vt:lpwstr>_ftn1</vt:lpwstr>
      </vt:variant>
      <vt:variant>
        <vt:i4>7274552</vt:i4>
      </vt:variant>
      <vt:variant>
        <vt:i4>33</vt:i4>
      </vt:variant>
      <vt:variant>
        <vt:i4>0</vt:i4>
      </vt:variant>
      <vt:variant>
        <vt:i4>5</vt:i4>
      </vt:variant>
      <vt:variant>
        <vt:lpwstr>https://oira.osha.europa.eu/en</vt:lpwstr>
      </vt:variant>
      <vt:variant>
        <vt:lpwstr/>
      </vt:variant>
      <vt:variant>
        <vt:i4>1114135</vt:i4>
      </vt:variant>
      <vt:variant>
        <vt:i4>30</vt:i4>
      </vt:variant>
      <vt:variant>
        <vt:i4>0</vt:i4>
      </vt:variant>
      <vt:variant>
        <vt:i4>5</vt:i4>
      </vt:variant>
      <vt:variant>
        <vt:lpwstr>https://echa.europa.eu/rac-opinions-on-scientific-evaluations-of-oels</vt:lpwstr>
      </vt:variant>
      <vt:variant>
        <vt:lpwstr/>
      </vt:variant>
      <vt:variant>
        <vt:i4>4325494</vt:i4>
      </vt:variant>
      <vt:variant>
        <vt:i4>27</vt:i4>
      </vt:variant>
      <vt:variant>
        <vt:i4>0</vt:i4>
      </vt:variant>
      <vt:variant>
        <vt:i4>5</vt:i4>
      </vt:variant>
      <vt:variant>
        <vt:lpwstr>https://echa.europa.eu/documents/10162/7399806/report_welding_fumes_en.pdf</vt:lpwstr>
      </vt:variant>
      <vt:variant>
        <vt:lpwstr/>
      </vt:variant>
      <vt:variant>
        <vt:i4>5898261</vt:i4>
      </vt:variant>
      <vt:variant>
        <vt:i4>24</vt:i4>
      </vt:variant>
      <vt:variant>
        <vt:i4>0</vt:i4>
      </vt:variant>
      <vt:variant>
        <vt:i4>5</vt:i4>
      </vt:variant>
      <vt:variant>
        <vt:lpwstr>https://circabc.europa.eu/sd/a/d83f72a6-7cb7-4a98-b77b-c0f7a74f21bb/Addendum to ACSH opinion PAHs-EN.pdf</vt:lpwstr>
      </vt:variant>
      <vt:variant>
        <vt:lpwstr/>
      </vt:variant>
      <vt:variant>
        <vt:i4>2228328</vt:i4>
      </vt:variant>
      <vt:variant>
        <vt:i4>21</vt:i4>
      </vt:variant>
      <vt:variant>
        <vt:i4>0</vt:i4>
      </vt:variant>
      <vt:variant>
        <vt:i4>5</vt:i4>
      </vt:variant>
      <vt:variant>
        <vt:lpwstr>https://circabc.europa.eu/sd/a/ebaaf294-094d-411d-8fae-abd1e49a9557/ACSH Adopted opinion Welding fumes 22.09.23-EN.pdf</vt:lpwstr>
      </vt:variant>
      <vt:variant>
        <vt:lpwstr/>
      </vt:variant>
      <vt:variant>
        <vt:i4>720985</vt:i4>
      </vt:variant>
      <vt:variant>
        <vt:i4>18</vt:i4>
      </vt:variant>
      <vt:variant>
        <vt:i4>0</vt:i4>
      </vt:variant>
      <vt:variant>
        <vt:i4>5</vt:i4>
      </vt:variant>
      <vt:variant>
        <vt:lpwstr>https://circabc.europa.eu/sd/a/a781e5ed-03e1-4c35-98b4-064ea5c17880/ACSH Adopted opinion Isoprene 22.09.23-EN.pdf</vt:lpwstr>
      </vt:variant>
      <vt:variant>
        <vt:lpwstr/>
      </vt:variant>
      <vt:variant>
        <vt:i4>1572970</vt:i4>
      </vt:variant>
      <vt:variant>
        <vt:i4>15</vt:i4>
      </vt:variant>
      <vt:variant>
        <vt:i4>0</vt:i4>
      </vt:variant>
      <vt:variant>
        <vt:i4>5</vt:i4>
      </vt:variant>
      <vt:variant>
        <vt:lpwstr>https://circabc.europa.eu/sd/a/fcbb5c02-0c72-45ee-ba78-0031b914b1b6/ACSH Adopted opinion 1_4-dioxane 22.09.23-EN.pdf</vt:lpwstr>
      </vt:variant>
      <vt:variant>
        <vt:lpwstr/>
      </vt:variant>
      <vt:variant>
        <vt:i4>786508</vt:i4>
      </vt:variant>
      <vt:variant>
        <vt:i4>12</vt:i4>
      </vt:variant>
      <vt:variant>
        <vt:i4>0</vt:i4>
      </vt:variant>
      <vt:variant>
        <vt:i4>5</vt:i4>
      </vt:variant>
      <vt:variant>
        <vt:lpwstr>https://circabc.europa.eu/sd/a/5c69ed63-50c5-49d0-af6d-3165ae955a3d/ACSH Adopted opinion PAHs 22.09.23-EN.pdf</vt:lpwstr>
      </vt:variant>
      <vt:variant>
        <vt:lpwstr/>
      </vt:variant>
      <vt:variant>
        <vt:i4>2228331</vt:i4>
      </vt:variant>
      <vt:variant>
        <vt:i4>9</vt:i4>
      </vt:variant>
      <vt:variant>
        <vt:i4>0</vt:i4>
      </vt:variant>
      <vt:variant>
        <vt:i4>5</vt:i4>
      </vt:variant>
      <vt:variant>
        <vt:lpwstr>https://circabc.europa.eu/sd/a/49d22931-7d49-452b-9dc8-f1474e6f60c6/ACSH Adopted opinion Cobalt and inorganic compounds 22.09.23-EN.pdf</vt:lpwstr>
      </vt:variant>
      <vt:variant>
        <vt:lpwstr/>
      </vt:variant>
      <vt:variant>
        <vt:i4>6488124</vt:i4>
      </vt:variant>
      <vt:variant>
        <vt:i4>6</vt:i4>
      </vt:variant>
      <vt:variant>
        <vt:i4>0</vt:i4>
      </vt:variant>
      <vt:variant>
        <vt:i4>5</vt:i4>
      </vt:variant>
      <vt:variant>
        <vt:lpwstr>https://echa.europa.eu/documents/10162/17ab47c9-f60e-ecbc-da78-474468076133</vt:lpwstr>
      </vt:variant>
      <vt:variant>
        <vt:lpwstr/>
      </vt:variant>
      <vt:variant>
        <vt:i4>3407927</vt:i4>
      </vt:variant>
      <vt:variant>
        <vt:i4>3</vt:i4>
      </vt:variant>
      <vt:variant>
        <vt:i4>0</vt:i4>
      </vt:variant>
      <vt:variant>
        <vt:i4>5</vt:i4>
      </vt:variant>
      <vt:variant>
        <vt:lpwstr>https://echa.europa.eu/documents/10162/a27e80a3-3798-3c76-01a0-32357cc09f6f</vt:lpwstr>
      </vt:variant>
      <vt:variant>
        <vt:lpwstr/>
      </vt:variant>
      <vt:variant>
        <vt:i4>131099</vt:i4>
      </vt:variant>
      <vt:variant>
        <vt:i4>0</vt:i4>
      </vt:variant>
      <vt:variant>
        <vt:i4>0</vt:i4>
      </vt:variant>
      <vt:variant>
        <vt:i4>5</vt:i4>
      </vt:variant>
      <vt:variant>
        <vt:lpwstr>https://data.europa.eu/doi/10.2767/964906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2025-07-11T13:12:00Z</dcterms:created>
  <dcterms:modified xsi:type="dcterms:W3CDTF">2025-07-15T22:39:00Z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9.1, Build 20240808</vt:lpwstr>
  </property>
  <property fmtid="{D5CDD505-2E9C-101B-9397-08002B2CF9AE}" pid="3" name="MSIP_Label_6bd9ddd1-4d20-43f6-abfa-fc3c07406f94_Enabled">
    <vt:lpwstr>true</vt:lpwstr>
  </property>
  <property fmtid="{D5CDD505-2E9C-101B-9397-08002B2CF9AE}" pid="4" name="MSIP_Label_6bd9ddd1-4d20-43f6-abfa-fc3c07406f94_SetDate">
    <vt:lpwstr>2025-06-05T20:19:41Z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b20a5d79-32e5-4deb-8ffc-85e22eb5517c</vt:lpwstr>
  </property>
  <property fmtid="{D5CDD505-2E9C-101B-9397-08002B2CF9AE}" pid="9" name="MSIP_Label_6bd9ddd1-4d20-43f6-abfa-fc3c07406f94_ContentBits">
    <vt:lpwstr>0</vt:lpwstr>
  </property>
  <property fmtid="{D5CDD505-2E9C-101B-9397-08002B2CF9AE}" pid="10" name="Category">
    <vt:lpwstr>COM/PL/ORG</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LWTemplateID">
    <vt:lpwstr>SJ-024</vt:lpwstr>
  </property>
  <property fmtid="{D5CDD505-2E9C-101B-9397-08002B2CF9AE}" pid="15" name="DQCStatus">
    <vt:lpwstr>Yellow (DQC version 03)</vt:lpwstr>
  </property>
</Properties>
</file>