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C8B2" w14:textId="6E5D8342" w:rsidR="00A76D84" w:rsidRDefault="00183352" w:rsidP="00183352">
      <w:pPr>
        <w:pStyle w:val="Pagedecouverture"/>
        <w:rPr>
          <w:noProof/>
        </w:rPr>
      </w:pPr>
      <w:r>
        <w:rPr>
          <w:noProof/>
        </w:rPr>
        <w:pict w14:anchorId="6E1CF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02AAA7D-8553-442B-8F67-8E96054DAA92" style="width:455.25pt;height:470.25pt">
            <v:imagedata r:id="rId7" o:title=""/>
          </v:shape>
        </w:pict>
      </w:r>
    </w:p>
    <w:p w14:paraId="5E970118" w14:textId="77777777" w:rsidR="00A76D84" w:rsidRDefault="00A76D84" w:rsidP="00A76D84">
      <w:pPr>
        <w:rPr>
          <w:noProof/>
        </w:rPr>
        <w:sectPr w:rsidR="00A76D84" w:rsidSect="001833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6211EAE8" w14:textId="77777777" w:rsidR="00A76D84" w:rsidRDefault="00A76D84" w:rsidP="00A76D84">
      <w:pPr>
        <w:pStyle w:val="Annexetitre"/>
        <w:rPr>
          <w:noProof/>
        </w:rPr>
      </w:pPr>
      <w:bookmarkStart w:id="0" w:name="_GoBack"/>
      <w:bookmarkEnd w:id="0"/>
      <w:r w:rsidRPr="00A76D84">
        <w:rPr>
          <w:noProof/>
        </w:rPr>
        <w:lastRenderedPageBreak/>
        <w:t xml:space="preserve">ANNEX </w:t>
      </w:r>
    </w:p>
    <w:p w14:paraId="1B8A42C2" w14:textId="77777777" w:rsidR="00A76D84" w:rsidRDefault="00A76D84" w:rsidP="00A76D84">
      <w:pPr>
        <w:rPr>
          <w:noProof/>
        </w:rPr>
      </w:pPr>
    </w:p>
    <w:p w14:paraId="5FCDD901" w14:textId="77777777" w:rsidR="00A76D84" w:rsidRPr="00F86091" w:rsidRDefault="00A76D84" w:rsidP="00A76D84">
      <w:pPr>
        <w:shd w:val="clear" w:color="auto" w:fill="FFFFFF" w:themeFill="background1"/>
        <w:spacing w:before="0" w:after="0"/>
        <w:jc w:val="center"/>
        <w:rPr>
          <w:noProof/>
        </w:rPr>
      </w:pPr>
      <w:r w:rsidRPr="00F86091">
        <w:rPr>
          <w:rFonts w:eastAsia="Times New Roman"/>
          <w:b/>
          <w:bCs/>
          <w:noProof/>
          <w:color w:val="000000" w:themeColor="text1"/>
          <w:szCs w:val="24"/>
        </w:rPr>
        <w:t>ANNEX</w:t>
      </w:r>
    </w:p>
    <w:p w14:paraId="770AF113" w14:textId="77777777" w:rsidR="00A76D84" w:rsidRPr="00F86091" w:rsidRDefault="00A76D84" w:rsidP="00A76D84">
      <w:pPr>
        <w:shd w:val="clear" w:color="auto" w:fill="FFFFFF" w:themeFill="background1"/>
        <w:spacing w:before="0" w:after="0"/>
        <w:jc w:val="center"/>
        <w:rPr>
          <w:noProof/>
        </w:rPr>
      </w:pPr>
    </w:p>
    <w:p w14:paraId="79CF4D73" w14:textId="77777777" w:rsidR="00A76D84" w:rsidRPr="007322A5" w:rsidRDefault="00A76D84" w:rsidP="00A76D84">
      <w:pPr>
        <w:shd w:val="clear" w:color="auto" w:fill="FFFFFF" w:themeFill="background1"/>
        <w:spacing w:before="0" w:after="0" w:line="360" w:lineRule="auto"/>
        <w:rPr>
          <w:noProof/>
        </w:rPr>
      </w:pPr>
      <w:r w:rsidRPr="003D6EE6">
        <w:rPr>
          <w:rFonts w:eastAsia="Times New Roman"/>
          <w:noProof/>
          <w:color w:val="000000" w:themeColor="text1"/>
          <w:szCs w:val="24"/>
        </w:rPr>
        <w:t>Annexes I, III and IIIa to Directive 2004/37/EC are amended as follows:</w:t>
      </w:r>
    </w:p>
    <w:p w14:paraId="20DB362E" w14:textId="6126AD36" w:rsidR="00A76D84" w:rsidRPr="007322A5" w:rsidRDefault="00A76D84" w:rsidP="00A76D84">
      <w:pPr>
        <w:spacing w:before="40" w:after="40" w:line="360" w:lineRule="auto"/>
        <w:ind w:left="851" w:hanging="851"/>
        <w:rPr>
          <w:rFonts w:eastAsia="Times New Roman"/>
          <w:noProof/>
          <w:szCs w:val="24"/>
        </w:rPr>
      </w:pPr>
      <w:r w:rsidRPr="00F86091">
        <w:rPr>
          <w:rFonts w:eastAsia="Times New Roman"/>
          <w:noProof/>
          <w:szCs w:val="24"/>
        </w:rPr>
        <w:t>(</w:t>
      </w:r>
      <w:r w:rsidR="00133B2D">
        <w:rPr>
          <w:rFonts w:eastAsia="Times New Roman"/>
          <w:noProof/>
          <w:szCs w:val="24"/>
        </w:rPr>
        <w:t>1</w:t>
      </w:r>
      <w:r w:rsidRPr="00F86091">
        <w:rPr>
          <w:rFonts w:eastAsia="Times New Roman"/>
          <w:noProof/>
          <w:szCs w:val="24"/>
        </w:rPr>
        <w:t xml:space="preserve">) </w:t>
      </w:r>
      <w:r w:rsidR="00133B2D">
        <w:rPr>
          <w:rFonts w:eastAsia="Times New Roman"/>
          <w:noProof/>
          <w:szCs w:val="24"/>
        </w:rPr>
        <w:tab/>
      </w:r>
      <w:r w:rsidRPr="007322A5">
        <w:rPr>
          <w:rFonts w:eastAsia="Times New Roman"/>
          <w:noProof/>
          <w:szCs w:val="24"/>
        </w:rPr>
        <w:t>in Annex I, the following point 9 is added:</w:t>
      </w:r>
    </w:p>
    <w:p w14:paraId="14BA50DD" w14:textId="77777777" w:rsidR="00A76D84" w:rsidRPr="007322A5" w:rsidRDefault="00A76D84" w:rsidP="00A76D84">
      <w:pPr>
        <w:spacing w:before="40" w:after="40" w:line="360" w:lineRule="auto"/>
        <w:ind w:left="851" w:hanging="851"/>
        <w:rPr>
          <w:rFonts w:eastAsia="Times New Roman"/>
          <w:noProof/>
          <w:szCs w:val="24"/>
        </w:rPr>
      </w:pPr>
      <w:r w:rsidRPr="007322A5">
        <w:rPr>
          <w:rFonts w:eastAsia="Times New Roman"/>
          <w:noProof/>
          <w:szCs w:val="24"/>
        </w:rPr>
        <w:t xml:space="preserve">‘9.         Work involving exposure to fumes from welding processes containing substances that </w:t>
      </w:r>
      <w:r w:rsidRPr="003D6EE6">
        <w:rPr>
          <w:rFonts w:eastAsia="Times New Roman"/>
          <w:noProof/>
          <w:szCs w:val="24"/>
        </w:rPr>
        <w:t>meet the criteria</w:t>
      </w:r>
      <w:r w:rsidRPr="007322A5">
        <w:rPr>
          <w:rFonts w:eastAsia="Times New Roman"/>
          <w:noProof/>
          <w:szCs w:val="24"/>
        </w:rPr>
        <w:t xml:space="preserve"> for a substance or mixture which </w:t>
      </w:r>
      <w:r w:rsidRPr="003D6EE6">
        <w:rPr>
          <w:rFonts w:eastAsia="Times New Roman"/>
          <w:noProof/>
          <w:szCs w:val="24"/>
        </w:rPr>
        <w:t>meets the criteria</w:t>
      </w:r>
      <w:r w:rsidRPr="007322A5">
        <w:rPr>
          <w:rFonts w:eastAsia="Times New Roman"/>
          <w:noProof/>
          <w:szCs w:val="24"/>
        </w:rPr>
        <w:t xml:space="preserve"> for classification as a category 1A or 1B carcinogen, mutagen or reprotoxic set out in Annex I to Regulation (EC) No 1272/2008</w:t>
      </w:r>
      <w:r>
        <w:rPr>
          <w:rStyle w:val="FootnoteReference"/>
          <w:rFonts w:eastAsia="Times New Roman"/>
          <w:noProof/>
          <w:szCs w:val="24"/>
        </w:rPr>
        <w:footnoteReference w:id="1"/>
      </w:r>
      <w:r w:rsidRPr="007322A5">
        <w:rPr>
          <w:rFonts w:eastAsia="Times New Roman"/>
          <w:noProof/>
          <w:szCs w:val="24"/>
          <w:lang w:val="en-US"/>
        </w:rPr>
        <w:t>;</w:t>
      </w:r>
    </w:p>
    <w:p w14:paraId="4ABCF312" w14:textId="705C64F4" w:rsidR="00A76D84" w:rsidRPr="00133B2D" w:rsidRDefault="00133B2D" w:rsidP="00133B2D">
      <w:pPr>
        <w:spacing w:before="40" w:after="40" w:line="360" w:lineRule="auto"/>
        <w:ind w:left="851" w:hanging="851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(2)</w:t>
      </w:r>
      <w:r>
        <w:rPr>
          <w:rFonts w:eastAsia="Times New Roman"/>
          <w:noProof/>
          <w:szCs w:val="24"/>
        </w:rPr>
        <w:tab/>
      </w:r>
      <w:r w:rsidR="00A76D84" w:rsidRPr="00F86091">
        <w:rPr>
          <w:rFonts w:eastAsia="Times New Roman"/>
          <w:noProof/>
          <w:szCs w:val="24"/>
        </w:rPr>
        <w:t>in Annex III, point A is amended as follows:</w:t>
      </w:r>
    </w:p>
    <w:p w14:paraId="4DC5C9A3" w14:textId="77777777" w:rsidR="00A76D84" w:rsidRPr="00F86091" w:rsidRDefault="00A76D84" w:rsidP="00A76D84">
      <w:pPr>
        <w:spacing w:before="40" w:after="40" w:line="360" w:lineRule="auto"/>
        <w:ind w:left="851" w:hanging="851"/>
        <w:rPr>
          <w:noProof/>
        </w:rPr>
      </w:pPr>
      <w:r w:rsidRPr="00F86091">
        <w:rPr>
          <w:rFonts w:eastAsia="Times New Roman"/>
          <w:noProof/>
          <w:szCs w:val="24"/>
        </w:rPr>
        <w:t xml:space="preserve">(a)  </w:t>
      </w:r>
      <w:r>
        <w:rPr>
          <w:rFonts w:eastAsia="Times New Roman"/>
          <w:noProof/>
          <w:szCs w:val="24"/>
        </w:rPr>
        <w:tab/>
        <w:t xml:space="preserve">in the Table </w:t>
      </w:r>
      <w:r w:rsidRPr="00F86091">
        <w:rPr>
          <w:rFonts w:eastAsia="Times New Roman"/>
          <w:noProof/>
          <w:szCs w:val="24"/>
        </w:rPr>
        <w:t>the row related to polycyclic aromatic hydrocarbons mixtures</w:t>
      </w:r>
      <w:r w:rsidRPr="00A00262">
        <w:rPr>
          <w:rFonts w:eastAsia="Times New Roman"/>
          <w:noProof/>
          <w:szCs w:val="24"/>
        </w:rPr>
        <w:t>, particularly those containing benzo[a]pyrene, which are carcinogens within the meaning of this Directive, is replaced by the following</w:t>
      </w:r>
      <w:r w:rsidRPr="00F86091">
        <w:rPr>
          <w:rFonts w:eastAsia="Times New Roman"/>
          <w:noProof/>
          <w:szCs w:val="24"/>
        </w:rPr>
        <w:t>:</w:t>
      </w:r>
    </w:p>
    <w:p w14:paraId="37D552B9" w14:textId="77777777" w:rsidR="00A76D84" w:rsidRPr="00F86091" w:rsidRDefault="00A76D84" w:rsidP="00A76D84">
      <w:pPr>
        <w:spacing w:before="40" w:after="40" w:line="360" w:lineRule="auto"/>
        <w:ind w:left="567" w:hanging="567"/>
        <w:rPr>
          <w:noProof/>
        </w:rPr>
      </w:pPr>
      <w:r w:rsidRPr="00F86091">
        <w:rPr>
          <w:rFonts w:eastAsia="Times New Roman"/>
          <w:noProof/>
          <w:szCs w:val="24"/>
        </w:rPr>
        <w:t>‘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657"/>
        <w:gridCol w:w="631"/>
        <w:gridCol w:w="935"/>
        <w:gridCol w:w="584"/>
        <w:gridCol w:w="504"/>
        <w:gridCol w:w="625"/>
        <w:gridCol w:w="445"/>
        <w:gridCol w:w="623"/>
        <w:gridCol w:w="975"/>
        <w:gridCol w:w="1725"/>
      </w:tblGrid>
      <w:tr w:rsidR="00A76D84" w:rsidRPr="00F86091" w14:paraId="37996337" w14:textId="77777777" w:rsidTr="00AB7487">
        <w:trPr>
          <w:trHeight w:val="285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0DD35B40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Name of agent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606A24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EC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489EC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CAS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2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3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BBE7F9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Limit values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BEF702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Notation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16D294" w14:textId="77777777" w:rsidR="00A76D84" w:rsidRPr="00F86091" w:rsidRDefault="00A76D84" w:rsidP="00AB7487">
            <w:pPr>
              <w:spacing w:before="0" w:after="0"/>
              <w:ind w:right="104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Transitional measures</w:t>
            </w:r>
          </w:p>
        </w:tc>
      </w:tr>
      <w:tr w:rsidR="00A76D84" w:rsidRPr="00F86091" w14:paraId="437BD165" w14:textId="77777777" w:rsidTr="00AB7487">
        <w:trPr>
          <w:trHeight w:val="285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FFA98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D42E1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B8B47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AFEF4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8 hours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73C084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Short-term</w:t>
            </w:r>
            <w:r w:rsidRPr="00F86091"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4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D54AF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6710D" w14:textId="77777777" w:rsidR="00A76D84" w:rsidRPr="00F86091" w:rsidRDefault="00A76D84" w:rsidP="00AB7487">
            <w:pPr>
              <w:rPr>
                <w:noProof/>
              </w:rPr>
            </w:pPr>
          </w:p>
        </w:tc>
      </w:tr>
      <w:tr w:rsidR="00A76D84" w:rsidRPr="00F86091" w14:paraId="299D03A5" w14:textId="77777777" w:rsidTr="00AB7487">
        <w:trPr>
          <w:trHeight w:val="450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CE916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698DA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2D551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E3881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 xml:space="preserve">3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5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4A698E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6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C04B5E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  <w:p w14:paraId="7A184CBB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7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449E3E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</w:p>
        </w:tc>
        <w:tc>
          <w:tcPr>
            <w:tcW w:w="4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777131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</w:t>
            </w:r>
          </w:p>
        </w:tc>
        <w:tc>
          <w:tcPr>
            <w:tcW w:w="6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E0EE9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EDDA1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9534A" w14:textId="77777777" w:rsidR="00A76D84" w:rsidRPr="00F86091" w:rsidRDefault="00A76D84" w:rsidP="00AB7487">
            <w:pPr>
              <w:rPr>
                <w:noProof/>
              </w:rPr>
            </w:pPr>
          </w:p>
        </w:tc>
      </w:tr>
      <w:tr w:rsidR="00A76D84" w:rsidRPr="00F86091" w14:paraId="26607044" w14:textId="77777777" w:rsidTr="00AB7487">
        <w:trPr>
          <w:trHeight w:val="960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07A1888B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Polycyclic aromatic hydrocarbons mixtures, particularly those containing benzo[a]pyrene, which are carcinogens, mutagens or reprotoxicants within the meaning of this Directive</w:t>
            </w:r>
          </w:p>
        </w:tc>
        <w:tc>
          <w:tcPr>
            <w:tcW w:w="65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5AFFE76E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65E43E0" w14:textId="77777777" w:rsidR="00A76D84" w:rsidRPr="00F86091" w:rsidRDefault="00A76D84" w:rsidP="00AB7487">
            <w:pPr>
              <w:spacing w:before="0" w:after="0"/>
              <w:ind w:right="195"/>
              <w:rPr>
                <w:noProof/>
              </w:rPr>
            </w:pPr>
          </w:p>
        </w:tc>
        <w:tc>
          <w:tcPr>
            <w:tcW w:w="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95EA4D9" w14:textId="77777777" w:rsidR="00A76D84" w:rsidRPr="00F86091" w:rsidRDefault="00A76D84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>0,00007</w:t>
            </w:r>
            <w:r w:rsidRPr="00F86091">
              <w:rPr>
                <w:rFonts w:eastAsia="Times New Roman"/>
                <w:noProof/>
                <w:sz w:val="22"/>
              </w:rPr>
              <w:t>(*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2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EE6BC5A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4D47FEB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73C2F31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AEB35F4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C81B299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56AD7312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Skin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10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57244B0F" w14:textId="77777777" w:rsidR="00A76D84" w:rsidRPr="00F86091" w:rsidRDefault="00A76D84" w:rsidP="00AB7487">
            <w:pPr>
              <w:spacing w:before="0" w:after="0"/>
              <w:rPr>
                <w:rFonts w:eastAsia="Times New Roman"/>
                <w:b/>
                <w:bCs/>
                <w:i/>
                <w:iCs/>
                <w:noProof/>
                <w:sz w:val="22"/>
              </w:rPr>
            </w:pP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Limit value 0,00014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</w:rPr>
              <w:t xml:space="preserve">(*2) 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until </w:t>
            </w:r>
            <w:r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…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[OJ: six years after the date of entry into force of the amending Directive] limited to the following sectors:</w:t>
            </w:r>
            <w:r w:rsidRPr="00F86091">
              <w:rPr>
                <w:rFonts w:ascii="Calibri" w:eastAsia="Calibri" w:hAnsi="Calibri" w:cs="Calibri"/>
                <w:noProof/>
                <w:sz w:val="22"/>
              </w:rPr>
              <w:t xml:space="preserve"> 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(1) steel and iron foundries, which includes ferroalloy manufacturers, (2) aluminium manufacturers, (3) carbon and graphite electrode manufacturers, (4) coking plants, (5) coal tar distillation, (6) refractory products manufacturers, (7) </w:t>
            </w:r>
            <w:bookmarkStart w:id="1" w:name="_Hlk200728195"/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welding of train tracks</w:t>
            </w:r>
            <w:bookmarkEnd w:id="1"/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, (8) other non-ferrous metallurgical processes, and (9) </w:t>
            </w:r>
            <w:bookmarkStart w:id="2" w:name="_Hlk200728281"/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casting of metals</w:t>
            </w:r>
            <w:bookmarkEnd w:id="2"/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.  </w:t>
            </w:r>
          </w:p>
        </w:tc>
      </w:tr>
    </w:tbl>
    <w:p w14:paraId="5CBFB72B" w14:textId="77777777" w:rsidR="00A76D84" w:rsidRPr="00F86091" w:rsidRDefault="00A76D84" w:rsidP="00A76D84">
      <w:pPr>
        <w:spacing w:before="0" w:after="200" w:line="276" w:lineRule="auto"/>
        <w:ind w:left="720"/>
        <w:rPr>
          <w:noProof/>
        </w:rPr>
      </w:pPr>
      <w:r w:rsidRPr="00F86091">
        <w:rPr>
          <w:rFonts w:eastAsia="Times New Roman"/>
          <w:b/>
          <w:bCs/>
          <w:noProof/>
          <w:color w:val="000000" w:themeColor="text1"/>
          <w:szCs w:val="24"/>
        </w:rPr>
        <w:t>’</w:t>
      </w:r>
    </w:p>
    <w:p w14:paraId="41E2DDFD" w14:textId="77777777" w:rsidR="00A76D84" w:rsidRDefault="00A76D84" w:rsidP="00A76D84">
      <w:pPr>
        <w:spacing w:before="0" w:after="200" w:line="276" w:lineRule="auto"/>
        <w:ind w:left="720"/>
        <w:rPr>
          <w:rFonts w:eastAsia="Times New Roman"/>
          <w:noProof/>
          <w:color w:val="000000" w:themeColor="text1"/>
          <w:szCs w:val="24"/>
        </w:rPr>
      </w:pPr>
      <w:r w:rsidRPr="00F86091">
        <w:rPr>
          <w:rFonts w:eastAsia="Times New Roman"/>
          <w:noProof/>
          <w:color w:val="000000" w:themeColor="text1"/>
          <w:szCs w:val="24"/>
        </w:rPr>
        <w:t xml:space="preserve">(b) </w:t>
      </w:r>
      <w:r>
        <w:rPr>
          <w:rFonts w:eastAsia="Times New Roman"/>
          <w:noProof/>
          <w:color w:val="000000" w:themeColor="text1"/>
          <w:szCs w:val="24"/>
        </w:rPr>
        <w:tab/>
      </w:r>
      <w:r w:rsidRPr="00D57090">
        <w:rPr>
          <w:rFonts w:eastAsia="Times New Roman"/>
          <w:noProof/>
          <w:color w:val="000000" w:themeColor="text1"/>
          <w:szCs w:val="24"/>
        </w:rPr>
        <w:t>in the Table, the row related to mercury and divalent inorganic mercury compounds including mercuric oxide and mercuric chloride (measured as mercury) is replaced by the following</w:t>
      </w:r>
      <w:r>
        <w:rPr>
          <w:rFonts w:eastAsia="Times New Roman"/>
          <w:noProof/>
          <w:color w:val="000000" w:themeColor="text1"/>
          <w:szCs w:val="24"/>
        </w:rPr>
        <w:t>:</w:t>
      </w:r>
    </w:p>
    <w:p w14:paraId="376B05EE" w14:textId="77777777" w:rsidR="00A76D84" w:rsidRPr="003D6EE6" w:rsidRDefault="00A76D84" w:rsidP="00A76D84">
      <w:pPr>
        <w:spacing w:before="0" w:after="200" w:line="276" w:lineRule="auto"/>
        <w:rPr>
          <w:noProof/>
        </w:rPr>
      </w:pPr>
      <w:r>
        <w:rPr>
          <w:noProof/>
        </w:rPr>
        <w:tab/>
        <w:t>‘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657"/>
        <w:gridCol w:w="631"/>
        <w:gridCol w:w="935"/>
        <w:gridCol w:w="584"/>
        <w:gridCol w:w="504"/>
        <w:gridCol w:w="625"/>
        <w:gridCol w:w="445"/>
        <w:gridCol w:w="623"/>
        <w:gridCol w:w="975"/>
        <w:gridCol w:w="1725"/>
      </w:tblGrid>
      <w:tr w:rsidR="00A76D84" w:rsidRPr="00F86091" w14:paraId="6361516E" w14:textId="77777777" w:rsidTr="00AB7487">
        <w:trPr>
          <w:trHeight w:val="285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1FCF5F31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Name of agent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83AB92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EC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59F8E6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CAS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2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3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AE68F3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Limit values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CDA23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Notation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4962D4" w14:textId="77777777" w:rsidR="00A76D84" w:rsidRPr="00F86091" w:rsidRDefault="00A76D84" w:rsidP="00AB7487">
            <w:pPr>
              <w:spacing w:before="0" w:after="0"/>
              <w:ind w:right="104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Transitional measures</w:t>
            </w:r>
          </w:p>
        </w:tc>
      </w:tr>
      <w:tr w:rsidR="00A76D84" w:rsidRPr="00F86091" w14:paraId="52DE8FA0" w14:textId="77777777" w:rsidTr="00AB7487">
        <w:trPr>
          <w:trHeight w:val="285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DD0D0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08BF6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63263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7C785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8 hours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FE2510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Short-term</w:t>
            </w:r>
            <w:r w:rsidRPr="00F86091"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4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0B872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0BAE4" w14:textId="77777777" w:rsidR="00A76D84" w:rsidRPr="00F86091" w:rsidRDefault="00A76D84" w:rsidP="00AB7487">
            <w:pPr>
              <w:rPr>
                <w:noProof/>
              </w:rPr>
            </w:pPr>
          </w:p>
        </w:tc>
      </w:tr>
      <w:tr w:rsidR="00A76D84" w:rsidRPr="00F86091" w14:paraId="346F23AC" w14:textId="77777777" w:rsidTr="00AB7487">
        <w:trPr>
          <w:trHeight w:val="450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8BBF3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F3669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751E1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D08C5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 xml:space="preserve">3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5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C633D9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6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BFF435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  <w:p w14:paraId="06087012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7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C01BB6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</w:p>
        </w:tc>
        <w:tc>
          <w:tcPr>
            <w:tcW w:w="4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F3DF4C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</w:t>
            </w:r>
          </w:p>
        </w:tc>
        <w:tc>
          <w:tcPr>
            <w:tcW w:w="6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CA39B4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49916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1D401" w14:textId="77777777" w:rsidR="00A76D84" w:rsidRPr="00F86091" w:rsidRDefault="00A76D84" w:rsidP="00AB7487">
            <w:pPr>
              <w:rPr>
                <w:noProof/>
              </w:rPr>
            </w:pPr>
          </w:p>
        </w:tc>
      </w:tr>
      <w:tr w:rsidR="00A76D84" w:rsidRPr="00F86091" w14:paraId="0BDB3066" w14:textId="77777777" w:rsidTr="00AB7487">
        <w:trPr>
          <w:trHeight w:val="960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26B85A53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Mercury and divalent inorganic mercury compounds that fall under the scope of this Directive (measured as mercury)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96DD7A8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55F6EFAB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7D555054" w14:textId="77777777" w:rsidR="00A76D84" w:rsidRPr="00F86091" w:rsidRDefault="00A76D84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0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,</w:t>
            </w:r>
            <w:r w:rsidRPr="00F86091">
              <w:rPr>
                <w:rFonts w:eastAsia="Times New Roman"/>
                <w:noProof/>
                <w:sz w:val="22"/>
              </w:rPr>
              <w:t>02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CF7A538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538A352D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7826E566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73B6308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C52EFD1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64C6EA75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3E1D79EC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</w:tr>
    </w:tbl>
    <w:p w14:paraId="72DC6E7A" w14:textId="77777777" w:rsidR="00A76D84" w:rsidRPr="003D6EE6" w:rsidRDefault="00A76D84" w:rsidP="00A76D84">
      <w:pPr>
        <w:spacing w:before="0" w:after="200" w:line="276" w:lineRule="auto"/>
        <w:ind w:firstLine="720"/>
        <w:rPr>
          <w:noProof/>
        </w:rPr>
      </w:pPr>
      <w:r>
        <w:rPr>
          <w:noProof/>
        </w:rPr>
        <w:t>’;</w:t>
      </w:r>
    </w:p>
    <w:p w14:paraId="0D872BB8" w14:textId="77777777" w:rsidR="00A76D84" w:rsidRPr="00F86091" w:rsidRDefault="00A76D84" w:rsidP="00A76D84">
      <w:pPr>
        <w:spacing w:before="0" w:after="200" w:line="276" w:lineRule="auto"/>
        <w:ind w:left="720"/>
        <w:rPr>
          <w:noProof/>
        </w:rPr>
      </w:pPr>
      <w:r>
        <w:rPr>
          <w:rFonts w:eastAsia="Times New Roman"/>
          <w:noProof/>
          <w:color w:val="000000" w:themeColor="text1"/>
          <w:szCs w:val="24"/>
        </w:rPr>
        <w:t>(c)</w:t>
      </w:r>
      <w:r>
        <w:rPr>
          <w:rFonts w:eastAsia="Times New Roman"/>
          <w:noProof/>
          <w:color w:val="000000" w:themeColor="text1"/>
          <w:szCs w:val="24"/>
        </w:rPr>
        <w:tab/>
        <w:t xml:space="preserve">in the table </w:t>
      </w:r>
      <w:r w:rsidRPr="00F86091">
        <w:rPr>
          <w:rFonts w:eastAsia="Times New Roman"/>
          <w:noProof/>
          <w:color w:val="000000" w:themeColor="text1"/>
          <w:szCs w:val="24"/>
        </w:rPr>
        <w:t>the following rows are added</w:t>
      </w:r>
    </w:p>
    <w:p w14:paraId="15A4ECD1" w14:textId="77777777" w:rsidR="00A76D84" w:rsidRPr="00F86091" w:rsidRDefault="00A76D84" w:rsidP="00A76D84">
      <w:pPr>
        <w:spacing w:before="0" w:after="200" w:line="276" w:lineRule="auto"/>
        <w:ind w:left="720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‘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07"/>
        <w:gridCol w:w="637"/>
        <w:gridCol w:w="612"/>
        <w:gridCol w:w="865"/>
        <w:gridCol w:w="591"/>
        <w:gridCol w:w="489"/>
        <w:gridCol w:w="631"/>
        <w:gridCol w:w="449"/>
        <w:gridCol w:w="604"/>
        <w:gridCol w:w="1206"/>
        <w:gridCol w:w="1669"/>
      </w:tblGrid>
      <w:tr w:rsidR="00A76D84" w:rsidRPr="00F86091" w14:paraId="26FBAED0" w14:textId="77777777" w:rsidTr="00AB7487">
        <w:trPr>
          <w:trHeight w:val="285"/>
        </w:trPr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31DBF87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Name of agent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498152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EC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F31A8E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CAS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2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3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E856A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Limit values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610674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Notation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16CE7" w14:textId="77777777" w:rsidR="00A76D84" w:rsidRPr="00F86091" w:rsidRDefault="00A76D84" w:rsidP="00AB7487">
            <w:pPr>
              <w:spacing w:before="0" w:after="0"/>
              <w:ind w:right="104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Transitional measures</w:t>
            </w:r>
          </w:p>
        </w:tc>
      </w:tr>
      <w:tr w:rsidR="00A76D84" w:rsidRPr="00F86091" w14:paraId="068142C7" w14:textId="77777777" w:rsidTr="00AB7487">
        <w:trPr>
          <w:trHeight w:val="285"/>
        </w:trPr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E33B0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19D69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0A102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1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ED97BB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8 hours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297C9" w14:textId="77777777" w:rsidR="00A76D84" w:rsidRPr="00F86091" w:rsidRDefault="00A76D84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Short-term</w:t>
            </w:r>
            <w:r w:rsidRPr="00F86091"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4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5ABFF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43565" w14:textId="77777777" w:rsidR="00A76D84" w:rsidRPr="00F86091" w:rsidRDefault="00A76D84" w:rsidP="00AB7487">
            <w:pPr>
              <w:rPr>
                <w:noProof/>
              </w:rPr>
            </w:pPr>
          </w:p>
        </w:tc>
      </w:tr>
      <w:tr w:rsidR="00A76D84" w:rsidRPr="00F86091" w14:paraId="15F9F743" w14:textId="77777777" w:rsidTr="00AB7487">
        <w:trPr>
          <w:trHeight w:val="450"/>
        </w:trPr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B9307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43901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B9D73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8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94268E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 xml:space="preserve">3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5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98176F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6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C7F549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  <w:p w14:paraId="4519C404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7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81A6C5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E79AD2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</w:t>
            </w:r>
          </w:p>
        </w:tc>
        <w:tc>
          <w:tcPr>
            <w:tcW w:w="6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B6088" w14:textId="77777777" w:rsidR="00A76D84" w:rsidRPr="00F86091" w:rsidRDefault="00A76D84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2E6CC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CEC17" w14:textId="77777777" w:rsidR="00A76D84" w:rsidRPr="00F86091" w:rsidRDefault="00A76D84" w:rsidP="00AB7487">
            <w:pPr>
              <w:rPr>
                <w:noProof/>
              </w:rPr>
            </w:pPr>
          </w:p>
        </w:tc>
      </w:tr>
      <w:tr w:rsidR="00A76D84" w:rsidRPr="00F86091" w14:paraId="06A38C97" w14:textId="77777777" w:rsidTr="00AB7487">
        <w:trPr>
          <w:trHeight w:val="960"/>
        </w:trPr>
        <w:tc>
          <w:tcPr>
            <w:tcW w:w="130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18F9511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bookmarkStart w:id="3" w:name="_Hlk200038983"/>
            <w:r w:rsidRPr="00F86091">
              <w:rPr>
                <w:rFonts w:eastAsia="Times New Roman"/>
                <w:noProof/>
                <w:sz w:val="22"/>
              </w:rPr>
              <w:t>Cobalt and inorganic cobalt compounds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C566AD7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A4DA6C0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002FC47" w14:textId="77777777" w:rsidR="00A76D84" w:rsidRPr="00F86091" w:rsidRDefault="00A76D84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>0,01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11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  <w:p w14:paraId="2D94F22E" w14:textId="77777777" w:rsidR="00A76D84" w:rsidRPr="00F86091" w:rsidRDefault="00A76D84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</w:rPr>
              <w:t>0,0025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9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61BA601" w14:textId="77777777" w:rsidR="00A76D84" w:rsidRPr="00F86091" w:rsidRDefault="00A76D84" w:rsidP="00AB7487">
            <w:pPr>
              <w:rPr>
                <w:noProof/>
              </w:rPr>
            </w:pP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DBC3F4B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9D4EC4D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87A0775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C7D0A44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53FFA8B8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dermal and respiratory sensitisation(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13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11F888C4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Limit value of </w:t>
            </w:r>
            <w:r w:rsidRPr="00651A0E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0,0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Cs w:val="24"/>
              </w:rPr>
              <w:t>2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(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  <w:vertAlign w:val="superscript"/>
              </w:rPr>
              <w:t>11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)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Cs w:val="24"/>
              </w:rPr>
              <w:t xml:space="preserve"> and 0,0042(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  <w:vertAlign w:val="superscript"/>
              </w:rPr>
              <w:t>9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)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Cs w:val="24"/>
              </w:rPr>
              <w:t xml:space="preserve"> 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until </w:t>
            </w:r>
            <w:r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…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[OJ: six years after the date of entry into force of the amending Directive]</w:t>
            </w:r>
          </w:p>
        </w:tc>
      </w:tr>
      <w:bookmarkEnd w:id="3"/>
      <w:tr w:rsidR="00A76D84" w:rsidRPr="00F86091" w14:paraId="6BA5B3FC" w14:textId="77777777" w:rsidTr="00AB7487">
        <w:trPr>
          <w:trHeight w:val="960"/>
        </w:trPr>
        <w:tc>
          <w:tcPr>
            <w:tcW w:w="13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B5537F9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1,4-dioxane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1F51315D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8DF7177" w14:textId="77777777" w:rsidR="00A76D84" w:rsidRPr="00F86091" w:rsidRDefault="00A76D84" w:rsidP="00AB7487">
            <w:pPr>
              <w:spacing w:before="0" w:after="0"/>
              <w:ind w:right="195"/>
              <w:rPr>
                <w:noProof/>
              </w:rPr>
            </w:pPr>
          </w:p>
        </w:tc>
        <w:tc>
          <w:tcPr>
            <w:tcW w:w="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7F1089F0" w14:textId="77777777" w:rsidR="00A76D84" w:rsidRPr="00F86091" w:rsidRDefault="00A76D84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>7,3</w:t>
            </w:r>
          </w:p>
        </w:tc>
        <w:tc>
          <w:tcPr>
            <w:tcW w:w="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888C6BB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 xml:space="preserve">2 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723CC83A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0DA402D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 xml:space="preserve">73 </w:t>
            </w:r>
          </w:p>
        </w:tc>
        <w:tc>
          <w:tcPr>
            <w:tcW w:w="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FDCAF6C" w14:textId="77777777" w:rsidR="00A76D84" w:rsidRPr="00F86091" w:rsidRDefault="00A76D84" w:rsidP="00AB7487">
            <w:pPr>
              <w:spacing w:before="0" w:after="0"/>
              <w:rPr>
                <w:rFonts w:eastAsia="Times New Roman"/>
                <w:noProof/>
                <w:sz w:val="22"/>
              </w:rPr>
            </w:pPr>
            <w:r w:rsidRPr="00F86091">
              <w:rPr>
                <w:rFonts w:eastAsia="Times New Roman"/>
                <w:noProof/>
              </w:rPr>
              <w:t xml:space="preserve">20 </w:t>
            </w:r>
          </w:p>
        </w:tc>
        <w:tc>
          <w:tcPr>
            <w:tcW w:w="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042C178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1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1C04B631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Skin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10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  <w:p w14:paraId="7BCE45F9" w14:textId="77777777" w:rsidR="00A76D84" w:rsidRPr="00F86091" w:rsidRDefault="00A76D84" w:rsidP="00AB7487">
            <w:pPr>
              <w:spacing w:before="0" w:after="160" w:line="257" w:lineRule="auto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35F5752" w14:textId="77777777" w:rsidR="00A76D84" w:rsidRPr="00F86091" w:rsidRDefault="00A76D84" w:rsidP="00AB7487">
            <w:pPr>
              <w:spacing w:before="0" w:after="0"/>
              <w:rPr>
                <w:noProof/>
              </w:rPr>
            </w:pPr>
          </w:p>
        </w:tc>
      </w:tr>
    </w:tbl>
    <w:p w14:paraId="4EF6CA86" w14:textId="77777777" w:rsidR="00A76D84" w:rsidRPr="00D57090" w:rsidRDefault="00A76D84" w:rsidP="00A76D84">
      <w:pPr>
        <w:spacing w:before="0" w:after="200" w:line="276" w:lineRule="auto"/>
        <w:ind w:left="720"/>
        <w:rPr>
          <w:noProof/>
        </w:rPr>
      </w:pPr>
      <w:r w:rsidRPr="003D6EE6">
        <w:rPr>
          <w:rFonts w:eastAsia="Times New Roman"/>
          <w:noProof/>
          <w:color w:val="000000" w:themeColor="text1"/>
          <w:szCs w:val="24"/>
        </w:rPr>
        <w:t xml:space="preserve">’; </w:t>
      </w:r>
    </w:p>
    <w:p w14:paraId="6CC459CF" w14:textId="77777777" w:rsidR="00A76D84" w:rsidRPr="00AC7E92" w:rsidRDefault="00A76D84" w:rsidP="00A76D84">
      <w:pPr>
        <w:rPr>
          <w:noProof/>
        </w:rPr>
      </w:pPr>
      <w:r>
        <w:rPr>
          <w:rFonts w:eastAsia="Times New Roman"/>
          <w:noProof/>
          <w:szCs w:val="24"/>
        </w:rPr>
        <w:tab/>
        <w:t xml:space="preserve">(d) in the footnotes after the Table, the following footnote (*2) is added: </w:t>
      </w:r>
      <w:r w:rsidRPr="449BDA64">
        <w:rPr>
          <w:rFonts w:eastAsia="Times New Roman"/>
          <w:noProof/>
          <w:szCs w:val="24"/>
        </w:rPr>
        <w:t xml:space="preserve"> </w:t>
      </w:r>
    </w:p>
    <w:p w14:paraId="43B63FF4" w14:textId="77777777" w:rsidR="00A76D84" w:rsidRPr="00A8545C" w:rsidRDefault="00A76D84" w:rsidP="00A76D84">
      <w:pPr>
        <w:ind w:firstLine="720"/>
        <w:rPr>
          <w:noProof/>
        </w:rPr>
      </w:pPr>
      <w:r>
        <w:rPr>
          <w:rFonts w:eastAsia="Times New Roman"/>
          <w:noProof/>
          <w:color w:val="000000" w:themeColor="text1"/>
          <w:szCs w:val="24"/>
        </w:rPr>
        <w:t>‘</w:t>
      </w:r>
      <w:r w:rsidRPr="00CA3375">
        <w:rPr>
          <w:rFonts w:eastAsia="Times New Roman"/>
          <w:noProof/>
          <w:color w:val="000000" w:themeColor="text1"/>
          <w:szCs w:val="24"/>
        </w:rPr>
        <w:t xml:space="preserve">(*2) </w:t>
      </w:r>
      <w:r w:rsidRPr="00A8545C">
        <w:rPr>
          <w:noProof/>
        </w:rPr>
        <w:tab/>
      </w:r>
      <w:r w:rsidRPr="00CA3375">
        <w:rPr>
          <w:rFonts w:eastAsia="Times New Roman"/>
          <w:noProof/>
          <w:color w:val="000000" w:themeColor="text1"/>
          <w:szCs w:val="24"/>
        </w:rPr>
        <w:t>Measured as benzo[a]pyrene.</w:t>
      </w:r>
      <w:r>
        <w:rPr>
          <w:rFonts w:eastAsia="Times New Roman"/>
          <w:noProof/>
          <w:color w:val="000000" w:themeColor="text1"/>
          <w:szCs w:val="24"/>
        </w:rPr>
        <w:t>’;</w:t>
      </w:r>
    </w:p>
    <w:p w14:paraId="41C040E4" w14:textId="77777777" w:rsidR="00A76D84" w:rsidRPr="00F86091" w:rsidRDefault="00A76D84" w:rsidP="00A76D84">
      <w:pPr>
        <w:rPr>
          <w:noProof/>
        </w:rPr>
      </w:pPr>
    </w:p>
    <w:p w14:paraId="07864F16" w14:textId="77777777" w:rsidR="00A76D84" w:rsidRPr="00F86091" w:rsidRDefault="00A76D84" w:rsidP="00A76D84">
      <w:pPr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1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szCs w:val="24"/>
        </w:rPr>
        <w:t>EC No, i.e. Einecs, ELINCS or NLP, is the official number of the substance within the European Union, as defined in Section 1.1.1.2 in Annex VI, Part 1, to Regulation (EC) No</w:t>
      </w:r>
      <w:r>
        <w:rPr>
          <w:rFonts w:eastAsia="Times New Roman"/>
          <w:noProof/>
          <w:szCs w:val="24"/>
        </w:rPr>
        <w:t> </w:t>
      </w:r>
      <w:r w:rsidRPr="00F86091">
        <w:rPr>
          <w:rFonts w:eastAsia="Times New Roman"/>
          <w:noProof/>
          <w:szCs w:val="24"/>
        </w:rPr>
        <w:t>1272/2008.</w:t>
      </w:r>
    </w:p>
    <w:p w14:paraId="4694B3D1" w14:textId="77777777" w:rsidR="00A76D84" w:rsidRPr="00F86091" w:rsidRDefault="00A76D84" w:rsidP="00A76D84">
      <w:pPr>
        <w:rPr>
          <w:noProof/>
        </w:rPr>
      </w:pPr>
      <w:r w:rsidRPr="00F86091">
        <w:rPr>
          <w:rFonts w:eastAsia="Times New Roman"/>
          <w:noProof/>
          <w:szCs w:val="24"/>
        </w:rPr>
        <w:t>(</w:t>
      </w:r>
      <w:r w:rsidRPr="00F86091">
        <w:rPr>
          <w:rFonts w:eastAsia="Times New Roman"/>
          <w:noProof/>
          <w:szCs w:val="24"/>
          <w:vertAlign w:val="superscript"/>
        </w:rPr>
        <w:t>2</w:t>
      </w:r>
      <w:r w:rsidRPr="00F86091">
        <w:rPr>
          <w:rFonts w:eastAsia="Times New Roman"/>
          <w:noProof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szCs w:val="24"/>
        </w:rPr>
        <w:t>CAS No: Chemical Abstract Service Registry Number.</w:t>
      </w:r>
    </w:p>
    <w:p w14:paraId="51C334F0" w14:textId="77777777" w:rsidR="00A76D84" w:rsidRPr="00F86091" w:rsidRDefault="00A76D84" w:rsidP="00A76D84">
      <w:pPr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3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 xml:space="preserve">Measured or calculated </w:t>
      </w:r>
      <w:r>
        <w:rPr>
          <w:rFonts w:eastAsia="Times New Roman"/>
          <w:noProof/>
          <w:color w:val="000000" w:themeColor="text1"/>
          <w:szCs w:val="24"/>
        </w:rPr>
        <w:t>for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a reference period of eight hours time-weighted average (TWA).</w:t>
      </w:r>
    </w:p>
    <w:p w14:paraId="48D2B720" w14:textId="77777777" w:rsidR="00A76D84" w:rsidRPr="00F86091" w:rsidRDefault="00A76D84" w:rsidP="00A76D84">
      <w:pPr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4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 xml:space="preserve">Short-term exposure limit (STEL). A limit value above which exposure should not occur and which is </w:t>
      </w:r>
      <w:r>
        <w:rPr>
          <w:rFonts w:eastAsia="Times New Roman"/>
          <w:noProof/>
          <w:color w:val="000000" w:themeColor="text1"/>
          <w:szCs w:val="24"/>
        </w:rPr>
        <w:t>for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a 15-minute period unless otherwise specified.</w:t>
      </w:r>
    </w:p>
    <w:p w14:paraId="56C81B98" w14:textId="77777777" w:rsidR="00A76D84" w:rsidRPr="00F86091" w:rsidRDefault="00A76D84" w:rsidP="00A76D84">
      <w:pPr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5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mg/m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3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= milligrams per cubic metre of air at 20</w:t>
      </w:r>
      <w:r>
        <w:rPr>
          <w:rFonts w:eastAsia="Times New Roman"/>
          <w:noProof/>
          <w:color w:val="000000" w:themeColor="text1"/>
          <w:szCs w:val="24"/>
        </w:rPr>
        <w:t> </w:t>
      </w:r>
      <w:r w:rsidRPr="00F86091">
        <w:rPr>
          <w:rFonts w:eastAsia="Times New Roman"/>
          <w:noProof/>
          <w:color w:val="000000" w:themeColor="text1"/>
          <w:szCs w:val="24"/>
        </w:rPr>
        <w:t>°C and 101,3</w:t>
      </w:r>
      <w:r>
        <w:rPr>
          <w:rFonts w:eastAsia="Times New Roman"/>
          <w:noProof/>
          <w:color w:val="000000" w:themeColor="text1"/>
          <w:szCs w:val="24"/>
        </w:rPr>
        <w:t> kPa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(760</w:t>
      </w:r>
      <w:r>
        <w:rPr>
          <w:rFonts w:eastAsia="Times New Roman"/>
          <w:noProof/>
          <w:color w:val="000000" w:themeColor="text1"/>
          <w:szCs w:val="24"/>
        </w:rPr>
        <w:t> </w:t>
      </w:r>
      <w:r w:rsidRPr="00F86091">
        <w:rPr>
          <w:rFonts w:eastAsia="Times New Roman"/>
          <w:noProof/>
          <w:color w:val="000000" w:themeColor="text1"/>
          <w:szCs w:val="24"/>
        </w:rPr>
        <w:t>mm mercury pressure).</w:t>
      </w:r>
    </w:p>
    <w:p w14:paraId="55D76F4F" w14:textId="77777777" w:rsidR="00A76D84" w:rsidRPr="00F86091" w:rsidRDefault="00A76D84" w:rsidP="00A76D84">
      <w:pPr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6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ppm = parts per million by volume in air (ml/m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3</w:t>
      </w:r>
      <w:r w:rsidRPr="00F86091">
        <w:rPr>
          <w:rFonts w:eastAsia="Times New Roman"/>
          <w:noProof/>
          <w:color w:val="000000" w:themeColor="text1"/>
          <w:szCs w:val="24"/>
        </w:rPr>
        <w:t>).</w:t>
      </w:r>
    </w:p>
    <w:p w14:paraId="44D6026A" w14:textId="77777777" w:rsidR="00A76D84" w:rsidRPr="00651A0E" w:rsidRDefault="00A76D84" w:rsidP="00A76D84">
      <w:pPr>
        <w:rPr>
          <w:noProof/>
          <w:lang w:val="fr-BE"/>
        </w:rPr>
      </w:pPr>
      <w:r w:rsidRPr="00651A0E">
        <w:rPr>
          <w:rFonts w:eastAsia="Times New Roman"/>
          <w:noProof/>
          <w:color w:val="000000" w:themeColor="text1"/>
          <w:lang w:val="fr-BE"/>
        </w:rPr>
        <w:t>(</w:t>
      </w:r>
      <w:r w:rsidRPr="00651A0E">
        <w:rPr>
          <w:rFonts w:eastAsia="Times New Roman"/>
          <w:noProof/>
          <w:color w:val="000000" w:themeColor="text1"/>
          <w:vertAlign w:val="superscript"/>
          <w:lang w:val="fr-BE"/>
        </w:rPr>
        <w:t>7</w:t>
      </w:r>
      <w:r w:rsidRPr="00651A0E">
        <w:rPr>
          <w:rFonts w:eastAsia="Times New Roman"/>
          <w:noProof/>
          <w:color w:val="000000" w:themeColor="text1"/>
          <w:lang w:val="fr-BE"/>
        </w:rPr>
        <w:t>)</w:t>
      </w:r>
      <w:r w:rsidRPr="00651A0E">
        <w:rPr>
          <w:noProof/>
          <w:lang w:val="fr-BE"/>
        </w:rPr>
        <w:tab/>
      </w:r>
      <w:r w:rsidRPr="00651A0E">
        <w:rPr>
          <w:rFonts w:eastAsia="Times New Roman"/>
          <w:noProof/>
          <w:color w:val="000000" w:themeColor="text1"/>
          <w:lang w:val="fr-BE"/>
        </w:rPr>
        <w:t>f/ml = fibres per millilitre.</w:t>
      </w:r>
    </w:p>
    <w:p w14:paraId="612778BE" w14:textId="77777777" w:rsidR="00A76D84" w:rsidRPr="003D6EE6" w:rsidRDefault="00A76D84" w:rsidP="00A76D84">
      <w:pPr>
        <w:rPr>
          <w:noProof/>
          <w:lang w:val="en-IE"/>
        </w:rPr>
      </w:pPr>
      <w:bookmarkStart w:id="4" w:name="_Hlk200038994"/>
      <w:r w:rsidRPr="003D6EE6">
        <w:rPr>
          <w:rFonts w:eastAsia="Times New Roman"/>
          <w:noProof/>
          <w:color w:val="000000" w:themeColor="text1"/>
          <w:szCs w:val="24"/>
          <w:lang w:val="en-IE"/>
        </w:rPr>
        <w:t>(</w:t>
      </w:r>
      <w:r w:rsidRPr="003D6EE6">
        <w:rPr>
          <w:rFonts w:eastAsia="Times New Roman"/>
          <w:noProof/>
          <w:color w:val="000000" w:themeColor="text1"/>
          <w:szCs w:val="24"/>
          <w:vertAlign w:val="superscript"/>
          <w:lang w:val="en-IE"/>
        </w:rPr>
        <w:t>9</w:t>
      </w:r>
      <w:r w:rsidRPr="003D6EE6">
        <w:rPr>
          <w:rFonts w:eastAsia="Times New Roman"/>
          <w:noProof/>
          <w:color w:val="000000" w:themeColor="text1"/>
          <w:szCs w:val="24"/>
          <w:lang w:val="en-IE"/>
        </w:rPr>
        <w:t>)</w:t>
      </w:r>
      <w:r w:rsidRPr="003D6EE6">
        <w:rPr>
          <w:noProof/>
          <w:lang w:val="en-IE"/>
        </w:rPr>
        <w:tab/>
      </w:r>
      <w:r w:rsidRPr="003D6EE6">
        <w:rPr>
          <w:rFonts w:eastAsia="Times New Roman"/>
          <w:noProof/>
          <w:color w:val="000000" w:themeColor="text1"/>
          <w:szCs w:val="24"/>
          <w:lang w:val="en-IE"/>
        </w:rPr>
        <w:t>Respirable fraction.</w:t>
      </w:r>
    </w:p>
    <w:p w14:paraId="425001DE" w14:textId="77777777" w:rsidR="00A76D84" w:rsidRPr="00F86091" w:rsidRDefault="00A76D84" w:rsidP="00A76D84">
      <w:pPr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10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Substantial contribution to the total body burden via dermal exposure possible.</w:t>
      </w:r>
    </w:p>
    <w:p w14:paraId="12646A42" w14:textId="77777777" w:rsidR="00A76D84" w:rsidRPr="00F86091" w:rsidRDefault="00A76D84" w:rsidP="00A76D84">
      <w:pPr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11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Inhalable fraction</w:t>
      </w:r>
      <w:r w:rsidRPr="00F86091">
        <w:rPr>
          <w:rFonts w:eastAsia="Times New Roman"/>
          <w:i/>
          <w:iCs/>
          <w:noProof/>
          <w:color w:val="000000" w:themeColor="text1"/>
          <w:szCs w:val="24"/>
        </w:rPr>
        <w:t>.</w:t>
      </w:r>
    </w:p>
    <w:bookmarkEnd w:id="4"/>
    <w:p w14:paraId="314D19D4" w14:textId="77777777" w:rsidR="00A76D84" w:rsidRPr="00F86091" w:rsidRDefault="00A76D84" w:rsidP="00A76D84">
      <w:pPr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13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The substance can cause sensitisation of the skin and of the respiratory tract.</w:t>
      </w:r>
    </w:p>
    <w:p w14:paraId="60143E67" w14:textId="77777777" w:rsidR="00A76D84" w:rsidRPr="00F86091" w:rsidRDefault="00A76D84" w:rsidP="00A76D84">
      <w:pPr>
        <w:spacing w:before="40" w:after="40" w:line="360" w:lineRule="auto"/>
        <w:ind w:left="1418" w:hanging="567"/>
        <w:rPr>
          <w:noProof/>
        </w:rPr>
      </w:pPr>
    </w:p>
    <w:p w14:paraId="03AAEC09" w14:textId="79FAA99B" w:rsidR="00A76D84" w:rsidRPr="00F86091" w:rsidRDefault="00A76D84" w:rsidP="00A76D84">
      <w:pPr>
        <w:spacing w:before="40" w:after="40" w:line="360" w:lineRule="auto"/>
        <w:ind w:left="851" w:hanging="851"/>
        <w:rPr>
          <w:noProof/>
        </w:rPr>
      </w:pPr>
      <w:r w:rsidRPr="00F86091">
        <w:rPr>
          <w:rFonts w:eastAsia="Times New Roman"/>
          <w:noProof/>
          <w:szCs w:val="24"/>
        </w:rPr>
        <w:t>(</w:t>
      </w:r>
      <w:r>
        <w:rPr>
          <w:rFonts w:eastAsia="Times New Roman"/>
          <w:noProof/>
          <w:szCs w:val="24"/>
        </w:rPr>
        <w:t>3</w:t>
      </w:r>
      <w:r w:rsidRPr="00F86091">
        <w:rPr>
          <w:rFonts w:eastAsia="Times New Roman"/>
          <w:noProof/>
          <w:szCs w:val="24"/>
        </w:rPr>
        <w:t>)</w:t>
      </w:r>
      <w:r w:rsidR="00133B2D">
        <w:rPr>
          <w:rFonts w:eastAsia="Times New Roman"/>
          <w:noProof/>
          <w:szCs w:val="24"/>
        </w:rPr>
        <w:tab/>
      </w:r>
      <w:r w:rsidRPr="00F86091">
        <w:rPr>
          <w:rFonts w:eastAsia="Times New Roman"/>
          <w:noProof/>
          <w:szCs w:val="24"/>
        </w:rPr>
        <w:t>in Annex IIIa, the following point is added:</w:t>
      </w:r>
    </w:p>
    <w:p w14:paraId="4F2DB6FD" w14:textId="77777777" w:rsidR="00A76D84" w:rsidRPr="00F86091" w:rsidRDefault="00A76D84" w:rsidP="00A76D84">
      <w:pPr>
        <w:spacing w:before="40" w:after="40" w:line="360" w:lineRule="auto"/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‘</w:t>
      </w:r>
      <w:r w:rsidRPr="00F86091">
        <w:rPr>
          <w:rFonts w:eastAsia="Times New Roman"/>
          <w:noProof/>
          <w:szCs w:val="24"/>
        </w:rPr>
        <w:t>1,4-dioxane</w:t>
      </w:r>
    </w:p>
    <w:p w14:paraId="27D1D7B6" w14:textId="77777777" w:rsidR="00A76D84" w:rsidRPr="00F86091" w:rsidRDefault="00A76D84" w:rsidP="00A76D84">
      <w:pPr>
        <w:spacing w:before="40" w:after="40" w:line="360" w:lineRule="auto"/>
        <w:ind w:left="851" w:hanging="851"/>
        <w:rPr>
          <w:noProof/>
        </w:rPr>
      </w:pPr>
      <w:r w:rsidRPr="00F86091">
        <w:rPr>
          <w:rFonts w:eastAsia="Times New Roman"/>
          <w:noProof/>
          <w:szCs w:val="24"/>
        </w:rPr>
        <w:t>2. The binding biological limit value is 45</w:t>
      </w:r>
      <w:r>
        <w:rPr>
          <w:rFonts w:eastAsia="Times New Roman"/>
          <w:noProof/>
          <w:szCs w:val="24"/>
        </w:rPr>
        <w:t> </w:t>
      </w:r>
      <w:r w:rsidRPr="00F86091">
        <w:rPr>
          <w:rFonts w:eastAsia="Times New Roman"/>
          <w:noProof/>
          <w:szCs w:val="24"/>
        </w:rPr>
        <w:t>mg HEAA</w:t>
      </w:r>
      <w:r>
        <w:rPr>
          <w:rFonts w:eastAsia="Times New Roman"/>
          <w:noProof/>
          <w:szCs w:val="24"/>
          <w:lang w:val="en-US"/>
        </w:rPr>
        <w:t>*</w:t>
      </w:r>
      <w:r w:rsidRPr="00F86091">
        <w:rPr>
          <w:rFonts w:eastAsia="Times New Roman"/>
          <w:noProof/>
          <w:szCs w:val="24"/>
        </w:rPr>
        <w:t>in urine/g creatinine.</w:t>
      </w:r>
      <w:r w:rsidRPr="00F86091">
        <w:rPr>
          <w:rFonts w:eastAsia="Times New Roman"/>
          <w:noProof/>
          <w:color w:val="000000" w:themeColor="text1"/>
          <w:szCs w:val="24"/>
        </w:rPr>
        <w:t>’</w:t>
      </w:r>
    </w:p>
    <w:p w14:paraId="384D25C1" w14:textId="77777777" w:rsidR="00A76D84" w:rsidRDefault="00A76D84" w:rsidP="00A76D84">
      <w:pPr>
        <w:spacing w:before="40" w:after="40" w:line="360" w:lineRule="auto"/>
        <w:ind w:left="851" w:hanging="131"/>
        <w:rPr>
          <w:rFonts w:eastAsia="Times New Roman"/>
          <w:noProof/>
          <w:szCs w:val="24"/>
          <w:lang w:val="en-US"/>
        </w:rPr>
      </w:pPr>
      <w:r>
        <w:rPr>
          <w:rFonts w:eastAsia="Times New Roman"/>
          <w:noProof/>
          <w:szCs w:val="24"/>
          <w:lang w:val="en-US"/>
        </w:rPr>
        <w:t>________________</w:t>
      </w:r>
    </w:p>
    <w:p w14:paraId="02AE1F47" w14:textId="77777777" w:rsidR="00A76D84" w:rsidRPr="00AC7E92" w:rsidRDefault="00A76D84" w:rsidP="00A76D84">
      <w:pPr>
        <w:spacing w:before="40" w:after="40" w:line="360" w:lineRule="auto"/>
        <w:ind w:left="851" w:hanging="131"/>
        <w:rPr>
          <w:noProof/>
        </w:rPr>
      </w:pPr>
      <w:r w:rsidRPr="00CA3375">
        <w:rPr>
          <w:rFonts w:eastAsia="Times New Roman"/>
          <w:noProof/>
          <w:color w:val="000000" w:themeColor="text1"/>
          <w:sz w:val="20"/>
          <w:szCs w:val="20"/>
        </w:rPr>
        <w:t>*(2-Hydroxyethoxy)acetic acid</w:t>
      </w:r>
      <w:r w:rsidRPr="449BDA64">
        <w:rPr>
          <w:rFonts w:eastAsia="Times New Roman"/>
          <w:noProof/>
          <w:color w:val="000000" w:themeColor="text1"/>
          <w:szCs w:val="24"/>
        </w:rPr>
        <w:t>’</w:t>
      </w:r>
      <w:r>
        <w:rPr>
          <w:rFonts w:eastAsia="Times New Roman"/>
          <w:noProof/>
          <w:color w:val="000000" w:themeColor="text1"/>
          <w:szCs w:val="24"/>
        </w:rPr>
        <w:t>.</w:t>
      </w:r>
    </w:p>
    <w:p w14:paraId="6CF2A92D" w14:textId="77777777" w:rsidR="00A76D84" w:rsidRPr="00F86091" w:rsidRDefault="00A76D84" w:rsidP="00A76D84">
      <w:pPr>
        <w:spacing w:before="0" w:after="0"/>
        <w:rPr>
          <w:noProof/>
        </w:rPr>
      </w:pPr>
    </w:p>
    <w:sectPr w:rsidR="00A76D84" w:rsidRPr="00F86091" w:rsidSect="00183352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6514C" w14:textId="77777777" w:rsidR="00A76D84" w:rsidRDefault="00A76D84" w:rsidP="00A76D84">
      <w:pPr>
        <w:spacing w:before="0" w:after="0"/>
      </w:pPr>
      <w:r>
        <w:separator/>
      </w:r>
    </w:p>
  </w:endnote>
  <w:endnote w:type="continuationSeparator" w:id="0">
    <w:p w14:paraId="0233C404" w14:textId="77777777" w:rsidR="00A76D84" w:rsidRDefault="00A76D84" w:rsidP="00A76D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2C14D" w14:textId="7EF4CF90" w:rsidR="00183352" w:rsidRPr="00183352" w:rsidRDefault="00183352" w:rsidP="00183352">
    <w:pPr>
      <w:pStyle w:val="Footer"/>
      <w:rPr>
        <w:rFonts w:ascii="Arial" w:hAnsi="Arial" w:cs="Arial"/>
        <w:b/>
        <w:sz w:val="48"/>
      </w:rPr>
    </w:pPr>
    <w:r w:rsidRPr="00183352">
      <w:rPr>
        <w:rFonts w:ascii="Arial" w:hAnsi="Arial" w:cs="Arial"/>
        <w:b/>
        <w:sz w:val="48"/>
      </w:rPr>
      <w:t>EN</w:t>
    </w:r>
    <w:r w:rsidRPr="00183352">
      <w:rPr>
        <w:rFonts w:ascii="Arial" w:hAnsi="Arial" w:cs="Arial"/>
        <w:b/>
        <w:sz w:val="48"/>
      </w:rPr>
      <w:tab/>
    </w:r>
    <w:r w:rsidRPr="00183352">
      <w:rPr>
        <w:rFonts w:ascii="Arial" w:hAnsi="Arial" w:cs="Arial"/>
        <w:b/>
        <w:sz w:val="48"/>
      </w:rPr>
      <w:tab/>
    </w:r>
    <w:r w:rsidRPr="00183352">
      <w:tab/>
    </w:r>
    <w:r w:rsidRPr="00183352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7318" w14:textId="05F09E20" w:rsidR="00183352" w:rsidRPr="00183352" w:rsidRDefault="00183352" w:rsidP="00183352">
    <w:pPr>
      <w:pStyle w:val="Footer"/>
      <w:rPr>
        <w:rFonts w:ascii="Arial" w:hAnsi="Arial" w:cs="Arial"/>
        <w:b/>
        <w:sz w:val="48"/>
      </w:rPr>
    </w:pPr>
    <w:r w:rsidRPr="00183352">
      <w:rPr>
        <w:rFonts w:ascii="Arial" w:hAnsi="Arial" w:cs="Arial"/>
        <w:b/>
        <w:sz w:val="48"/>
      </w:rPr>
      <w:t>EN</w:t>
    </w:r>
    <w:r w:rsidRPr="00183352">
      <w:rPr>
        <w:rFonts w:ascii="Arial" w:hAnsi="Arial" w:cs="Arial"/>
        <w:b/>
        <w:sz w:val="48"/>
      </w:rPr>
      <w:tab/>
    </w:r>
    <w:r w:rsidRPr="00183352">
      <w:rPr>
        <w:rFonts w:ascii="Arial" w:hAnsi="Arial" w:cs="Arial"/>
        <w:b/>
        <w:sz w:val="48"/>
      </w:rPr>
      <w:tab/>
    </w:r>
    <w:r w:rsidRPr="00183352">
      <w:tab/>
    </w:r>
    <w:r w:rsidRPr="00183352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6AFE" w14:textId="77777777" w:rsidR="00183352" w:rsidRPr="00183352" w:rsidRDefault="00183352" w:rsidP="001833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27B3" w14:textId="77777777" w:rsidR="00183352" w:rsidRDefault="001833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7AFF" w14:textId="42F30D66" w:rsidR="00183352" w:rsidRPr="00183352" w:rsidRDefault="00183352" w:rsidP="00183352">
    <w:pPr>
      <w:pStyle w:val="Footer"/>
      <w:rPr>
        <w:rFonts w:ascii="Arial" w:hAnsi="Arial" w:cs="Arial"/>
        <w:b/>
        <w:sz w:val="48"/>
      </w:rPr>
    </w:pPr>
    <w:r w:rsidRPr="00183352">
      <w:rPr>
        <w:rFonts w:ascii="Arial" w:hAnsi="Arial" w:cs="Arial"/>
        <w:b/>
        <w:sz w:val="48"/>
      </w:rPr>
      <w:t>EN</w:t>
    </w:r>
    <w:r w:rsidRPr="0018335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183352">
      <w:tab/>
    </w:r>
    <w:r w:rsidRPr="00183352">
      <w:rPr>
        <w:rFonts w:ascii="Arial" w:hAnsi="Arial" w:cs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97E4" w14:textId="77777777" w:rsidR="00183352" w:rsidRDefault="00183352" w:rsidP="0018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318A" w14:textId="77777777" w:rsidR="00A76D84" w:rsidRDefault="00A76D84" w:rsidP="00A76D84">
      <w:pPr>
        <w:spacing w:before="0" w:after="0"/>
      </w:pPr>
      <w:r>
        <w:separator/>
      </w:r>
    </w:p>
  </w:footnote>
  <w:footnote w:type="continuationSeparator" w:id="0">
    <w:p w14:paraId="5E433132" w14:textId="77777777" w:rsidR="00A76D84" w:rsidRDefault="00A76D84" w:rsidP="00A76D84">
      <w:pPr>
        <w:spacing w:before="0" w:after="0"/>
      </w:pPr>
      <w:r>
        <w:continuationSeparator/>
      </w:r>
    </w:p>
  </w:footnote>
  <w:footnote w:id="1">
    <w:p w14:paraId="34512101" w14:textId="77777777" w:rsidR="00A76D84" w:rsidRPr="003D6EE6" w:rsidRDefault="00A76D84" w:rsidP="00A76D84">
      <w:pPr>
        <w:pStyle w:val="FootnoteText"/>
        <w:ind w:left="57" w:right="57" w:hanging="170"/>
        <w:rPr>
          <w:lang w:val="en-IE"/>
        </w:rPr>
      </w:pPr>
      <w:r w:rsidRPr="00804B58">
        <w:rPr>
          <w:rStyle w:val="FootnoteReference"/>
        </w:rPr>
        <w:footnoteRef/>
      </w:r>
      <w:r>
        <w:tab/>
      </w:r>
      <w:r w:rsidRPr="000D3702">
        <w:t>Exposure shall not exceed the limit value of a carcinogen, mutagen or a reprotoxic substance as set out in Annex III when those substances are released during the welding process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FAAB" w14:textId="77777777" w:rsidR="00183352" w:rsidRPr="00183352" w:rsidRDefault="00183352" w:rsidP="00183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9C22" w14:textId="77777777" w:rsidR="00183352" w:rsidRPr="00183352" w:rsidRDefault="00183352" w:rsidP="00183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2659E" w14:textId="77777777" w:rsidR="00183352" w:rsidRPr="00183352" w:rsidRDefault="00183352" w:rsidP="001833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8909E" w14:textId="77777777" w:rsidR="00183352" w:rsidRDefault="001833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9B41B" w14:textId="77777777" w:rsidR="00183352" w:rsidRDefault="00183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04CBD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D6E41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B924F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14AD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  <w:num w:numId="17">
    <w:abstractNumId w:val="6"/>
  </w:num>
  <w:num w:numId="18">
    <w:abstractNumId w:val="12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5-07-12 18:04:2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02AAA7D-8553-442B-8F67-8E96054DAA92"/>
    <w:docVar w:name="LW_COVERPAGE_TYPE" w:val="1"/>
    <w:docVar w:name="LW_CreatedUtc" w:val="2025-07-11T13:01:03.8478916Z"/>
    <w:docVar w:name="LW_CROSSREFERENCE" w:val="{SEC(2025) 217 final} - {SWD(2025) 191 final} - {SWD(2025) 192 final} - {SWD(2025) 193 final}"/>
    <w:docVar w:name="LW_DocType" w:val="ANNEX"/>
    <w:docVar w:name="LW_EMISSION" w:val="18.7.2025"/>
    <w:docVar w:name="LW_EMISSION_ISODATE" w:val="2025-07-1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Directive 2004/37/EC as regards the addition of substances and setting limit values in its Annexes I, III and IIIa_x000d__x000d__x000b__x000d__x000d__x000d__x000b_"/>
    <w:docVar w:name="LW_OBJETACTEPRINCIPAL.CP" w:val="amending Directive 2004/37/EC as regards the addition of substances and setting limit values in its Annexes I, III and IIIa_x000d__x000d__x000b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5) 418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DIRECTIVE OF THE EUROPEAN PARLIAMENT AND OF THE COUNCIL_x000b_"/>
    <w:docVar w:name="LW_TYPEACTEPRINCIPAL.CP" w:val="Proposal for a DIRECTIVE OF THE EUROPEAN PARLIAMENT AND OF THE COUNCIL_x000b_"/>
    <w:docVar w:name="LwApiVersions" w:val="LW4CoDe 1.24.5.0; LW 9.0, Build 20240221"/>
  </w:docVars>
  <w:rsids>
    <w:rsidRoot w:val="00A76D84"/>
    <w:rsid w:val="0011186E"/>
    <w:rsid w:val="00133B2D"/>
    <w:rsid w:val="00165C4F"/>
    <w:rsid w:val="00183352"/>
    <w:rsid w:val="001F343E"/>
    <w:rsid w:val="00207C81"/>
    <w:rsid w:val="00253AD9"/>
    <w:rsid w:val="0030341C"/>
    <w:rsid w:val="0036434D"/>
    <w:rsid w:val="003C0440"/>
    <w:rsid w:val="00492EB7"/>
    <w:rsid w:val="00626E37"/>
    <w:rsid w:val="0065691B"/>
    <w:rsid w:val="006A313A"/>
    <w:rsid w:val="006A6BCB"/>
    <w:rsid w:val="00701537"/>
    <w:rsid w:val="0072249B"/>
    <w:rsid w:val="008563F2"/>
    <w:rsid w:val="008D6398"/>
    <w:rsid w:val="00905D22"/>
    <w:rsid w:val="00913698"/>
    <w:rsid w:val="009F52BE"/>
    <w:rsid w:val="00A00DA8"/>
    <w:rsid w:val="00A6243B"/>
    <w:rsid w:val="00A71F6D"/>
    <w:rsid w:val="00A76D84"/>
    <w:rsid w:val="00AB0A55"/>
    <w:rsid w:val="00BA4F3C"/>
    <w:rsid w:val="00BB30BC"/>
    <w:rsid w:val="00C550E6"/>
    <w:rsid w:val="00C953CA"/>
    <w:rsid w:val="00D328C4"/>
    <w:rsid w:val="00D33986"/>
    <w:rsid w:val="00DE5917"/>
    <w:rsid w:val="00DF4809"/>
    <w:rsid w:val="00E33D9D"/>
    <w:rsid w:val="00E33F1F"/>
    <w:rsid w:val="00F30F43"/>
    <w:rsid w:val="00F44DC9"/>
    <w:rsid w:val="00F7024E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00BF9D"/>
  <w15:docId w15:val="{271352F9-02A2-4C87-BC8F-DD220A2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">
    <w:name w:val="Char Char Char1"/>
    <w:basedOn w:val="Normal"/>
    <w:link w:val="FootnoteReference"/>
    <w:uiPriority w:val="99"/>
    <w:rsid w:val="00A76D84"/>
    <w:pPr>
      <w:spacing w:before="0" w:after="160" w:line="240" w:lineRule="exact"/>
    </w:pPr>
    <w:rPr>
      <w:rFonts w:asciiTheme="minorHAnsi" w:hAnsiTheme="minorHAnsi" w:cstheme="minorBidi"/>
      <w:sz w:val="22"/>
      <w:vertAlign w:val="superscript"/>
      <w:lang w:val="en-US"/>
    </w:rPr>
  </w:style>
  <w:style w:type="paragraph" w:styleId="ListBullet">
    <w:name w:val="List Bullet"/>
    <w:basedOn w:val="Normal"/>
    <w:uiPriority w:val="99"/>
    <w:semiHidden/>
    <w:unhideWhenUsed/>
    <w:rsid w:val="00A00DA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0DA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0DA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0DA8"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83352"/>
    <w:rPr>
      <w:rFonts w:ascii="Times New Roman" w:hAnsi="Times New Roman" w:cs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83352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link w:val="CharCharChar1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833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183352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1833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5"/>
      </w:numPr>
    </w:pPr>
  </w:style>
  <w:style w:type="paragraph" w:customStyle="1" w:styleId="Tiret1">
    <w:name w:val="Tiret 1"/>
    <w:basedOn w:val="Point1"/>
    <w:pPr>
      <w:numPr>
        <w:numId w:val="6"/>
      </w:numPr>
    </w:pPr>
  </w:style>
  <w:style w:type="paragraph" w:customStyle="1" w:styleId="Tiret2">
    <w:name w:val="Tiret 2"/>
    <w:basedOn w:val="Point2"/>
    <w:pPr>
      <w:numPr>
        <w:numId w:val="7"/>
      </w:numPr>
    </w:pPr>
  </w:style>
  <w:style w:type="paragraph" w:customStyle="1" w:styleId="Tiret3">
    <w:name w:val="Tiret 3"/>
    <w:basedOn w:val="Point3"/>
    <w:pPr>
      <w:numPr>
        <w:numId w:val="8"/>
      </w:numPr>
    </w:pPr>
  </w:style>
  <w:style w:type="paragraph" w:customStyle="1" w:styleId="Tiret4">
    <w:name w:val="Tiret 4"/>
    <w:basedOn w:val="Point4"/>
    <w:pPr>
      <w:numPr>
        <w:numId w:val="9"/>
      </w:numPr>
    </w:pPr>
  </w:style>
  <w:style w:type="paragraph" w:customStyle="1" w:styleId="Tiret5">
    <w:name w:val="Tiret 5"/>
    <w:basedOn w:val="Point5"/>
    <w:pPr>
      <w:numPr>
        <w:numId w:val="1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3"/>
      </w:numPr>
    </w:pPr>
  </w:style>
  <w:style w:type="paragraph" w:customStyle="1" w:styleId="Point1number">
    <w:name w:val="Point 1 (number)"/>
    <w:basedOn w:val="Normal"/>
    <w:pPr>
      <w:numPr>
        <w:ilvl w:val="2"/>
        <w:numId w:val="13"/>
      </w:numPr>
    </w:pPr>
  </w:style>
  <w:style w:type="paragraph" w:customStyle="1" w:styleId="Point2number">
    <w:name w:val="Point 2 (number)"/>
    <w:basedOn w:val="Normal"/>
    <w:pPr>
      <w:numPr>
        <w:ilvl w:val="4"/>
        <w:numId w:val="13"/>
      </w:numPr>
    </w:pPr>
  </w:style>
  <w:style w:type="paragraph" w:customStyle="1" w:styleId="Point3number">
    <w:name w:val="Point 3 (number)"/>
    <w:basedOn w:val="Normal"/>
    <w:pPr>
      <w:numPr>
        <w:ilvl w:val="6"/>
        <w:numId w:val="13"/>
      </w:numPr>
    </w:pPr>
  </w:style>
  <w:style w:type="paragraph" w:customStyle="1" w:styleId="Point0letter">
    <w:name w:val="Point 0 (letter)"/>
    <w:basedOn w:val="Normal"/>
    <w:pPr>
      <w:numPr>
        <w:ilvl w:val="1"/>
        <w:numId w:val="13"/>
      </w:numPr>
    </w:pPr>
  </w:style>
  <w:style w:type="paragraph" w:customStyle="1" w:styleId="Point1letter">
    <w:name w:val="Point 1 (letter)"/>
    <w:basedOn w:val="Normal"/>
    <w:pPr>
      <w:numPr>
        <w:ilvl w:val="3"/>
        <w:numId w:val="13"/>
      </w:numPr>
    </w:pPr>
  </w:style>
  <w:style w:type="paragraph" w:customStyle="1" w:styleId="Point2letter">
    <w:name w:val="Point 2 (letter)"/>
    <w:basedOn w:val="Normal"/>
    <w:pPr>
      <w:numPr>
        <w:ilvl w:val="5"/>
        <w:numId w:val="13"/>
      </w:numPr>
    </w:pPr>
  </w:style>
  <w:style w:type="paragraph" w:customStyle="1" w:styleId="Point3letter">
    <w:name w:val="Point 3 (letter)"/>
    <w:basedOn w:val="Normal"/>
    <w:pPr>
      <w:numPr>
        <w:ilvl w:val="7"/>
        <w:numId w:val="13"/>
      </w:numPr>
    </w:pPr>
  </w:style>
  <w:style w:type="paragraph" w:customStyle="1" w:styleId="Point4letter">
    <w:name w:val="Point 4 (letter)"/>
    <w:basedOn w:val="Normal"/>
    <w:pPr>
      <w:numPr>
        <w:ilvl w:val="8"/>
        <w:numId w:val="13"/>
      </w:numPr>
    </w:pPr>
  </w:style>
  <w:style w:type="paragraph" w:customStyle="1" w:styleId="Bullet0">
    <w:name w:val="Bullet 0"/>
    <w:basedOn w:val="Normal"/>
    <w:pPr>
      <w:numPr>
        <w:numId w:val="14"/>
      </w:numPr>
    </w:pPr>
  </w:style>
  <w:style w:type="paragraph" w:customStyle="1" w:styleId="Bullet1">
    <w:name w:val="Bullet 1"/>
    <w:basedOn w:val="Normal"/>
    <w:pPr>
      <w:numPr>
        <w:numId w:val="15"/>
      </w:numPr>
    </w:pPr>
  </w:style>
  <w:style w:type="paragraph" w:customStyle="1" w:styleId="Bullet2">
    <w:name w:val="Bullet 2"/>
    <w:basedOn w:val="Normal"/>
    <w:pPr>
      <w:numPr>
        <w:numId w:val="16"/>
      </w:numPr>
    </w:pPr>
  </w:style>
  <w:style w:type="paragraph" w:customStyle="1" w:styleId="Bullet3">
    <w:name w:val="Bullet 3"/>
    <w:basedOn w:val="Normal"/>
    <w:pPr>
      <w:numPr>
        <w:numId w:val="17"/>
      </w:numPr>
    </w:pPr>
  </w:style>
  <w:style w:type="paragraph" w:customStyle="1" w:styleId="Bullet4">
    <w:name w:val="Bullet 4"/>
    <w:basedOn w:val="Normal"/>
    <w:pPr>
      <w:numPr>
        <w:numId w:val="1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1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83352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183352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18335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18335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19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16</cp:revision>
  <dcterms:created xsi:type="dcterms:W3CDTF">2025-07-11T13:01:00Z</dcterms:created>
  <dcterms:modified xsi:type="dcterms:W3CDTF">2025-07-12T16:04:00Z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9.1, Build 20240808</vt:lpwstr>
  </property>
  <property fmtid="{D5CDD505-2E9C-101B-9397-08002B2CF9AE}" pid="5" name="Created using">
    <vt:lpwstr>LW 9.1, Build 20240808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2025-07-11T13:11:09Z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9163e700-f63b-4647-91c9-005fabe9c2e4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DQCStatus">
    <vt:lpwstr>Green (DQC version 03)</vt:lpwstr>
  </property>
</Properties>
</file>