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EB9B" w14:textId="2C918392" w:rsidR="00704957" w:rsidRPr="00882905" w:rsidRDefault="006D6E16" w:rsidP="006D6E16">
      <w:pPr>
        <w:pStyle w:val="Pagedecouverture"/>
        <w:rPr>
          <w:noProof/>
        </w:rPr>
      </w:pPr>
      <w:r>
        <w:rPr>
          <w:noProof/>
        </w:rPr>
        <w:pict w14:anchorId="5F4F7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350317F-48EA-4481-994C-C514AD9AF747" style="width:455.25pt;height:704.25pt">
            <v:imagedata r:id="rId8" o:title=""/>
          </v:shape>
        </w:pict>
      </w:r>
    </w:p>
    <w:p w14:paraId="6FD24A9C" w14:textId="77777777" w:rsidR="00704957" w:rsidRPr="00882905" w:rsidRDefault="00704957" w:rsidP="00704957">
      <w:pPr>
        <w:rPr>
          <w:noProof/>
        </w:rPr>
        <w:sectPr w:rsidR="00704957" w:rsidRPr="00882905" w:rsidSect="006D6E16">
          <w:footerReference w:type="even" r:id="rId9"/>
          <w:footerReference w:type="default" r:id="rId10"/>
          <w:pgSz w:w="11907" w:h="16839"/>
          <w:pgMar w:top="1134" w:right="1417" w:bottom="1134" w:left="1417" w:header="709" w:footer="709" w:gutter="0"/>
          <w:pgNumType w:start="0"/>
          <w:cols w:space="720"/>
          <w:docGrid w:linePitch="360"/>
        </w:sectPr>
      </w:pPr>
    </w:p>
    <w:p w14:paraId="71853070" w14:textId="77777777" w:rsidR="00704957" w:rsidRPr="00882905" w:rsidRDefault="00704957" w:rsidP="00704957">
      <w:pPr>
        <w:pStyle w:val="Exposdesmotifstitre"/>
        <w:rPr>
          <w:noProof/>
        </w:rPr>
      </w:pPr>
      <w:bookmarkStart w:id="0" w:name="_GoBack"/>
      <w:bookmarkEnd w:id="0"/>
      <w:r w:rsidRPr="00882905">
        <w:rPr>
          <w:noProof/>
        </w:rPr>
        <w:lastRenderedPageBreak/>
        <w:t>UZASADNIENIE</w:t>
      </w:r>
    </w:p>
    <w:p w14:paraId="1DA03CF0" w14:textId="77777777" w:rsidR="00704957" w:rsidRPr="00882905" w:rsidRDefault="00704957" w:rsidP="00704957">
      <w:pPr>
        <w:pStyle w:val="ManualHeading1"/>
        <w:rPr>
          <w:rFonts w:eastAsia="Arial Unicode MS"/>
          <w:noProof/>
        </w:rPr>
      </w:pPr>
      <w:r w:rsidRPr="00882905">
        <w:rPr>
          <w:noProof/>
        </w:rPr>
        <w:t>1.</w:t>
      </w:r>
      <w:r w:rsidRPr="00882905">
        <w:rPr>
          <w:noProof/>
        </w:rPr>
        <w:tab/>
        <w:t>PRZYCZYNY I CELE WNIOSKU</w:t>
      </w:r>
    </w:p>
    <w:p w14:paraId="274E8D98" w14:textId="0DE2E6B8" w:rsidR="00704957" w:rsidRPr="00882905" w:rsidRDefault="00704957" w:rsidP="003F4954">
      <w:pPr>
        <w:rPr>
          <w:noProof/>
        </w:rPr>
      </w:pPr>
      <w:r w:rsidRPr="00882905">
        <w:rPr>
          <w:noProof/>
        </w:rPr>
        <w:t>Unia Europejska stoi</w:t>
      </w:r>
      <w:r w:rsidR="00AF2AE5" w:rsidRPr="00882905">
        <w:rPr>
          <w:noProof/>
        </w:rPr>
        <w:t xml:space="preserve"> w</w:t>
      </w:r>
      <w:r w:rsidR="00AF2AE5">
        <w:rPr>
          <w:noProof/>
        </w:rPr>
        <w:t> </w:t>
      </w:r>
      <w:r w:rsidR="00AF2AE5" w:rsidRPr="00882905">
        <w:rPr>
          <w:noProof/>
        </w:rPr>
        <w:t>obl</w:t>
      </w:r>
      <w:r w:rsidRPr="00882905">
        <w:rPr>
          <w:noProof/>
        </w:rPr>
        <w:t>iczu rosnących potrzeb</w:t>
      </w:r>
      <w:r w:rsidR="00AF2AE5" w:rsidRPr="00882905">
        <w:rPr>
          <w:noProof/>
        </w:rPr>
        <w:t xml:space="preserve"> w</w:t>
      </w:r>
      <w:r w:rsidR="00AF2AE5">
        <w:rPr>
          <w:noProof/>
        </w:rPr>
        <w:t> </w:t>
      </w:r>
      <w:r w:rsidR="00AF2AE5" w:rsidRPr="00882905">
        <w:rPr>
          <w:noProof/>
        </w:rPr>
        <w:t>klu</w:t>
      </w:r>
      <w:r w:rsidRPr="00882905">
        <w:rPr>
          <w:noProof/>
        </w:rPr>
        <w:t>czowych obszarach, takich jak konkurencyjność, obronność, bezpieczeństwo, transformacja ekologiczna</w:t>
      </w:r>
      <w:r w:rsidR="00AF2AE5" w:rsidRPr="00882905">
        <w:rPr>
          <w:noProof/>
        </w:rPr>
        <w:t xml:space="preserve"> i</w:t>
      </w:r>
      <w:r w:rsidR="00AF2AE5">
        <w:rPr>
          <w:noProof/>
        </w:rPr>
        <w:t> </w:t>
      </w:r>
      <w:r w:rsidR="00AF2AE5" w:rsidRPr="00882905">
        <w:rPr>
          <w:noProof/>
        </w:rPr>
        <w:t>cyf</w:t>
      </w:r>
      <w:r w:rsidRPr="00882905">
        <w:rPr>
          <w:noProof/>
        </w:rPr>
        <w:t>rowa oraz odporność na wstrząsy zewnętrzne. Ponadto</w:t>
      </w:r>
      <w:r w:rsidR="00AF2AE5" w:rsidRPr="00882905">
        <w:rPr>
          <w:noProof/>
        </w:rPr>
        <w:t xml:space="preserve"> w</w:t>
      </w:r>
      <w:r w:rsidR="00AF2AE5">
        <w:rPr>
          <w:noProof/>
        </w:rPr>
        <w:t> </w:t>
      </w:r>
      <w:r w:rsidR="00AF2AE5" w:rsidRPr="00882905">
        <w:rPr>
          <w:noProof/>
        </w:rPr>
        <w:t>kol</w:t>
      </w:r>
      <w:r w:rsidRPr="00882905">
        <w:rPr>
          <w:noProof/>
        </w:rPr>
        <w:t>ejnych wieloletnich ramach finansowych (WRF) należy uwzględnić spłatę NextGenerationEU, nie dokonując przy tym nieuzasadnionych cięć</w:t>
      </w:r>
      <w:r w:rsidR="00AF2AE5" w:rsidRPr="00882905">
        <w:rPr>
          <w:noProof/>
        </w:rPr>
        <w:t xml:space="preserve"> w</w:t>
      </w:r>
      <w:r w:rsidR="00AF2AE5">
        <w:rPr>
          <w:noProof/>
        </w:rPr>
        <w:t> </w:t>
      </w:r>
      <w:r w:rsidR="00AF2AE5" w:rsidRPr="00882905">
        <w:rPr>
          <w:noProof/>
        </w:rPr>
        <w:t>pro</w:t>
      </w:r>
      <w:r w:rsidRPr="00882905">
        <w:rPr>
          <w:noProof/>
        </w:rPr>
        <w:t>gramach UE ani nie podwyższając nadmiernie wkładów opartych na DNB. Chociaż obecny system zasobów własnych zapewnia stabilne</w:t>
      </w:r>
      <w:r w:rsidR="00AF2AE5" w:rsidRPr="00882905">
        <w:rPr>
          <w:noProof/>
        </w:rPr>
        <w:t xml:space="preserve"> i</w:t>
      </w:r>
      <w:r w:rsidR="00AF2AE5">
        <w:rPr>
          <w:noProof/>
        </w:rPr>
        <w:t> </w:t>
      </w:r>
      <w:r w:rsidR="00AF2AE5" w:rsidRPr="00882905">
        <w:rPr>
          <w:noProof/>
        </w:rPr>
        <w:t>prz</w:t>
      </w:r>
      <w:r w:rsidRPr="00882905">
        <w:rPr>
          <w:noProof/>
        </w:rPr>
        <w:t>ewidywalne finansowanie budżetu UE, jest on</w:t>
      </w:r>
      <w:r w:rsidR="00AF2AE5" w:rsidRPr="00882905">
        <w:rPr>
          <w:noProof/>
        </w:rPr>
        <w:t xml:space="preserve"> w</w:t>
      </w:r>
      <w:r w:rsidR="00AF2AE5">
        <w:rPr>
          <w:noProof/>
        </w:rPr>
        <w:t> </w:t>
      </w:r>
      <w:r w:rsidR="00AF2AE5" w:rsidRPr="00882905">
        <w:rPr>
          <w:noProof/>
        </w:rPr>
        <w:t>duż</w:t>
      </w:r>
      <w:r w:rsidRPr="00882905">
        <w:rPr>
          <w:noProof/>
        </w:rPr>
        <w:t>ej mierze</w:t>
      </w:r>
      <w:r w:rsidR="00AF2AE5" w:rsidRPr="00882905">
        <w:rPr>
          <w:noProof/>
        </w:rPr>
        <w:t xml:space="preserve"> i</w:t>
      </w:r>
      <w:r w:rsidR="00AF2AE5">
        <w:rPr>
          <w:noProof/>
        </w:rPr>
        <w:t> </w:t>
      </w:r>
      <w:r w:rsidR="00AF2AE5" w:rsidRPr="00882905">
        <w:rPr>
          <w:noProof/>
        </w:rPr>
        <w:t>w</w:t>
      </w:r>
      <w:r w:rsidR="00AF2AE5">
        <w:rPr>
          <w:noProof/>
        </w:rPr>
        <w:t> </w:t>
      </w:r>
      <w:r w:rsidR="00AF2AE5" w:rsidRPr="00882905">
        <w:rPr>
          <w:noProof/>
        </w:rPr>
        <w:t>cor</w:t>
      </w:r>
      <w:r w:rsidRPr="00882905">
        <w:rPr>
          <w:noProof/>
        </w:rPr>
        <w:t>az większym stopniu uzależniony od wkładów opartych na DNB, które</w:t>
      </w:r>
      <w:r w:rsidR="00AF2AE5" w:rsidRPr="00882905">
        <w:rPr>
          <w:noProof/>
        </w:rPr>
        <w:t xml:space="preserve"> w</w:t>
      </w:r>
      <w:r w:rsidR="00AF2AE5">
        <w:rPr>
          <w:noProof/>
        </w:rPr>
        <w:t> </w:t>
      </w:r>
      <w:r w:rsidR="00AF2AE5" w:rsidRPr="00882905">
        <w:rPr>
          <w:noProof/>
        </w:rPr>
        <w:t>mia</w:t>
      </w:r>
      <w:r w:rsidRPr="00882905">
        <w:rPr>
          <w:noProof/>
        </w:rPr>
        <w:t>rę rosnących potrzeb finansowych osiągną swój limit. Celem budżetu UE jest tworzenie europejskiej wartości dodanej dla wszystkich, co wymaga wspólnego finansowania wspólnych priorytetów. Wprowadzenie nowych zasobów własnych zmniejszy obciążenie państw członkowskich</w:t>
      </w:r>
      <w:r w:rsidR="00AF2AE5" w:rsidRPr="00882905">
        <w:rPr>
          <w:noProof/>
        </w:rPr>
        <w:t xml:space="preserve"> i</w:t>
      </w:r>
      <w:r w:rsidR="00AF2AE5">
        <w:rPr>
          <w:noProof/>
        </w:rPr>
        <w:t> </w:t>
      </w:r>
      <w:r w:rsidR="00AF2AE5" w:rsidRPr="00882905">
        <w:rPr>
          <w:noProof/>
        </w:rPr>
        <w:t>zap</w:t>
      </w:r>
      <w:r w:rsidRPr="00882905">
        <w:rPr>
          <w:noProof/>
        </w:rPr>
        <w:t>ewni zrównoważone finansowanie wspólnych polityk UE oraz spłatę NextGenerationEU. Ostatnie lata pokazały też, że budżet UE musi być</w:t>
      </w:r>
      <w:r w:rsidR="00AF2AE5" w:rsidRPr="00882905">
        <w:rPr>
          <w:noProof/>
        </w:rPr>
        <w:t xml:space="preserve"> w</w:t>
      </w:r>
      <w:r w:rsidR="00AF2AE5">
        <w:rPr>
          <w:noProof/>
        </w:rPr>
        <w:t> </w:t>
      </w:r>
      <w:r w:rsidR="00AF2AE5" w:rsidRPr="00882905">
        <w:rPr>
          <w:noProof/>
        </w:rPr>
        <w:t>sta</w:t>
      </w:r>
      <w:r w:rsidRPr="00882905">
        <w:rPr>
          <w:noProof/>
        </w:rPr>
        <w:t>nie bardziej elastycznie reagować na kryzysy</w:t>
      </w:r>
      <w:r w:rsidR="00AF2AE5" w:rsidRPr="00882905">
        <w:rPr>
          <w:noProof/>
        </w:rPr>
        <w:t xml:space="preserve"> i</w:t>
      </w:r>
      <w:r w:rsidR="00AF2AE5">
        <w:rPr>
          <w:noProof/>
        </w:rPr>
        <w:t> </w:t>
      </w:r>
      <w:r w:rsidR="00AF2AE5" w:rsidRPr="00882905">
        <w:rPr>
          <w:noProof/>
        </w:rPr>
        <w:t>zmi</w:t>
      </w:r>
      <w:r w:rsidRPr="00882905">
        <w:rPr>
          <w:noProof/>
        </w:rPr>
        <w:t>eniający się świat.</w:t>
      </w:r>
    </w:p>
    <w:p w14:paraId="0B9AC1DC" w14:textId="51100E2F" w:rsidR="00704957" w:rsidRPr="00882905" w:rsidRDefault="00704957" w:rsidP="003F4954">
      <w:pPr>
        <w:rPr>
          <w:noProof/>
        </w:rPr>
      </w:pPr>
      <w:r w:rsidRPr="00882905">
        <w:rPr>
          <w:noProof/>
        </w:rPr>
        <w:t>Zgodnie</w:t>
      </w:r>
      <w:r w:rsidR="00AF2AE5" w:rsidRPr="00882905">
        <w:rPr>
          <w:noProof/>
        </w:rPr>
        <w:t xml:space="preserve"> z</w:t>
      </w:r>
      <w:r w:rsidR="00AF2AE5">
        <w:rPr>
          <w:noProof/>
        </w:rPr>
        <w:t> </w:t>
      </w:r>
      <w:r w:rsidR="00AF2AE5" w:rsidRPr="00882905">
        <w:rPr>
          <w:noProof/>
        </w:rPr>
        <w:t>por</w:t>
      </w:r>
      <w:r w:rsidRPr="00882905">
        <w:rPr>
          <w:noProof/>
        </w:rPr>
        <w:t>ozumieniem międzyinstytucjonalnym między Parlamentem Europejskim, Radą</w:t>
      </w:r>
      <w:r w:rsidR="00AF2AE5" w:rsidRPr="00882905">
        <w:rPr>
          <w:noProof/>
        </w:rPr>
        <w:t xml:space="preserve"> i</w:t>
      </w:r>
      <w:r w:rsidR="00AF2AE5">
        <w:rPr>
          <w:noProof/>
        </w:rPr>
        <w:t> </w:t>
      </w:r>
      <w:r w:rsidR="00AF2AE5" w:rsidRPr="00882905">
        <w:rPr>
          <w:noProof/>
        </w:rPr>
        <w:t>Kom</w:t>
      </w:r>
      <w:r w:rsidRPr="00882905">
        <w:rPr>
          <w:noProof/>
        </w:rPr>
        <w:t>isją</w:t>
      </w:r>
      <w:r w:rsidR="00AF2AE5" w:rsidRPr="00882905">
        <w:rPr>
          <w:noProof/>
        </w:rPr>
        <w:t xml:space="preserve"> z</w:t>
      </w:r>
      <w:r w:rsidR="00AF2AE5">
        <w:rPr>
          <w:noProof/>
        </w:rPr>
        <w:t> </w:t>
      </w:r>
      <w:r w:rsidR="00AF2AE5" w:rsidRPr="00882905">
        <w:rPr>
          <w:noProof/>
        </w:rPr>
        <w:t>2</w:t>
      </w:r>
      <w:r w:rsidRPr="00882905">
        <w:rPr>
          <w:noProof/>
        </w:rPr>
        <w:t>0</w:t>
      </w:r>
      <w:r w:rsidRPr="00AF2AE5">
        <w:rPr>
          <w:noProof/>
        </w:rPr>
        <w:t>20</w:t>
      </w:r>
      <w:r w:rsidR="00AF2AE5" w:rsidRPr="00AF2AE5">
        <w:rPr>
          <w:noProof/>
        </w:rPr>
        <w:t> </w:t>
      </w:r>
      <w:r w:rsidRPr="00AF2AE5">
        <w:rPr>
          <w:noProof/>
        </w:rPr>
        <w:t>r.</w:t>
      </w:r>
      <w:r w:rsidRPr="00882905">
        <w:rPr>
          <w:rStyle w:val="FootnoteReference"/>
          <w:rFonts w:eastAsia="Arial Unicode MS"/>
          <w:noProof/>
        </w:rPr>
        <w:footnoteReference w:id="2"/>
      </w:r>
      <w:r w:rsidRPr="00882905">
        <w:rPr>
          <w:noProof/>
        </w:rPr>
        <w:t xml:space="preserve"> Komisja przedstawiła</w:t>
      </w:r>
      <w:r w:rsidR="00AF2AE5" w:rsidRPr="00882905">
        <w:rPr>
          <w:noProof/>
        </w:rPr>
        <w:t xml:space="preserve"> w</w:t>
      </w:r>
      <w:r w:rsidR="00AF2AE5">
        <w:rPr>
          <w:noProof/>
        </w:rPr>
        <w:t> </w:t>
      </w:r>
      <w:r w:rsidR="00AF2AE5" w:rsidRPr="00882905">
        <w:rPr>
          <w:noProof/>
        </w:rPr>
        <w:t>lat</w:t>
      </w:r>
      <w:r w:rsidRPr="00882905">
        <w:rPr>
          <w:noProof/>
        </w:rPr>
        <w:t>ach 2021</w:t>
      </w:r>
      <w:r w:rsidR="00AF2AE5" w:rsidRPr="00882905">
        <w:rPr>
          <w:noProof/>
        </w:rPr>
        <w:t xml:space="preserve"> i</w:t>
      </w:r>
      <w:r w:rsidR="00AF2AE5">
        <w:rPr>
          <w:noProof/>
        </w:rPr>
        <w:t> </w:t>
      </w:r>
      <w:r w:rsidR="00AF2AE5" w:rsidRPr="00882905">
        <w:rPr>
          <w:noProof/>
        </w:rPr>
        <w:t>2</w:t>
      </w:r>
      <w:r w:rsidRPr="00882905">
        <w:rPr>
          <w:noProof/>
        </w:rPr>
        <w:t>023 wnioski dotyczące wprowadzenia nowych zasobów własnych, które nie zostały przyjęte. Niniejszy wniosek opiera się na poprzednich wnioskach</w:t>
      </w:r>
      <w:r w:rsidR="00AF2AE5" w:rsidRPr="00882905">
        <w:rPr>
          <w:noProof/>
        </w:rPr>
        <w:t xml:space="preserve"> i</w:t>
      </w:r>
      <w:r w:rsidR="00AF2AE5">
        <w:rPr>
          <w:noProof/>
        </w:rPr>
        <w:t> </w:t>
      </w:r>
      <w:r w:rsidR="00AF2AE5" w:rsidRPr="00882905">
        <w:rPr>
          <w:noProof/>
        </w:rPr>
        <w:t>dys</w:t>
      </w:r>
      <w:r w:rsidRPr="00882905">
        <w:rPr>
          <w:noProof/>
        </w:rPr>
        <w:t>kusjach. Jest on zgodny</w:t>
      </w:r>
      <w:r w:rsidR="00AF2AE5" w:rsidRPr="00882905">
        <w:rPr>
          <w:noProof/>
        </w:rPr>
        <w:t xml:space="preserve"> z</w:t>
      </w:r>
      <w:r w:rsidR="00AF2AE5">
        <w:rPr>
          <w:noProof/>
        </w:rPr>
        <w:t> </w:t>
      </w:r>
      <w:r w:rsidR="00AF2AE5" w:rsidRPr="00882905">
        <w:rPr>
          <w:noProof/>
        </w:rPr>
        <w:t>pri</w:t>
      </w:r>
      <w:r w:rsidRPr="00882905">
        <w:rPr>
          <w:noProof/>
        </w:rPr>
        <w:t>orytetami politycznymi UE</w:t>
      </w:r>
      <w:r w:rsidR="00AF2AE5" w:rsidRPr="00882905">
        <w:rPr>
          <w:noProof/>
        </w:rPr>
        <w:t xml:space="preserve"> w</w:t>
      </w:r>
      <w:r w:rsidR="00AF2AE5">
        <w:rPr>
          <w:noProof/>
        </w:rPr>
        <w:t> </w:t>
      </w:r>
      <w:r w:rsidR="00AF2AE5" w:rsidRPr="00882905">
        <w:rPr>
          <w:noProof/>
        </w:rPr>
        <w:t>kon</w:t>
      </w:r>
      <w:r w:rsidRPr="00882905">
        <w:rPr>
          <w:noProof/>
        </w:rPr>
        <w:t>tekście kolejnych WRF</w:t>
      </w:r>
      <w:r w:rsidR="00AF2AE5" w:rsidRPr="00882905">
        <w:rPr>
          <w:noProof/>
        </w:rPr>
        <w:t xml:space="preserve"> i</w:t>
      </w:r>
      <w:r w:rsidR="00AF2AE5">
        <w:rPr>
          <w:noProof/>
        </w:rPr>
        <w:t> </w:t>
      </w:r>
      <w:r w:rsidR="00AF2AE5" w:rsidRPr="00882905">
        <w:rPr>
          <w:noProof/>
        </w:rPr>
        <w:t>wyg</w:t>
      </w:r>
      <w:r w:rsidRPr="00882905">
        <w:rPr>
          <w:noProof/>
        </w:rPr>
        <w:t>eneruje znaczne dochody. Zasoby własne są oparte na istniejącym prawodawstwie sektorowym lub samej decyzji</w:t>
      </w:r>
      <w:r w:rsidR="00AF2AE5" w:rsidRPr="00882905">
        <w:rPr>
          <w:noProof/>
        </w:rPr>
        <w:t xml:space="preserve"> w</w:t>
      </w:r>
      <w:r w:rsidR="00AF2AE5">
        <w:rPr>
          <w:noProof/>
        </w:rPr>
        <w:t> </w:t>
      </w:r>
      <w:r w:rsidR="00AF2AE5" w:rsidRPr="00882905">
        <w:rPr>
          <w:noProof/>
        </w:rPr>
        <w:t>spr</w:t>
      </w:r>
      <w:r w:rsidRPr="00882905">
        <w:rPr>
          <w:noProof/>
        </w:rPr>
        <w:t>awie zasobów własnych</w:t>
      </w:r>
      <w:r w:rsidR="00AF2AE5" w:rsidRPr="00882905">
        <w:rPr>
          <w:noProof/>
        </w:rPr>
        <w:t xml:space="preserve"> i</w:t>
      </w:r>
      <w:r w:rsidR="00AF2AE5">
        <w:rPr>
          <w:noProof/>
        </w:rPr>
        <w:t> </w:t>
      </w:r>
      <w:r w:rsidR="00AF2AE5" w:rsidRPr="00882905">
        <w:rPr>
          <w:noProof/>
        </w:rPr>
        <w:t>mog</w:t>
      </w:r>
      <w:r w:rsidRPr="00882905">
        <w:rPr>
          <w:noProof/>
        </w:rPr>
        <w:t xml:space="preserve">ą być wdrażane przy rozsądnym obciążeniu administracyjnym. </w:t>
      </w:r>
    </w:p>
    <w:p w14:paraId="4B0BCCE5" w14:textId="38B956E0" w:rsidR="00704957" w:rsidRPr="00882905" w:rsidRDefault="00704957" w:rsidP="003F4954">
      <w:pPr>
        <w:rPr>
          <w:noProof/>
        </w:rPr>
      </w:pPr>
      <w:r w:rsidRPr="00882905">
        <w:rPr>
          <w:noProof/>
        </w:rPr>
        <w:t>Zasoby własne oparte na unijnym systemie handlu uprawnieniami do emisji (ETS) pozostają podstawą wniosków Komisji, ponieważ są ściśle powiązane</w:t>
      </w:r>
      <w:r w:rsidR="00AF2AE5" w:rsidRPr="00882905">
        <w:rPr>
          <w:noProof/>
        </w:rPr>
        <w:t xml:space="preserve"> z</w:t>
      </w:r>
      <w:r w:rsidR="00AF2AE5">
        <w:rPr>
          <w:noProof/>
        </w:rPr>
        <w:t> </w:t>
      </w:r>
      <w:r w:rsidR="00AF2AE5" w:rsidRPr="00882905">
        <w:rPr>
          <w:noProof/>
        </w:rPr>
        <w:t>cel</w:t>
      </w:r>
      <w:r w:rsidRPr="00882905">
        <w:rPr>
          <w:noProof/>
        </w:rPr>
        <w:t>ami klimatycznymi Unii</w:t>
      </w:r>
      <w:r w:rsidR="00AF2AE5" w:rsidRPr="00882905">
        <w:rPr>
          <w:noProof/>
        </w:rPr>
        <w:t xml:space="preserve"> i</w:t>
      </w:r>
      <w:r w:rsidR="00AF2AE5">
        <w:rPr>
          <w:noProof/>
        </w:rPr>
        <w:t> </w:t>
      </w:r>
      <w:r w:rsidR="00AF2AE5" w:rsidRPr="00882905">
        <w:rPr>
          <w:noProof/>
        </w:rPr>
        <w:t>maj</w:t>
      </w:r>
      <w:r w:rsidRPr="00882905">
        <w:rPr>
          <w:noProof/>
        </w:rPr>
        <w:t>ą znaczny potencjał generowania dochodów. Przy 30 % dochodów kierowanych do budżetu UE nadal większość dochodów ze sprzedaży na aukcji uprawnień do emisji trafiałaby do budżetów krajowych. Ponadto Komisja zdecydowała ponownie skupić się tylko na dochodach</w:t>
      </w:r>
      <w:r w:rsidR="00AF2AE5" w:rsidRPr="00882905">
        <w:rPr>
          <w:noProof/>
        </w:rPr>
        <w:t xml:space="preserve"> z</w:t>
      </w:r>
      <w:r w:rsidR="00AF2AE5">
        <w:rPr>
          <w:noProof/>
        </w:rPr>
        <w:t> </w:t>
      </w:r>
      <w:r w:rsidR="00AF2AE5" w:rsidRPr="00882905">
        <w:rPr>
          <w:noProof/>
        </w:rPr>
        <w:t>sys</w:t>
      </w:r>
      <w:r w:rsidRPr="00882905">
        <w:rPr>
          <w:noProof/>
        </w:rPr>
        <w:t>temu handlu emisjami (ETS1), który już obowiązuje, zamiast opierać zasoby własne na nowym systemie handlu uprawnieniami do emisji</w:t>
      </w:r>
      <w:r w:rsidR="00AF2AE5" w:rsidRPr="00882905">
        <w:rPr>
          <w:noProof/>
        </w:rPr>
        <w:t xml:space="preserve"> w</w:t>
      </w:r>
      <w:r w:rsidR="00AF2AE5">
        <w:rPr>
          <w:noProof/>
        </w:rPr>
        <w:t> </w:t>
      </w:r>
      <w:r w:rsidR="00AF2AE5" w:rsidRPr="00882905">
        <w:rPr>
          <w:noProof/>
        </w:rPr>
        <w:t>odn</w:t>
      </w:r>
      <w:r w:rsidRPr="00882905">
        <w:rPr>
          <w:noProof/>
        </w:rPr>
        <w:t>iesieniu do sektora budynków</w:t>
      </w:r>
      <w:r w:rsidR="00AF2AE5" w:rsidRPr="00882905">
        <w:rPr>
          <w:noProof/>
        </w:rPr>
        <w:t xml:space="preserve"> i</w:t>
      </w:r>
      <w:r w:rsidR="00AF2AE5">
        <w:rPr>
          <w:noProof/>
        </w:rPr>
        <w:t> </w:t>
      </w:r>
      <w:r w:rsidR="00AF2AE5" w:rsidRPr="00882905">
        <w:rPr>
          <w:noProof/>
        </w:rPr>
        <w:t>sek</w:t>
      </w:r>
      <w:r w:rsidRPr="00882905">
        <w:rPr>
          <w:noProof/>
        </w:rPr>
        <w:t>tora transportu drogowego (ETS2).</w:t>
      </w:r>
    </w:p>
    <w:p w14:paraId="1EC03AF8" w14:textId="5A10F01C" w:rsidR="00704957" w:rsidRPr="00882905" w:rsidRDefault="00704957" w:rsidP="003F4954">
      <w:pPr>
        <w:rPr>
          <w:noProof/>
        </w:rPr>
      </w:pPr>
      <w:r w:rsidRPr="00882905">
        <w:rPr>
          <w:noProof/>
        </w:rPr>
        <w:t>Zasoby własne oparte na mechanizmie dostosowywania cen na granicach</w:t>
      </w:r>
      <w:r w:rsidR="00AF2AE5" w:rsidRPr="00882905">
        <w:rPr>
          <w:noProof/>
        </w:rPr>
        <w:t xml:space="preserve"> z</w:t>
      </w:r>
      <w:r w:rsidR="00AF2AE5">
        <w:rPr>
          <w:noProof/>
        </w:rPr>
        <w:t> </w:t>
      </w:r>
      <w:r w:rsidR="00AF2AE5" w:rsidRPr="00882905">
        <w:rPr>
          <w:noProof/>
        </w:rPr>
        <w:t>uwz</w:t>
      </w:r>
      <w:r w:rsidRPr="00882905">
        <w:rPr>
          <w:noProof/>
        </w:rPr>
        <w:t>ględnieniem emisji CO2 (CBAM) można uznać za „wymiar zewnętrzny” ETS,</w:t>
      </w:r>
      <w:r w:rsidR="00AF2AE5" w:rsidRPr="00882905">
        <w:rPr>
          <w:noProof/>
        </w:rPr>
        <w:t xml:space="preserve"> a</w:t>
      </w:r>
      <w:r w:rsidR="00AF2AE5">
        <w:rPr>
          <w:noProof/>
        </w:rPr>
        <w:t> </w:t>
      </w:r>
      <w:r w:rsidR="00AF2AE5" w:rsidRPr="00882905">
        <w:rPr>
          <w:noProof/>
        </w:rPr>
        <w:t>zat</w:t>
      </w:r>
      <w:r w:rsidRPr="00882905">
        <w:rPr>
          <w:noProof/>
        </w:rPr>
        <w:t>em pozostają one integralnym elementem pakietu. CBAM zapewnia, aby przywóz do UE podlegał opłacie emisyjnej równoważnej</w:t>
      </w:r>
      <w:r w:rsidR="00AF2AE5" w:rsidRPr="00882905">
        <w:rPr>
          <w:noProof/>
        </w:rPr>
        <w:t xml:space="preserve"> z</w:t>
      </w:r>
      <w:r w:rsidR="00AF2AE5">
        <w:rPr>
          <w:noProof/>
        </w:rPr>
        <w:t> </w:t>
      </w:r>
      <w:r w:rsidR="00AF2AE5" w:rsidRPr="00882905">
        <w:rPr>
          <w:noProof/>
        </w:rPr>
        <w:t>pro</w:t>
      </w:r>
      <w:r w:rsidRPr="00882905">
        <w:rPr>
          <w:noProof/>
        </w:rPr>
        <w:t xml:space="preserve">dukcją tych samych towarów w UE. </w:t>
      </w:r>
    </w:p>
    <w:p w14:paraId="4FA30466" w14:textId="77777777" w:rsidR="00704957" w:rsidRPr="00882905" w:rsidRDefault="00704957" w:rsidP="003F4954">
      <w:pPr>
        <w:rPr>
          <w:noProof/>
        </w:rPr>
      </w:pPr>
      <w:r w:rsidRPr="00882905">
        <w:rPr>
          <w:noProof/>
        </w:rPr>
        <w:t>Komisja proponuje trzy dodatkowe nowe zasoby własne:</w:t>
      </w:r>
    </w:p>
    <w:p w14:paraId="3BECA1C2" w14:textId="38244F3B" w:rsidR="00704957" w:rsidRPr="00882905" w:rsidRDefault="00704957" w:rsidP="00394C6D">
      <w:pPr>
        <w:pStyle w:val="Tiret0"/>
        <w:numPr>
          <w:ilvl w:val="0"/>
          <w:numId w:val="21"/>
        </w:numPr>
        <w:rPr>
          <w:noProof/>
        </w:rPr>
      </w:pPr>
      <w:r w:rsidRPr="00882905">
        <w:rPr>
          <w:noProof/>
        </w:rPr>
        <w:t>Nowe zasoby oparte na ilości niezebranego sprzętu elektrycznego</w:t>
      </w:r>
      <w:r w:rsidR="00AF2AE5" w:rsidRPr="00882905">
        <w:rPr>
          <w:noProof/>
        </w:rPr>
        <w:t xml:space="preserve"> i</w:t>
      </w:r>
      <w:r w:rsidR="00AF2AE5">
        <w:rPr>
          <w:noProof/>
        </w:rPr>
        <w:t> </w:t>
      </w:r>
      <w:r w:rsidR="00AF2AE5" w:rsidRPr="00882905">
        <w:rPr>
          <w:noProof/>
        </w:rPr>
        <w:t>ele</w:t>
      </w:r>
      <w:r w:rsidRPr="00882905">
        <w:rPr>
          <w:noProof/>
        </w:rPr>
        <w:t>ktronicznego („e-odpady”), które prowadziłyby do pozytywnych skutków dla środowiska,</w:t>
      </w:r>
      <w:r w:rsidR="00AF2AE5" w:rsidRPr="00882905">
        <w:rPr>
          <w:noProof/>
        </w:rPr>
        <w:t xml:space="preserve"> a</w:t>
      </w:r>
      <w:r w:rsidR="00AF2AE5">
        <w:rPr>
          <w:noProof/>
        </w:rPr>
        <w:t> </w:t>
      </w:r>
      <w:r w:rsidR="00AF2AE5" w:rsidRPr="00882905">
        <w:rPr>
          <w:noProof/>
        </w:rPr>
        <w:t>jed</w:t>
      </w:r>
      <w:r w:rsidRPr="00882905">
        <w:rPr>
          <w:noProof/>
        </w:rPr>
        <w:t>nocześnie wspierałyby strategiczną autonomię Unii</w:t>
      </w:r>
      <w:r w:rsidR="00AF2AE5" w:rsidRPr="00882905">
        <w:rPr>
          <w:noProof/>
        </w:rPr>
        <w:t xml:space="preserve"> w</w:t>
      </w:r>
      <w:r w:rsidR="00AF2AE5">
        <w:rPr>
          <w:noProof/>
        </w:rPr>
        <w:t> </w:t>
      </w:r>
      <w:r w:rsidR="00AF2AE5" w:rsidRPr="00882905">
        <w:rPr>
          <w:noProof/>
        </w:rPr>
        <w:t>zak</w:t>
      </w:r>
      <w:r w:rsidRPr="00882905">
        <w:rPr>
          <w:noProof/>
        </w:rPr>
        <w:t>resie surowców krytycznych. Wprowadzenie nowych zasobów własnych opartych na niezebranych e-odpadach zgłoszonych przez państwa członkowskie zachęcałoby do ograniczania ilości odpadów i do czynienia postępów</w:t>
      </w:r>
      <w:r w:rsidR="00AF2AE5" w:rsidRPr="00882905">
        <w:rPr>
          <w:noProof/>
        </w:rPr>
        <w:t xml:space="preserve"> w</w:t>
      </w:r>
      <w:r w:rsidR="00AF2AE5">
        <w:rPr>
          <w:noProof/>
        </w:rPr>
        <w:t> </w:t>
      </w:r>
      <w:r w:rsidR="00AF2AE5" w:rsidRPr="00882905">
        <w:rPr>
          <w:noProof/>
        </w:rPr>
        <w:t>zak</w:t>
      </w:r>
      <w:r w:rsidRPr="00882905">
        <w:rPr>
          <w:noProof/>
        </w:rPr>
        <w:t>resie systemów zbierania odpadów. Zasoby własne oparte na e-odpadach bazowałyby na już istniejących danych zgłaszanych przez państwa członkowskie do Eurostatu</w:t>
      </w:r>
      <w:r w:rsidR="00AF2AE5" w:rsidRPr="00882905">
        <w:rPr>
          <w:noProof/>
        </w:rPr>
        <w:t xml:space="preserve"> i</w:t>
      </w:r>
      <w:r w:rsidR="00AF2AE5">
        <w:rPr>
          <w:noProof/>
        </w:rPr>
        <w:t> </w:t>
      </w:r>
      <w:r w:rsidR="00AF2AE5" w:rsidRPr="00882905">
        <w:rPr>
          <w:noProof/>
        </w:rPr>
        <w:t>był</w:t>
      </w:r>
      <w:r w:rsidRPr="00882905">
        <w:rPr>
          <w:noProof/>
        </w:rPr>
        <w:t>yby obliczane przy zastosowaniu stawki</w:t>
      </w:r>
      <w:r w:rsidR="00AF2AE5" w:rsidRPr="00882905">
        <w:rPr>
          <w:noProof/>
        </w:rPr>
        <w:t xml:space="preserve"> w</w:t>
      </w:r>
      <w:r w:rsidR="00AF2AE5">
        <w:rPr>
          <w:noProof/>
        </w:rPr>
        <w:t> </w:t>
      </w:r>
      <w:r w:rsidR="00AF2AE5" w:rsidRPr="00882905">
        <w:rPr>
          <w:noProof/>
        </w:rPr>
        <w:t>wys</w:t>
      </w:r>
      <w:r w:rsidRPr="00882905">
        <w:rPr>
          <w:noProof/>
        </w:rPr>
        <w:t>okości 2 EUR za kg niezebranych e-odpadów. Aby utrzymać wartość rzeczywistą stawki poboru, byłaby ona następnie corocznie korygowana</w:t>
      </w:r>
      <w:r w:rsidR="00AF2AE5" w:rsidRPr="00882905">
        <w:rPr>
          <w:noProof/>
        </w:rPr>
        <w:t xml:space="preserve"> o</w:t>
      </w:r>
      <w:r w:rsidR="00AF2AE5">
        <w:rPr>
          <w:noProof/>
        </w:rPr>
        <w:t> </w:t>
      </w:r>
      <w:r w:rsidR="00AF2AE5" w:rsidRPr="00882905">
        <w:rPr>
          <w:noProof/>
        </w:rPr>
        <w:t>inf</w:t>
      </w:r>
      <w:r w:rsidRPr="00882905">
        <w:rPr>
          <w:noProof/>
        </w:rPr>
        <w:t>lację.</w:t>
      </w:r>
    </w:p>
    <w:p w14:paraId="00066E1D" w14:textId="05D5D474" w:rsidR="00704957" w:rsidRPr="00882905" w:rsidRDefault="00704957" w:rsidP="003F4954">
      <w:pPr>
        <w:pStyle w:val="Tiret0"/>
        <w:rPr>
          <w:noProof/>
        </w:rPr>
      </w:pPr>
      <w:r w:rsidRPr="00882905">
        <w:rPr>
          <w:noProof/>
        </w:rPr>
        <w:t>Zasoby własne oparte na podatku akcyzowym od wyrobów tytoniowych (Tobacco Excise Duty Own Resource – TEDOR) wspierałyby cele polityki zdrowotnej UE oraz pomogłyby zająć się kwestią transgranicznych zakupów niektórych produktów, na którą obecnie wpływają różnice</w:t>
      </w:r>
      <w:r w:rsidR="00AF2AE5" w:rsidRPr="00882905">
        <w:rPr>
          <w:noProof/>
        </w:rPr>
        <w:t xml:space="preserve"> w</w:t>
      </w:r>
      <w:r w:rsidR="00AF2AE5">
        <w:rPr>
          <w:noProof/>
        </w:rPr>
        <w:t> </w:t>
      </w:r>
      <w:r w:rsidR="00AF2AE5" w:rsidRPr="00882905">
        <w:rPr>
          <w:noProof/>
        </w:rPr>
        <w:t>pol</w:t>
      </w:r>
      <w:r w:rsidRPr="00882905">
        <w:rPr>
          <w:noProof/>
        </w:rPr>
        <w:t>ityce podatkowej między państwami członkowskimi,</w:t>
      </w:r>
      <w:r w:rsidR="00AF2AE5" w:rsidRPr="00882905">
        <w:rPr>
          <w:noProof/>
        </w:rPr>
        <w:t xml:space="preserve"> a</w:t>
      </w:r>
      <w:r w:rsidR="00AF2AE5">
        <w:rPr>
          <w:noProof/>
        </w:rPr>
        <w:t> </w:t>
      </w:r>
      <w:r w:rsidR="00AF2AE5" w:rsidRPr="00882905">
        <w:rPr>
          <w:noProof/>
        </w:rPr>
        <w:t>tak</w:t>
      </w:r>
      <w:r w:rsidRPr="00882905">
        <w:rPr>
          <w:noProof/>
        </w:rPr>
        <w:t>że generowałyby znaczne dochody dla budżetu UE. Niniejszy wniosek uzupełnia wniosek dotyczący przekształcenia dyrektywy Rady</w:t>
      </w:r>
      <w:r w:rsidR="00AF2AE5" w:rsidRPr="00882905">
        <w:rPr>
          <w:noProof/>
        </w:rPr>
        <w:t xml:space="preserve"> w</w:t>
      </w:r>
      <w:r w:rsidR="00AF2AE5">
        <w:rPr>
          <w:noProof/>
        </w:rPr>
        <w:t> </w:t>
      </w:r>
      <w:r w:rsidR="00AF2AE5" w:rsidRPr="00882905">
        <w:rPr>
          <w:noProof/>
        </w:rPr>
        <w:t>spr</w:t>
      </w:r>
      <w:r w:rsidRPr="00882905">
        <w:rPr>
          <w:noProof/>
        </w:rPr>
        <w:t>awie podatku akcyzowego od wyrobów tytoniowych, której celem jest dostosowanie minimalnych unijnych podatków akcyzowych</w:t>
      </w:r>
      <w:r w:rsidR="00AF2AE5" w:rsidRPr="00882905">
        <w:rPr>
          <w:noProof/>
        </w:rPr>
        <w:t xml:space="preserve"> i</w:t>
      </w:r>
      <w:r w:rsidR="00AF2AE5">
        <w:rPr>
          <w:noProof/>
        </w:rPr>
        <w:t> </w:t>
      </w:r>
      <w:r w:rsidR="00AF2AE5" w:rsidRPr="00882905">
        <w:rPr>
          <w:noProof/>
        </w:rPr>
        <w:t>roz</w:t>
      </w:r>
      <w:r w:rsidRPr="00882905">
        <w:rPr>
          <w:noProof/>
        </w:rPr>
        <w:t>szerzenie zakresu dyrektywy na nowe produkty. Proponowane zasoby własne TEDOR nie są jednak prawnie uzależnione od przyjęcia tej wersji przekształconej dyrektywy Rady. Stawka poboru wynosząca 15 % byłaby stosowana</w:t>
      </w:r>
      <w:r w:rsidR="00AF2AE5" w:rsidRPr="00882905">
        <w:rPr>
          <w:noProof/>
        </w:rPr>
        <w:t xml:space="preserve"> w</w:t>
      </w:r>
      <w:r w:rsidR="00AF2AE5">
        <w:rPr>
          <w:noProof/>
        </w:rPr>
        <w:t> </w:t>
      </w:r>
      <w:r w:rsidR="00AF2AE5" w:rsidRPr="00882905">
        <w:rPr>
          <w:noProof/>
        </w:rPr>
        <w:t>prz</w:t>
      </w:r>
      <w:r w:rsidRPr="00882905">
        <w:rPr>
          <w:noProof/>
        </w:rPr>
        <w:t>ypadku wszystkich państw członkowskich do ilości wyrobów tytoniowych</w:t>
      </w:r>
      <w:r w:rsidR="00AF2AE5" w:rsidRPr="00882905">
        <w:rPr>
          <w:noProof/>
        </w:rPr>
        <w:t xml:space="preserve"> i</w:t>
      </w:r>
      <w:r w:rsidR="00AF2AE5">
        <w:rPr>
          <w:noProof/>
        </w:rPr>
        <w:t> </w:t>
      </w:r>
      <w:r w:rsidR="00AF2AE5" w:rsidRPr="00882905">
        <w:rPr>
          <w:noProof/>
        </w:rPr>
        <w:t>ilo</w:t>
      </w:r>
      <w:r w:rsidRPr="00882905">
        <w:rPr>
          <w:noProof/>
        </w:rPr>
        <w:t xml:space="preserve">ści substytucyjnych wyrobów tytoniowych dopuszczonych do konsumpcji pomnożonych przez minimalną stawkę mającą zastosowanie do każdego państwa członkowskiego. </w:t>
      </w:r>
    </w:p>
    <w:p w14:paraId="11BB11D3" w14:textId="0E4BFF98" w:rsidR="00704957" w:rsidRPr="00882905" w:rsidRDefault="00704957" w:rsidP="003F4954">
      <w:pPr>
        <w:pStyle w:val="Tiret0"/>
        <w:rPr>
          <w:noProof/>
        </w:rPr>
      </w:pPr>
      <w:r w:rsidRPr="00882905">
        <w:rPr>
          <w:noProof/>
        </w:rPr>
        <w:t>Celem zasobów własnych opartych na wkładzie przedsiębiorstw (Corporate Resource for Europe – CORE) jest zapewnienie, aby sektor przedsiębiorstw, działający na największym na świecie jednolitym rynku</w:t>
      </w:r>
      <w:r w:rsidR="00AF2AE5" w:rsidRPr="00882905">
        <w:rPr>
          <w:noProof/>
        </w:rPr>
        <w:t xml:space="preserve"> z</w:t>
      </w:r>
      <w:r w:rsidR="00AF2AE5">
        <w:rPr>
          <w:noProof/>
        </w:rPr>
        <w:t> </w:t>
      </w:r>
      <w:r w:rsidR="00AF2AE5" w:rsidRPr="00882905">
        <w:rPr>
          <w:noProof/>
        </w:rPr>
        <w:t>pon</w:t>
      </w:r>
      <w:r w:rsidRPr="00882905">
        <w:rPr>
          <w:noProof/>
        </w:rPr>
        <w:t>ad 450 mln konsumentów, wnosił wkład</w:t>
      </w:r>
      <w:r w:rsidR="00AF2AE5" w:rsidRPr="00882905">
        <w:rPr>
          <w:noProof/>
        </w:rPr>
        <w:t xml:space="preserve"> w</w:t>
      </w:r>
      <w:r w:rsidR="00AF2AE5">
        <w:rPr>
          <w:noProof/>
        </w:rPr>
        <w:t> </w:t>
      </w:r>
      <w:r w:rsidR="00AF2AE5" w:rsidRPr="00882905">
        <w:rPr>
          <w:noProof/>
        </w:rPr>
        <w:t>fin</w:t>
      </w:r>
      <w:r w:rsidRPr="00882905">
        <w:rPr>
          <w:noProof/>
        </w:rPr>
        <w:t>ansowanie budżetu UE. Te zasoby własne koncentrowałyby się na unijnych przedsiębiorstwach</w:t>
      </w:r>
      <w:r w:rsidR="00AF2AE5" w:rsidRPr="00882905">
        <w:rPr>
          <w:noProof/>
        </w:rPr>
        <w:t xml:space="preserve"> i</w:t>
      </w:r>
      <w:r w:rsidR="00AF2AE5">
        <w:rPr>
          <w:noProof/>
        </w:rPr>
        <w:t> </w:t>
      </w:r>
      <w:r w:rsidR="00AF2AE5" w:rsidRPr="00882905">
        <w:rPr>
          <w:noProof/>
        </w:rPr>
        <w:t>prz</w:t>
      </w:r>
      <w:r w:rsidRPr="00882905">
        <w:rPr>
          <w:noProof/>
        </w:rPr>
        <w:t>edsiębiorstwach</w:t>
      </w:r>
      <w:r w:rsidR="00AF2AE5" w:rsidRPr="00882905">
        <w:rPr>
          <w:noProof/>
        </w:rPr>
        <w:t xml:space="preserve"> z</w:t>
      </w:r>
      <w:r w:rsidR="00AF2AE5">
        <w:rPr>
          <w:noProof/>
        </w:rPr>
        <w:t> </w:t>
      </w:r>
      <w:r w:rsidR="00AF2AE5" w:rsidRPr="00882905">
        <w:rPr>
          <w:noProof/>
        </w:rPr>
        <w:t>pań</w:t>
      </w:r>
      <w:r w:rsidRPr="00882905">
        <w:rPr>
          <w:noProof/>
        </w:rPr>
        <w:t>stw trzecich ze stałym zakładem w UE, których roczne przychody netto ze sprzedaży przekraczają 100 mln EUR. Zasoby własne CORE zostałyby ustanowione jako roczny ryczałtowy wkład uzależniony od przychodów netto ze sprzedaży uzyskiwanych przez przedsiębiorstwa.</w:t>
      </w:r>
    </w:p>
    <w:p w14:paraId="50A7837A" w14:textId="4C300CC0" w:rsidR="00704957" w:rsidRPr="00882905" w:rsidRDefault="00704957" w:rsidP="003F4954">
      <w:pPr>
        <w:rPr>
          <w:noProof/>
        </w:rPr>
      </w:pPr>
      <w:r w:rsidRPr="00882905">
        <w:rPr>
          <w:noProof/>
        </w:rPr>
        <w:t>Proponuje się ukierunkowane dostosowania istniejących zasobów własnych</w:t>
      </w:r>
      <w:r w:rsidR="00AF2AE5" w:rsidRPr="00882905">
        <w:rPr>
          <w:noProof/>
        </w:rPr>
        <w:t xml:space="preserve"> w</w:t>
      </w:r>
      <w:r w:rsidR="00AF2AE5">
        <w:rPr>
          <w:noProof/>
        </w:rPr>
        <w:t> </w:t>
      </w:r>
      <w:r w:rsidR="00AF2AE5" w:rsidRPr="00882905">
        <w:rPr>
          <w:noProof/>
        </w:rPr>
        <w:t>cel</w:t>
      </w:r>
      <w:r w:rsidRPr="00882905">
        <w:rPr>
          <w:noProof/>
        </w:rPr>
        <w:t>u zachowania podstawy dochodów budżetu UE. Stawkę poboru</w:t>
      </w:r>
      <w:r w:rsidR="00AF2AE5" w:rsidRPr="00882905">
        <w:rPr>
          <w:noProof/>
        </w:rPr>
        <w:t xml:space="preserve"> w</w:t>
      </w:r>
      <w:r w:rsidR="00AF2AE5">
        <w:rPr>
          <w:noProof/>
        </w:rPr>
        <w:t> </w:t>
      </w:r>
      <w:r w:rsidR="00AF2AE5" w:rsidRPr="00882905">
        <w:rPr>
          <w:noProof/>
        </w:rPr>
        <w:t>prz</w:t>
      </w:r>
      <w:r w:rsidRPr="00882905">
        <w:rPr>
          <w:noProof/>
        </w:rPr>
        <w:t>ypadku zasobów własnych opartych na odpadach opakowaniowych</w:t>
      </w:r>
      <w:r w:rsidR="00AF2AE5" w:rsidRPr="00882905">
        <w:rPr>
          <w:noProof/>
        </w:rPr>
        <w:t xml:space="preserve"> z</w:t>
      </w:r>
      <w:r w:rsidR="00AF2AE5">
        <w:rPr>
          <w:noProof/>
        </w:rPr>
        <w:t> </w:t>
      </w:r>
      <w:r w:rsidR="00AF2AE5" w:rsidRPr="00882905">
        <w:rPr>
          <w:noProof/>
        </w:rPr>
        <w:t>two</w:t>
      </w:r>
      <w:r w:rsidRPr="00882905">
        <w:rPr>
          <w:noProof/>
        </w:rPr>
        <w:t>rzyw sztucznych niepoddawanych recyklingowi, które wprowadzono na początku obecnych WRF, ustalono na kwotę zryczałtowaną wynoszącą 0,8 EUR/kg. Inflacja znacznie obniżyła jednak wartość rzeczywistą dochodów</w:t>
      </w:r>
      <w:r w:rsidR="00AF2AE5" w:rsidRPr="00882905">
        <w:rPr>
          <w:noProof/>
        </w:rPr>
        <w:t xml:space="preserve"> z</w:t>
      </w:r>
      <w:r w:rsidR="00AF2AE5">
        <w:rPr>
          <w:noProof/>
        </w:rPr>
        <w:t> </w:t>
      </w:r>
      <w:r w:rsidR="00AF2AE5" w:rsidRPr="00882905">
        <w:rPr>
          <w:noProof/>
        </w:rPr>
        <w:t>tyc</w:t>
      </w:r>
      <w:r w:rsidRPr="00882905">
        <w:rPr>
          <w:noProof/>
        </w:rPr>
        <w:t>h zasobów własnych. Aby to skorygować, proponuje się podwyższenie stawki poboru do nowego poziomu 1 EUR/kg</w:t>
      </w:r>
      <w:r w:rsidR="00AF2AE5" w:rsidRPr="00882905">
        <w:rPr>
          <w:noProof/>
        </w:rPr>
        <w:t xml:space="preserve"> w</w:t>
      </w:r>
      <w:r w:rsidR="00AF2AE5">
        <w:rPr>
          <w:noProof/>
        </w:rPr>
        <w:t> </w:t>
      </w:r>
      <w:r w:rsidR="00AF2AE5" w:rsidRPr="00882905">
        <w:rPr>
          <w:noProof/>
        </w:rPr>
        <w:t>2</w:t>
      </w:r>
      <w:r w:rsidRPr="00882905">
        <w:rPr>
          <w:noProof/>
        </w:rPr>
        <w:t>0</w:t>
      </w:r>
      <w:r w:rsidRPr="00AF2AE5">
        <w:rPr>
          <w:noProof/>
        </w:rPr>
        <w:t>28</w:t>
      </w:r>
      <w:r w:rsidR="00AF2AE5" w:rsidRPr="00AF2AE5">
        <w:rPr>
          <w:noProof/>
        </w:rPr>
        <w:t> </w:t>
      </w:r>
      <w:r w:rsidRPr="00AF2AE5">
        <w:rPr>
          <w:noProof/>
        </w:rPr>
        <w:t>r.</w:t>
      </w:r>
      <w:r w:rsidRPr="00882905">
        <w:rPr>
          <w:noProof/>
        </w:rPr>
        <w:t>,</w:t>
      </w:r>
      <w:r w:rsidR="00AF2AE5" w:rsidRPr="00882905">
        <w:rPr>
          <w:noProof/>
        </w:rPr>
        <w:t xml:space="preserve"> a</w:t>
      </w:r>
      <w:r w:rsidR="00AF2AE5">
        <w:rPr>
          <w:noProof/>
        </w:rPr>
        <w:t> </w:t>
      </w:r>
      <w:r w:rsidR="00AF2AE5" w:rsidRPr="00882905">
        <w:rPr>
          <w:noProof/>
        </w:rPr>
        <w:t>nas</w:t>
      </w:r>
      <w:r w:rsidRPr="00882905">
        <w:rPr>
          <w:noProof/>
        </w:rPr>
        <w:t>tępnie korygowanie jej co roku</w:t>
      </w:r>
      <w:r w:rsidR="00AF2AE5" w:rsidRPr="00882905">
        <w:rPr>
          <w:noProof/>
        </w:rPr>
        <w:t xml:space="preserve"> o</w:t>
      </w:r>
      <w:r w:rsidR="00AF2AE5">
        <w:rPr>
          <w:noProof/>
        </w:rPr>
        <w:t> </w:t>
      </w:r>
      <w:r w:rsidR="00AF2AE5" w:rsidRPr="00882905">
        <w:rPr>
          <w:noProof/>
        </w:rPr>
        <w:t>inf</w:t>
      </w:r>
      <w:r w:rsidRPr="00882905">
        <w:rPr>
          <w:noProof/>
        </w:rPr>
        <w:t xml:space="preserve">lację. Ponadto obecny poziom 25 % należności celnych, które państwa członkowskie zatrzymują na pokrycie swoich kosztów poboru, powoduje, że duża część zasobów własnych nie jest udostępniana budżetowi Unii. Proponuje się zatem obniżenie odsetka kosztów poboru </w:t>
      </w:r>
      <w:r w:rsidRPr="00AF2AE5">
        <w:rPr>
          <w:noProof/>
        </w:rPr>
        <w:t>do</w:t>
      </w:r>
      <w:r w:rsidR="00AF2AE5" w:rsidRPr="00AF2AE5">
        <w:rPr>
          <w:noProof/>
        </w:rPr>
        <w:t> </w:t>
      </w:r>
      <w:r w:rsidRPr="00AF2AE5">
        <w:rPr>
          <w:noProof/>
        </w:rPr>
        <w:t>1</w:t>
      </w:r>
      <w:r w:rsidRPr="00882905">
        <w:rPr>
          <w:noProof/>
        </w:rPr>
        <w:t>0 %. Na koniec we wniosku wyjaśniono, że kwoty związane</w:t>
      </w:r>
      <w:r w:rsidR="00AF2AE5" w:rsidRPr="00882905">
        <w:rPr>
          <w:noProof/>
        </w:rPr>
        <w:t xml:space="preserve"> z</w:t>
      </w:r>
      <w:r w:rsidR="00AF2AE5">
        <w:rPr>
          <w:noProof/>
        </w:rPr>
        <w:t> </w:t>
      </w:r>
      <w:r w:rsidR="00AF2AE5" w:rsidRPr="00882905">
        <w:rPr>
          <w:noProof/>
        </w:rPr>
        <w:t>han</w:t>
      </w:r>
      <w:r w:rsidRPr="00882905">
        <w:rPr>
          <w:noProof/>
        </w:rPr>
        <w:t>dlem elektronicznym ustanowione na podstawie unijnego kodeksu celnego (UKC) należą do kategorii tradycyjnych zasobów własnych.</w:t>
      </w:r>
    </w:p>
    <w:p w14:paraId="456BACD1" w14:textId="25258E4C" w:rsidR="1E65DB30" w:rsidRPr="00882905" w:rsidRDefault="1E65DB30" w:rsidP="003F4954">
      <w:pPr>
        <w:rPr>
          <w:noProof/>
        </w:rPr>
      </w:pPr>
      <w:r w:rsidRPr="00882905">
        <w:rPr>
          <w:noProof/>
        </w:rPr>
        <w:t>Aby zapewnić przejrzysty system zasobów własnych, nie zostaną wprowadzone żadne dostosowania zasobów własnych</w:t>
      </w:r>
      <w:r w:rsidR="00AF2AE5" w:rsidRPr="00882905">
        <w:rPr>
          <w:noProof/>
        </w:rPr>
        <w:t>. W</w:t>
      </w:r>
      <w:r w:rsidR="00AF2AE5">
        <w:rPr>
          <w:noProof/>
        </w:rPr>
        <w:t> </w:t>
      </w:r>
      <w:r w:rsidR="00AF2AE5" w:rsidRPr="00882905">
        <w:rPr>
          <w:noProof/>
        </w:rPr>
        <w:t>zwi</w:t>
      </w:r>
      <w:r w:rsidRPr="00882905">
        <w:rPr>
          <w:noProof/>
        </w:rPr>
        <w:t>ązku</w:t>
      </w:r>
      <w:r w:rsidR="00AF2AE5" w:rsidRPr="00882905">
        <w:rPr>
          <w:noProof/>
        </w:rPr>
        <w:t xml:space="preserve"> z</w:t>
      </w:r>
      <w:r w:rsidR="00AF2AE5">
        <w:rPr>
          <w:noProof/>
        </w:rPr>
        <w:t> </w:t>
      </w:r>
      <w:r w:rsidR="00AF2AE5" w:rsidRPr="00882905">
        <w:rPr>
          <w:noProof/>
        </w:rPr>
        <w:t>tym</w:t>
      </w:r>
      <w:r w:rsidRPr="00882905">
        <w:rPr>
          <w:noProof/>
        </w:rPr>
        <w:t xml:space="preserve"> zaprzestane zostanie stosowanie górnego limitu podstawy opodatkowania VAT,</w:t>
      </w:r>
      <w:r w:rsidR="00AF2AE5" w:rsidRPr="00882905">
        <w:rPr>
          <w:noProof/>
        </w:rPr>
        <w:t xml:space="preserve"> a</w:t>
      </w:r>
      <w:r w:rsidR="00AF2AE5">
        <w:rPr>
          <w:noProof/>
        </w:rPr>
        <w:t> </w:t>
      </w:r>
      <w:r w:rsidR="00AF2AE5" w:rsidRPr="00882905">
        <w:rPr>
          <w:noProof/>
        </w:rPr>
        <w:t>tak</w:t>
      </w:r>
      <w:r w:rsidRPr="00882905">
        <w:rPr>
          <w:noProof/>
        </w:rPr>
        <w:t>że obniżek ryczałtowych mających zastosowanie do zasobów własnych opartych na odpadach opakowaniowych</w:t>
      </w:r>
      <w:r w:rsidR="00AF2AE5" w:rsidRPr="00882905">
        <w:rPr>
          <w:noProof/>
        </w:rPr>
        <w:t xml:space="preserve"> z</w:t>
      </w:r>
      <w:r w:rsidR="00AF2AE5">
        <w:rPr>
          <w:noProof/>
        </w:rPr>
        <w:t> </w:t>
      </w:r>
      <w:r w:rsidR="00AF2AE5" w:rsidRPr="00882905">
        <w:rPr>
          <w:noProof/>
        </w:rPr>
        <w:t>two</w:t>
      </w:r>
      <w:r w:rsidRPr="00882905">
        <w:rPr>
          <w:noProof/>
        </w:rPr>
        <w:t>rzyw sztucznych niepoddawanych recyklingowi oraz zasobów własnych opartych na DNB.</w:t>
      </w:r>
    </w:p>
    <w:p w14:paraId="4ED198DA" w14:textId="4FC8F5A5" w:rsidR="00704957" w:rsidRPr="00882905" w:rsidRDefault="00704957" w:rsidP="003F4954">
      <w:pPr>
        <w:rPr>
          <w:noProof/>
        </w:rPr>
      </w:pPr>
      <w:r w:rsidRPr="00882905">
        <w:rPr>
          <w:noProof/>
        </w:rPr>
        <w:t>W związku</w:t>
      </w:r>
      <w:r w:rsidR="00AF2AE5" w:rsidRPr="00882905">
        <w:rPr>
          <w:noProof/>
        </w:rPr>
        <w:t xml:space="preserve"> z</w:t>
      </w:r>
      <w:r w:rsidR="00AF2AE5">
        <w:rPr>
          <w:noProof/>
        </w:rPr>
        <w:t> </w:t>
      </w:r>
      <w:r w:rsidR="00AF2AE5" w:rsidRPr="00882905">
        <w:rPr>
          <w:noProof/>
        </w:rPr>
        <w:t>moż</w:t>
      </w:r>
      <w:r w:rsidRPr="00882905">
        <w:rPr>
          <w:noProof/>
        </w:rPr>
        <w:t>liwymi zmianami</w:t>
      </w:r>
      <w:r w:rsidR="00AF2AE5" w:rsidRPr="00882905">
        <w:rPr>
          <w:noProof/>
        </w:rPr>
        <w:t xml:space="preserve"> w</w:t>
      </w:r>
      <w:r w:rsidR="00AF2AE5">
        <w:rPr>
          <w:noProof/>
        </w:rPr>
        <w:t> </w:t>
      </w:r>
      <w:r w:rsidR="00AF2AE5" w:rsidRPr="00882905">
        <w:rPr>
          <w:noProof/>
        </w:rPr>
        <w:t>eur</w:t>
      </w:r>
      <w:r w:rsidRPr="00882905">
        <w:rPr>
          <w:noProof/>
        </w:rPr>
        <w:t>opejskim systemie rachunków narodowych</w:t>
      </w:r>
      <w:r w:rsidR="00AF2AE5" w:rsidRPr="00882905">
        <w:rPr>
          <w:noProof/>
        </w:rPr>
        <w:t xml:space="preserve"> i</w:t>
      </w:r>
      <w:r w:rsidR="00AF2AE5">
        <w:rPr>
          <w:noProof/>
        </w:rPr>
        <w:t> </w:t>
      </w:r>
      <w:r w:rsidR="00AF2AE5" w:rsidRPr="00882905">
        <w:rPr>
          <w:noProof/>
        </w:rPr>
        <w:t>reg</w:t>
      </w:r>
      <w:r w:rsidRPr="00882905">
        <w:rPr>
          <w:noProof/>
        </w:rPr>
        <w:t>ionalnych („ESA 2010”) we wniosku wyjaśnia się podejście do takich zmian</w:t>
      </w:r>
      <w:r w:rsidR="00AF2AE5" w:rsidRPr="00882905">
        <w:rPr>
          <w:noProof/>
        </w:rPr>
        <w:t xml:space="preserve"> i</w:t>
      </w:r>
      <w:r w:rsidR="00AF2AE5">
        <w:rPr>
          <w:noProof/>
        </w:rPr>
        <w:t> </w:t>
      </w:r>
      <w:r w:rsidR="00AF2AE5" w:rsidRPr="00882905">
        <w:rPr>
          <w:noProof/>
        </w:rPr>
        <w:t>spo</w:t>
      </w:r>
      <w:r w:rsidRPr="00882905">
        <w:rPr>
          <w:noProof/>
        </w:rPr>
        <w:t>sób postępowania,</w:t>
      </w:r>
      <w:r w:rsidR="00AF2AE5" w:rsidRPr="00882905">
        <w:rPr>
          <w:noProof/>
        </w:rPr>
        <w:t xml:space="preserve"> w</w:t>
      </w:r>
      <w:r w:rsidR="00AF2AE5">
        <w:rPr>
          <w:noProof/>
        </w:rPr>
        <w:t> </w:t>
      </w:r>
      <w:r w:rsidR="00AF2AE5" w:rsidRPr="00882905">
        <w:rPr>
          <w:noProof/>
        </w:rPr>
        <w:t>prz</w:t>
      </w:r>
      <w:r w:rsidRPr="00882905">
        <w:rPr>
          <w:noProof/>
        </w:rPr>
        <w:t>ypadku gdy zmiany te są istotne dla systemu zasobów własnych.</w:t>
      </w:r>
    </w:p>
    <w:p w14:paraId="59E1D59C" w14:textId="3F2B2D8D" w:rsidR="0D1B899A" w:rsidRPr="00882905" w:rsidRDefault="0D1B899A" w:rsidP="003F4954">
      <w:pPr>
        <w:rPr>
          <w:noProof/>
        </w:rPr>
      </w:pPr>
      <w:r w:rsidRPr="00882905">
        <w:rPr>
          <w:noProof/>
        </w:rPr>
        <w:t>Ostatnie lata pokazały, że wzrasta częstotliwość, dotkliwość</w:t>
      </w:r>
      <w:r w:rsidR="00AF2AE5" w:rsidRPr="00882905">
        <w:rPr>
          <w:noProof/>
        </w:rPr>
        <w:t xml:space="preserve"> i</w:t>
      </w:r>
      <w:r w:rsidR="00AF2AE5">
        <w:rPr>
          <w:noProof/>
        </w:rPr>
        <w:t> </w:t>
      </w:r>
      <w:r w:rsidR="00AF2AE5" w:rsidRPr="00882905">
        <w:rPr>
          <w:noProof/>
        </w:rPr>
        <w:t>głę</w:t>
      </w:r>
      <w:r w:rsidRPr="00882905">
        <w:rPr>
          <w:noProof/>
        </w:rPr>
        <w:t>bokość poważnych kryzysów</w:t>
      </w:r>
      <w:r w:rsidR="00AF2AE5" w:rsidRPr="00882905">
        <w:rPr>
          <w:noProof/>
        </w:rPr>
        <w:t xml:space="preserve"> i</w:t>
      </w:r>
      <w:r w:rsidR="00AF2AE5">
        <w:rPr>
          <w:noProof/>
        </w:rPr>
        <w:t> </w:t>
      </w:r>
      <w:r w:rsidR="00AF2AE5" w:rsidRPr="00882905">
        <w:rPr>
          <w:noProof/>
        </w:rPr>
        <w:t>tru</w:t>
      </w:r>
      <w:r w:rsidRPr="00882905">
        <w:rPr>
          <w:noProof/>
        </w:rPr>
        <w:t>dności lub zagrożeń nimi. Sztywność obecnej infrastruktury budżetowej ograniczyła reakcję Unii na takie wydarzenia</w:t>
      </w:r>
      <w:r w:rsidR="00AF2AE5" w:rsidRPr="00882905">
        <w:rPr>
          <w:noProof/>
        </w:rPr>
        <w:t>. W</w:t>
      </w:r>
      <w:r w:rsidR="00AF2AE5">
        <w:rPr>
          <w:noProof/>
        </w:rPr>
        <w:t> </w:t>
      </w:r>
      <w:r w:rsidR="00AF2AE5" w:rsidRPr="00882905">
        <w:rPr>
          <w:noProof/>
        </w:rPr>
        <w:t>zwi</w:t>
      </w:r>
      <w:r w:rsidRPr="00882905">
        <w:rPr>
          <w:noProof/>
        </w:rPr>
        <w:t>ązku</w:t>
      </w:r>
      <w:r w:rsidR="00AF2AE5" w:rsidRPr="00882905">
        <w:rPr>
          <w:noProof/>
        </w:rPr>
        <w:t xml:space="preserve"> z</w:t>
      </w:r>
      <w:r w:rsidR="00AF2AE5">
        <w:rPr>
          <w:noProof/>
        </w:rPr>
        <w:t> </w:t>
      </w:r>
      <w:r w:rsidR="00AF2AE5" w:rsidRPr="00882905">
        <w:rPr>
          <w:noProof/>
        </w:rPr>
        <w:t>tym</w:t>
      </w:r>
      <w:r w:rsidRPr="00882905">
        <w:rPr>
          <w:noProof/>
        </w:rPr>
        <w:t xml:space="preserve"> należy ustanowić nowy nadzwyczajny mechanizm reagowania na takie wydarzenia</w:t>
      </w:r>
      <w:r w:rsidR="00AF2AE5" w:rsidRPr="00882905">
        <w:rPr>
          <w:noProof/>
        </w:rPr>
        <w:t xml:space="preserve"> w</w:t>
      </w:r>
      <w:r w:rsidR="00AF2AE5">
        <w:rPr>
          <w:noProof/>
        </w:rPr>
        <w:t> </w:t>
      </w:r>
      <w:r w:rsidR="00AF2AE5" w:rsidRPr="00882905">
        <w:rPr>
          <w:noProof/>
        </w:rPr>
        <w:t>okr</w:t>
      </w:r>
      <w:r w:rsidRPr="00882905">
        <w:rPr>
          <w:noProof/>
        </w:rPr>
        <w:t>esie kolejnych WRF 2028–2034. Decyzja</w:t>
      </w:r>
      <w:r w:rsidR="00AF2AE5" w:rsidRPr="00882905">
        <w:rPr>
          <w:noProof/>
        </w:rPr>
        <w:t xml:space="preserve"> o</w:t>
      </w:r>
      <w:r w:rsidR="00AF2AE5">
        <w:rPr>
          <w:noProof/>
        </w:rPr>
        <w:t> </w:t>
      </w:r>
      <w:r w:rsidR="00AF2AE5" w:rsidRPr="00882905">
        <w:rPr>
          <w:noProof/>
        </w:rPr>
        <w:t>uru</w:t>
      </w:r>
      <w:r w:rsidRPr="00882905">
        <w:rPr>
          <w:noProof/>
        </w:rPr>
        <w:t>chomieniu tego nadzwyczajnego</w:t>
      </w:r>
      <w:r w:rsidR="00AF2AE5" w:rsidRPr="00882905">
        <w:rPr>
          <w:noProof/>
        </w:rPr>
        <w:t xml:space="preserve"> i</w:t>
      </w:r>
      <w:r w:rsidR="00AF2AE5">
        <w:rPr>
          <w:noProof/>
        </w:rPr>
        <w:t> </w:t>
      </w:r>
      <w:r w:rsidR="00AF2AE5" w:rsidRPr="00882905">
        <w:rPr>
          <w:noProof/>
        </w:rPr>
        <w:t>uki</w:t>
      </w:r>
      <w:r w:rsidRPr="00882905">
        <w:rPr>
          <w:noProof/>
        </w:rPr>
        <w:t>erunkowanego mechanizmu reagowania kryzysowego będzie podejmowana przez Radę</w:t>
      </w:r>
      <w:r w:rsidR="00AF2AE5" w:rsidRPr="00882905">
        <w:rPr>
          <w:noProof/>
        </w:rPr>
        <w:t xml:space="preserve"> z</w:t>
      </w:r>
      <w:r w:rsidR="00AF2AE5">
        <w:rPr>
          <w:noProof/>
        </w:rPr>
        <w:t> </w:t>
      </w:r>
      <w:r w:rsidR="00AF2AE5" w:rsidRPr="00882905">
        <w:rPr>
          <w:noProof/>
        </w:rPr>
        <w:t>uwz</w:t>
      </w:r>
      <w:r w:rsidRPr="00882905">
        <w:rPr>
          <w:noProof/>
        </w:rPr>
        <w:t>ględnieniem specyfiki danego kryzysu</w:t>
      </w:r>
      <w:r w:rsidR="00AF2AE5" w:rsidRPr="00882905">
        <w:rPr>
          <w:noProof/>
        </w:rPr>
        <w:t xml:space="preserve"> i</w:t>
      </w:r>
      <w:r w:rsidR="00AF2AE5">
        <w:rPr>
          <w:noProof/>
        </w:rPr>
        <w:t> </w:t>
      </w:r>
      <w:r w:rsidR="00AF2AE5" w:rsidRPr="00882905">
        <w:rPr>
          <w:noProof/>
        </w:rPr>
        <w:t>wyn</w:t>
      </w:r>
      <w:r w:rsidRPr="00882905">
        <w:rPr>
          <w:noProof/>
        </w:rPr>
        <w:t>ikających</w:t>
      </w:r>
      <w:r w:rsidR="00AF2AE5" w:rsidRPr="00882905">
        <w:rPr>
          <w:noProof/>
        </w:rPr>
        <w:t xml:space="preserve"> z</w:t>
      </w:r>
      <w:r w:rsidR="00AF2AE5">
        <w:rPr>
          <w:noProof/>
        </w:rPr>
        <w:t> </w:t>
      </w:r>
      <w:r w:rsidR="00AF2AE5" w:rsidRPr="00882905">
        <w:rPr>
          <w:noProof/>
        </w:rPr>
        <w:t>nie</w:t>
      </w:r>
      <w:r w:rsidRPr="00882905">
        <w:rPr>
          <w:noProof/>
        </w:rPr>
        <w:t>go potrzeb. Rada stanowić będzie</w:t>
      </w:r>
      <w:r w:rsidR="00AF2AE5" w:rsidRPr="00882905">
        <w:rPr>
          <w:noProof/>
        </w:rPr>
        <w:t xml:space="preserve"> w</w:t>
      </w:r>
      <w:r w:rsidR="00AF2AE5">
        <w:rPr>
          <w:noProof/>
        </w:rPr>
        <w:t> </w:t>
      </w:r>
      <w:r w:rsidR="00AF2AE5" w:rsidRPr="00882905">
        <w:rPr>
          <w:noProof/>
        </w:rPr>
        <w:t>dro</w:t>
      </w:r>
      <w:r w:rsidRPr="00882905">
        <w:rPr>
          <w:noProof/>
        </w:rPr>
        <w:t>dze rozporządzenia Rady, przyjętego zgodnie</w:t>
      </w:r>
      <w:r w:rsidR="00AF2AE5" w:rsidRPr="00882905">
        <w:rPr>
          <w:noProof/>
        </w:rPr>
        <w:t xml:space="preserve"> z</w:t>
      </w:r>
      <w:r w:rsidR="00AF2AE5">
        <w:rPr>
          <w:noProof/>
        </w:rPr>
        <w:t> </w:t>
      </w:r>
      <w:r w:rsidR="00AF2AE5" w:rsidRPr="00882905">
        <w:rPr>
          <w:noProof/>
        </w:rPr>
        <w:t>pro</w:t>
      </w:r>
      <w:r w:rsidRPr="00882905">
        <w:rPr>
          <w:noProof/>
        </w:rPr>
        <w:t>cedurą określoną</w:t>
      </w:r>
      <w:r w:rsidR="00AF2AE5" w:rsidRPr="00882905">
        <w:rPr>
          <w:noProof/>
        </w:rPr>
        <w:t xml:space="preserve"> w</w:t>
      </w:r>
      <w:r w:rsidR="00AF2AE5">
        <w:rPr>
          <w:noProof/>
        </w:rPr>
        <w:t> </w:t>
      </w:r>
      <w:r w:rsidR="00AF2AE5" w:rsidRPr="00AF2AE5">
        <w:rPr>
          <w:noProof/>
        </w:rPr>
        <w:t>art</w:t>
      </w:r>
      <w:r w:rsidRPr="00AF2AE5">
        <w:rPr>
          <w:noProof/>
        </w:rPr>
        <w:t>.</w:t>
      </w:r>
      <w:r w:rsidR="00AF2AE5" w:rsidRPr="00AF2AE5">
        <w:rPr>
          <w:noProof/>
        </w:rPr>
        <w:t> </w:t>
      </w:r>
      <w:r w:rsidRPr="00AF2AE5">
        <w:rPr>
          <w:noProof/>
        </w:rPr>
        <w:t>3</w:t>
      </w:r>
      <w:r w:rsidRPr="00882905">
        <w:rPr>
          <w:noProof/>
        </w:rPr>
        <w:t>11 akapit czwarty Traktatu</w:t>
      </w:r>
      <w:r w:rsidR="00AF2AE5" w:rsidRPr="00882905">
        <w:rPr>
          <w:noProof/>
        </w:rPr>
        <w:t xml:space="preserve"> o</w:t>
      </w:r>
      <w:r w:rsidR="00AF2AE5">
        <w:rPr>
          <w:noProof/>
        </w:rPr>
        <w:t> </w:t>
      </w:r>
      <w:r w:rsidR="00AF2AE5" w:rsidRPr="00882905">
        <w:rPr>
          <w:noProof/>
        </w:rPr>
        <w:t>fun</w:t>
      </w:r>
      <w:r w:rsidRPr="00882905">
        <w:rPr>
          <w:noProof/>
        </w:rPr>
        <w:t>kcjonowaniu Unii Europejskiej (TFUE), po uzyskaniu zgody Parlamentu Europejskiego. Jeżeli taki nadzwyczajny mechanizm reagowania kryzysowego zostanie uruchomiony, jego wdrożenie będzie przebiegać zgodnie</w:t>
      </w:r>
      <w:r w:rsidR="00AF2AE5" w:rsidRPr="00882905">
        <w:rPr>
          <w:noProof/>
        </w:rPr>
        <w:t xml:space="preserve"> z</w:t>
      </w:r>
      <w:r w:rsidR="00AF2AE5">
        <w:rPr>
          <w:noProof/>
        </w:rPr>
        <w:t> </w:t>
      </w:r>
      <w:r w:rsidR="00AF2AE5" w:rsidRPr="00882905">
        <w:rPr>
          <w:noProof/>
        </w:rPr>
        <w:t>prz</w:t>
      </w:r>
      <w:r w:rsidRPr="00882905">
        <w:rPr>
          <w:noProof/>
        </w:rPr>
        <w:t>episami określonymi</w:t>
      </w:r>
      <w:r w:rsidR="00AF2AE5" w:rsidRPr="00882905">
        <w:rPr>
          <w:noProof/>
        </w:rPr>
        <w:t xml:space="preserve"> w</w:t>
      </w:r>
      <w:r w:rsidR="00AF2AE5">
        <w:rPr>
          <w:noProof/>
        </w:rPr>
        <w:t> </w:t>
      </w:r>
      <w:r w:rsidR="00AF2AE5" w:rsidRPr="00882905">
        <w:rPr>
          <w:noProof/>
        </w:rPr>
        <w:t>naj</w:t>
      </w:r>
      <w:r w:rsidRPr="00882905">
        <w:rPr>
          <w:noProof/>
        </w:rPr>
        <w:t xml:space="preserve">bardziej odpowiednim programie lub instrumencie. </w:t>
      </w:r>
    </w:p>
    <w:p w14:paraId="47CCA986" w14:textId="7843D8FE" w:rsidR="0D1B899A" w:rsidRPr="00882905" w:rsidRDefault="0D1B899A" w:rsidP="003F4954">
      <w:pPr>
        <w:rPr>
          <w:noProof/>
        </w:rPr>
      </w:pPr>
      <w:r w:rsidRPr="00882905">
        <w:rPr>
          <w:noProof/>
        </w:rPr>
        <w:t>Rozporządzenie Rady upoważni Komisję do pożyczania na rynkach kapitałowych kwot na pożyczki dla państw członkowskich</w:t>
      </w:r>
      <w:r w:rsidR="00AF2AE5" w:rsidRPr="00882905">
        <w:rPr>
          <w:noProof/>
        </w:rPr>
        <w:t>. W</w:t>
      </w:r>
      <w:r w:rsidR="00AF2AE5">
        <w:rPr>
          <w:noProof/>
        </w:rPr>
        <w:t> </w:t>
      </w:r>
      <w:r w:rsidR="00AF2AE5" w:rsidRPr="00882905">
        <w:rPr>
          <w:noProof/>
        </w:rPr>
        <w:t>roz</w:t>
      </w:r>
      <w:r w:rsidRPr="00882905">
        <w:rPr>
          <w:noProof/>
        </w:rPr>
        <w:t>porządzeniu Rady określone zostaną również zasady spłaty. To nadzwyczajne narzędzie reagowania kryzysowego zostanie wsparte specjalnym zwiększeniem pułapu zasobów własnych.</w:t>
      </w:r>
    </w:p>
    <w:p w14:paraId="11904A15" w14:textId="77777777" w:rsidR="00704957" w:rsidRPr="00882905" w:rsidRDefault="00704957" w:rsidP="00704957">
      <w:pPr>
        <w:pStyle w:val="ManualHeading1"/>
        <w:rPr>
          <w:noProof/>
        </w:rPr>
      </w:pPr>
      <w:r w:rsidRPr="00882905">
        <w:rPr>
          <w:noProof/>
        </w:rPr>
        <w:t>2.</w:t>
      </w:r>
      <w:r w:rsidRPr="00882905">
        <w:rPr>
          <w:noProof/>
        </w:rPr>
        <w:tab/>
        <w:t>RAMY PRAWNE</w:t>
      </w:r>
    </w:p>
    <w:p w14:paraId="6776B748" w14:textId="107A9DDC" w:rsidR="00704957" w:rsidRPr="00882905" w:rsidRDefault="00704957" w:rsidP="00704957">
      <w:pPr>
        <w:pStyle w:val="ManualHeading2"/>
        <w:rPr>
          <w:noProof/>
        </w:rPr>
      </w:pPr>
      <w:r w:rsidRPr="00882905">
        <w:rPr>
          <w:noProof/>
        </w:rPr>
        <w:t>2.1. Decyzja</w:t>
      </w:r>
      <w:r w:rsidR="00AF2AE5" w:rsidRPr="00882905">
        <w:rPr>
          <w:noProof/>
        </w:rPr>
        <w:t xml:space="preserve"> w</w:t>
      </w:r>
      <w:r w:rsidR="00AF2AE5">
        <w:rPr>
          <w:noProof/>
        </w:rPr>
        <w:t> </w:t>
      </w:r>
      <w:r w:rsidR="00AF2AE5" w:rsidRPr="00882905">
        <w:rPr>
          <w:noProof/>
        </w:rPr>
        <w:t>spr</w:t>
      </w:r>
      <w:r w:rsidRPr="00882905">
        <w:rPr>
          <w:noProof/>
        </w:rPr>
        <w:t>awie zasobów własnych</w:t>
      </w:r>
    </w:p>
    <w:p w14:paraId="50623313" w14:textId="486C2286" w:rsidR="00704957" w:rsidRPr="00882905" w:rsidRDefault="00704957" w:rsidP="003F4954">
      <w:pPr>
        <w:rPr>
          <w:noProof/>
        </w:rPr>
      </w:pPr>
      <w:r w:rsidRPr="00882905">
        <w:rPr>
          <w:noProof/>
        </w:rPr>
        <w:t>Zgodnie</w:t>
      </w:r>
      <w:r w:rsidR="00AF2AE5" w:rsidRPr="00882905">
        <w:rPr>
          <w:noProof/>
        </w:rPr>
        <w:t xml:space="preserve"> z</w:t>
      </w:r>
      <w:r w:rsidR="00AF2AE5">
        <w:rPr>
          <w:noProof/>
        </w:rPr>
        <w:t> </w:t>
      </w:r>
      <w:r w:rsidR="00AF2AE5" w:rsidRPr="00AF2AE5">
        <w:rPr>
          <w:noProof/>
        </w:rPr>
        <w:t>art</w:t>
      </w:r>
      <w:r w:rsidRPr="00AF2AE5">
        <w:rPr>
          <w:noProof/>
        </w:rPr>
        <w:t>.</w:t>
      </w:r>
      <w:r w:rsidR="00AF2AE5" w:rsidRPr="00AF2AE5">
        <w:rPr>
          <w:noProof/>
        </w:rPr>
        <w:t> </w:t>
      </w:r>
      <w:r w:rsidRPr="00AF2AE5">
        <w:rPr>
          <w:noProof/>
        </w:rPr>
        <w:t>3</w:t>
      </w:r>
      <w:r w:rsidRPr="00882905">
        <w:rPr>
          <w:noProof/>
        </w:rPr>
        <w:t>11 akapit trzeci TFUE Rada, po konsultacji</w:t>
      </w:r>
      <w:r w:rsidR="00AF2AE5" w:rsidRPr="00882905">
        <w:rPr>
          <w:noProof/>
        </w:rPr>
        <w:t xml:space="preserve"> z</w:t>
      </w:r>
      <w:r w:rsidR="00AF2AE5">
        <w:rPr>
          <w:noProof/>
        </w:rPr>
        <w:t> </w:t>
      </w:r>
      <w:r w:rsidR="00AF2AE5" w:rsidRPr="00882905">
        <w:rPr>
          <w:noProof/>
        </w:rPr>
        <w:t>Par</w:t>
      </w:r>
      <w:r w:rsidRPr="00882905">
        <w:rPr>
          <w:noProof/>
        </w:rPr>
        <w:t>lamentem Europejskim, może „ustanawiać nowe lub uchylać istniejące kategorie zasobów własnych”. Postanowienie to wyraźnie umożliwia tworzenie nowych zasobów własnych.</w:t>
      </w:r>
    </w:p>
    <w:p w14:paraId="624E4BA6" w14:textId="055F2348" w:rsidR="00704957" w:rsidRPr="00882905" w:rsidRDefault="00704957" w:rsidP="003F4954">
      <w:pPr>
        <w:rPr>
          <w:noProof/>
        </w:rPr>
      </w:pPr>
      <w:r w:rsidRPr="00882905">
        <w:rPr>
          <w:noProof/>
        </w:rPr>
        <w:t>Zgodnie ze specjalną procedurą ustawodawczą określoną</w:t>
      </w:r>
      <w:r w:rsidR="00AF2AE5" w:rsidRPr="00882905">
        <w:rPr>
          <w:noProof/>
        </w:rPr>
        <w:t xml:space="preserve"> w</w:t>
      </w:r>
      <w:r w:rsidR="00AF2AE5">
        <w:rPr>
          <w:noProof/>
        </w:rPr>
        <w:t> </w:t>
      </w:r>
      <w:r w:rsidR="00AF2AE5" w:rsidRPr="00882905">
        <w:rPr>
          <w:noProof/>
        </w:rPr>
        <w:t>art</w:t>
      </w:r>
      <w:r w:rsidRPr="00882905">
        <w:rPr>
          <w:noProof/>
        </w:rPr>
        <w:t>. 311 akapit trzeci TFUE Rada przyjmuje decyzję jednomyślnie po konsultacji</w:t>
      </w:r>
      <w:r w:rsidR="00AF2AE5" w:rsidRPr="00882905">
        <w:rPr>
          <w:noProof/>
        </w:rPr>
        <w:t xml:space="preserve"> z</w:t>
      </w:r>
      <w:r w:rsidR="00AF2AE5">
        <w:rPr>
          <w:noProof/>
        </w:rPr>
        <w:t> </w:t>
      </w:r>
      <w:r w:rsidR="00AF2AE5" w:rsidRPr="00882905">
        <w:rPr>
          <w:noProof/>
        </w:rPr>
        <w:t>Par</w:t>
      </w:r>
      <w:r w:rsidRPr="00882905">
        <w:rPr>
          <w:noProof/>
        </w:rPr>
        <w:t>lamentem Europejskim. Decyzja wejdzie</w:t>
      </w:r>
      <w:r w:rsidR="00AF2AE5" w:rsidRPr="00882905">
        <w:rPr>
          <w:noProof/>
        </w:rPr>
        <w:t xml:space="preserve"> w</w:t>
      </w:r>
      <w:r w:rsidR="00AF2AE5">
        <w:rPr>
          <w:noProof/>
        </w:rPr>
        <w:t> </w:t>
      </w:r>
      <w:r w:rsidR="00AF2AE5" w:rsidRPr="00882905">
        <w:rPr>
          <w:noProof/>
        </w:rPr>
        <w:t>życ</w:t>
      </w:r>
      <w:r w:rsidRPr="00882905">
        <w:rPr>
          <w:noProof/>
        </w:rPr>
        <w:t>ie po jej zatwierdzeniu przez państwa członkowskie zgodnie</w:t>
      </w:r>
      <w:r w:rsidR="00AF2AE5" w:rsidRPr="00882905">
        <w:rPr>
          <w:noProof/>
        </w:rPr>
        <w:t xml:space="preserve"> z</w:t>
      </w:r>
      <w:r w:rsidR="00AF2AE5">
        <w:rPr>
          <w:noProof/>
        </w:rPr>
        <w:t> </w:t>
      </w:r>
      <w:r w:rsidR="00AF2AE5" w:rsidRPr="00882905">
        <w:rPr>
          <w:noProof/>
        </w:rPr>
        <w:t>ich</w:t>
      </w:r>
      <w:r w:rsidRPr="00882905">
        <w:rPr>
          <w:noProof/>
        </w:rPr>
        <w:t xml:space="preserve"> wymogami konstytucyjnymi.</w:t>
      </w:r>
    </w:p>
    <w:p w14:paraId="70B900C9" w14:textId="6C504459" w:rsidR="00704957" w:rsidRPr="00882905" w:rsidRDefault="00704957" w:rsidP="003F4954">
      <w:pPr>
        <w:rPr>
          <w:noProof/>
        </w:rPr>
      </w:pPr>
      <w:r w:rsidRPr="00882905">
        <w:rPr>
          <w:noProof/>
        </w:rPr>
        <w:t>Niniejszy wniosek Komisji</w:t>
      </w:r>
      <w:r w:rsidR="00AF2AE5" w:rsidRPr="00882905">
        <w:rPr>
          <w:noProof/>
        </w:rPr>
        <w:t xml:space="preserve"> w</w:t>
      </w:r>
      <w:r w:rsidR="00AF2AE5">
        <w:rPr>
          <w:noProof/>
        </w:rPr>
        <w:t> </w:t>
      </w:r>
      <w:r w:rsidR="00AF2AE5" w:rsidRPr="00882905">
        <w:rPr>
          <w:noProof/>
        </w:rPr>
        <w:t>peł</w:t>
      </w:r>
      <w:r w:rsidRPr="00882905">
        <w:rPr>
          <w:noProof/>
        </w:rPr>
        <w:t>ni wykorzystuje tę możliwość, inicjując tworzenie kilku nowych zasobów własnych.</w:t>
      </w:r>
    </w:p>
    <w:p w14:paraId="046004ED" w14:textId="0DF833D4" w:rsidR="00704957" w:rsidRPr="00882905" w:rsidRDefault="00704957" w:rsidP="00704957">
      <w:pPr>
        <w:pStyle w:val="ManualHeading2"/>
        <w:rPr>
          <w:noProof/>
        </w:rPr>
      </w:pPr>
      <w:r w:rsidRPr="00882905">
        <w:rPr>
          <w:noProof/>
        </w:rPr>
        <w:t>2.2. Środki wykonawcze dotyczące systemu zasobów własnych</w:t>
      </w:r>
      <w:r w:rsidR="00AF2AE5" w:rsidRPr="00882905">
        <w:rPr>
          <w:noProof/>
        </w:rPr>
        <w:t xml:space="preserve"> i</w:t>
      </w:r>
      <w:r w:rsidR="00AF2AE5">
        <w:rPr>
          <w:noProof/>
        </w:rPr>
        <w:t> </w:t>
      </w:r>
      <w:r w:rsidR="00AF2AE5" w:rsidRPr="00882905">
        <w:rPr>
          <w:noProof/>
        </w:rPr>
        <w:t>roz</w:t>
      </w:r>
      <w:r w:rsidRPr="00882905">
        <w:rPr>
          <w:noProof/>
        </w:rPr>
        <w:t>porządzenia</w:t>
      </w:r>
      <w:r w:rsidR="00AF2AE5" w:rsidRPr="00882905">
        <w:rPr>
          <w:noProof/>
        </w:rPr>
        <w:t xml:space="preserve"> o</w:t>
      </w:r>
      <w:r w:rsidR="00AF2AE5">
        <w:rPr>
          <w:noProof/>
        </w:rPr>
        <w:t> </w:t>
      </w:r>
      <w:r w:rsidR="00AF2AE5" w:rsidRPr="00882905">
        <w:rPr>
          <w:noProof/>
        </w:rPr>
        <w:t>udo</w:t>
      </w:r>
      <w:r w:rsidRPr="00882905">
        <w:rPr>
          <w:noProof/>
        </w:rPr>
        <w:t>stępnianiu zasobów własnych</w:t>
      </w:r>
    </w:p>
    <w:p w14:paraId="72A9ACC5" w14:textId="1EEFA917" w:rsidR="00704957" w:rsidRPr="00882905" w:rsidRDefault="00704957" w:rsidP="003F4954">
      <w:pPr>
        <w:rPr>
          <w:noProof/>
        </w:rPr>
      </w:pPr>
      <w:r w:rsidRPr="00882905">
        <w:rPr>
          <w:noProof/>
        </w:rPr>
        <w:t>Art. 311 akapit czwarty TFUE stanowi, że „Rada, stanowiąc</w:t>
      </w:r>
      <w:r w:rsidR="00AF2AE5" w:rsidRPr="00882905">
        <w:rPr>
          <w:noProof/>
        </w:rPr>
        <w:t xml:space="preserve"> w</w:t>
      </w:r>
      <w:r w:rsidR="00AF2AE5">
        <w:rPr>
          <w:noProof/>
        </w:rPr>
        <w:t> </w:t>
      </w:r>
      <w:r w:rsidR="00AF2AE5" w:rsidRPr="00882905">
        <w:rPr>
          <w:noProof/>
        </w:rPr>
        <w:t>dro</w:t>
      </w:r>
      <w:r w:rsidRPr="00882905">
        <w:rPr>
          <w:noProof/>
        </w:rPr>
        <w:t>dze rozporządzenia zgodnie ze specjalną procedurą prawodawczą, ustanawia środki wykonawcze</w:t>
      </w:r>
      <w:r w:rsidR="00AF2AE5" w:rsidRPr="00882905">
        <w:rPr>
          <w:noProof/>
        </w:rPr>
        <w:t xml:space="preserve"> w</w:t>
      </w:r>
      <w:r w:rsidR="00AF2AE5">
        <w:rPr>
          <w:noProof/>
        </w:rPr>
        <w:t> </w:t>
      </w:r>
      <w:r w:rsidR="00AF2AE5" w:rsidRPr="00882905">
        <w:rPr>
          <w:noProof/>
        </w:rPr>
        <w:t>odn</w:t>
      </w:r>
      <w:r w:rsidRPr="00882905">
        <w:rPr>
          <w:noProof/>
        </w:rPr>
        <w:t>iesieniu do systemu zasobów własnych Unii</w:t>
      </w:r>
      <w:r w:rsidR="00AF2AE5" w:rsidRPr="00882905">
        <w:rPr>
          <w:noProof/>
        </w:rPr>
        <w:t xml:space="preserve"> w</w:t>
      </w:r>
      <w:r w:rsidR="00AF2AE5">
        <w:rPr>
          <w:noProof/>
        </w:rPr>
        <w:t> </w:t>
      </w:r>
      <w:r w:rsidR="00AF2AE5" w:rsidRPr="00882905">
        <w:rPr>
          <w:noProof/>
        </w:rPr>
        <w:t>zak</w:t>
      </w:r>
      <w:r w:rsidRPr="00882905">
        <w:rPr>
          <w:noProof/>
        </w:rPr>
        <w:t>resie,</w:t>
      </w:r>
      <w:r w:rsidR="00AF2AE5" w:rsidRPr="00882905">
        <w:rPr>
          <w:noProof/>
        </w:rPr>
        <w:t xml:space="preserve"> w</w:t>
      </w:r>
      <w:r w:rsidR="00AF2AE5">
        <w:rPr>
          <w:noProof/>
        </w:rPr>
        <w:t> </w:t>
      </w:r>
      <w:r w:rsidR="00AF2AE5" w:rsidRPr="00882905">
        <w:rPr>
          <w:noProof/>
        </w:rPr>
        <w:t>jak</w:t>
      </w:r>
      <w:r w:rsidRPr="00882905">
        <w:rPr>
          <w:noProof/>
        </w:rPr>
        <w:t>im zostało to przewidziane</w:t>
      </w:r>
      <w:r w:rsidR="00AF2AE5" w:rsidRPr="00882905">
        <w:rPr>
          <w:noProof/>
        </w:rPr>
        <w:t xml:space="preserve"> w</w:t>
      </w:r>
      <w:r w:rsidR="00AF2AE5">
        <w:rPr>
          <w:noProof/>
        </w:rPr>
        <w:t> </w:t>
      </w:r>
      <w:r w:rsidR="00AF2AE5" w:rsidRPr="00882905">
        <w:rPr>
          <w:noProof/>
        </w:rPr>
        <w:t>dec</w:t>
      </w:r>
      <w:r w:rsidRPr="00882905">
        <w:rPr>
          <w:noProof/>
        </w:rPr>
        <w:t>yzji [w sprawie zasobów własnych]”. Postanowienie to wprowadza możliwość ustanowienia szczególnych środków wykonawczych związanych</w:t>
      </w:r>
      <w:r w:rsidR="00AF2AE5" w:rsidRPr="00882905">
        <w:rPr>
          <w:noProof/>
        </w:rPr>
        <w:t xml:space="preserve"> z</w:t>
      </w:r>
      <w:r w:rsidR="00AF2AE5">
        <w:rPr>
          <w:noProof/>
        </w:rPr>
        <w:t> </w:t>
      </w:r>
      <w:r w:rsidR="00AF2AE5" w:rsidRPr="00882905">
        <w:rPr>
          <w:noProof/>
        </w:rPr>
        <w:t>sys</w:t>
      </w:r>
      <w:r w:rsidRPr="00882905">
        <w:rPr>
          <w:noProof/>
        </w:rPr>
        <w:t>temem zasobów własnych</w:t>
      </w:r>
      <w:r w:rsidR="00AF2AE5" w:rsidRPr="00882905">
        <w:rPr>
          <w:noProof/>
        </w:rPr>
        <w:t xml:space="preserve"> w</w:t>
      </w:r>
      <w:r w:rsidR="00AF2AE5">
        <w:rPr>
          <w:noProof/>
        </w:rPr>
        <w:t> </w:t>
      </w:r>
      <w:r w:rsidR="00AF2AE5" w:rsidRPr="00882905">
        <w:rPr>
          <w:noProof/>
        </w:rPr>
        <w:t>roz</w:t>
      </w:r>
      <w:r w:rsidRPr="00882905">
        <w:rPr>
          <w:noProof/>
        </w:rPr>
        <w:t>porządzeniu (IMSOR)</w:t>
      </w:r>
      <w:r w:rsidR="00AF2AE5" w:rsidRPr="00882905">
        <w:rPr>
          <w:noProof/>
        </w:rPr>
        <w:t xml:space="preserve"> w</w:t>
      </w:r>
      <w:r w:rsidR="00AF2AE5">
        <w:rPr>
          <w:noProof/>
        </w:rPr>
        <w:t> </w:t>
      </w:r>
      <w:r w:rsidR="00AF2AE5" w:rsidRPr="00882905">
        <w:rPr>
          <w:noProof/>
        </w:rPr>
        <w:t>gra</w:t>
      </w:r>
      <w:r w:rsidRPr="00882905">
        <w:rPr>
          <w:noProof/>
        </w:rPr>
        <w:t>nicach określonych</w:t>
      </w:r>
      <w:r w:rsidR="00AF2AE5" w:rsidRPr="00882905">
        <w:rPr>
          <w:noProof/>
        </w:rPr>
        <w:t xml:space="preserve"> w</w:t>
      </w:r>
      <w:r w:rsidR="00AF2AE5">
        <w:rPr>
          <w:noProof/>
        </w:rPr>
        <w:t> </w:t>
      </w:r>
      <w:r w:rsidR="00AF2AE5" w:rsidRPr="00882905">
        <w:rPr>
          <w:noProof/>
        </w:rPr>
        <w:t>dec</w:t>
      </w:r>
      <w:r w:rsidRPr="00882905">
        <w:rPr>
          <w:noProof/>
        </w:rPr>
        <w:t>yzji</w:t>
      </w:r>
      <w:r w:rsidR="00AF2AE5" w:rsidRPr="00882905">
        <w:rPr>
          <w:noProof/>
        </w:rPr>
        <w:t xml:space="preserve"> w</w:t>
      </w:r>
      <w:r w:rsidR="00AF2AE5">
        <w:rPr>
          <w:noProof/>
        </w:rPr>
        <w:t> </w:t>
      </w:r>
      <w:r w:rsidR="00AF2AE5" w:rsidRPr="00882905">
        <w:rPr>
          <w:noProof/>
        </w:rPr>
        <w:t>spr</w:t>
      </w:r>
      <w:r w:rsidRPr="00882905">
        <w:rPr>
          <w:noProof/>
        </w:rPr>
        <w:t>awie zasobów własnych. Nie obejmuje to aspektów systemu zasobów własnych związanych</w:t>
      </w:r>
      <w:r w:rsidR="00AF2AE5" w:rsidRPr="00882905">
        <w:rPr>
          <w:noProof/>
        </w:rPr>
        <w:t xml:space="preserve"> z</w:t>
      </w:r>
      <w:r w:rsidR="00AF2AE5">
        <w:rPr>
          <w:noProof/>
        </w:rPr>
        <w:t> </w:t>
      </w:r>
      <w:r w:rsidR="00AF2AE5" w:rsidRPr="00882905">
        <w:rPr>
          <w:noProof/>
        </w:rPr>
        <w:t>udo</w:t>
      </w:r>
      <w:r w:rsidRPr="00882905">
        <w:rPr>
          <w:noProof/>
        </w:rPr>
        <w:t>stępnianiem zasobów własnych</w:t>
      </w:r>
      <w:r w:rsidR="00AF2AE5" w:rsidRPr="00882905">
        <w:rPr>
          <w:noProof/>
        </w:rPr>
        <w:t xml:space="preserve"> i</w:t>
      </w:r>
      <w:r w:rsidR="00AF2AE5">
        <w:rPr>
          <w:noProof/>
        </w:rPr>
        <w:t> </w:t>
      </w:r>
      <w:r w:rsidR="00AF2AE5" w:rsidRPr="00882905">
        <w:rPr>
          <w:noProof/>
        </w:rPr>
        <w:t>zas</w:t>
      </w:r>
      <w:r w:rsidRPr="00882905">
        <w:rPr>
          <w:noProof/>
        </w:rPr>
        <w:t>pokajaniem potrzeb gotówkowych (zob. poniżej).</w:t>
      </w:r>
    </w:p>
    <w:p w14:paraId="7255F601" w14:textId="50332B18" w:rsidR="00704957" w:rsidRPr="00882905" w:rsidRDefault="00704957" w:rsidP="003F4954">
      <w:pPr>
        <w:rPr>
          <w:noProof/>
        </w:rPr>
      </w:pPr>
      <w:r w:rsidRPr="00882905">
        <w:rPr>
          <w:noProof/>
        </w:rPr>
        <w:t>IMSOR ma zawierać przepisy</w:t>
      </w:r>
      <w:r w:rsidR="00AF2AE5" w:rsidRPr="00882905">
        <w:rPr>
          <w:noProof/>
        </w:rPr>
        <w:t xml:space="preserve"> o</w:t>
      </w:r>
      <w:r w:rsidR="00AF2AE5">
        <w:rPr>
          <w:noProof/>
        </w:rPr>
        <w:t> </w:t>
      </w:r>
      <w:r w:rsidR="00AF2AE5" w:rsidRPr="00882905">
        <w:rPr>
          <w:noProof/>
        </w:rPr>
        <w:t>cha</w:t>
      </w:r>
      <w:r w:rsidRPr="00882905">
        <w:rPr>
          <w:noProof/>
        </w:rPr>
        <w:t>rakterze ogólnym, mające zastosowanie do wszystkich rodzajów zasobów własnych. Przepisy te obejmują głównie kontrolę dochodów</w:t>
      </w:r>
      <w:r w:rsidR="00AF2AE5" w:rsidRPr="00882905">
        <w:rPr>
          <w:noProof/>
        </w:rPr>
        <w:t xml:space="preserve"> i</w:t>
      </w:r>
      <w:r w:rsidR="00AF2AE5">
        <w:rPr>
          <w:noProof/>
        </w:rPr>
        <w:t> </w:t>
      </w:r>
      <w:r w:rsidR="00AF2AE5" w:rsidRPr="00882905">
        <w:rPr>
          <w:noProof/>
        </w:rPr>
        <w:t>nad</w:t>
      </w:r>
      <w:r w:rsidRPr="00882905">
        <w:rPr>
          <w:noProof/>
        </w:rPr>
        <w:t>zór nad nimi oraz związane</w:t>
      </w:r>
      <w:r w:rsidR="00AF2AE5" w:rsidRPr="00882905">
        <w:rPr>
          <w:noProof/>
        </w:rPr>
        <w:t xml:space="preserve"> z</w:t>
      </w:r>
      <w:r w:rsidR="00AF2AE5">
        <w:rPr>
          <w:noProof/>
        </w:rPr>
        <w:t> </w:t>
      </w:r>
      <w:r w:rsidR="00AF2AE5" w:rsidRPr="00882905">
        <w:rPr>
          <w:noProof/>
        </w:rPr>
        <w:t>tym</w:t>
      </w:r>
      <w:r w:rsidRPr="00882905">
        <w:rPr>
          <w:noProof/>
        </w:rPr>
        <w:t xml:space="preserve"> uprawnienia inspektorów Komisji. IMSOR zawierać będzie również pewne aspekty wdrażania zasobów własnych CORE.</w:t>
      </w:r>
    </w:p>
    <w:p w14:paraId="66CB68B1" w14:textId="6D82E247" w:rsidR="00704957" w:rsidRPr="00882905" w:rsidRDefault="00704957" w:rsidP="003F4954">
      <w:pPr>
        <w:rPr>
          <w:noProof/>
        </w:rPr>
      </w:pPr>
      <w:r w:rsidRPr="00882905">
        <w:rPr>
          <w:noProof/>
        </w:rPr>
        <w:t>Poza środkami wykonawczymi</w:t>
      </w:r>
      <w:r w:rsidR="00AF2AE5" w:rsidRPr="00882905">
        <w:rPr>
          <w:noProof/>
        </w:rPr>
        <w:t xml:space="preserve"> w</w:t>
      </w:r>
      <w:r w:rsidR="00AF2AE5">
        <w:rPr>
          <w:noProof/>
        </w:rPr>
        <w:t> </w:t>
      </w:r>
      <w:r w:rsidR="00AF2AE5" w:rsidRPr="00882905">
        <w:rPr>
          <w:noProof/>
        </w:rPr>
        <w:t>roz</w:t>
      </w:r>
      <w:r w:rsidRPr="00882905">
        <w:rPr>
          <w:noProof/>
        </w:rPr>
        <w:t xml:space="preserve">porządzeniach Rady na podstawie </w:t>
      </w:r>
      <w:r w:rsidRPr="00AF2AE5">
        <w:rPr>
          <w:noProof/>
        </w:rPr>
        <w:t>art.</w:t>
      </w:r>
      <w:r w:rsidR="00AF2AE5" w:rsidRPr="00AF2AE5">
        <w:rPr>
          <w:noProof/>
        </w:rPr>
        <w:t> </w:t>
      </w:r>
      <w:r w:rsidRPr="00AF2AE5">
        <w:rPr>
          <w:noProof/>
        </w:rPr>
        <w:t>3</w:t>
      </w:r>
      <w:r w:rsidRPr="00882905">
        <w:rPr>
          <w:noProof/>
        </w:rPr>
        <w:t xml:space="preserve">22 </w:t>
      </w:r>
      <w:r w:rsidRPr="00AF2AE5">
        <w:rPr>
          <w:noProof/>
        </w:rPr>
        <w:t>ust.</w:t>
      </w:r>
      <w:r w:rsidR="00AF2AE5" w:rsidRPr="00AF2AE5">
        <w:rPr>
          <w:noProof/>
        </w:rPr>
        <w:t> </w:t>
      </w:r>
      <w:r w:rsidRPr="00AF2AE5">
        <w:rPr>
          <w:noProof/>
        </w:rPr>
        <w:t>2</w:t>
      </w:r>
      <w:r w:rsidRPr="00882905">
        <w:rPr>
          <w:noProof/>
        </w:rPr>
        <w:t xml:space="preserve"> TFUE określono wymogi operacyjne dotyczące udostępniania zasobów własnych do budżetu UE oraz rachunków Komisji. </w:t>
      </w:r>
    </w:p>
    <w:p w14:paraId="247C3089" w14:textId="77777777" w:rsidR="00704957" w:rsidRPr="00882905" w:rsidRDefault="00704957" w:rsidP="003F4954">
      <w:pPr>
        <w:rPr>
          <w:noProof/>
        </w:rPr>
      </w:pPr>
      <w:r w:rsidRPr="00882905">
        <w:rPr>
          <w:noProof/>
        </w:rPr>
        <w:t xml:space="preserve">W odniesieniu do wszystkich nowych zasobów własnych konieczne są nowe przepisy dotyczące ich udostępniania. </w:t>
      </w:r>
    </w:p>
    <w:p w14:paraId="4B5EB044" w14:textId="77777777" w:rsidR="00704957" w:rsidRPr="00882905" w:rsidRDefault="00704957" w:rsidP="003F4954">
      <w:pPr>
        <w:rPr>
          <w:noProof/>
        </w:rPr>
      </w:pPr>
      <w:r w:rsidRPr="00882905">
        <w:rPr>
          <w:noProof/>
        </w:rPr>
        <w:t>Komisja przedstawi konieczne wnioski na późniejszym etapie.</w:t>
      </w:r>
    </w:p>
    <w:p w14:paraId="0A9CF8E6" w14:textId="77777777" w:rsidR="00704957" w:rsidRPr="00882905" w:rsidRDefault="00704957" w:rsidP="00704957">
      <w:pPr>
        <w:rPr>
          <w:noProof/>
        </w:rPr>
        <w:sectPr w:rsidR="00704957" w:rsidRPr="00882905" w:rsidSect="006D6E16">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14:paraId="10485F05" w14:textId="690C50FF" w:rsidR="00921267" w:rsidRPr="00882905" w:rsidRDefault="00AF2AE5" w:rsidP="00AF2AE5">
      <w:pPr>
        <w:pStyle w:val="Rfrenceinterinstitutionnelle"/>
        <w:rPr>
          <w:noProof/>
        </w:rPr>
      </w:pPr>
      <w:r>
        <w:rPr>
          <w:noProof/>
        </w:rPr>
        <w:t>2025/0574 (CNS)</w:t>
      </w:r>
    </w:p>
    <w:p w14:paraId="43053B03" w14:textId="54FD0084" w:rsidR="00704957" w:rsidRPr="00882905" w:rsidRDefault="00AF2AE5" w:rsidP="00AF2AE5">
      <w:pPr>
        <w:pStyle w:val="Statut"/>
        <w:rPr>
          <w:noProof/>
        </w:rPr>
      </w:pPr>
      <w:r w:rsidRPr="00AF2AE5">
        <w:rPr>
          <w:noProof/>
        </w:rPr>
        <w:t>Wniosek</w:t>
      </w:r>
    </w:p>
    <w:p w14:paraId="3AB5C96B" w14:textId="5090E5ED" w:rsidR="00704957" w:rsidRPr="00882905" w:rsidRDefault="00AF2AE5" w:rsidP="00AF2AE5">
      <w:pPr>
        <w:pStyle w:val="Typedudocument"/>
        <w:rPr>
          <w:noProof/>
        </w:rPr>
      </w:pPr>
      <w:r w:rsidRPr="00AF2AE5">
        <w:rPr>
          <w:noProof/>
        </w:rPr>
        <w:t>DECYZJA RADY</w:t>
      </w:r>
    </w:p>
    <w:p w14:paraId="6AFCD3DA" w14:textId="428D1A85" w:rsidR="00704957" w:rsidRPr="00882905" w:rsidRDefault="00AF2AE5" w:rsidP="00AF2AE5">
      <w:pPr>
        <w:pStyle w:val="Titreobjet"/>
        <w:rPr>
          <w:noProof/>
        </w:rPr>
      </w:pPr>
      <w:r w:rsidRPr="00AF2AE5">
        <w:rPr>
          <w:noProof/>
        </w:rPr>
        <w:t>w sprawie systemu zasobów własnych Unii Europejskiej oraz uchylająca decyzję (UE, Euratom) 2020/2053</w:t>
      </w:r>
    </w:p>
    <w:p w14:paraId="00584511" w14:textId="77777777" w:rsidR="00704957" w:rsidRPr="00882905" w:rsidRDefault="00704957" w:rsidP="00704957">
      <w:pPr>
        <w:pStyle w:val="Institutionquiagit"/>
        <w:rPr>
          <w:noProof/>
        </w:rPr>
      </w:pPr>
      <w:r w:rsidRPr="00882905">
        <w:rPr>
          <w:noProof/>
        </w:rPr>
        <w:t>RADA UNII EUROPEJSKIEJ,</w:t>
      </w:r>
    </w:p>
    <w:p w14:paraId="555E3BD2" w14:textId="190BC605" w:rsidR="00704957" w:rsidRPr="00882905" w:rsidRDefault="00704957" w:rsidP="00704957">
      <w:pPr>
        <w:rPr>
          <w:noProof/>
        </w:rPr>
      </w:pPr>
      <w:r w:rsidRPr="00882905">
        <w:rPr>
          <w:noProof/>
        </w:rPr>
        <w:t>uwzględniając Traktat</w:t>
      </w:r>
      <w:r w:rsidR="00AF2AE5" w:rsidRPr="00882905">
        <w:rPr>
          <w:noProof/>
        </w:rPr>
        <w:t xml:space="preserve"> o</w:t>
      </w:r>
      <w:r w:rsidR="00AF2AE5">
        <w:rPr>
          <w:noProof/>
        </w:rPr>
        <w:t> </w:t>
      </w:r>
      <w:r w:rsidR="00AF2AE5" w:rsidRPr="00882905">
        <w:rPr>
          <w:noProof/>
        </w:rPr>
        <w:t>fun</w:t>
      </w:r>
      <w:r w:rsidRPr="00882905">
        <w:rPr>
          <w:noProof/>
        </w:rPr>
        <w:t>kcjonowaniu Unii Europejskiej,</w:t>
      </w:r>
      <w:r w:rsidR="00AF2AE5" w:rsidRPr="00882905">
        <w:rPr>
          <w:noProof/>
        </w:rPr>
        <w:t xml:space="preserve"> w</w:t>
      </w:r>
      <w:r w:rsidR="00AF2AE5">
        <w:rPr>
          <w:noProof/>
        </w:rPr>
        <w:t> </w:t>
      </w:r>
      <w:r w:rsidR="00AF2AE5" w:rsidRPr="00882905">
        <w:rPr>
          <w:noProof/>
        </w:rPr>
        <w:t>szc</w:t>
      </w:r>
      <w:r w:rsidRPr="00882905">
        <w:rPr>
          <w:noProof/>
        </w:rPr>
        <w:t xml:space="preserve">zególności jego </w:t>
      </w:r>
      <w:r w:rsidRPr="00AF2AE5">
        <w:rPr>
          <w:noProof/>
        </w:rPr>
        <w:t>art.</w:t>
      </w:r>
      <w:r w:rsidR="00AF2AE5" w:rsidRPr="00AF2AE5">
        <w:rPr>
          <w:noProof/>
        </w:rPr>
        <w:t> </w:t>
      </w:r>
      <w:r w:rsidRPr="00AF2AE5">
        <w:rPr>
          <w:noProof/>
        </w:rPr>
        <w:t>3</w:t>
      </w:r>
      <w:r w:rsidRPr="00882905">
        <w:rPr>
          <w:noProof/>
        </w:rPr>
        <w:t>11 akapit trzeci,</w:t>
      </w:r>
    </w:p>
    <w:p w14:paraId="1B29CC4C" w14:textId="4BBD05A0" w:rsidR="00704957" w:rsidRPr="00882905" w:rsidRDefault="00704957" w:rsidP="00704957">
      <w:pPr>
        <w:rPr>
          <w:noProof/>
        </w:rPr>
      </w:pPr>
      <w:r w:rsidRPr="00882905">
        <w:rPr>
          <w:noProof/>
        </w:rPr>
        <w:t>uwzględniając Traktat ustanawiający Europejską Wspólnotę Energii Atomowej,</w:t>
      </w:r>
      <w:r w:rsidR="00AF2AE5" w:rsidRPr="00882905">
        <w:rPr>
          <w:noProof/>
        </w:rPr>
        <w:t xml:space="preserve"> w</w:t>
      </w:r>
      <w:r w:rsidR="00AF2AE5">
        <w:rPr>
          <w:noProof/>
        </w:rPr>
        <w:t> </w:t>
      </w:r>
      <w:r w:rsidR="00AF2AE5" w:rsidRPr="00882905">
        <w:rPr>
          <w:noProof/>
        </w:rPr>
        <w:t>szc</w:t>
      </w:r>
      <w:r w:rsidRPr="00882905">
        <w:rPr>
          <w:noProof/>
        </w:rPr>
        <w:t>zególności jego art. 106a,</w:t>
      </w:r>
    </w:p>
    <w:p w14:paraId="2D8F3BC7" w14:textId="77777777" w:rsidR="00704957" w:rsidRPr="00882905" w:rsidRDefault="00704957" w:rsidP="00704957">
      <w:pPr>
        <w:rPr>
          <w:noProof/>
        </w:rPr>
      </w:pPr>
      <w:r w:rsidRPr="00882905">
        <w:rPr>
          <w:noProof/>
        </w:rPr>
        <w:t>uwzględniając wniosek Komisji Europejskiej,</w:t>
      </w:r>
    </w:p>
    <w:p w14:paraId="6AF515A9" w14:textId="77777777" w:rsidR="00704957" w:rsidRPr="00882905" w:rsidRDefault="00704957" w:rsidP="00704957">
      <w:pPr>
        <w:rPr>
          <w:noProof/>
        </w:rPr>
      </w:pPr>
      <w:r w:rsidRPr="00882905">
        <w:rPr>
          <w:noProof/>
        </w:rPr>
        <w:t>po przekazaniu projektu aktu ustawodawczego parlamentom narodowym,</w:t>
      </w:r>
    </w:p>
    <w:p w14:paraId="574CE277" w14:textId="77777777" w:rsidR="00704957" w:rsidRPr="00882905" w:rsidRDefault="00704957" w:rsidP="00704957">
      <w:pPr>
        <w:rPr>
          <w:noProof/>
        </w:rPr>
      </w:pPr>
      <w:r w:rsidRPr="00882905">
        <w:rPr>
          <w:noProof/>
        </w:rPr>
        <w:t>uwzględniając opinię Parlamentu Europejskiego</w:t>
      </w:r>
      <w:r w:rsidRPr="00882905">
        <w:rPr>
          <w:rStyle w:val="FootnoteReference"/>
          <w:noProof/>
        </w:rPr>
        <w:footnoteReference w:id="3"/>
      </w:r>
      <w:r w:rsidRPr="00882905">
        <w:rPr>
          <w:noProof/>
        </w:rPr>
        <w:t>,</w:t>
      </w:r>
    </w:p>
    <w:p w14:paraId="3B98C2A0" w14:textId="77777777" w:rsidR="00704957" w:rsidRPr="00882905" w:rsidRDefault="00704957" w:rsidP="00704957">
      <w:pPr>
        <w:rPr>
          <w:noProof/>
        </w:rPr>
      </w:pPr>
      <w:r w:rsidRPr="00882905">
        <w:rPr>
          <w:noProof/>
        </w:rPr>
        <w:t xml:space="preserve">stanowiąc zgodnie ze specjalną procedurą ustawodawczą, </w:t>
      </w:r>
    </w:p>
    <w:p w14:paraId="6E6F5455" w14:textId="77777777" w:rsidR="00704957" w:rsidRPr="00882905" w:rsidRDefault="00704957" w:rsidP="00704957">
      <w:pPr>
        <w:rPr>
          <w:noProof/>
        </w:rPr>
      </w:pPr>
      <w:r w:rsidRPr="00882905">
        <w:rPr>
          <w:noProof/>
        </w:rPr>
        <w:t>a także mając na uwadze, co następuje:</w:t>
      </w:r>
    </w:p>
    <w:p w14:paraId="40032369" w14:textId="015F0A04" w:rsidR="00704957" w:rsidRPr="00882905" w:rsidRDefault="00EE785B" w:rsidP="00EE785B">
      <w:pPr>
        <w:pStyle w:val="ManualConsidrant"/>
        <w:rPr>
          <w:noProof/>
        </w:rPr>
      </w:pPr>
      <w:r w:rsidRPr="00EE785B">
        <w:rPr>
          <w:noProof/>
        </w:rPr>
        <w:t>(1)</w:t>
      </w:r>
      <w:r w:rsidRPr="00EE785B">
        <w:rPr>
          <w:noProof/>
        </w:rPr>
        <w:tab/>
      </w:r>
      <w:r w:rsidR="69196BC4" w:rsidRPr="00882905">
        <w:rPr>
          <w:noProof/>
        </w:rPr>
        <w:t>System zasobów własnych Unii powinien zapewniać odpowiednie zasoby na kształtowanie polityk Unii</w:t>
      </w:r>
      <w:r w:rsidR="00AF2AE5" w:rsidRPr="00882905">
        <w:rPr>
          <w:noProof/>
        </w:rPr>
        <w:t xml:space="preserve"> w</w:t>
      </w:r>
      <w:r w:rsidR="00AF2AE5">
        <w:rPr>
          <w:noProof/>
        </w:rPr>
        <w:t> </w:t>
      </w:r>
      <w:r w:rsidR="00AF2AE5" w:rsidRPr="00882905">
        <w:rPr>
          <w:noProof/>
        </w:rPr>
        <w:t>spo</w:t>
      </w:r>
      <w:r w:rsidR="69196BC4" w:rsidRPr="00882905">
        <w:rPr>
          <w:noProof/>
        </w:rPr>
        <w:t>sób uporządkowany, przy uwzględnieniu ścisłej dyscypliny budżetowej. Rozwój systemu zasobów własnych powinien także,</w:t>
      </w:r>
      <w:r w:rsidR="00AF2AE5" w:rsidRPr="00882905">
        <w:rPr>
          <w:noProof/>
        </w:rPr>
        <w:t xml:space="preserve"> w</w:t>
      </w:r>
      <w:r w:rsidR="00AF2AE5">
        <w:rPr>
          <w:noProof/>
        </w:rPr>
        <w:t> </w:t>
      </w:r>
      <w:r w:rsidR="00AF2AE5" w:rsidRPr="00882905">
        <w:rPr>
          <w:noProof/>
        </w:rPr>
        <w:t>naj</w:t>
      </w:r>
      <w:r w:rsidR="69196BC4" w:rsidRPr="00882905">
        <w:rPr>
          <w:noProof/>
        </w:rPr>
        <w:t>szerszym możliwym zakresie, przyczyniać się do kształtowania polityk Unii.</w:t>
      </w:r>
    </w:p>
    <w:p w14:paraId="53724796" w14:textId="2BD0B93C" w:rsidR="00704957" w:rsidRPr="00882905" w:rsidRDefault="00EE785B" w:rsidP="00EE785B">
      <w:pPr>
        <w:pStyle w:val="ManualConsidrant"/>
        <w:rPr>
          <w:noProof/>
        </w:rPr>
      </w:pPr>
      <w:r w:rsidRPr="00EE785B">
        <w:rPr>
          <w:noProof/>
        </w:rPr>
        <w:t>(2)</w:t>
      </w:r>
      <w:r w:rsidRPr="00EE785B">
        <w:rPr>
          <w:noProof/>
        </w:rPr>
        <w:tab/>
      </w:r>
      <w:r w:rsidR="69196BC4" w:rsidRPr="00882905">
        <w:rPr>
          <w:noProof/>
        </w:rPr>
        <w:t>W ramach porozumienia międzyinstytucjonalnego</w:t>
      </w:r>
      <w:r w:rsidR="00AF2AE5" w:rsidRPr="00882905">
        <w:rPr>
          <w:noProof/>
        </w:rPr>
        <w:t xml:space="preserve"> z</w:t>
      </w:r>
      <w:r w:rsidR="00AF2AE5">
        <w:rPr>
          <w:noProof/>
        </w:rPr>
        <w:t> </w:t>
      </w:r>
      <w:r w:rsidR="00AF2AE5" w:rsidRPr="00882905">
        <w:rPr>
          <w:noProof/>
        </w:rPr>
        <w:t>dni</w:t>
      </w:r>
      <w:r w:rsidR="69196BC4" w:rsidRPr="00882905">
        <w:rPr>
          <w:noProof/>
        </w:rPr>
        <w:t>a 16 grudnia 2020 r.</w:t>
      </w:r>
      <w:r w:rsidR="00704957" w:rsidRPr="00882905">
        <w:rPr>
          <w:rStyle w:val="FootnoteReference"/>
          <w:noProof/>
        </w:rPr>
        <w:footnoteReference w:id="4"/>
      </w:r>
      <w:r w:rsidR="69196BC4" w:rsidRPr="00882905">
        <w:rPr>
          <w:noProof/>
        </w:rPr>
        <w:t xml:space="preserve"> Parlament Europejski, Rada</w:t>
      </w:r>
      <w:r w:rsidR="00AF2AE5" w:rsidRPr="00882905">
        <w:rPr>
          <w:noProof/>
        </w:rPr>
        <w:t xml:space="preserve"> i</w:t>
      </w:r>
      <w:r w:rsidR="00AF2AE5">
        <w:rPr>
          <w:noProof/>
        </w:rPr>
        <w:t> </w:t>
      </w:r>
      <w:r w:rsidR="00AF2AE5" w:rsidRPr="00882905">
        <w:rPr>
          <w:noProof/>
        </w:rPr>
        <w:t>Kom</w:t>
      </w:r>
      <w:r w:rsidR="69196BC4" w:rsidRPr="00882905">
        <w:rPr>
          <w:noProof/>
        </w:rPr>
        <w:t>isja uznały znaczenie kontekstu Instrumentu Unii Europejskiej na rzecz Odbudowy oraz stwierdziły, że „wydatki</w:t>
      </w:r>
      <w:r w:rsidR="00AF2AE5" w:rsidRPr="00882905">
        <w:rPr>
          <w:noProof/>
        </w:rPr>
        <w:t xml:space="preserve"> z</w:t>
      </w:r>
      <w:r w:rsidR="00AF2AE5">
        <w:rPr>
          <w:noProof/>
        </w:rPr>
        <w:t> </w:t>
      </w:r>
      <w:r w:rsidR="00AF2AE5" w:rsidRPr="00882905">
        <w:rPr>
          <w:noProof/>
        </w:rPr>
        <w:t>bud</w:t>
      </w:r>
      <w:r w:rsidR="69196BC4" w:rsidRPr="00882905">
        <w:rPr>
          <w:noProof/>
        </w:rPr>
        <w:t>żetu Unii związane ze spłatą Instrumentu Unii Europejskiej na rzecz Odbudowy nie powinny prowadzić do nieuzasadnionego zmniejszenia wydatków na programy lub instrumentów inwestycyjnych</w:t>
      </w:r>
      <w:r w:rsidR="00AF2AE5" w:rsidRPr="00882905">
        <w:rPr>
          <w:noProof/>
        </w:rPr>
        <w:t xml:space="preserve"> w</w:t>
      </w:r>
      <w:r w:rsidR="00AF2AE5">
        <w:rPr>
          <w:noProof/>
        </w:rPr>
        <w:t> </w:t>
      </w:r>
      <w:r w:rsidR="00AF2AE5" w:rsidRPr="00882905">
        <w:rPr>
          <w:noProof/>
        </w:rPr>
        <w:t>ram</w:t>
      </w:r>
      <w:r w:rsidR="69196BC4" w:rsidRPr="00882905">
        <w:rPr>
          <w:noProof/>
        </w:rPr>
        <w:t>ach wieloletnich ram finansowych (WRF)”. Ponadto</w:t>
      </w:r>
      <w:r w:rsidR="00AF2AE5" w:rsidRPr="00882905">
        <w:rPr>
          <w:noProof/>
        </w:rPr>
        <w:t xml:space="preserve"> w</w:t>
      </w:r>
      <w:r w:rsidR="00AF2AE5">
        <w:rPr>
          <w:noProof/>
        </w:rPr>
        <w:t> </w:t>
      </w:r>
      <w:r w:rsidR="00AF2AE5" w:rsidRPr="00882905">
        <w:rPr>
          <w:noProof/>
        </w:rPr>
        <w:t>por</w:t>
      </w:r>
      <w:r w:rsidR="69196BC4" w:rsidRPr="00882905">
        <w:rPr>
          <w:noProof/>
        </w:rPr>
        <w:t>ozumieniu międzyinstytucjonalnym stwierdzono, że „pożądane jest również ograniczenie zwiększania zasobów własnych opartych na dochodzie narodowym brutto (DNB)</w:t>
      </w:r>
      <w:r w:rsidR="00AF2AE5" w:rsidRPr="00882905">
        <w:rPr>
          <w:noProof/>
        </w:rPr>
        <w:t xml:space="preserve"> w</w:t>
      </w:r>
      <w:r w:rsidR="00AF2AE5">
        <w:rPr>
          <w:noProof/>
        </w:rPr>
        <w:t> </w:t>
      </w:r>
      <w:r w:rsidR="00AF2AE5" w:rsidRPr="00882905">
        <w:rPr>
          <w:noProof/>
        </w:rPr>
        <w:t>odn</w:t>
      </w:r>
      <w:r w:rsidR="69196BC4" w:rsidRPr="00882905">
        <w:rPr>
          <w:noProof/>
        </w:rPr>
        <w:t>iesieniu do państw członkowskich”.</w:t>
      </w:r>
    </w:p>
    <w:p w14:paraId="62313A87" w14:textId="6433A1BD" w:rsidR="00704957" w:rsidRPr="00882905" w:rsidRDefault="00EE785B" w:rsidP="00EE785B">
      <w:pPr>
        <w:pStyle w:val="ManualConsidrant"/>
        <w:rPr>
          <w:noProof/>
        </w:rPr>
      </w:pPr>
      <w:r w:rsidRPr="00EE785B">
        <w:rPr>
          <w:noProof/>
        </w:rPr>
        <w:t>(3)</w:t>
      </w:r>
      <w:r w:rsidRPr="00EE785B">
        <w:rPr>
          <w:noProof/>
        </w:rPr>
        <w:tab/>
      </w:r>
      <w:r w:rsidR="69196BC4" w:rsidRPr="00882905">
        <w:rPr>
          <w:noProof/>
        </w:rPr>
        <w:t>Zgodnie</w:t>
      </w:r>
      <w:r w:rsidR="00AF2AE5" w:rsidRPr="00882905">
        <w:rPr>
          <w:noProof/>
        </w:rPr>
        <w:t xml:space="preserve"> z</w:t>
      </w:r>
      <w:r w:rsidR="00AF2AE5">
        <w:rPr>
          <w:noProof/>
        </w:rPr>
        <w:t> </w:t>
      </w:r>
      <w:r w:rsidR="00AF2AE5" w:rsidRPr="00882905">
        <w:rPr>
          <w:noProof/>
        </w:rPr>
        <w:t>por</w:t>
      </w:r>
      <w:r w:rsidR="69196BC4" w:rsidRPr="00882905">
        <w:rPr>
          <w:noProof/>
        </w:rPr>
        <w:t>ozumieniem międzyinstytucjonalnym Komisja przedstawiła</w:t>
      </w:r>
      <w:r w:rsidR="00AF2AE5" w:rsidRPr="00882905">
        <w:rPr>
          <w:noProof/>
        </w:rPr>
        <w:t xml:space="preserve"> w</w:t>
      </w:r>
      <w:r w:rsidR="00AF2AE5">
        <w:rPr>
          <w:noProof/>
        </w:rPr>
        <w:t> </w:t>
      </w:r>
      <w:r w:rsidR="00AF2AE5" w:rsidRPr="00882905">
        <w:rPr>
          <w:noProof/>
        </w:rPr>
        <w:t>lat</w:t>
      </w:r>
      <w:r w:rsidR="69196BC4" w:rsidRPr="00882905">
        <w:rPr>
          <w:noProof/>
        </w:rPr>
        <w:t>ach 2021</w:t>
      </w:r>
      <w:r w:rsidR="00AF2AE5" w:rsidRPr="00882905">
        <w:rPr>
          <w:noProof/>
        </w:rPr>
        <w:t xml:space="preserve"> i</w:t>
      </w:r>
      <w:r w:rsidR="00AF2AE5">
        <w:rPr>
          <w:noProof/>
        </w:rPr>
        <w:t> </w:t>
      </w:r>
      <w:r w:rsidR="00AF2AE5" w:rsidRPr="00882905">
        <w:rPr>
          <w:noProof/>
        </w:rPr>
        <w:t>2</w:t>
      </w:r>
      <w:r w:rsidR="69196BC4" w:rsidRPr="00882905">
        <w:rPr>
          <w:noProof/>
        </w:rPr>
        <w:t>023 wnioski dotyczące wprowadzenia nowych zasobów własnych. Niniejsza decyzja opiera się na wcześniejszych dyskusjach</w:t>
      </w:r>
      <w:r w:rsidR="00AF2AE5" w:rsidRPr="00882905">
        <w:rPr>
          <w:noProof/>
        </w:rPr>
        <w:t xml:space="preserve"> i</w:t>
      </w:r>
      <w:r w:rsidR="00AF2AE5">
        <w:rPr>
          <w:noProof/>
        </w:rPr>
        <w:t> </w:t>
      </w:r>
      <w:r w:rsidR="00AF2AE5" w:rsidRPr="00882905">
        <w:rPr>
          <w:noProof/>
        </w:rPr>
        <w:t>odz</w:t>
      </w:r>
      <w:r w:rsidR="69196BC4" w:rsidRPr="00882905">
        <w:rPr>
          <w:noProof/>
        </w:rPr>
        <w:t>wierciedla priorytety polityczne UE</w:t>
      </w:r>
      <w:r w:rsidR="00AF2AE5" w:rsidRPr="00882905">
        <w:rPr>
          <w:noProof/>
        </w:rPr>
        <w:t xml:space="preserve"> w</w:t>
      </w:r>
      <w:r w:rsidR="00AF2AE5">
        <w:rPr>
          <w:noProof/>
        </w:rPr>
        <w:t> </w:t>
      </w:r>
      <w:r w:rsidR="00AF2AE5" w:rsidRPr="00882905">
        <w:rPr>
          <w:noProof/>
        </w:rPr>
        <w:t>kon</w:t>
      </w:r>
      <w:r w:rsidR="69196BC4" w:rsidRPr="00882905">
        <w:rPr>
          <w:noProof/>
        </w:rPr>
        <w:t>tekście WRF</w:t>
      </w:r>
      <w:r w:rsidR="00AF2AE5" w:rsidRPr="00882905">
        <w:rPr>
          <w:noProof/>
        </w:rPr>
        <w:t>. W</w:t>
      </w:r>
      <w:r w:rsidR="00AF2AE5">
        <w:rPr>
          <w:noProof/>
        </w:rPr>
        <w:t> </w:t>
      </w:r>
      <w:r w:rsidR="00AF2AE5" w:rsidRPr="00882905">
        <w:rPr>
          <w:noProof/>
        </w:rPr>
        <w:t>zwi</w:t>
      </w:r>
      <w:r w:rsidR="69196BC4" w:rsidRPr="00882905">
        <w:rPr>
          <w:noProof/>
        </w:rPr>
        <w:t>ązku</w:t>
      </w:r>
      <w:r w:rsidR="00AF2AE5" w:rsidRPr="00882905">
        <w:rPr>
          <w:noProof/>
        </w:rPr>
        <w:t xml:space="preserve"> z</w:t>
      </w:r>
      <w:r w:rsidR="00AF2AE5">
        <w:rPr>
          <w:noProof/>
        </w:rPr>
        <w:t> </w:t>
      </w:r>
      <w:r w:rsidR="00AF2AE5" w:rsidRPr="00882905">
        <w:rPr>
          <w:noProof/>
        </w:rPr>
        <w:t>tym w</w:t>
      </w:r>
      <w:r w:rsidR="00AF2AE5">
        <w:rPr>
          <w:noProof/>
        </w:rPr>
        <w:t> </w:t>
      </w:r>
      <w:r w:rsidR="00AF2AE5" w:rsidRPr="00882905">
        <w:rPr>
          <w:noProof/>
        </w:rPr>
        <w:t>nin</w:t>
      </w:r>
      <w:r w:rsidR="69196BC4" w:rsidRPr="00882905">
        <w:rPr>
          <w:noProof/>
        </w:rPr>
        <w:t>iejszej decyzji wprowadza się pięć nowych zasobów własnych.</w:t>
      </w:r>
    </w:p>
    <w:p w14:paraId="159F429C" w14:textId="111816E9" w:rsidR="00704957" w:rsidRPr="00882905" w:rsidRDefault="00EE785B" w:rsidP="00EE785B">
      <w:pPr>
        <w:pStyle w:val="ManualConsidrant"/>
        <w:rPr>
          <w:noProof/>
        </w:rPr>
      </w:pPr>
      <w:r w:rsidRPr="00EE785B">
        <w:rPr>
          <w:noProof/>
        </w:rPr>
        <w:t>(4)</w:t>
      </w:r>
      <w:r w:rsidRPr="00EE785B">
        <w:rPr>
          <w:noProof/>
        </w:rPr>
        <w:tab/>
      </w:r>
      <w:r w:rsidR="69196BC4" w:rsidRPr="00882905">
        <w:rPr>
          <w:noProof/>
        </w:rPr>
        <w:t>W ostatnim czasie notuje się wzrost liczby towarów sprzedawanych</w:t>
      </w:r>
      <w:r w:rsidR="00AF2AE5" w:rsidRPr="00882905">
        <w:rPr>
          <w:noProof/>
        </w:rPr>
        <w:t xml:space="preserve"> w</w:t>
      </w:r>
      <w:r w:rsidR="00AF2AE5">
        <w:rPr>
          <w:noProof/>
        </w:rPr>
        <w:t> </w:t>
      </w:r>
      <w:r w:rsidR="00AF2AE5" w:rsidRPr="00882905">
        <w:rPr>
          <w:noProof/>
        </w:rPr>
        <w:t>ram</w:t>
      </w:r>
      <w:r w:rsidR="69196BC4" w:rsidRPr="00882905">
        <w:rPr>
          <w:noProof/>
        </w:rPr>
        <w:t>ach sprzedaży na odległość. Aby pokryć rosnące koszty zapewnienia dopuszczenia tych towarów do swobodnego obrotu przez sprawdzanie dostarczonych danych, przeprowadzanie analizy ryzyka, dokonywanie</w:t>
      </w:r>
      <w:r w:rsidR="00AF2AE5" w:rsidRPr="00882905">
        <w:rPr>
          <w:noProof/>
        </w:rPr>
        <w:t xml:space="preserve"> w</w:t>
      </w:r>
      <w:r w:rsidR="00AF2AE5">
        <w:rPr>
          <w:noProof/>
        </w:rPr>
        <w:t> </w:t>
      </w:r>
      <w:r w:rsidR="00AF2AE5" w:rsidRPr="00882905">
        <w:rPr>
          <w:noProof/>
        </w:rPr>
        <w:t>raz</w:t>
      </w:r>
      <w:r w:rsidR="69196BC4" w:rsidRPr="00882905">
        <w:rPr>
          <w:noProof/>
        </w:rPr>
        <w:t>ie potrzeby kontroli dokumentacji</w:t>
      </w:r>
      <w:r w:rsidR="00AF2AE5" w:rsidRPr="00882905">
        <w:rPr>
          <w:noProof/>
        </w:rPr>
        <w:t xml:space="preserve"> i</w:t>
      </w:r>
      <w:r w:rsidR="00AF2AE5">
        <w:rPr>
          <w:noProof/>
        </w:rPr>
        <w:t> </w:t>
      </w:r>
      <w:r w:rsidR="00AF2AE5" w:rsidRPr="00882905">
        <w:rPr>
          <w:noProof/>
        </w:rPr>
        <w:t>kon</w:t>
      </w:r>
      <w:r w:rsidR="69196BC4" w:rsidRPr="00882905">
        <w:rPr>
          <w:noProof/>
        </w:rPr>
        <w:t>troli fizycznych,</w:t>
      </w:r>
      <w:r w:rsidR="00AF2AE5" w:rsidRPr="00882905">
        <w:rPr>
          <w:noProof/>
        </w:rPr>
        <w:t xml:space="preserve"> w</w:t>
      </w:r>
      <w:r w:rsidR="00AF2AE5">
        <w:rPr>
          <w:noProof/>
        </w:rPr>
        <w:t> </w:t>
      </w:r>
      <w:r w:rsidR="00AF2AE5" w:rsidRPr="00882905">
        <w:rPr>
          <w:noProof/>
        </w:rPr>
        <w:t>han</w:t>
      </w:r>
      <w:r w:rsidR="69196BC4" w:rsidRPr="00882905">
        <w:rPr>
          <w:noProof/>
        </w:rPr>
        <w:t>dlu</w:t>
      </w:r>
      <w:r w:rsidR="00AF2AE5" w:rsidRPr="00882905">
        <w:rPr>
          <w:noProof/>
        </w:rPr>
        <w:t xml:space="preserve"> z</w:t>
      </w:r>
      <w:r w:rsidR="00AF2AE5">
        <w:rPr>
          <w:noProof/>
        </w:rPr>
        <w:t> </w:t>
      </w:r>
      <w:r w:rsidR="00AF2AE5" w:rsidRPr="00882905">
        <w:rPr>
          <w:noProof/>
        </w:rPr>
        <w:t>pań</w:t>
      </w:r>
      <w:r w:rsidR="69196BC4" w:rsidRPr="00882905">
        <w:rPr>
          <w:noProof/>
        </w:rPr>
        <w:t>stwami trzecimi mogą być naliczane nowe kwoty tradycyjnych zasobów własnych, oparte na innych kwotach lub czynnikach, takie jak unijna opłata manipulacyjna, współmierne do usług świadczonych</w:t>
      </w:r>
      <w:r w:rsidR="00AF2AE5" w:rsidRPr="00882905">
        <w:rPr>
          <w:noProof/>
        </w:rPr>
        <w:t xml:space="preserve"> w</w:t>
      </w:r>
      <w:r w:rsidR="00AF2AE5">
        <w:rPr>
          <w:noProof/>
        </w:rPr>
        <w:t> </w:t>
      </w:r>
      <w:r w:rsidR="00AF2AE5" w:rsidRPr="00882905">
        <w:rPr>
          <w:noProof/>
        </w:rPr>
        <w:t>cel</w:t>
      </w:r>
      <w:r w:rsidR="69196BC4" w:rsidRPr="00882905">
        <w:rPr>
          <w:noProof/>
        </w:rPr>
        <w:t>u dopuszczenia tych towarów do swobodnego obrotu. Należy doprecyzować, że ta unijna opłata manipulacyjna jako tradycyjne zasoby własne będzie udostępniana Unii dopiero od dnia 1 stycznia 20</w:t>
      </w:r>
      <w:r w:rsidR="69196BC4" w:rsidRPr="00AF2AE5">
        <w:rPr>
          <w:noProof/>
        </w:rPr>
        <w:t>28</w:t>
      </w:r>
      <w:r w:rsidR="00AF2AE5" w:rsidRPr="00AF2AE5">
        <w:rPr>
          <w:noProof/>
        </w:rPr>
        <w:t> </w:t>
      </w:r>
      <w:r w:rsidR="69196BC4" w:rsidRPr="00AF2AE5">
        <w:rPr>
          <w:noProof/>
        </w:rPr>
        <w:t>r.</w:t>
      </w:r>
      <w:r w:rsidR="69196BC4" w:rsidRPr="00882905">
        <w:rPr>
          <w:noProof/>
        </w:rPr>
        <w:t xml:space="preserve"> </w:t>
      </w:r>
    </w:p>
    <w:p w14:paraId="19CB0DED" w14:textId="218F4A0A" w:rsidR="00704957" w:rsidRPr="00882905" w:rsidRDefault="00EE785B" w:rsidP="00EE785B">
      <w:pPr>
        <w:pStyle w:val="ManualConsidrant"/>
        <w:rPr>
          <w:noProof/>
        </w:rPr>
      </w:pPr>
      <w:r w:rsidRPr="00EE785B">
        <w:rPr>
          <w:noProof/>
        </w:rPr>
        <w:t>(5)</w:t>
      </w:r>
      <w:r w:rsidRPr="00EE785B">
        <w:rPr>
          <w:noProof/>
        </w:rPr>
        <w:tab/>
      </w:r>
      <w:r w:rsidR="69196BC4" w:rsidRPr="00882905">
        <w:rPr>
          <w:noProof/>
        </w:rPr>
        <w:t>W decyzji Rady (UE, Euratom) 2020/2053 ustalono, że odsetek tradycyjnych zasobów własnych zatrzymywanych przez państwa członkowskie na pokrycie kosztów poboru należności celnych wynosi 25 %</w:t>
      </w:r>
      <w:r w:rsidR="00AF2AE5" w:rsidRPr="00882905">
        <w:rPr>
          <w:noProof/>
        </w:rPr>
        <w:t>. Z</w:t>
      </w:r>
      <w:r w:rsidR="00AF2AE5">
        <w:rPr>
          <w:noProof/>
        </w:rPr>
        <w:t> </w:t>
      </w:r>
      <w:r w:rsidR="00AF2AE5" w:rsidRPr="00882905">
        <w:rPr>
          <w:noProof/>
        </w:rPr>
        <w:t>teg</w:t>
      </w:r>
      <w:r w:rsidR="69196BC4" w:rsidRPr="00882905">
        <w:rPr>
          <w:noProof/>
        </w:rPr>
        <w:t>o powodu duża część zasobów własnych nie jest udostępniana budżetowi Unii. Koszty poboru zatrzymywane przez państwa członkowskie</w:t>
      </w:r>
      <w:r w:rsidR="00AF2AE5" w:rsidRPr="00882905">
        <w:rPr>
          <w:noProof/>
        </w:rPr>
        <w:t xml:space="preserve"> z</w:t>
      </w:r>
      <w:r w:rsidR="00AF2AE5">
        <w:rPr>
          <w:noProof/>
        </w:rPr>
        <w:t> </w:t>
      </w:r>
      <w:r w:rsidR="00AF2AE5" w:rsidRPr="00882905">
        <w:rPr>
          <w:noProof/>
        </w:rPr>
        <w:t>tra</w:t>
      </w:r>
      <w:r w:rsidR="69196BC4" w:rsidRPr="00882905">
        <w:rPr>
          <w:noProof/>
        </w:rPr>
        <w:t>dycyjnych zasobów własnych należy obniżyć</w:t>
      </w:r>
      <w:r w:rsidR="00AF2AE5" w:rsidRPr="00882905">
        <w:rPr>
          <w:noProof/>
        </w:rPr>
        <w:t xml:space="preserve"> z</w:t>
      </w:r>
      <w:r w:rsidR="00AF2AE5">
        <w:rPr>
          <w:noProof/>
        </w:rPr>
        <w:t> </w:t>
      </w:r>
      <w:r w:rsidR="00AF2AE5" w:rsidRPr="00882905">
        <w:rPr>
          <w:noProof/>
        </w:rPr>
        <w:t>2</w:t>
      </w:r>
      <w:r w:rsidR="69196BC4" w:rsidRPr="00882905">
        <w:rPr>
          <w:noProof/>
        </w:rPr>
        <w:t>5 % do poziomu 10 %, aby lepiej dostosować wsparcie finansowe na sprzęt, personel, cyfryzację</w:t>
      </w:r>
      <w:r w:rsidR="00AF2AE5" w:rsidRPr="00882905">
        <w:rPr>
          <w:noProof/>
        </w:rPr>
        <w:t xml:space="preserve"> i</w:t>
      </w:r>
      <w:r w:rsidR="00AF2AE5">
        <w:rPr>
          <w:noProof/>
        </w:rPr>
        <w:t> </w:t>
      </w:r>
      <w:r w:rsidR="00AF2AE5" w:rsidRPr="00882905">
        <w:rPr>
          <w:noProof/>
        </w:rPr>
        <w:t>inf</w:t>
      </w:r>
      <w:r w:rsidR="69196BC4" w:rsidRPr="00882905">
        <w:rPr>
          <w:noProof/>
        </w:rPr>
        <w:t>ormacje na potrzeby służb celnych do rzeczywistych kosztów</w:t>
      </w:r>
      <w:r w:rsidR="00AF2AE5" w:rsidRPr="00882905">
        <w:rPr>
          <w:noProof/>
        </w:rPr>
        <w:t xml:space="preserve"> i</w:t>
      </w:r>
      <w:r w:rsidR="00AF2AE5">
        <w:rPr>
          <w:noProof/>
        </w:rPr>
        <w:t> </w:t>
      </w:r>
      <w:r w:rsidR="00AF2AE5" w:rsidRPr="00882905">
        <w:rPr>
          <w:noProof/>
        </w:rPr>
        <w:t>pot</w:t>
      </w:r>
      <w:r w:rsidR="69196BC4" w:rsidRPr="00882905">
        <w:rPr>
          <w:noProof/>
        </w:rPr>
        <w:t>rzeb.</w:t>
      </w:r>
    </w:p>
    <w:p w14:paraId="1DE1F9DE" w14:textId="6C6CB602" w:rsidR="00704957" w:rsidRPr="00882905" w:rsidRDefault="00EE785B" w:rsidP="00EE785B">
      <w:pPr>
        <w:pStyle w:val="ManualConsidrant"/>
        <w:rPr>
          <w:noProof/>
        </w:rPr>
      </w:pPr>
      <w:r w:rsidRPr="00EE785B">
        <w:rPr>
          <w:noProof/>
        </w:rPr>
        <w:t>(6)</w:t>
      </w:r>
      <w:r w:rsidRPr="00EE785B">
        <w:rPr>
          <w:noProof/>
        </w:rPr>
        <w:tab/>
      </w:r>
      <w:r w:rsidR="69196BC4" w:rsidRPr="00882905">
        <w:rPr>
          <w:noProof/>
        </w:rPr>
        <w:t>Jako zasoby własne należy wprowadzić wkład finansowy związany</w:t>
      </w:r>
      <w:r w:rsidR="00AF2AE5" w:rsidRPr="00882905">
        <w:rPr>
          <w:noProof/>
        </w:rPr>
        <w:t xml:space="preserve"> z</w:t>
      </w:r>
      <w:r w:rsidR="00AF2AE5">
        <w:rPr>
          <w:noProof/>
        </w:rPr>
        <w:t> </w:t>
      </w:r>
      <w:r w:rsidR="00AF2AE5" w:rsidRPr="00882905">
        <w:rPr>
          <w:noProof/>
        </w:rPr>
        <w:t>sek</w:t>
      </w:r>
      <w:r w:rsidR="69196BC4" w:rsidRPr="00882905">
        <w:rPr>
          <w:noProof/>
        </w:rPr>
        <w:t>torem przedsiębiorstw. Zasoby własne oparte na wkładzie przedsiębiorstw („CORE”) powinny mieć zastosowanie do przedsiębiorstw będących rezydentami do celów podatkowych</w:t>
      </w:r>
      <w:r w:rsidR="00AF2AE5" w:rsidRPr="00882905">
        <w:rPr>
          <w:noProof/>
        </w:rPr>
        <w:t xml:space="preserve"> w</w:t>
      </w:r>
      <w:r w:rsidR="00AF2AE5">
        <w:rPr>
          <w:noProof/>
        </w:rPr>
        <w:t> </w:t>
      </w:r>
      <w:r w:rsidR="00AF2AE5" w:rsidRPr="00882905">
        <w:rPr>
          <w:noProof/>
        </w:rPr>
        <w:t>Uni</w:t>
      </w:r>
      <w:r w:rsidR="69196BC4" w:rsidRPr="00882905">
        <w:rPr>
          <w:noProof/>
        </w:rPr>
        <w:t>i, których roczne przychody netto ze sprzedaży przekraczają 100 000 000 EUR. Podobnie zasoby własne CORE powinny mieć zastosowanie do zlokalizowanych</w:t>
      </w:r>
      <w:r w:rsidR="00AF2AE5" w:rsidRPr="00882905">
        <w:rPr>
          <w:noProof/>
        </w:rPr>
        <w:t xml:space="preserve"> w</w:t>
      </w:r>
      <w:r w:rsidR="00AF2AE5">
        <w:rPr>
          <w:noProof/>
        </w:rPr>
        <w:t> </w:t>
      </w:r>
      <w:r w:rsidR="00AF2AE5" w:rsidRPr="00882905">
        <w:rPr>
          <w:noProof/>
        </w:rPr>
        <w:t>pań</w:t>
      </w:r>
      <w:r w:rsidR="69196BC4" w:rsidRPr="00882905">
        <w:rPr>
          <w:noProof/>
        </w:rPr>
        <w:t>stwie członkowskim stałych zakładów podmiotów będących rezydentami do celów podatkowych</w:t>
      </w:r>
      <w:r w:rsidR="00AF2AE5" w:rsidRPr="00882905">
        <w:rPr>
          <w:noProof/>
        </w:rPr>
        <w:t xml:space="preserve"> w</w:t>
      </w:r>
      <w:r w:rsidR="00AF2AE5">
        <w:rPr>
          <w:noProof/>
        </w:rPr>
        <w:t> </w:t>
      </w:r>
      <w:r w:rsidR="00AF2AE5" w:rsidRPr="00882905">
        <w:rPr>
          <w:noProof/>
        </w:rPr>
        <w:t>pań</w:t>
      </w:r>
      <w:r w:rsidR="69196BC4" w:rsidRPr="00882905">
        <w:rPr>
          <w:noProof/>
        </w:rPr>
        <w:t>stwie trzecim. CORE powinny mieć zastosowanie do przychodów netto ze sprzedaży uzyskiwanych przez stały zakład, niezależnie od przychodów netto ze sprzedaży uzyskiwanych przez podmiot będący rezydentem do celów podatkowych</w:t>
      </w:r>
      <w:r w:rsidR="00AF2AE5" w:rsidRPr="00882905">
        <w:rPr>
          <w:noProof/>
        </w:rPr>
        <w:t xml:space="preserve"> w</w:t>
      </w:r>
      <w:r w:rsidR="00AF2AE5">
        <w:rPr>
          <w:noProof/>
        </w:rPr>
        <w:t> </w:t>
      </w:r>
      <w:r w:rsidR="00AF2AE5" w:rsidRPr="00882905">
        <w:rPr>
          <w:noProof/>
        </w:rPr>
        <w:t>pań</w:t>
      </w:r>
      <w:r w:rsidR="69196BC4" w:rsidRPr="00882905">
        <w:rPr>
          <w:noProof/>
        </w:rPr>
        <w:t>stwie trzecim, które nie są generowane przez ten stały zakład.</w:t>
      </w:r>
    </w:p>
    <w:p w14:paraId="013B790B" w14:textId="146B1E0E" w:rsidR="00704957" w:rsidRPr="00882905" w:rsidRDefault="00EE785B" w:rsidP="00EE785B">
      <w:pPr>
        <w:pStyle w:val="ManualConsidrant"/>
        <w:rPr>
          <w:noProof/>
        </w:rPr>
      </w:pPr>
      <w:r w:rsidRPr="00EE785B">
        <w:rPr>
          <w:noProof/>
        </w:rPr>
        <w:t>(7)</w:t>
      </w:r>
      <w:r w:rsidRPr="00EE785B">
        <w:rPr>
          <w:noProof/>
        </w:rPr>
        <w:tab/>
      </w:r>
      <w:r w:rsidR="69196BC4" w:rsidRPr="00882905">
        <w:rPr>
          <w:noProof/>
        </w:rPr>
        <w:t>CORE należy ustanowić jako roczny ryczałtowy wkład oparty na przychodach netto ze sprzedaży uzyskiwanych przez przedsiębiorstwa objęte CORE, przy czym wyższe przychody netto ze sprzedaży skutkowałyby większymi wkładami zgodnie z „systemem progowym”. Wykorzystanie przychodów netto ze sprzedaży jako podstawy powinno zapewnić, aby te zasoby własne opierały się na standardowych danych dotyczących przedsiębiorstw. Zastosowanie progu przychodów netto ze sprzedaży</w:t>
      </w:r>
      <w:r w:rsidR="00AF2AE5" w:rsidRPr="00882905">
        <w:rPr>
          <w:noProof/>
        </w:rPr>
        <w:t xml:space="preserve"> w</w:t>
      </w:r>
      <w:r w:rsidR="00AF2AE5">
        <w:rPr>
          <w:noProof/>
        </w:rPr>
        <w:t> </w:t>
      </w:r>
      <w:r w:rsidR="00AF2AE5" w:rsidRPr="00882905">
        <w:rPr>
          <w:noProof/>
        </w:rPr>
        <w:t>wys</w:t>
      </w:r>
      <w:r w:rsidR="69196BC4" w:rsidRPr="00882905">
        <w:rPr>
          <w:noProof/>
        </w:rPr>
        <w:t>okości 100 000 000 EUR powinno zapewnić, aby co do zasady małe</w:t>
      </w:r>
      <w:r w:rsidR="00AF2AE5" w:rsidRPr="00882905">
        <w:rPr>
          <w:noProof/>
        </w:rPr>
        <w:t xml:space="preserve"> i</w:t>
      </w:r>
      <w:r w:rsidR="00AF2AE5">
        <w:rPr>
          <w:noProof/>
        </w:rPr>
        <w:t> </w:t>
      </w:r>
      <w:r w:rsidR="00AF2AE5" w:rsidRPr="00882905">
        <w:rPr>
          <w:noProof/>
        </w:rPr>
        <w:t>śre</w:t>
      </w:r>
      <w:r w:rsidR="69196BC4" w:rsidRPr="00882905">
        <w:rPr>
          <w:noProof/>
        </w:rPr>
        <w:t>dnie przedsiębiorstwa były wyłączone</w:t>
      </w:r>
      <w:r w:rsidR="00AF2AE5" w:rsidRPr="00882905">
        <w:rPr>
          <w:noProof/>
        </w:rPr>
        <w:t xml:space="preserve"> z</w:t>
      </w:r>
      <w:r w:rsidR="00AF2AE5">
        <w:rPr>
          <w:noProof/>
        </w:rPr>
        <w:t> </w:t>
      </w:r>
      <w:r w:rsidR="00AF2AE5" w:rsidRPr="00882905">
        <w:rPr>
          <w:noProof/>
        </w:rPr>
        <w:t>zak</w:t>
      </w:r>
      <w:r w:rsidR="69196BC4" w:rsidRPr="00882905">
        <w:rPr>
          <w:noProof/>
        </w:rPr>
        <w:t>resu CORE. Należy również wyłączyć</w:t>
      </w:r>
      <w:r w:rsidR="00AF2AE5" w:rsidRPr="00882905">
        <w:rPr>
          <w:noProof/>
        </w:rPr>
        <w:t xml:space="preserve"> z</w:t>
      </w:r>
      <w:r w:rsidR="00AF2AE5">
        <w:rPr>
          <w:noProof/>
        </w:rPr>
        <w:t> </w:t>
      </w:r>
      <w:r w:rsidR="00AF2AE5" w:rsidRPr="00882905">
        <w:rPr>
          <w:noProof/>
        </w:rPr>
        <w:t>zak</w:t>
      </w:r>
      <w:r w:rsidR="69196BC4" w:rsidRPr="00882905">
        <w:rPr>
          <w:noProof/>
        </w:rPr>
        <w:t>resu CORE niektóre podmioty, które ze względu na swój szczególny cel</w:t>
      </w:r>
      <w:r w:rsidR="00AF2AE5" w:rsidRPr="00882905">
        <w:rPr>
          <w:noProof/>
        </w:rPr>
        <w:t xml:space="preserve"> i</w:t>
      </w:r>
      <w:r w:rsidR="00AF2AE5">
        <w:rPr>
          <w:noProof/>
        </w:rPr>
        <w:t> </w:t>
      </w:r>
      <w:r w:rsidR="00AF2AE5" w:rsidRPr="00882905">
        <w:rPr>
          <w:noProof/>
        </w:rPr>
        <w:t>sta</w:t>
      </w:r>
      <w:r w:rsidR="69196BC4" w:rsidRPr="00882905">
        <w:rPr>
          <w:noProof/>
        </w:rPr>
        <w:t>tus zasadniczo nie prowadzą działalności handlowej ani gospodarczej</w:t>
      </w:r>
      <w:r w:rsidR="00AF2AE5" w:rsidRPr="00882905">
        <w:rPr>
          <w:noProof/>
        </w:rPr>
        <w:t xml:space="preserve"> w</w:t>
      </w:r>
      <w:r w:rsidR="00AF2AE5">
        <w:rPr>
          <w:noProof/>
        </w:rPr>
        <w:t> </w:t>
      </w:r>
      <w:r w:rsidR="00AF2AE5" w:rsidRPr="00882905">
        <w:rPr>
          <w:noProof/>
        </w:rPr>
        <w:t>cel</w:t>
      </w:r>
      <w:r w:rsidR="69196BC4" w:rsidRPr="00882905">
        <w:rPr>
          <w:noProof/>
        </w:rPr>
        <w:t>ach zarobkowych</w:t>
      </w:r>
      <w:r w:rsidR="00AF2AE5" w:rsidRPr="00882905">
        <w:rPr>
          <w:noProof/>
        </w:rPr>
        <w:t>. W</w:t>
      </w:r>
      <w:r w:rsidR="00AF2AE5">
        <w:rPr>
          <w:noProof/>
        </w:rPr>
        <w:t> </w:t>
      </w:r>
      <w:r w:rsidR="00AF2AE5" w:rsidRPr="00882905">
        <w:rPr>
          <w:noProof/>
        </w:rPr>
        <w:t>zwi</w:t>
      </w:r>
      <w:r w:rsidR="69196BC4" w:rsidRPr="00882905">
        <w:rPr>
          <w:noProof/>
        </w:rPr>
        <w:t>ązku</w:t>
      </w:r>
      <w:r w:rsidR="00AF2AE5" w:rsidRPr="00882905">
        <w:rPr>
          <w:noProof/>
        </w:rPr>
        <w:t xml:space="preserve"> z</w:t>
      </w:r>
      <w:r w:rsidR="00AF2AE5">
        <w:rPr>
          <w:noProof/>
        </w:rPr>
        <w:t> </w:t>
      </w:r>
      <w:r w:rsidR="00AF2AE5" w:rsidRPr="00882905">
        <w:rPr>
          <w:noProof/>
        </w:rPr>
        <w:t>tym</w:t>
      </w:r>
      <w:r w:rsidR="69196BC4" w:rsidRPr="00882905">
        <w:rPr>
          <w:noProof/>
        </w:rPr>
        <w:t xml:space="preserve"> podmioty rządowe (z wyjątkiem przedsiębiorstw państwowych), organizacje międzynarodowe</w:t>
      </w:r>
      <w:r w:rsidR="00AF2AE5" w:rsidRPr="00882905">
        <w:rPr>
          <w:noProof/>
        </w:rPr>
        <w:t xml:space="preserve"> i</w:t>
      </w:r>
      <w:r w:rsidR="00AF2AE5">
        <w:rPr>
          <w:noProof/>
        </w:rPr>
        <w:t> </w:t>
      </w:r>
      <w:r w:rsidR="00AF2AE5" w:rsidRPr="00882905">
        <w:rPr>
          <w:noProof/>
        </w:rPr>
        <w:t>org</w:t>
      </w:r>
      <w:r w:rsidR="69196BC4" w:rsidRPr="00882905">
        <w:rPr>
          <w:noProof/>
        </w:rPr>
        <w:t>anizacje nienastawione na zysk powinny być wyłączone</w:t>
      </w:r>
      <w:r w:rsidR="00AF2AE5" w:rsidRPr="00882905">
        <w:rPr>
          <w:noProof/>
        </w:rPr>
        <w:t xml:space="preserve"> z</w:t>
      </w:r>
      <w:r w:rsidR="00AF2AE5">
        <w:rPr>
          <w:noProof/>
        </w:rPr>
        <w:t> </w:t>
      </w:r>
      <w:r w:rsidR="00AF2AE5" w:rsidRPr="00882905">
        <w:rPr>
          <w:noProof/>
        </w:rPr>
        <w:t>zak</w:t>
      </w:r>
      <w:r w:rsidR="69196BC4" w:rsidRPr="00882905">
        <w:rPr>
          <w:noProof/>
        </w:rPr>
        <w:t>resu CORE. CORE powinny mieć zastosowanie na poziomie podmiotu lub na poziomie każdego zlokalizowanego</w:t>
      </w:r>
      <w:r w:rsidR="00AF2AE5" w:rsidRPr="00882905">
        <w:rPr>
          <w:noProof/>
        </w:rPr>
        <w:t xml:space="preserve"> w</w:t>
      </w:r>
      <w:r w:rsidR="00AF2AE5">
        <w:rPr>
          <w:noProof/>
        </w:rPr>
        <w:t> </w:t>
      </w:r>
      <w:r w:rsidR="00AF2AE5" w:rsidRPr="00882905">
        <w:rPr>
          <w:noProof/>
        </w:rPr>
        <w:t>pań</w:t>
      </w:r>
      <w:r w:rsidR="69196BC4" w:rsidRPr="00882905">
        <w:rPr>
          <w:noProof/>
        </w:rPr>
        <w:t>stwie członkowskim stałego zakładu podmiotów będących rezydentami do celów podatkowych</w:t>
      </w:r>
      <w:r w:rsidR="00AF2AE5" w:rsidRPr="00882905">
        <w:rPr>
          <w:noProof/>
        </w:rPr>
        <w:t xml:space="preserve"> w</w:t>
      </w:r>
      <w:r w:rsidR="00AF2AE5">
        <w:rPr>
          <w:noProof/>
        </w:rPr>
        <w:t> </w:t>
      </w:r>
      <w:r w:rsidR="00AF2AE5" w:rsidRPr="00882905">
        <w:rPr>
          <w:noProof/>
        </w:rPr>
        <w:t>pań</w:t>
      </w:r>
      <w:r w:rsidR="69196BC4" w:rsidRPr="00882905">
        <w:rPr>
          <w:noProof/>
        </w:rPr>
        <w:t xml:space="preserve">stwie trzecim. </w:t>
      </w:r>
    </w:p>
    <w:p w14:paraId="619F41BB" w14:textId="47F4C660" w:rsidR="00704957" w:rsidRPr="00882905" w:rsidRDefault="00EE785B" w:rsidP="00EE785B">
      <w:pPr>
        <w:pStyle w:val="ManualConsidrant"/>
        <w:rPr>
          <w:noProof/>
        </w:rPr>
      </w:pPr>
      <w:r w:rsidRPr="00EE785B">
        <w:rPr>
          <w:noProof/>
        </w:rPr>
        <w:t>(8)</w:t>
      </w:r>
      <w:r w:rsidRPr="00EE785B">
        <w:rPr>
          <w:noProof/>
        </w:rPr>
        <w:tab/>
      </w:r>
      <w:r w:rsidR="69196BC4" w:rsidRPr="00882905">
        <w:rPr>
          <w:noProof/>
        </w:rPr>
        <w:t>Do celów wdrożenia CORE konieczne jest wskazanie przedsiębiorstw, które będą miały zobowiązania wobec Unii, oraz określenie zakresu ich zobowiązań. Ponadto należy powierzyć państwom członkowskim zadanie pobierania CORE</w:t>
      </w:r>
      <w:r w:rsidR="00AF2AE5" w:rsidRPr="00882905">
        <w:rPr>
          <w:noProof/>
        </w:rPr>
        <w:t xml:space="preserve"> w</w:t>
      </w:r>
      <w:r w:rsidR="00AF2AE5">
        <w:rPr>
          <w:noProof/>
        </w:rPr>
        <w:t> </w:t>
      </w:r>
      <w:r w:rsidR="00AF2AE5" w:rsidRPr="00882905">
        <w:rPr>
          <w:noProof/>
        </w:rPr>
        <w:t>imi</w:t>
      </w:r>
      <w:r w:rsidR="69196BC4" w:rsidRPr="00882905">
        <w:rPr>
          <w:noProof/>
        </w:rPr>
        <w:t>eniu Unii</w:t>
      </w:r>
      <w:r w:rsidR="00AF2AE5" w:rsidRPr="00882905">
        <w:rPr>
          <w:noProof/>
        </w:rPr>
        <w:t xml:space="preserve"> i</w:t>
      </w:r>
      <w:r w:rsidR="00AF2AE5">
        <w:rPr>
          <w:noProof/>
        </w:rPr>
        <w:t> </w:t>
      </w:r>
      <w:r w:rsidR="00AF2AE5" w:rsidRPr="00882905">
        <w:rPr>
          <w:noProof/>
        </w:rPr>
        <w:t>zgo</w:t>
      </w:r>
      <w:r w:rsidR="69196BC4" w:rsidRPr="00882905">
        <w:rPr>
          <w:noProof/>
        </w:rPr>
        <w:t>dnie</w:t>
      </w:r>
      <w:r w:rsidR="00AF2AE5" w:rsidRPr="00882905">
        <w:rPr>
          <w:noProof/>
        </w:rPr>
        <w:t xml:space="preserve"> z</w:t>
      </w:r>
      <w:r w:rsidR="00AF2AE5">
        <w:rPr>
          <w:noProof/>
        </w:rPr>
        <w:t> </w:t>
      </w:r>
      <w:r w:rsidR="00AF2AE5" w:rsidRPr="00882905">
        <w:rPr>
          <w:noProof/>
        </w:rPr>
        <w:t>wym</w:t>
      </w:r>
      <w:r w:rsidR="69196BC4" w:rsidRPr="00882905">
        <w:rPr>
          <w:noProof/>
        </w:rPr>
        <w:t>ogami unijnych przepisów.</w:t>
      </w:r>
    </w:p>
    <w:p w14:paraId="35A99F9E" w14:textId="42BC2C1A" w:rsidR="00704957" w:rsidRPr="00882905" w:rsidRDefault="00EE785B" w:rsidP="00EE785B">
      <w:pPr>
        <w:pStyle w:val="ManualConsidrant"/>
        <w:rPr>
          <w:noProof/>
        </w:rPr>
      </w:pPr>
      <w:r w:rsidRPr="00EE785B">
        <w:rPr>
          <w:noProof/>
        </w:rPr>
        <w:t>(9)</w:t>
      </w:r>
      <w:r w:rsidRPr="00EE785B">
        <w:rPr>
          <w:noProof/>
        </w:rPr>
        <w:tab/>
      </w:r>
      <w:r w:rsidR="69196BC4" w:rsidRPr="00882905">
        <w:rPr>
          <w:noProof/>
        </w:rPr>
        <w:t>Dyrektywą Rady 2011/64/UE wprowadzono zharmonizowane stawki minimalne dla wyrobów tytoniowych dopuszczonych do konsumpcji. Dyrektywa Rady [XXX] przekształcająca dyrektywę Rady 2011/64/UE zmienia strukturę stawek minimalnych</w:t>
      </w:r>
      <w:r w:rsidR="00AF2AE5" w:rsidRPr="00882905">
        <w:rPr>
          <w:noProof/>
        </w:rPr>
        <w:t xml:space="preserve"> i</w:t>
      </w:r>
      <w:r w:rsidR="00AF2AE5">
        <w:rPr>
          <w:noProof/>
        </w:rPr>
        <w:t> </w:t>
      </w:r>
      <w:r w:rsidR="00AF2AE5" w:rsidRPr="00882905">
        <w:rPr>
          <w:noProof/>
        </w:rPr>
        <w:t>roz</w:t>
      </w:r>
      <w:r w:rsidR="69196BC4" w:rsidRPr="00882905">
        <w:rPr>
          <w:noProof/>
        </w:rPr>
        <w:t>szerza zakres dyrektywy na substytucyjne wyroby tytoniowe. Jednocześnie palenie tytoniu pozostaje wyzwaniem dla polityki zdrowotnej</w:t>
      </w:r>
      <w:r w:rsidR="00AF2AE5" w:rsidRPr="00882905">
        <w:rPr>
          <w:noProof/>
        </w:rPr>
        <w:t xml:space="preserve"> w</w:t>
      </w:r>
      <w:r w:rsidR="00AF2AE5">
        <w:rPr>
          <w:noProof/>
        </w:rPr>
        <w:t> </w:t>
      </w:r>
      <w:r w:rsidR="00AF2AE5" w:rsidRPr="00882905">
        <w:rPr>
          <w:noProof/>
        </w:rPr>
        <w:t>cał</w:t>
      </w:r>
      <w:r w:rsidR="69196BC4" w:rsidRPr="00882905">
        <w:rPr>
          <w:noProof/>
        </w:rPr>
        <w:t>ej UE. Aby wspierać odpowiednią politykę zdrowotną, uwzględniając zakłócające konkurencję transgraniczne zakupy tych produktów napędzane różnicami</w:t>
      </w:r>
      <w:r w:rsidR="00AF2AE5" w:rsidRPr="00882905">
        <w:rPr>
          <w:noProof/>
        </w:rPr>
        <w:t xml:space="preserve"> w</w:t>
      </w:r>
      <w:r w:rsidR="00AF2AE5">
        <w:rPr>
          <w:noProof/>
        </w:rPr>
        <w:t> </w:t>
      </w:r>
      <w:r w:rsidR="00AF2AE5" w:rsidRPr="00882905">
        <w:rPr>
          <w:noProof/>
        </w:rPr>
        <w:t>opo</w:t>
      </w:r>
      <w:r w:rsidR="69196BC4" w:rsidRPr="00882905">
        <w:rPr>
          <w:noProof/>
        </w:rPr>
        <w:t>datkowaniu, należy ustanowić jako zasoby własne stawkę poboru</w:t>
      </w:r>
      <w:r w:rsidR="00AF2AE5" w:rsidRPr="00882905">
        <w:rPr>
          <w:noProof/>
        </w:rPr>
        <w:t xml:space="preserve"> w</w:t>
      </w:r>
      <w:r w:rsidR="00AF2AE5">
        <w:rPr>
          <w:noProof/>
        </w:rPr>
        <w:t> </w:t>
      </w:r>
      <w:r w:rsidR="00AF2AE5" w:rsidRPr="00882905">
        <w:rPr>
          <w:noProof/>
        </w:rPr>
        <w:t>wys</w:t>
      </w:r>
      <w:r w:rsidR="69196BC4" w:rsidRPr="00882905">
        <w:rPr>
          <w:noProof/>
        </w:rPr>
        <w:t>okości 15 %</w:t>
      </w:r>
      <w:r w:rsidR="00AF2AE5" w:rsidRPr="00882905">
        <w:rPr>
          <w:noProof/>
        </w:rPr>
        <w:t xml:space="preserve"> w</w:t>
      </w:r>
      <w:r w:rsidR="00AF2AE5">
        <w:rPr>
          <w:noProof/>
        </w:rPr>
        <w:t> </w:t>
      </w:r>
      <w:r w:rsidR="00AF2AE5" w:rsidRPr="00882905">
        <w:rPr>
          <w:noProof/>
        </w:rPr>
        <w:t>odn</w:t>
      </w:r>
      <w:r w:rsidR="69196BC4" w:rsidRPr="00882905">
        <w:rPr>
          <w:noProof/>
        </w:rPr>
        <w:t xml:space="preserve">iesieniu do dochodów pochodzących ze stosowania tych zharmonizowanych stawek minimalnych do produktów dopuszczonych do konsumpcji. </w:t>
      </w:r>
    </w:p>
    <w:p w14:paraId="475D38EE" w14:textId="27CB7109" w:rsidR="00704957" w:rsidRPr="00882905" w:rsidRDefault="00EE785B" w:rsidP="00EE785B">
      <w:pPr>
        <w:pStyle w:val="ManualConsidrant"/>
        <w:rPr>
          <w:noProof/>
        </w:rPr>
      </w:pPr>
      <w:r w:rsidRPr="00EE785B">
        <w:rPr>
          <w:noProof/>
        </w:rPr>
        <w:t>(10)</w:t>
      </w:r>
      <w:r w:rsidRPr="00EE785B">
        <w:rPr>
          <w:noProof/>
        </w:rPr>
        <w:tab/>
      </w:r>
      <w:r w:rsidR="69196BC4" w:rsidRPr="00882905">
        <w:rPr>
          <w:noProof/>
        </w:rPr>
        <w:t>W decyzji Rady (UE, Euratom) 2020/2053 ustalono stawkę poboru</w:t>
      </w:r>
      <w:r w:rsidR="00AF2AE5" w:rsidRPr="00882905">
        <w:rPr>
          <w:noProof/>
        </w:rPr>
        <w:t xml:space="preserve"> w</w:t>
      </w:r>
      <w:r w:rsidR="00AF2AE5">
        <w:rPr>
          <w:noProof/>
        </w:rPr>
        <w:t> </w:t>
      </w:r>
      <w:r w:rsidR="00AF2AE5" w:rsidRPr="00882905">
        <w:rPr>
          <w:noProof/>
        </w:rPr>
        <w:t>odn</w:t>
      </w:r>
      <w:r w:rsidR="69196BC4" w:rsidRPr="00882905">
        <w:rPr>
          <w:noProof/>
        </w:rPr>
        <w:t>iesieniu do zasobów własnych opartych na odpadach opakowaniowych</w:t>
      </w:r>
      <w:r w:rsidR="00AF2AE5" w:rsidRPr="00882905">
        <w:rPr>
          <w:noProof/>
        </w:rPr>
        <w:t xml:space="preserve"> z</w:t>
      </w:r>
      <w:r w:rsidR="00AF2AE5">
        <w:rPr>
          <w:noProof/>
        </w:rPr>
        <w:t> </w:t>
      </w:r>
      <w:r w:rsidR="00AF2AE5" w:rsidRPr="00882905">
        <w:rPr>
          <w:noProof/>
        </w:rPr>
        <w:t>two</w:t>
      </w:r>
      <w:r w:rsidR="69196BC4" w:rsidRPr="00882905">
        <w:rPr>
          <w:noProof/>
        </w:rPr>
        <w:t xml:space="preserve">rzyw sztucznych niepoddawanych recyklingowi na kwotę 0,8 EUR za kg </w:t>
      </w:r>
      <w:r w:rsidR="69196BC4" w:rsidRPr="00AF2AE5">
        <w:rPr>
          <w:noProof/>
        </w:rPr>
        <w:t>od</w:t>
      </w:r>
      <w:r w:rsidR="00AF2AE5" w:rsidRPr="00AF2AE5">
        <w:rPr>
          <w:noProof/>
        </w:rPr>
        <w:t> </w:t>
      </w:r>
      <w:r w:rsidR="69196BC4" w:rsidRPr="00AF2AE5">
        <w:rPr>
          <w:noProof/>
        </w:rPr>
        <w:t>2</w:t>
      </w:r>
      <w:r w:rsidR="69196BC4" w:rsidRPr="00882905">
        <w:rPr>
          <w:noProof/>
        </w:rPr>
        <w:t>0</w:t>
      </w:r>
      <w:r w:rsidR="69196BC4" w:rsidRPr="00AF2AE5">
        <w:rPr>
          <w:noProof/>
        </w:rPr>
        <w:t>21</w:t>
      </w:r>
      <w:r w:rsidR="00AF2AE5" w:rsidRPr="00AF2AE5">
        <w:rPr>
          <w:noProof/>
        </w:rPr>
        <w:t> </w:t>
      </w:r>
      <w:r w:rsidR="69196BC4" w:rsidRPr="00AF2AE5">
        <w:rPr>
          <w:noProof/>
        </w:rPr>
        <w:t>r.</w:t>
      </w:r>
      <w:r w:rsidR="69196BC4" w:rsidRPr="00882905">
        <w:rPr>
          <w:noProof/>
        </w:rPr>
        <w:t xml:space="preserve"> Od tego czasu stosunkowo wysoka inflacja obniżyła wartość rzeczywistą dochodów</w:t>
      </w:r>
      <w:r w:rsidR="00AF2AE5" w:rsidRPr="00882905">
        <w:rPr>
          <w:noProof/>
        </w:rPr>
        <w:t xml:space="preserve"> z</w:t>
      </w:r>
      <w:r w:rsidR="00AF2AE5">
        <w:rPr>
          <w:noProof/>
        </w:rPr>
        <w:t> </w:t>
      </w:r>
      <w:r w:rsidR="00AF2AE5" w:rsidRPr="00882905">
        <w:rPr>
          <w:noProof/>
        </w:rPr>
        <w:t>tyc</w:t>
      </w:r>
      <w:r w:rsidR="69196BC4" w:rsidRPr="00882905">
        <w:rPr>
          <w:noProof/>
        </w:rPr>
        <w:t>h zasobów własnych, co</w:t>
      </w:r>
      <w:r w:rsidR="00AF2AE5" w:rsidRPr="00882905">
        <w:rPr>
          <w:noProof/>
        </w:rPr>
        <w:t xml:space="preserve"> z</w:t>
      </w:r>
      <w:r w:rsidR="00AF2AE5">
        <w:rPr>
          <w:noProof/>
        </w:rPr>
        <w:t> </w:t>
      </w:r>
      <w:r w:rsidR="00AF2AE5" w:rsidRPr="00882905">
        <w:rPr>
          <w:noProof/>
        </w:rPr>
        <w:t>kol</w:t>
      </w:r>
      <w:r w:rsidR="69196BC4" w:rsidRPr="00882905">
        <w:rPr>
          <w:noProof/>
        </w:rPr>
        <w:t>ei mogło również zmniejszyć zachęty dla państw członkowskich do zwiększenia wysiłków na rzecz osiągnięcia unijnego celu</w:t>
      </w:r>
      <w:r w:rsidR="00AF2AE5" w:rsidRPr="00882905">
        <w:rPr>
          <w:noProof/>
        </w:rPr>
        <w:t xml:space="preserve"> w</w:t>
      </w:r>
      <w:r w:rsidR="00AF2AE5">
        <w:rPr>
          <w:noProof/>
        </w:rPr>
        <w:t> </w:t>
      </w:r>
      <w:r w:rsidR="00AF2AE5" w:rsidRPr="00882905">
        <w:rPr>
          <w:noProof/>
        </w:rPr>
        <w:t>zak</w:t>
      </w:r>
      <w:r w:rsidR="69196BC4" w:rsidRPr="00882905">
        <w:rPr>
          <w:noProof/>
        </w:rPr>
        <w:t>resie recyklingu</w:t>
      </w:r>
      <w:r w:rsidR="00AF2AE5" w:rsidRPr="00882905">
        <w:rPr>
          <w:noProof/>
        </w:rPr>
        <w:t>. W</w:t>
      </w:r>
      <w:r w:rsidR="00AF2AE5">
        <w:rPr>
          <w:noProof/>
        </w:rPr>
        <w:t> </w:t>
      </w:r>
      <w:r w:rsidR="00AF2AE5" w:rsidRPr="00882905">
        <w:rPr>
          <w:noProof/>
        </w:rPr>
        <w:t>zwi</w:t>
      </w:r>
      <w:r w:rsidR="69196BC4" w:rsidRPr="00882905">
        <w:rPr>
          <w:noProof/>
        </w:rPr>
        <w:t>ązku</w:t>
      </w:r>
      <w:r w:rsidR="00AF2AE5" w:rsidRPr="00882905">
        <w:rPr>
          <w:noProof/>
        </w:rPr>
        <w:t xml:space="preserve"> z</w:t>
      </w:r>
      <w:r w:rsidR="00AF2AE5">
        <w:rPr>
          <w:noProof/>
        </w:rPr>
        <w:t> </w:t>
      </w:r>
      <w:r w:rsidR="00AF2AE5" w:rsidRPr="00882905">
        <w:rPr>
          <w:noProof/>
        </w:rPr>
        <w:t>tym</w:t>
      </w:r>
      <w:r w:rsidR="69196BC4" w:rsidRPr="00882905">
        <w:rPr>
          <w:noProof/>
        </w:rPr>
        <w:t xml:space="preserve"> wydaje się właściwe podwyższenie stawki poboru </w:t>
      </w:r>
      <w:r w:rsidR="69196BC4" w:rsidRPr="00AF2AE5">
        <w:rPr>
          <w:noProof/>
        </w:rPr>
        <w:t>do</w:t>
      </w:r>
      <w:r w:rsidR="00AF2AE5" w:rsidRPr="00AF2AE5">
        <w:rPr>
          <w:noProof/>
        </w:rPr>
        <w:t> </w:t>
      </w:r>
      <w:r w:rsidR="69196BC4" w:rsidRPr="00AF2AE5">
        <w:rPr>
          <w:noProof/>
        </w:rPr>
        <w:t>1</w:t>
      </w:r>
      <w:r w:rsidR="69196BC4" w:rsidRPr="00882905">
        <w:rPr>
          <w:noProof/>
        </w:rPr>
        <w:t> EUR za kg</w:t>
      </w:r>
      <w:r w:rsidR="00AF2AE5" w:rsidRPr="00882905">
        <w:rPr>
          <w:noProof/>
        </w:rPr>
        <w:t xml:space="preserve"> w</w:t>
      </w:r>
      <w:r w:rsidR="00AF2AE5">
        <w:rPr>
          <w:noProof/>
        </w:rPr>
        <w:t> </w:t>
      </w:r>
      <w:r w:rsidR="00AF2AE5" w:rsidRPr="00882905">
        <w:rPr>
          <w:noProof/>
        </w:rPr>
        <w:t>2</w:t>
      </w:r>
      <w:r w:rsidR="69196BC4" w:rsidRPr="00882905">
        <w:rPr>
          <w:noProof/>
        </w:rPr>
        <w:t>0</w:t>
      </w:r>
      <w:r w:rsidR="69196BC4" w:rsidRPr="00AF2AE5">
        <w:rPr>
          <w:noProof/>
        </w:rPr>
        <w:t>28</w:t>
      </w:r>
      <w:r w:rsidR="00AF2AE5" w:rsidRPr="00AF2AE5">
        <w:rPr>
          <w:noProof/>
        </w:rPr>
        <w:t> </w:t>
      </w:r>
      <w:r w:rsidR="69196BC4" w:rsidRPr="00AF2AE5">
        <w:rPr>
          <w:noProof/>
        </w:rPr>
        <w:t>r.</w:t>
      </w:r>
    </w:p>
    <w:p w14:paraId="5E5DD5B4" w14:textId="1FFC295C" w:rsidR="00704957" w:rsidRPr="00882905" w:rsidRDefault="00EE785B" w:rsidP="00EE785B">
      <w:pPr>
        <w:pStyle w:val="ManualConsidrant"/>
        <w:rPr>
          <w:noProof/>
        </w:rPr>
      </w:pPr>
      <w:r w:rsidRPr="00EE785B">
        <w:rPr>
          <w:noProof/>
        </w:rPr>
        <w:t>(11)</w:t>
      </w:r>
      <w:r w:rsidRPr="00EE785B">
        <w:rPr>
          <w:noProof/>
        </w:rPr>
        <w:tab/>
      </w:r>
      <w:r w:rsidR="69196BC4" w:rsidRPr="00882905">
        <w:rPr>
          <w:noProof/>
        </w:rPr>
        <w:t>Aby uzyskać pozytywne wyniki dla środowiska</w:t>
      </w:r>
      <w:r w:rsidR="00AF2AE5" w:rsidRPr="00882905">
        <w:rPr>
          <w:noProof/>
        </w:rPr>
        <w:t xml:space="preserve"> i</w:t>
      </w:r>
      <w:r w:rsidR="00AF2AE5">
        <w:rPr>
          <w:noProof/>
        </w:rPr>
        <w:t> </w:t>
      </w:r>
      <w:r w:rsidR="00AF2AE5" w:rsidRPr="00882905">
        <w:rPr>
          <w:noProof/>
        </w:rPr>
        <w:t>wzm</w:t>
      </w:r>
      <w:r w:rsidR="69196BC4" w:rsidRPr="00882905">
        <w:rPr>
          <w:noProof/>
        </w:rPr>
        <w:t>ocnić strategiczną autonomię Unii</w:t>
      </w:r>
      <w:r w:rsidR="00AF2AE5" w:rsidRPr="00882905">
        <w:rPr>
          <w:noProof/>
        </w:rPr>
        <w:t xml:space="preserve"> w</w:t>
      </w:r>
      <w:r w:rsidR="00AF2AE5">
        <w:rPr>
          <w:noProof/>
        </w:rPr>
        <w:t> </w:t>
      </w:r>
      <w:r w:rsidR="00AF2AE5" w:rsidRPr="00882905">
        <w:rPr>
          <w:noProof/>
        </w:rPr>
        <w:t>zak</w:t>
      </w:r>
      <w:r w:rsidR="69196BC4" w:rsidRPr="00882905">
        <w:rPr>
          <w:noProof/>
        </w:rPr>
        <w:t>resie surowców krytycznych, budżet Unii powinien przyczyniać się do zwiększenia zbierania e-odpadów. Zasoby własne proporcjonalne do ilości niezebranych e-odpadów</w:t>
      </w:r>
      <w:r w:rsidR="00AF2AE5" w:rsidRPr="00882905">
        <w:rPr>
          <w:noProof/>
        </w:rPr>
        <w:t xml:space="preserve"> w</w:t>
      </w:r>
      <w:r w:rsidR="00AF2AE5">
        <w:rPr>
          <w:noProof/>
        </w:rPr>
        <w:t> </w:t>
      </w:r>
      <w:r w:rsidR="00AF2AE5" w:rsidRPr="00882905">
        <w:rPr>
          <w:noProof/>
        </w:rPr>
        <w:t>każ</w:t>
      </w:r>
      <w:r w:rsidR="69196BC4" w:rsidRPr="00882905">
        <w:rPr>
          <w:noProof/>
        </w:rPr>
        <w:t>dym państwie członkowskim, ze stawką poboru</w:t>
      </w:r>
      <w:r w:rsidR="00AF2AE5" w:rsidRPr="00882905">
        <w:rPr>
          <w:noProof/>
        </w:rPr>
        <w:t xml:space="preserve"> w</w:t>
      </w:r>
      <w:r w:rsidR="00AF2AE5">
        <w:rPr>
          <w:noProof/>
        </w:rPr>
        <w:t> </w:t>
      </w:r>
      <w:r w:rsidR="00AF2AE5" w:rsidRPr="00882905">
        <w:rPr>
          <w:noProof/>
        </w:rPr>
        <w:t>wys</w:t>
      </w:r>
      <w:r w:rsidR="69196BC4" w:rsidRPr="00882905">
        <w:rPr>
          <w:noProof/>
        </w:rPr>
        <w:t>okości 2 EUR za kg odpadów niezebranych, stanowiłyby zachętę do ograniczania ilości odpadów i do ich selektywnego zbierania. Jednocześnie, zgodnie</w:t>
      </w:r>
      <w:r w:rsidR="00AF2AE5" w:rsidRPr="00882905">
        <w:rPr>
          <w:noProof/>
        </w:rPr>
        <w:t xml:space="preserve"> z</w:t>
      </w:r>
      <w:r w:rsidR="00AF2AE5">
        <w:rPr>
          <w:noProof/>
        </w:rPr>
        <w:t> </w:t>
      </w:r>
      <w:r w:rsidR="00AF2AE5" w:rsidRPr="00882905">
        <w:rPr>
          <w:noProof/>
        </w:rPr>
        <w:t>zas</w:t>
      </w:r>
      <w:r w:rsidR="69196BC4" w:rsidRPr="00882905">
        <w:rPr>
          <w:noProof/>
        </w:rPr>
        <w:t xml:space="preserve">adą pomocniczości, należy pozostawić państwom członkowskim swobodę wyboru środków, jakie uznają za najbardziej odpowiednie do realizacji tych celów. </w:t>
      </w:r>
    </w:p>
    <w:p w14:paraId="50DC5306" w14:textId="37A3BFA7" w:rsidR="00704957" w:rsidRPr="00882905" w:rsidRDefault="00EE785B" w:rsidP="00EE785B">
      <w:pPr>
        <w:pStyle w:val="ManualConsidrant"/>
        <w:rPr>
          <w:noProof/>
        </w:rPr>
      </w:pPr>
      <w:r w:rsidRPr="00EE785B">
        <w:rPr>
          <w:noProof/>
        </w:rPr>
        <w:t>(12)</w:t>
      </w:r>
      <w:r w:rsidRPr="00EE785B">
        <w:rPr>
          <w:noProof/>
        </w:rPr>
        <w:tab/>
      </w:r>
      <w:r w:rsidR="69196BC4" w:rsidRPr="00882905">
        <w:rPr>
          <w:noProof/>
        </w:rPr>
        <w:t>Stawki poboru odnoszące się do zasobów własnych opartych na odpadach opakowaniowych</w:t>
      </w:r>
      <w:r w:rsidR="00AF2AE5" w:rsidRPr="00882905">
        <w:rPr>
          <w:noProof/>
        </w:rPr>
        <w:t xml:space="preserve"> z</w:t>
      </w:r>
      <w:r w:rsidR="00AF2AE5">
        <w:rPr>
          <w:noProof/>
        </w:rPr>
        <w:t> </w:t>
      </w:r>
      <w:r w:rsidR="00AF2AE5" w:rsidRPr="00882905">
        <w:rPr>
          <w:noProof/>
        </w:rPr>
        <w:t>two</w:t>
      </w:r>
      <w:r w:rsidR="69196BC4" w:rsidRPr="00882905">
        <w:rPr>
          <w:noProof/>
        </w:rPr>
        <w:t>rzyw sztucznych oraz do zasobów własnych opartych na e-odpadach powinny odzwierciedlać zmiany ogólnego poziomu cen towarów</w:t>
      </w:r>
      <w:r w:rsidR="00AF2AE5" w:rsidRPr="00882905">
        <w:rPr>
          <w:noProof/>
        </w:rPr>
        <w:t xml:space="preserve"> i</w:t>
      </w:r>
      <w:r w:rsidR="00AF2AE5">
        <w:rPr>
          <w:noProof/>
        </w:rPr>
        <w:t> </w:t>
      </w:r>
      <w:r w:rsidR="00AF2AE5" w:rsidRPr="00882905">
        <w:rPr>
          <w:noProof/>
        </w:rPr>
        <w:t>usł</w:t>
      </w:r>
      <w:r w:rsidR="69196BC4" w:rsidRPr="00882905">
        <w:rPr>
          <w:noProof/>
        </w:rPr>
        <w:t>ug</w:t>
      </w:r>
      <w:r w:rsidR="00AF2AE5" w:rsidRPr="00882905">
        <w:rPr>
          <w:noProof/>
        </w:rPr>
        <w:t xml:space="preserve"> i</w:t>
      </w:r>
      <w:r w:rsidR="00AF2AE5">
        <w:rPr>
          <w:noProof/>
        </w:rPr>
        <w:t> </w:t>
      </w:r>
      <w:r w:rsidR="00AF2AE5" w:rsidRPr="00882905">
        <w:rPr>
          <w:noProof/>
        </w:rPr>
        <w:t>w</w:t>
      </w:r>
      <w:r w:rsidR="00AF2AE5">
        <w:rPr>
          <w:noProof/>
        </w:rPr>
        <w:t> </w:t>
      </w:r>
      <w:r w:rsidR="00AF2AE5" w:rsidRPr="00882905">
        <w:rPr>
          <w:noProof/>
        </w:rPr>
        <w:t>zwi</w:t>
      </w:r>
      <w:r w:rsidR="69196BC4" w:rsidRPr="00882905">
        <w:rPr>
          <w:noProof/>
        </w:rPr>
        <w:t>ązku</w:t>
      </w:r>
      <w:r w:rsidR="00AF2AE5" w:rsidRPr="00882905">
        <w:rPr>
          <w:noProof/>
        </w:rPr>
        <w:t xml:space="preserve"> z</w:t>
      </w:r>
      <w:r w:rsidR="00AF2AE5">
        <w:rPr>
          <w:noProof/>
        </w:rPr>
        <w:t> </w:t>
      </w:r>
      <w:r w:rsidR="00AF2AE5" w:rsidRPr="00882905">
        <w:rPr>
          <w:noProof/>
        </w:rPr>
        <w:t>tym</w:t>
      </w:r>
      <w:r w:rsidR="69196BC4" w:rsidRPr="00882905">
        <w:rPr>
          <w:noProof/>
        </w:rPr>
        <w:t xml:space="preserve"> powinny być korygowane</w:t>
      </w:r>
      <w:r w:rsidR="00AF2AE5" w:rsidRPr="00882905">
        <w:rPr>
          <w:noProof/>
        </w:rPr>
        <w:t xml:space="preserve"> o</w:t>
      </w:r>
      <w:r w:rsidR="00AF2AE5">
        <w:rPr>
          <w:noProof/>
        </w:rPr>
        <w:t> </w:t>
      </w:r>
      <w:r w:rsidR="00AF2AE5" w:rsidRPr="00882905">
        <w:rPr>
          <w:noProof/>
        </w:rPr>
        <w:t>roc</w:t>
      </w:r>
      <w:r w:rsidR="69196BC4" w:rsidRPr="00882905">
        <w:rPr>
          <w:noProof/>
        </w:rPr>
        <w:t xml:space="preserve">zną inflację. </w:t>
      </w:r>
    </w:p>
    <w:p w14:paraId="2F69F7F4" w14:textId="154CA006" w:rsidR="00704957" w:rsidRPr="00882905" w:rsidRDefault="00EE785B" w:rsidP="00EE785B">
      <w:pPr>
        <w:pStyle w:val="ManualConsidrant"/>
        <w:rPr>
          <w:noProof/>
        </w:rPr>
      </w:pPr>
      <w:r w:rsidRPr="00EE785B">
        <w:rPr>
          <w:noProof/>
        </w:rPr>
        <w:t>(13)</w:t>
      </w:r>
      <w:r w:rsidRPr="00EE785B">
        <w:rPr>
          <w:noProof/>
        </w:rPr>
        <w:tab/>
      </w:r>
      <w:r w:rsidR="69196BC4" w:rsidRPr="00882905">
        <w:rPr>
          <w:noProof/>
        </w:rPr>
        <w:t>Unijny system handlu uprawnieniami do emisji („ETS”), ustanowiony dyrektywą 2003/87/WE Parlamentu Europejskiego</w:t>
      </w:r>
      <w:r w:rsidR="00AF2AE5" w:rsidRPr="00882905">
        <w:rPr>
          <w:noProof/>
        </w:rPr>
        <w:t xml:space="preserve"> i</w:t>
      </w:r>
      <w:r w:rsidR="00AF2AE5">
        <w:rPr>
          <w:noProof/>
        </w:rPr>
        <w:t> </w:t>
      </w:r>
      <w:r w:rsidR="00AF2AE5" w:rsidRPr="00882905">
        <w:rPr>
          <w:noProof/>
        </w:rPr>
        <w:t>Rad</w:t>
      </w:r>
      <w:r w:rsidR="69196BC4" w:rsidRPr="00882905">
        <w:rPr>
          <w:noProof/>
        </w:rPr>
        <w:t>y, stanowi centralny element unijnej polityki klimatycznej. Biorąc pod uwagę ścisłe powiązanie handlu uprawnieniami do emisji</w:t>
      </w:r>
      <w:r w:rsidR="00AF2AE5" w:rsidRPr="00882905">
        <w:rPr>
          <w:noProof/>
        </w:rPr>
        <w:t xml:space="preserve"> z</w:t>
      </w:r>
      <w:r w:rsidR="00AF2AE5">
        <w:rPr>
          <w:noProof/>
        </w:rPr>
        <w:t> </w:t>
      </w:r>
      <w:r w:rsidR="00AF2AE5" w:rsidRPr="00882905">
        <w:rPr>
          <w:noProof/>
        </w:rPr>
        <w:t>cel</w:t>
      </w:r>
      <w:r w:rsidR="69196BC4" w:rsidRPr="00882905">
        <w:rPr>
          <w:noProof/>
        </w:rPr>
        <w:t>ami polityki klimatycznej Unii, należy przydzielić część dochodów</w:t>
      </w:r>
      <w:r w:rsidR="00AF2AE5" w:rsidRPr="00882905">
        <w:rPr>
          <w:noProof/>
        </w:rPr>
        <w:t xml:space="preserve"> z</w:t>
      </w:r>
      <w:r w:rsidR="00AF2AE5">
        <w:rPr>
          <w:noProof/>
        </w:rPr>
        <w:t> </w:t>
      </w:r>
      <w:r w:rsidR="00AF2AE5" w:rsidRPr="00882905">
        <w:rPr>
          <w:noProof/>
        </w:rPr>
        <w:t>auk</w:t>
      </w:r>
      <w:r w:rsidR="69196BC4" w:rsidRPr="00882905">
        <w:rPr>
          <w:noProof/>
        </w:rPr>
        <w:t xml:space="preserve">cji na podstawie </w:t>
      </w:r>
      <w:r w:rsidR="69196BC4" w:rsidRPr="00AF2AE5">
        <w:rPr>
          <w:noProof/>
        </w:rPr>
        <w:t>art.</w:t>
      </w:r>
      <w:r w:rsidR="00AF2AE5" w:rsidRPr="00AF2AE5">
        <w:rPr>
          <w:noProof/>
        </w:rPr>
        <w:t> </w:t>
      </w:r>
      <w:r w:rsidR="69196BC4" w:rsidRPr="00AF2AE5">
        <w:rPr>
          <w:noProof/>
        </w:rPr>
        <w:t>3</w:t>
      </w:r>
      <w:r w:rsidR="69196BC4" w:rsidRPr="00882905">
        <w:rPr>
          <w:noProof/>
        </w:rPr>
        <w:t>d</w:t>
      </w:r>
      <w:r w:rsidR="00AF2AE5" w:rsidRPr="00882905">
        <w:rPr>
          <w:noProof/>
        </w:rPr>
        <w:t xml:space="preserve"> i</w:t>
      </w:r>
      <w:r w:rsidR="00AF2AE5">
        <w:rPr>
          <w:noProof/>
        </w:rPr>
        <w:t> </w:t>
      </w:r>
      <w:r w:rsidR="00AF2AE5" w:rsidRPr="00882905">
        <w:rPr>
          <w:noProof/>
        </w:rPr>
        <w:t>1</w:t>
      </w:r>
      <w:r w:rsidR="69196BC4" w:rsidRPr="00882905">
        <w:rPr>
          <w:noProof/>
        </w:rPr>
        <w:t>0 do budżetu Unii. 30 % tych dochodów</w:t>
      </w:r>
      <w:r w:rsidR="00AF2AE5" w:rsidRPr="00882905">
        <w:rPr>
          <w:noProof/>
        </w:rPr>
        <w:t xml:space="preserve"> z</w:t>
      </w:r>
      <w:r w:rsidR="00AF2AE5">
        <w:rPr>
          <w:noProof/>
        </w:rPr>
        <w:t> </w:t>
      </w:r>
      <w:r w:rsidR="00AF2AE5" w:rsidRPr="00882905">
        <w:rPr>
          <w:noProof/>
        </w:rPr>
        <w:t>auk</w:t>
      </w:r>
      <w:r w:rsidR="69196BC4" w:rsidRPr="00882905">
        <w:rPr>
          <w:noProof/>
        </w:rPr>
        <w:t xml:space="preserve">cji należy przekazywać do budżetu Unii. </w:t>
      </w:r>
    </w:p>
    <w:p w14:paraId="0F5A1F44" w14:textId="1B834076" w:rsidR="00704957" w:rsidRPr="00882905" w:rsidRDefault="00EE785B" w:rsidP="00EE785B">
      <w:pPr>
        <w:pStyle w:val="ManualConsidrant"/>
        <w:rPr>
          <w:noProof/>
        </w:rPr>
      </w:pPr>
      <w:r w:rsidRPr="00EE785B">
        <w:rPr>
          <w:noProof/>
        </w:rPr>
        <w:t>(14)</w:t>
      </w:r>
      <w:r w:rsidRPr="00EE785B">
        <w:rPr>
          <w:noProof/>
        </w:rPr>
        <w:tab/>
      </w:r>
      <w:r w:rsidR="69196BC4" w:rsidRPr="00882905">
        <w:rPr>
          <w:noProof/>
        </w:rPr>
        <w:t>Zasoby własne</w:t>
      </w:r>
      <w:r w:rsidR="00AF2AE5" w:rsidRPr="00882905">
        <w:rPr>
          <w:noProof/>
        </w:rPr>
        <w:t xml:space="preserve"> z</w:t>
      </w:r>
      <w:r w:rsidR="00AF2AE5">
        <w:rPr>
          <w:noProof/>
        </w:rPr>
        <w:t> </w:t>
      </w:r>
      <w:r w:rsidR="00AF2AE5" w:rsidRPr="00882905">
        <w:rPr>
          <w:noProof/>
        </w:rPr>
        <w:t>tyt</w:t>
      </w:r>
      <w:r w:rsidR="69196BC4" w:rsidRPr="00882905">
        <w:rPr>
          <w:noProof/>
        </w:rPr>
        <w:t>ułu handlu uprawnieniami do emisji obejmują pewną część dochodów uzyskanych ze sprzedaży na aukcji uprawnień</w:t>
      </w:r>
      <w:r w:rsidR="00AF2AE5" w:rsidRPr="00882905">
        <w:rPr>
          <w:noProof/>
        </w:rPr>
        <w:t xml:space="preserve"> w</w:t>
      </w:r>
      <w:r w:rsidR="00AF2AE5">
        <w:rPr>
          <w:noProof/>
        </w:rPr>
        <w:t> </w:t>
      </w:r>
      <w:r w:rsidR="00AF2AE5" w:rsidRPr="00882905">
        <w:rPr>
          <w:noProof/>
        </w:rPr>
        <w:t>nie</w:t>
      </w:r>
      <w:r w:rsidR="69196BC4" w:rsidRPr="00882905">
        <w:rPr>
          <w:noProof/>
        </w:rPr>
        <w:t>których sektorach objętych zakresem dyrektywy 2003/87/WE. Zgodnie</w:t>
      </w:r>
      <w:r w:rsidR="00AF2AE5" w:rsidRPr="00882905">
        <w:rPr>
          <w:noProof/>
        </w:rPr>
        <w:t xml:space="preserve"> z</w:t>
      </w:r>
      <w:r w:rsidR="00AF2AE5">
        <w:rPr>
          <w:noProof/>
        </w:rPr>
        <w:t> </w:t>
      </w:r>
      <w:r w:rsidR="00AF2AE5" w:rsidRPr="00882905">
        <w:rPr>
          <w:noProof/>
        </w:rPr>
        <w:t>dyr</w:t>
      </w:r>
      <w:r w:rsidR="69196BC4" w:rsidRPr="00882905">
        <w:rPr>
          <w:noProof/>
        </w:rPr>
        <w:t>ektywą 2003/87/WE</w:t>
      </w:r>
      <w:r w:rsidR="00AF2AE5" w:rsidRPr="00882905">
        <w:rPr>
          <w:noProof/>
        </w:rPr>
        <w:t xml:space="preserve"> i</w:t>
      </w:r>
      <w:r w:rsidR="00AF2AE5">
        <w:rPr>
          <w:noProof/>
        </w:rPr>
        <w:t> </w:t>
      </w:r>
      <w:r w:rsidR="00AF2AE5" w:rsidRPr="00882905">
        <w:rPr>
          <w:noProof/>
        </w:rPr>
        <w:t>roz</w:t>
      </w:r>
      <w:r w:rsidR="69196BC4" w:rsidRPr="00882905">
        <w:rPr>
          <w:noProof/>
        </w:rPr>
        <w:t>porządzeniem Parlamentu Europejskiego</w:t>
      </w:r>
      <w:r w:rsidR="00AF2AE5" w:rsidRPr="00882905">
        <w:rPr>
          <w:noProof/>
        </w:rPr>
        <w:t xml:space="preserve"> i</w:t>
      </w:r>
      <w:r w:rsidR="00AF2AE5">
        <w:rPr>
          <w:noProof/>
        </w:rPr>
        <w:t> </w:t>
      </w:r>
      <w:r w:rsidR="00AF2AE5" w:rsidRPr="00882905">
        <w:rPr>
          <w:noProof/>
        </w:rPr>
        <w:t>Rad</w:t>
      </w:r>
      <w:r w:rsidR="69196BC4" w:rsidRPr="00882905">
        <w:rPr>
          <w:noProof/>
        </w:rPr>
        <w:t>y (UE) 2018/842</w:t>
      </w:r>
      <w:r w:rsidR="00704957" w:rsidRPr="00882905">
        <w:rPr>
          <w:rStyle w:val="FootnoteReference"/>
          <w:noProof/>
        </w:rPr>
        <w:footnoteReference w:id="5"/>
      </w:r>
      <w:r w:rsidR="69196BC4" w:rsidRPr="00882905">
        <w:rPr>
          <w:noProof/>
        </w:rPr>
        <w:t xml:space="preserve"> państwa członkowskie mogą podjąć decyzję</w:t>
      </w:r>
      <w:r w:rsidR="00AF2AE5" w:rsidRPr="00882905">
        <w:rPr>
          <w:noProof/>
        </w:rPr>
        <w:t xml:space="preserve"> o</w:t>
      </w:r>
      <w:r w:rsidR="00AF2AE5">
        <w:rPr>
          <w:noProof/>
        </w:rPr>
        <w:t> </w:t>
      </w:r>
      <w:r w:rsidR="00AF2AE5" w:rsidRPr="00882905">
        <w:rPr>
          <w:noProof/>
        </w:rPr>
        <w:t>nie</w:t>
      </w:r>
      <w:r w:rsidR="69196BC4" w:rsidRPr="00882905">
        <w:rPr>
          <w:noProof/>
        </w:rPr>
        <w:t>sprzedawaniu na aukcji części całkowitej liczby uprawnień określonej na podstawie dyrektywy 2003/87/WE lub</w:t>
      </w:r>
      <w:r w:rsidR="00AF2AE5" w:rsidRPr="00882905">
        <w:rPr>
          <w:noProof/>
        </w:rPr>
        <w:t xml:space="preserve"> o</w:t>
      </w:r>
      <w:r w:rsidR="00AF2AE5">
        <w:rPr>
          <w:noProof/>
        </w:rPr>
        <w:t> </w:t>
      </w:r>
      <w:r w:rsidR="00AF2AE5" w:rsidRPr="00882905">
        <w:rPr>
          <w:noProof/>
        </w:rPr>
        <w:t>prz</w:t>
      </w:r>
      <w:r w:rsidR="69196BC4" w:rsidRPr="00882905">
        <w:rPr>
          <w:noProof/>
        </w:rPr>
        <w:t>ekazaniu jej</w:t>
      </w:r>
      <w:r w:rsidR="00AF2AE5" w:rsidRPr="00882905">
        <w:rPr>
          <w:noProof/>
        </w:rPr>
        <w:t xml:space="preserve"> i</w:t>
      </w:r>
      <w:r w:rsidR="00AF2AE5">
        <w:rPr>
          <w:noProof/>
        </w:rPr>
        <w:t> </w:t>
      </w:r>
      <w:r w:rsidR="00AF2AE5" w:rsidRPr="00882905">
        <w:rPr>
          <w:noProof/>
        </w:rPr>
        <w:t>spr</w:t>
      </w:r>
      <w:r w:rsidR="69196BC4" w:rsidRPr="00882905">
        <w:rPr>
          <w:noProof/>
        </w:rPr>
        <w:t>zedaży na aukcji na potrzeby funduszu modernizacyjnego ustanowionego na mocy tej dyrektywy. Również te uprawnienia powinny być brane pod uwagę przy obliczaniu kwoty zasobów własnych opartych na handlu uprawnieniami do emisji. Należy wyłączyć uprawnienia na potrzeby początkowego wkładu do funduszu modernizacyjnego,</w:t>
      </w:r>
      <w:r w:rsidR="00AF2AE5" w:rsidRPr="00882905">
        <w:rPr>
          <w:noProof/>
        </w:rPr>
        <w:t xml:space="preserve"> a</w:t>
      </w:r>
      <w:r w:rsidR="00AF2AE5">
        <w:rPr>
          <w:noProof/>
        </w:rPr>
        <w:t> </w:t>
      </w:r>
      <w:r w:rsidR="00AF2AE5" w:rsidRPr="00882905">
        <w:rPr>
          <w:noProof/>
        </w:rPr>
        <w:t>tak</w:t>
      </w:r>
      <w:r w:rsidR="69196BC4" w:rsidRPr="00882905">
        <w:rPr>
          <w:noProof/>
        </w:rPr>
        <w:t xml:space="preserve">że uprawnienia na potrzeby Funduszu Innowacyjnego. </w:t>
      </w:r>
    </w:p>
    <w:p w14:paraId="0F6E1C18" w14:textId="498C0406" w:rsidR="005946C0" w:rsidRPr="00882905" w:rsidRDefault="00EE785B" w:rsidP="00EE785B">
      <w:pPr>
        <w:pStyle w:val="ManualConsidrant"/>
        <w:rPr>
          <w:noProof/>
        </w:rPr>
      </w:pPr>
      <w:r w:rsidRPr="00EE785B">
        <w:rPr>
          <w:noProof/>
        </w:rPr>
        <w:t>(15)</w:t>
      </w:r>
      <w:r w:rsidRPr="00EE785B">
        <w:rPr>
          <w:noProof/>
        </w:rPr>
        <w:tab/>
      </w:r>
      <w:r w:rsidR="69196BC4" w:rsidRPr="00882905">
        <w:rPr>
          <w:noProof/>
        </w:rPr>
        <w:t>Rozporządzenie Parlamentu Europejskiego</w:t>
      </w:r>
      <w:r w:rsidR="00AF2AE5" w:rsidRPr="00882905">
        <w:rPr>
          <w:noProof/>
        </w:rPr>
        <w:t xml:space="preserve"> i</w:t>
      </w:r>
      <w:r w:rsidR="00AF2AE5">
        <w:rPr>
          <w:noProof/>
        </w:rPr>
        <w:t> </w:t>
      </w:r>
      <w:r w:rsidR="00AF2AE5" w:rsidRPr="00882905">
        <w:rPr>
          <w:noProof/>
        </w:rPr>
        <w:t>Rad</w:t>
      </w:r>
      <w:r w:rsidR="69196BC4" w:rsidRPr="00882905">
        <w:rPr>
          <w:noProof/>
        </w:rPr>
        <w:t>y (UE) 2023/956</w:t>
      </w:r>
      <w:r w:rsidR="00704957" w:rsidRPr="00882905">
        <w:rPr>
          <w:rStyle w:val="FootnoteReference"/>
          <w:noProof/>
        </w:rPr>
        <w:footnoteReference w:id="6"/>
      </w:r>
      <w:r w:rsidR="69196BC4" w:rsidRPr="00882905">
        <w:rPr>
          <w:noProof/>
        </w:rPr>
        <w:t xml:space="preserve"> ustanawia mechanizm dostosowywania cen na granicach</w:t>
      </w:r>
      <w:r w:rsidR="00AF2AE5" w:rsidRPr="00882905">
        <w:rPr>
          <w:noProof/>
        </w:rPr>
        <w:t xml:space="preserve"> z</w:t>
      </w:r>
      <w:r w:rsidR="00AF2AE5">
        <w:rPr>
          <w:noProof/>
        </w:rPr>
        <w:t> </w:t>
      </w:r>
      <w:r w:rsidR="00AF2AE5" w:rsidRPr="00882905">
        <w:rPr>
          <w:noProof/>
        </w:rPr>
        <w:t>uwz</w:t>
      </w:r>
      <w:r w:rsidR="69196BC4" w:rsidRPr="00882905">
        <w:rPr>
          <w:noProof/>
        </w:rPr>
        <w:t>ględnieniem emisji CO2</w:t>
      </w:r>
      <w:r w:rsidR="00AF2AE5" w:rsidRPr="00882905">
        <w:rPr>
          <w:noProof/>
        </w:rPr>
        <w:t xml:space="preserve"> w</w:t>
      </w:r>
      <w:r w:rsidR="00AF2AE5">
        <w:rPr>
          <w:noProof/>
        </w:rPr>
        <w:t> </w:t>
      </w:r>
      <w:r w:rsidR="00AF2AE5" w:rsidRPr="00882905">
        <w:rPr>
          <w:noProof/>
        </w:rPr>
        <w:t>cel</w:t>
      </w:r>
      <w:r w:rsidR="69196BC4" w:rsidRPr="00882905">
        <w:rPr>
          <w:noProof/>
        </w:rPr>
        <w:t>u uzupełnienia unijnego systemu handlu uprawnieniami do emisji</w:t>
      </w:r>
      <w:r w:rsidR="00AF2AE5" w:rsidRPr="00882905">
        <w:rPr>
          <w:noProof/>
        </w:rPr>
        <w:t xml:space="preserve"> i</w:t>
      </w:r>
      <w:r w:rsidR="00AF2AE5">
        <w:rPr>
          <w:noProof/>
        </w:rPr>
        <w:t> </w:t>
      </w:r>
      <w:r w:rsidR="00AF2AE5" w:rsidRPr="00882905">
        <w:rPr>
          <w:noProof/>
        </w:rPr>
        <w:t>zap</w:t>
      </w:r>
      <w:r w:rsidR="69196BC4" w:rsidRPr="00882905">
        <w:rPr>
          <w:noProof/>
        </w:rPr>
        <w:t>ewnienia skuteczności unijnej polityki klimatycznej. Biorąc pod uwagę ścisłe powiązanie mechanizmu dostosowywania cen na granicach</w:t>
      </w:r>
      <w:r w:rsidR="00AF2AE5" w:rsidRPr="00882905">
        <w:rPr>
          <w:noProof/>
        </w:rPr>
        <w:t xml:space="preserve"> z</w:t>
      </w:r>
      <w:r w:rsidR="00AF2AE5">
        <w:rPr>
          <w:noProof/>
        </w:rPr>
        <w:t> </w:t>
      </w:r>
      <w:r w:rsidR="00AF2AE5" w:rsidRPr="00882905">
        <w:rPr>
          <w:noProof/>
        </w:rPr>
        <w:t>uwz</w:t>
      </w:r>
      <w:r w:rsidR="69196BC4" w:rsidRPr="00882905">
        <w:rPr>
          <w:noProof/>
        </w:rPr>
        <w:t>ględnieniem emisji CO2</w:t>
      </w:r>
      <w:r w:rsidR="00AF2AE5" w:rsidRPr="00882905">
        <w:rPr>
          <w:noProof/>
        </w:rPr>
        <w:t xml:space="preserve"> z</w:t>
      </w:r>
      <w:r w:rsidR="00AF2AE5">
        <w:rPr>
          <w:noProof/>
        </w:rPr>
        <w:t> </w:t>
      </w:r>
      <w:r w:rsidR="00AF2AE5" w:rsidRPr="00882905">
        <w:rPr>
          <w:noProof/>
        </w:rPr>
        <w:t>uni</w:t>
      </w:r>
      <w:r w:rsidR="69196BC4" w:rsidRPr="00882905">
        <w:rPr>
          <w:noProof/>
        </w:rPr>
        <w:t xml:space="preserve">jną polityką klimatyczną, należy przenieść część dochodów ze sprzedaży certyfikatów do budżetu Unii jako zasoby własne. </w:t>
      </w:r>
    </w:p>
    <w:p w14:paraId="0E387487" w14:textId="0E82639A" w:rsidR="00796363" w:rsidRPr="00882905" w:rsidRDefault="00EE785B" w:rsidP="00EE785B">
      <w:pPr>
        <w:pStyle w:val="ManualConsidrant"/>
        <w:rPr>
          <w:noProof/>
        </w:rPr>
      </w:pPr>
      <w:r w:rsidRPr="00EE785B">
        <w:rPr>
          <w:noProof/>
        </w:rPr>
        <w:t>(16)</w:t>
      </w:r>
      <w:r w:rsidRPr="00EE785B">
        <w:rPr>
          <w:noProof/>
        </w:rPr>
        <w:tab/>
      </w:r>
      <w:r w:rsidR="005D6CE8" w:rsidRPr="00882905">
        <w:rPr>
          <w:noProof/>
        </w:rPr>
        <w:t>Korekty zasobów własnych zwiększają złożoność</w:t>
      </w:r>
      <w:r w:rsidR="00AF2AE5" w:rsidRPr="00882905">
        <w:rPr>
          <w:noProof/>
        </w:rPr>
        <w:t xml:space="preserve"> i</w:t>
      </w:r>
      <w:r w:rsidR="00AF2AE5">
        <w:rPr>
          <w:noProof/>
        </w:rPr>
        <w:t> </w:t>
      </w:r>
      <w:r w:rsidR="00AF2AE5" w:rsidRPr="00882905">
        <w:rPr>
          <w:noProof/>
        </w:rPr>
        <w:t>nie</w:t>
      </w:r>
      <w:r w:rsidR="005D6CE8" w:rsidRPr="00882905">
        <w:rPr>
          <w:noProof/>
        </w:rPr>
        <w:t>przejrzystość systemu zasobów własnych. Aby rozwiązać ten problem</w:t>
      </w:r>
      <w:r w:rsidR="00AF2AE5" w:rsidRPr="00882905">
        <w:rPr>
          <w:noProof/>
        </w:rPr>
        <w:t xml:space="preserve"> i</w:t>
      </w:r>
      <w:r w:rsidR="00AF2AE5">
        <w:rPr>
          <w:noProof/>
        </w:rPr>
        <w:t> </w:t>
      </w:r>
      <w:r w:rsidR="00AF2AE5" w:rsidRPr="00882905">
        <w:rPr>
          <w:noProof/>
        </w:rPr>
        <w:t>zap</w:t>
      </w:r>
      <w:r w:rsidR="005D6CE8" w:rsidRPr="00882905">
        <w:rPr>
          <w:noProof/>
        </w:rPr>
        <w:t>ewnić przejrzystość systemu zasobów własnych, zaprzestaje się stosowania górnego limitu podstawy opodatkowania VAT</w:t>
      </w:r>
      <w:r w:rsidR="00AF2AE5" w:rsidRPr="00882905">
        <w:rPr>
          <w:noProof/>
        </w:rPr>
        <w:t xml:space="preserve"> i</w:t>
      </w:r>
      <w:r w:rsidR="00AF2AE5">
        <w:rPr>
          <w:noProof/>
        </w:rPr>
        <w:t> </w:t>
      </w:r>
      <w:r w:rsidR="00AF2AE5" w:rsidRPr="00882905">
        <w:rPr>
          <w:noProof/>
        </w:rPr>
        <w:t>obn</w:t>
      </w:r>
      <w:r w:rsidR="005D6CE8" w:rsidRPr="00882905">
        <w:rPr>
          <w:noProof/>
        </w:rPr>
        <w:t>iżek ryczałtowych stosowanych do zasobów własnych opartych na odpadach opakowaniowych</w:t>
      </w:r>
      <w:r w:rsidR="00AF2AE5" w:rsidRPr="00882905">
        <w:rPr>
          <w:noProof/>
        </w:rPr>
        <w:t xml:space="preserve"> z</w:t>
      </w:r>
      <w:r w:rsidR="00AF2AE5">
        <w:rPr>
          <w:noProof/>
        </w:rPr>
        <w:t> </w:t>
      </w:r>
      <w:r w:rsidR="00AF2AE5" w:rsidRPr="00882905">
        <w:rPr>
          <w:noProof/>
        </w:rPr>
        <w:t>two</w:t>
      </w:r>
      <w:r w:rsidR="005D6CE8" w:rsidRPr="00882905">
        <w:rPr>
          <w:noProof/>
        </w:rPr>
        <w:t xml:space="preserve">rzyw sztucznych niepoddawanych recyklingowi oraz zasobów własnych opartych na DNB. </w:t>
      </w:r>
    </w:p>
    <w:p w14:paraId="26DB0E2D" w14:textId="39F531C0" w:rsidR="00704957" w:rsidRPr="00882905" w:rsidRDefault="00EE785B" w:rsidP="00EE785B">
      <w:pPr>
        <w:pStyle w:val="ManualConsidrant"/>
        <w:rPr>
          <w:noProof/>
        </w:rPr>
      </w:pPr>
      <w:r w:rsidRPr="00EE785B">
        <w:rPr>
          <w:noProof/>
        </w:rPr>
        <w:t>(17)</w:t>
      </w:r>
      <w:r w:rsidRPr="00EE785B">
        <w:rPr>
          <w:noProof/>
        </w:rPr>
        <w:tab/>
      </w:r>
      <w:r w:rsidR="69196BC4" w:rsidRPr="00882905">
        <w:rPr>
          <w:noProof/>
        </w:rPr>
        <w:t>Należy zachować wystarczający margines</w:t>
      </w:r>
      <w:r w:rsidR="00AF2AE5" w:rsidRPr="00882905">
        <w:rPr>
          <w:noProof/>
        </w:rPr>
        <w:t xml:space="preserve"> w</w:t>
      </w:r>
      <w:r w:rsidR="00AF2AE5">
        <w:rPr>
          <w:noProof/>
        </w:rPr>
        <w:t> </w:t>
      </w:r>
      <w:r w:rsidR="00AF2AE5" w:rsidRPr="00882905">
        <w:rPr>
          <w:noProof/>
        </w:rPr>
        <w:t>ram</w:t>
      </w:r>
      <w:r w:rsidR="69196BC4" w:rsidRPr="00882905">
        <w:rPr>
          <w:noProof/>
        </w:rPr>
        <w:t>ach pułapów zasobów własnych, aby Unia mogła pokryć wszystkie swoje zobowiązania finansowe</w:t>
      </w:r>
      <w:r w:rsidR="00AF2AE5" w:rsidRPr="00882905">
        <w:rPr>
          <w:noProof/>
        </w:rPr>
        <w:t xml:space="preserve"> i</w:t>
      </w:r>
      <w:r w:rsidR="00AF2AE5">
        <w:rPr>
          <w:noProof/>
        </w:rPr>
        <w:t> </w:t>
      </w:r>
      <w:r w:rsidR="00AF2AE5" w:rsidRPr="00882905">
        <w:rPr>
          <w:noProof/>
        </w:rPr>
        <w:t>war</w:t>
      </w:r>
      <w:r w:rsidR="69196BC4" w:rsidRPr="00882905">
        <w:rPr>
          <w:noProof/>
        </w:rPr>
        <w:t>unkowe, których termin zapadalności przypada na dany rok. Łączna kwota zasobów własnych przydzielonych Unii na pokrycie rocznych środków na płatności nie powinna przekroczyć 1,75 % sumy DNB wszystkich państw członkowskich. Łączna roczna kwota zapisanych</w:t>
      </w:r>
      <w:r w:rsidR="00AF2AE5" w:rsidRPr="00882905">
        <w:rPr>
          <w:noProof/>
        </w:rPr>
        <w:t xml:space="preserve"> w</w:t>
      </w:r>
      <w:r w:rsidR="00AF2AE5">
        <w:rPr>
          <w:noProof/>
        </w:rPr>
        <w:t> </w:t>
      </w:r>
      <w:r w:rsidR="00AF2AE5" w:rsidRPr="00882905">
        <w:rPr>
          <w:noProof/>
        </w:rPr>
        <w:t>bud</w:t>
      </w:r>
      <w:r w:rsidR="69196BC4" w:rsidRPr="00882905">
        <w:rPr>
          <w:noProof/>
        </w:rPr>
        <w:t>żecie Unii środków na zobowiązania nie powinna przekroczyć 1,81 % sumy DNB wszystkich państw członkowskich.</w:t>
      </w:r>
    </w:p>
    <w:p w14:paraId="3CBB917D" w14:textId="743BECB8" w:rsidR="00704957" w:rsidRPr="00882905" w:rsidRDefault="00EE785B" w:rsidP="00EE785B">
      <w:pPr>
        <w:pStyle w:val="ManualConsidrant"/>
        <w:rPr>
          <w:noProof/>
        </w:rPr>
      </w:pPr>
      <w:r w:rsidRPr="00EE785B">
        <w:rPr>
          <w:noProof/>
        </w:rPr>
        <w:t>(18)</w:t>
      </w:r>
      <w:r w:rsidRPr="00EE785B">
        <w:rPr>
          <w:noProof/>
        </w:rPr>
        <w:tab/>
      </w:r>
      <w:r w:rsidR="69196BC4" w:rsidRPr="00882905">
        <w:rPr>
          <w:noProof/>
        </w:rPr>
        <w:t>DNB należy zdefiniować jako roczny DNB</w:t>
      </w:r>
      <w:r w:rsidR="00AF2AE5" w:rsidRPr="00882905">
        <w:rPr>
          <w:noProof/>
        </w:rPr>
        <w:t xml:space="preserve"> w</w:t>
      </w:r>
      <w:r w:rsidR="00AF2AE5">
        <w:rPr>
          <w:noProof/>
        </w:rPr>
        <w:t> </w:t>
      </w:r>
      <w:r w:rsidR="00AF2AE5" w:rsidRPr="00882905">
        <w:rPr>
          <w:noProof/>
        </w:rPr>
        <w:t>cen</w:t>
      </w:r>
      <w:r w:rsidR="69196BC4" w:rsidRPr="00882905">
        <w:rPr>
          <w:noProof/>
        </w:rPr>
        <w:t>ach rynkowych podany przez Komisję</w:t>
      </w:r>
      <w:r w:rsidR="00AF2AE5" w:rsidRPr="00882905">
        <w:rPr>
          <w:noProof/>
        </w:rPr>
        <w:t xml:space="preserve"> w</w:t>
      </w:r>
      <w:r w:rsidR="00AF2AE5">
        <w:rPr>
          <w:noProof/>
        </w:rPr>
        <w:t> </w:t>
      </w:r>
      <w:r w:rsidR="00AF2AE5" w:rsidRPr="00882905">
        <w:rPr>
          <w:noProof/>
        </w:rPr>
        <w:t>zas</w:t>
      </w:r>
      <w:r w:rsidR="69196BC4" w:rsidRPr="00882905">
        <w:rPr>
          <w:noProof/>
        </w:rPr>
        <w:t>tosowaniu Europejskiego Systemu Rachunków 2010 („ESA 2010”)</w:t>
      </w:r>
      <w:r w:rsidR="00AF2AE5" w:rsidRPr="00882905">
        <w:rPr>
          <w:noProof/>
        </w:rPr>
        <w:t xml:space="preserve"> w</w:t>
      </w:r>
      <w:r w:rsidR="00AF2AE5">
        <w:rPr>
          <w:noProof/>
        </w:rPr>
        <w:t> </w:t>
      </w:r>
      <w:r w:rsidR="00AF2AE5" w:rsidRPr="00882905">
        <w:rPr>
          <w:noProof/>
        </w:rPr>
        <w:t>roz</w:t>
      </w:r>
      <w:r w:rsidR="69196BC4" w:rsidRPr="00882905">
        <w:rPr>
          <w:noProof/>
        </w:rPr>
        <w:t>umieniu rozporządzenia Parlamentu Europejskiego</w:t>
      </w:r>
      <w:r w:rsidR="00AF2AE5" w:rsidRPr="00882905">
        <w:rPr>
          <w:noProof/>
        </w:rPr>
        <w:t xml:space="preserve"> i</w:t>
      </w:r>
      <w:r w:rsidR="00AF2AE5">
        <w:rPr>
          <w:noProof/>
        </w:rPr>
        <w:t> </w:t>
      </w:r>
      <w:r w:rsidR="00AF2AE5" w:rsidRPr="00882905">
        <w:rPr>
          <w:noProof/>
        </w:rPr>
        <w:t>Rad</w:t>
      </w:r>
      <w:r w:rsidR="69196BC4" w:rsidRPr="00882905">
        <w:rPr>
          <w:noProof/>
        </w:rPr>
        <w:t xml:space="preserve">y (UE) </w:t>
      </w:r>
      <w:r w:rsidR="69196BC4" w:rsidRPr="00AF2AE5">
        <w:rPr>
          <w:noProof/>
        </w:rPr>
        <w:t>nr</w:t>
      </w:r>
      <w:r w:rsidR="00AF2AE5" w:rsidRPr="00AF2AE5">
        <w:rPr>
          <w:noProof/>
        </w:rPr>
        <w:t> </w:t>
      </w:r>
      <w:r w:rsidR="69196BC4" w:rsidRPr="00AF2AE5">
        <w:rPr>
          <w:noProof/>
        </w:rPr>
        <w:t>5</w:t>
      </w:r>
      <w:r w:rsidR="69196BC4" w:rsidRPr="00882905">
        <w:rPr>
          <w:noProof/>
        </w:rPr>
        <w:t>49/2013</w:t>
      </w:r>
      <w:r w:rsidR="00704957" w:rsidRPr="00882905">
        <w:rPr>
          <w:rStyle w:val="FootnoteReference"/>
          <w:noProof/>
        </w:rPr>
        <w:footnoteReference w:id="7"/>
      </w:r>
      <w:r w:rsidR="69196BC4" w:rsidRPr="00882905">
        <w:rPr>
          <w:noProof/>
        </w:rPr>
        <w:t xml:space="preserve"> („ESA 2010”). Po przyjęciu przez Organizację Narodów Zjednoczonych „Systemu Rachunków Narodowych 2025” oczekuje się, że</w:t>
      </w:r>
      <w:r w:rsidR="00AF2AE5" w:rsidRPr="00882905">
        <w:rPr>
          <w:noProof/>
        </w:rPr>
        <w:t xml:space="preserve"> w</w:t>
      </w:r>
      <w:r w:rsidR="00AF2AE5">
        <w:rPr>
          <w:noProof/>
        </w:rPr>
        <w:t> </w:t>
      </w:r>
      <w:r w:rsidR="00AF2AE5" w:rsidRPr="00882905">
        <w:rPr>
          <w:noProof/>
        </w:rPr>
        <w:t>nad</w:t>
      </w:r>
      <w:r w:rsidR="69196BC4" w:rsidRPr="00882905">
        <w:rPr>
          <w:noProof/>
        </w:rPr>
        <w:t>chodzących latach system ESA 2010 zostanie znowelizowany</w:t>
      </w:r>
      <w:r w:rsidR="00AF2AE5" w:rsidRPr="00882905">
        <w:rPr>
          <w:noProof/>
        </w:rPr>
        <w:t xml:space="preserve"> w</w:t>
      </w:r>
      <w:r w:rsidR="00AF2AE5">
        <w:rPr>
          <w:noProof/>
        </w:rPr>
        <w:t> </w:t>
      </w:r>
      <w:r w:rsidR="00AF2AE5" w:rsidRPr="00882905">
        <w:rPr>
          <w:noProof/>
        </w:rPr>
        <w:t>for</w:t>
      </w:r>
      <w:r w:rsidR="69196BC4" w:rsidRPr="00882905">
        <w:rPr>
          <w:noProof/>
        </w:rPr>
        <w:t>mie nowego europejskiego systemu rachunków („zmieniona ESA”). Należy ustanowić przepisy określające,</w:t>
      </w:r>
      <w:r w:rsidR="00AF2AE5" w:rsidRPr="00882905">
        <w:rPr>
          <w:noProof/>
        </w:rPr>
        <w:t xml:space="preserve"> w</w:t>
      </w:r>
      <w:r w:rsidR="00AF2AE5">
        <w:rPr>
          <w:noProof/>
        </w:rPr>
        <w:t> </w:t>
      </w:r>
      <w:r w:rsidR="00AF2AE5" w:rsidRPr="00882905">
        <w:rPr>
          <w:noProof/>
        </w:rPr>
        <w:t>jak</w:t>
      </w:r>
      <w:r w:rsidR="69196BC4" w:rsidRPr="00882905">
        <w:rPr>
          <w:noProof/>
        </w:rPr>
        <w:t>i sposób taka nowelizacja miałaby wpływ na definicję DNB</w:t>
      </w:r>
      <w:r w:rsidR="00AF2AE5" w:rsidRPr="00882905">
        <w:rPr>
          <w:noProof/>
        </w:rPr>
        <w:t>. Z</w:t>
      </w:r>
      <w:r w:rsidR="00AF2AE5">
        <w:rPr>
          <w:noProof/>
        </w:rPr>
        <w:t> </w:t>
      </w:r>
      <w:r w:rsidR="00AF2AE5" w:rsidRPr="00882905">
        <w:rPr>
          <w:noProof/>
        </w:rPr>
        <w:t>chw</w:t>
      </w:r>
      <w:r w:rsidR="69196BC4" w:rsidRPr="00882905">
        <w:rPr>
          <w:noProof/>
        </w:rPr>
        <w:t>ilą rozpoczęcia stosowania zmienionej ESA DNB należy zdefiniować jako roczny DNB</w:t>
      </w:r>
      <w:r w:rsidR="00AF2AE5" w:rsidRPr="00882905">
        <w:rPr>
          <w:noProof/>
        </w:rPr>
        <w:t xml:space="preserve"> w</w:t>
      </w:r>
      <w:r w:rsidR="00AF2AE5">
        <w:rPr>
          <w:noProof/>
        </w:rPr>
        <w:t> </w:t>
      </w:r>
      <w:r w:rsidR="00AF2AE5" w:rsidRPr="00882905">
        <w:rPr>
          <w:noProof/>
        </w:rPr>
        <w:t>cen</w:t>
      </w:r>
      <w:r w:rsidR="69196BC4" w:rsidRPr="00882905">
        <w:rPr>
          <w:noProof/>
        </w:rPr>
        <w:t>ach rynkowych, jak przewidziano</w:t>
      </w:r>
      <w:r w:rsidR="00AF2AE5" w:rsidRPr="00882905">
        <w:rPr>
          <w:noProof/>
        </w:rPr>
        <w:t xml:space="preserve"> w</w:t>
      </w:r>
      <w:r w:rsidR="00AF2AE5">
        <w:rPr>
          <w:noProof/>
        </w:rPr>
        <w:t> </w:t>
      </w:r>
      <w:r w:rsidR="00AF2AE5" w:rsidRPr="00882905">
        <w:rPr>
          <w:noProof/>
        </w:rPr>
        <w:t>zas</w:t>
      </w:r>
      <w:r w:rsidR="69196BC4" w:rsidRPr="00882905">
        <w:rPr>
          <w:noProof/>
        </w:rPr>
        <w:t>tosowaniu zmienionej ESA</w:t>
      </w:r>
      <w:r w:rsidR="00AF2AE5" w:rsidRPr="00882905">
        <w:rPr>
          <w:noProof/>
        </w:rPr>
        <w:t>. W</w:t>
      </w:r>
      <w:r w:rsidR="00AF2AE5">
        <w:rPr>
          <w:noProof/>
        </w:rPr>
        <w:t> </w:t>
      </w:r>
      <w:r w:rsidR="00AF2AE5" w:rsidRPr="00882905">
        <w:rPr>
          <w:noProof/>
        </w:rPr>
        <w:t>prz</w:t>
      </w:r>
      <w:r w:rsidR="69196BC4" w:rsidRPr="00882905">
        <w:rPr>
          <w:noProof/>
        </w:rPr>
        <w:t>ypadku gdyby zmieniona ESA pociągała za sobą znaczącą zmianę poziomu DNB, należy dostosować pułapy zasobów własnych na potrzeby środków na płatności</w:t>
      </w:r>
      <w:r w:rsidR="00AF2AE5" w:rsidRPr="00882905">
        <w:rPr>
          <w:noProof/>
        </w:rPr>
        <w:t xml:space="preserve"> i</w:t>
      </w:r>
      <w:r w:rsidR="00AF2AE5">
        <w:rPr>
          <w:noProof/>
        </w:rPr>
        <w:t> </w:t>
      </w:r>
      <w:r w:rsidR="00AF2AE5" w:rsidRPr="00882905">
        <w:rPr>
          <w:noProof/>
        </w:rPr>
        <w:t>śro</w:t>
      </w:r>
      <w:r w:rsidR="69196BC4" w:rsidRPr="00882905">
        <w:rPr>
          <w:noProof/>
        </w:rPr>
        <w:t>dków na zobowiązania. Należy jednak zapewnić, aby takie dostosowanie nie doprowadziło do korekty</w:t>
      </w:r>
      <w:r w:rsidR="00AF2AE5" w:rsidRPr="00882905">
        <w:rPr>
          <w:noProof/>
        </w:rPr>
        <w:t xml:space="preserve"> w</w:t>
      </w:r>
      <w:r w:rsidR="00AF2AE5">
        <w:rPr>
          <w:noProof/>
        </w:rPr>
        <w:t> </w:t>
      </w:r>
      <w:r w:rsidR="00AF2AE5" w:rsidRPr="00882905">
        <w:rPr>
          <w:noProof/>
        </w:rPr>
        <w:t>dół</w:t>
      </w:r>
      <w:r w:rsidR="69196BC4" w:rsidRPr="00882905">
        <w:rPr>
          <w:noProof/>
        </w:rPr>
        <w:t xml:space="preserve"> pułapów</w:t>
      </w:r>
      <w:r w:rsidR="00AF2AE5" w:rsidRPr="00882905">
        <w:rPr>
          <w:noProof/>
        </w:rPr>
        <w:t xml:space="preserve"> w</w:t>
      </w:r>
      <w:r w:rsidR="00AF2AE5">
        <w:rPr>
          <w:noProof/>
        </w:rPr>
        <w:t> </w:t>
      </w:r>
      <w:r w:rsidR="00AF2AE5" w:rsidRPr="00882905">
        <w:rPr>
          <w:noProof/>
        </w:rPr>
        <w:t>eur</w:t>
      </w:r>
      <w:r w:rsidR="69196BC4" w:rsidRPr="00882905">
        <w:rPr>
          <w:noProof/>
        </w:rPr>
        <w:t xml:space="preserve">o. </w:t>
      </w:r>
    </w:p>
    <w:p w14:paraId="02C94AA5" w14:textId="1FC8C50B" w:rsidR="00704957" w:rsidRPr="00882905" w:rsidRDefault="00EE785B" w:rsidP="00EE785B">
      <w:pPr>
        <w:pStyle w:val="ManualConsidrant"/>
        <w:rPr>
          <w:noProof/>
        </w:rPr>
      </w:pPr>
      <w:r w:rsidRPr="00EE785B">
        <w:rPr>
          <w:noProof/>
        </w:rPr>
        <w:t>(19)</w:t>
      </w:r>
      <w:r w:rsidRPr="00EE785B">
        <w:rPr>
          <w:noProof/>
        </w:rPr>
        <w:tab/>
      </w:r>
      <w:r w:rsidR="69196BC4" w:rsidRPr="00882905">
        <w:rPr>
          <w:noProof/>
        </w:rPr>
        <w:t>Należy ustanowić przepisy umożliwiające płynne przejście do stosowania zmienionej ESA. Aby uniknąć zmian wstecz</w:t>
      </w:r>
      <w:r w:rsidR="00AF2AE5" w:rsidRPr="00882905">
        <w:rPr>
          <w:noProof/>
        </w:rPr>
        <w:t xml:space="preserve"> w</w:t>
      </w:r>
      <w:r w:rsidR="00AF2AE5">
        <w:rPr>
          <w:noProof/>
        </w:rPr>
        <w:t> </w:t>
      </w:r>
      <w:r w:rsidR="00AF2AE5" w:rsidRPr="00882905">
        <w:rPr>
          <w:noProof/>
        </w:rPr>
        <w:t>maj</w:t>
      </w:r>
      <w:r w:rsidR="69196BC4" w:rsidRPr="00882905">
        <w:rPr>
          <w:noProof/>
        </w:rPr>
        <w:t>ącym zastosowanie systemie rachunkowości, ESA 2010 powinna nadal mieć zastosowanie do określania DNB państw członkowskich oraz pułapów zasobów własnych</w:t>
      </w:r>
      <w:r w:rsidR="00AF2AE5" w:rsidRPr="00882905">
        <w:rPr>
          <w:noProof/>
        </w:rPr>
        <w:t xml:space="preserve"> w</w:t>
      </w:r>
      <w:r w:rsidR="00AF2AE5">
        <w:rPr>
          <w:noProof/>
        </w:rPr>
        <w:t> </w:t>
      </w:r>
      <w:r w:rsidR="00AF2AE5" w:rsidRPr="00882905">
        <w:rPr>
          <w:noProof/>
        </w:rPr>
        <w:t>odn</w:t>
      </w:r>
      <w:r w:rsidR="69196BC4" w:rsidRPr="00882905">
        <w:rPr>
          <w:noProof/>
        </w:rPr>
        <w:t>iesieniu do lat,</w:t>
      </w:r>
      <w:r w:rsidR="00AF2AE5" w:rsidRPr="00882905">
        <w:rPr>
          <w:noProof/>
        </w:rPr>
        <w:t xml:space="preserve"> w</w:t>
      </w:r>
      <w:r w:rsidR="00AF2AE5">
        <w:rPr>
          <w:noProof/>
        </w:rPr>
        <w:t> </w:t>
      </w:r>
      <w:r w:rsidR="00AF2AE5" w:rsidRPr="00882905">
        <w:rPr>
          <w:noProof/>
        </w:rPr>
        <w:t>któ</w:t>
      </w:r>
      <w:r w:rsidR="69196BC4" w:rsidRPr="00882905">
        <w:rPr>
          <w:noProof/>
        </w:rPr>
        <w:t xml:space="preserve">rych DNB został ustalony po raz pierwszy zgodnie z ESA 2010. </w:t>
      </w:r>
    </w:p>
    <w:p w14:paraId="7F41546F" w14:textId="1A7BF092" w:rsidR="60F17E0C" w:rsidRPr="00882905" w:rsidRDefault="00EE785B" w:rsidP="00EE785B">
      <w:pPr>
        <w:pStyle w:val="ManualConsidrant"/>
        <w:rPr>
          <w:noProof/>
        </w:rPr>
      </w:pPr>
      <w:r w:rsidRPr="00EE785B">
        <w:rPr>
          <w:noProof/>
        </w:rPr>
        <w:t>(20)</w:t>
      </w:r>
      <w:r w:rsidRPr="00EE785B">
        <w:rPr>
          <w:noProof/>
        </w:rPr>
        <w:tab/>
      </w:r>
      <w:r w:rsidR="60F17E0C" w:rsidRPr="00882905">
        <w:rPr>
          <w:noProof/>
        </w:rPr>
        <w:t>Ostatnie lata pokazały, że wzrasta częstotliwość, dotkliwość</w:t>
      </w:r>
      <w:r w:rsidR="00AF2AE5" w:rsidRPr="00882905">
        <w:rPr>
          <w:noProof/>
        </w:rPr>
        <w:t xml:space="preserve"> i</w:t>
      </w:r>
      <w:r w:rsidR="00AF2AE5">
        <w:rPr>
          <w:noProof/>
        </w:rPr>
        <w:t> </w:t>
      </w:r>
      <w:r w:rsidR="00AF2AE5" w:rsidRPr="00882905">
        <w:rPr>
          <w:noProof/>
        </w:rPr>
        <w:t>głę</w:t>
      </w:r>
      <w:r w:rsidR="60F17E0C" w:rsidRPr="00882905">
        <w:rPr>
          <w:noProof/>
        </w:rPr>
        <w:t>bokość kryzysów</w:t>
      </w:r>
      <w:r w:rsidR="00AF2AE5" w:rsidRPr="00882905">
        <w:rPr>
          <w:noProof/>
        </w:rPr>
        <w:t xml:space="preserve"> i</w:t>
      </w:r>
      <w:r w:rsidR="00AF2AE5">
        <w:rPr>
          <w:noProof/>
        </w:rPr>
        <w:t> </w:t>
      </w:r>
      <w:r w:rsidR="00AF2AE5" w:rsidRPr="00882905">
        <w:rPr>
          <w:noProof/>
        </w:rPr>
        <w:t>tru</w:t>
      </w:r>
      <w:r w:rsidR="60F17E0C" w:rsidRPr="00882905">
        <w:rPr>
          <w:noProof/>
        </w:rPr>
        <w:t>dności, które dotykają Unię lub jej państwa członkowskie</w:t>
      </w:r>
      <w:r w:rsidR="00AF2AE5" w:rsidRPr="00882905">
        <w:rPr>
          <w:noProof/>
        </w:rPr>
        <w:t>. Z</w:t>
      </w:r>
      <w:r w:rsidR="00AF2AE5">
        <w:rPr>
          <w:noProof/>
        </w:rPr>
        <w:t> </w:t>
      </w:r>
      <w:r w:rsidR="00AF2AE5" w:rsidRPr="00882905">
        <w:rPr>
          <w:noProof/>
        </w:rPr>
        <w:t>teg</w:t>
      </w:r>
      <w:r w:rsidR="60F17E0C" w:rsidRPr="00882905">
        <w:rPr>
          <w:noProof/>
        </w:rPr>
        <w:t>o względu ważne jest zapewnienie Unii wystarczających zdolności finansowych do reagowania</w:t>
      </w:r>
      <w:r w:rsidR="00AF2AE5" w:rsidRPr="00882905">
        <w:rPr>
          <w:noProof/>
        </w:rPr>
        <w:t xml:space="preserve"> w</w:t>
      </w:r>
      <w:r w:rsidR="00AF2AE5">
        <w:rPr>
          <w:noProof/>
        </w:rPr>
        <w:t> </w:t>
      </w:r>
      <w:r w:rsidR="00AF2AE5" w:rsidRPr="00882905">
        <w:rPr>
          <w:noProof/>
        </w:rPr>
        <w:t>tak</w:t>
      </w:r>
      <w:r w:rsidR="60F17E0C" w:rsidRPr="00882905">
        <w:rPr>
          <w:noProof/>
        </w:rPr>
        <w:t>ich sytuacjach. Od 20</w:t>
      </w:r>
      <w:r w:rsidR="60F17E0C" w:rsidRPr="00AF2AE5">
        <w:rPr>
          <w:noProof/>
        </w:rPr>
        <w:t>20</w:t>
      </w:r>
      <w:r w:rsidR="00AF2AE5" w:rsidRPr="00AF2AE5">
        <w:rPr>
          <w:noProof/>
        </w:rPr>
        <w:t> </w:t>
      </w:r>
      <w:r w:rsidR="60F17E0C" w:rsidRPr="00AF2AE5">
        <w:rPr>
          <w:noProof/>
        </w:rPr>
        <w:t>r.</w:t>
      </w:r>
      <w:r w:rsidR="60F17E0C" w:rsidRPr="00882905">
        <w:rPr>
          <w:noProof/>
        </w:rPr>
        <w:t xml:space="preserve"> budżet Unii jest wyposażony</w:t>
      </w:r>
      <w:r w:rsidR="00AF2AE5" w:rsidRPr="00882905">
        <w:rPr>
          <w:noProof/>
        </w:rPr>
        <w:t xml:space="preserve"> w</w:t>
      </w:r>
      <w:r w:rsidR="00AF2AE5">
        <w:rPr>
          <w:noProof/>
        </w:rPr>
        <w:t> </w:t>
      </w:r>
      <w:r w:rsidR="00AF2AE5" w:rsidRPr="00882905">
        <w:rPr>
          <w:noProof/>
        </w:rPr>
        <w:t>kil</w:t>
      </w:r>
      <w:r w:rsidR="60F17E0C" w:rsidRPr="00882905">
        <w:rPr>
          <w:noProof/>
        </w:rPr>
        <w:t xml:space="preserve">ka instrumentów </w:t>
      </w:r>
      <w:r w:rsidR="60F17E0C" w:rsidRPr="00882905">
        <w:rPr>
          <w:i/>
          <w:noProof/>
        </w:rPr>
        <w:t>ad hoc</w:t>
      </w:r>
      <w:r w:rsidR="00AF2AE5" w:rsidRPr="00882905">
        <w:rPr>
          <w:noProof/>
        </w:rPr>
        <w:t xml:space="preserve"> i</w:t>
      </w:r>
      <w:r w:rsidR="00AF2AE5">
        <w:rPr>
          <w:noProof/>
        </w:rPr>
        <w:t> </w:t>
      </w:r>
      <w:r w:rsidR="00AF2AE5" w:rsidRPr="00882905">
        <w:rPr>
          <w:noProof/>
        </w:rPr>
        <w:t>ins</w:t>
      </w:r>
      <w:r w:rsidR="60F17E0C" w:rsidRPr="00882905">
        <w:rPr>
          <w:noProof/>
        </w:rPr>
        <w:t>trumentów tymczasowych: NextGenerationEU, wsparcie</w:t>
      </w:r>
      <w:r w:rsidR="00AF2AE5" w:rsidRPr="00882905">
        <w:rPr>
          <w:noProof/>
        </w:rPr>
        <w:t xml:space="preserve"> w</w:t>
      </w:r>
      <w:r w:rsidR="00AF2AE5">
        <w:rPr>
          <w:noProof/>
        </w:rPr>
        <w:t> </w:t>
      </w:r>
      <w:r w:rsidR="00AF2AE5" w:rsidRPr="00882905">
        <w:rPr>
          <w:noProof/>
        </w:rPr>
        <w:t>cel</w:t>
      </w:r>
      <w:r w:rsidR="60F17E0C" w:rsidRPr="00882905">
        <w:rPr>
          <w:noProof/>
        </w:rPr>
        <w:t>u zmniejszenia zagrożeń związanych</w:t>
      </w:r>
      <w:r w:rsidR="00AF2AE5" w:rsidRPr="00882905">
        <w:rPr>
          <w:noProof/>
        </w:rPr>
        <w:t xml:space="preserve"> z</w:t>
      </w:r>
      <w:r w:rsidR="00AF2AE5">
        <w:rPr>
          <w:noProof/>
        </w:rPr>
        <w:t> </w:t>
      </w:r>
      <w:r w:rsidR="00AF2AE5" w:rsidRPr="00882905">
        <w:rPr>
          <w:noProof/>
        </w:rPr>
        <w:t>bez</w:t>
      </w:r>
      <w:r w:rsidR="60F17E0C" w:rsidRPr="00882905">
        <w:rPr>
          <w:noProof/>
        </w:rPr>
        <w:t>robociem</w:t>
      </w:r>
      <w:r w:rsidR="00AF2AE5" w:rsidRPr="00882905">
        <w:rPr>
          <w:noProof/>
        </w:rPr>
        <w:t xml:space="preserve"> w</w:t>
      </w:r>
      <w:r w:rsidR="00AF2AE5">
        <w:rPr>
          <w:noProof/>
        </w:rPr>
        <w:t> </w:t>
      </w:r>
      <w:r w:rsidR="00AF2AE5" w:rsidRPr="00882905">
        <w:rPr>
          <w:noProof/>
        </w:rPr>
        <w:t>syt</w:t>
      </w:r>
      <w:r w:rsidR="60F17E0C" w:rsidRPr="00882905">
        <w:rPr>
          <w:noProof/>
        </w:rPr>
        <w:t>uacji nadzwyczajnej (SURE) oraz Instrument na rzecz Zwiększenia Bezpieczeństwa Europy (SAFE). Unia musi nadal zapewniać sobie środki umożliwiające realizację zakładanych celów. Nadzwyczajne środki finansowe na wyjątkową skalę mogą być potrzebne</w:t>
      </w:r>
      <w:r w:rsidR="00AF2AE5" w:rsidRPr="00882905">
        <w:rPr>
          <w:noProof/>
        </w:rPr>
        <w:t xml:space="preserve"> w</w:t>
      </w:r>
      <w:r w:rsidR="00AF2AE5">
        <w:rPr>
          <w:noProof/>
        </w:rPr>
        <w:t> </w:t>
      </w:r>
      <w:r w:rsidR="00AF2AE5" w:rsidRPr="00882905">
        <w:rPr>
          <w:noProof/>
        </w:rPr>
        <w:t>cel</w:t>
      </w:r>
      <w:r w:rsidR="60F17E0C" w:rsidRPr="00882905">
        <w:rPr>
          <w:noProof/>
        </w:rPr>
        <w:t>u zaradzenia skutkom budżetowym takich zdarzeń,</w:t>
      </w:r>
      <w:r w:rsidR="00AF2AE5" w:rsidRPr="00882905">
        <w:rPr>
          <w:noProof/>
        </w:rPr>
        <w:t xml:space="preserve"> w</w:t>
      </w:r>
      <w:r w:rsidR="00AF2AE5">
        <w:rPr>
          <w:noProof/>
        </w:rPr>
        <w:t> </w:t>
      </w:r>
      <w:r w:rsidR="00AF2AE5" w:rsidRPr="00882905">
        <w:rPr>
          <w:noProof/>
        </w:rPr>
        <w:t>zwi</w:t>
      </w:r>
      <w:r w:rsidR="60F17E0C" w:rsidRPr="00882905">
        <w:rPr>
          <w:noProof/>
        </w:rPr>
        <w:t>ązku</w:t>
      </w:r>
      <w:r w:rsidR="00AF2AE5" w:rsidRPr="00882905">
        <w:rPr>
          <w:noProof/>
        </w:rPr>
        <w:t xml:space="preserve"> z</w:t>
      </w:r>
      <w:r w:rsidR="00AF2AE5">
        <w:rPr>
          <w:noProof/>
        </w:rPr>
        <w:t> </w:t>
      </w:r>
      <w:r w:rsidR="00AF2AE5" w:rsidRPr="00882905">
        <w:rPr>
          <w:noProof/>
        </w:rPr>
        <w:t>jed</w:t>
      </w:r>
      <w:r w:rsidR="60F17E0C" w:rsidRPr="00882905">
        <w:rPr>
          <w:noProof/>
        </w:rPr>
        <w:t>nym lub kilkoma wyjątkowymi wydarzeniami.</w:t>
      </w:r>
    </w:p>
    <w:p w14:paraId="085124E2" w14:textId="126A7E4C" w:rsidR="006D42F3" w:rsidRPr="00882905" w:rsidRDefault="00EE785B" w:rsidP="00EE785B">
      <w:pPr>
        <w:pStyle w:val="ManualConsidrant"/>
        <w:rPr>
          <w:noProof/>
          <w:color w:val="000000" w:themeColor="text1"/>
        </w:rPr>
      </w:pPr>
      <w:r w:rsidRPr="00EE785B">
        <w:rPr>
          <w:noProof/>
        </w:rPr>
        <w:t>(21)</w:t>
      </w:r>
      <w:r w:rsidRPr="00EE785B">
        <w:rPr>
          <w:noProof/>
        </w:rPr>
        <w:tab/>
      </w:r>
      <w:r w:rsidR="60F17E0C" w:rsidRPr="00882905">
        <w:rPr>
          <w:noProof/>
        </w:rPr>
        <w:t>Bez wystarczającej zdolności budżetowej do udzielania pożyczek zabezpieczonych zasobami własnymi zdolność struktury budżetowej do skutecznego</w:t>
      </w:r>
      <w:r w:rsidR="00AF2AE5" w:rsidRPr="00882905">
        <w:rPr>
          <w:noProof/>
        </w:rPr>
        <w:t xml:space="preserve"> i</w:t>
      </w:r>
      <w:r w:rsidR="00AF2AE5">
        <w:rPr>
          <w:noProof/>
        </w:rPr>
        <w:t> </w:t>
      </w:r>
      <w:r w:rsidR="00AF2AE5" w:rsidRPr="00882905">
        <w:rPr>
          <w:noProof/>
        </w:rPr>
        <w:t>ter</w:t>
      </w:r>
      <w:r w:rsidR="60F17E0C" w:rsidRPr="00882905">
        <w:rPr>
          <w:noProof/>
        </w:rPr>
        <w:t>minowego reagowania na kryzysy jest ograniczona. Należy zatem ustanowić nowe ograniczone, nadzwyczajne</w:t>
      </w:r>
      <w:r w:rsidR="00AF2AE5" w:rsidRPr="00882905">
        <w:rPr>
          <w:noProof/>
        </w:rPr>
        <w:t xml:space="preserve"> i</w:t>
      </w:r>
      <w:r w:rsidR="00AF2AE5">
        <w:rPr>
          <w:noProof/>
        </w:rPr>
        <w:t> </w:t>
      </w:r>
      <w:r w:rsidR="00AF2AE5" w:rsidRPr="00882905">
        <w:rPr>
          <w:noProof/>
        </w:rPr>
        <w:t>uki</w:t>
      </w:r>
      <w:r w:rsidR="60F17E0C" w:rsidRPr="00882905">
        <w:rPr>
          <w:noProof/>
        </w:rPr>
        <w:t>erunkowane narzędzie reagowania wyłącznie na poważne kryzysy, poważne trudności lub poważne zagrożenie nimi. To nadzwyczajne narzędzie kryzysowe powinno przeznaczać zasoby budżetowe na udzielanie pożyczek wyłącznie</w:t>
      </w:r>
      <w:r w:rsidR="00AF2AE5" w:rsidRPr="00882905">
        <w:rPr>
          <w:noProof/>
        </w:rPr>
        <w:t xml:space="preserve"> w</w:t>
      </w:r>
      <w:r w:rsidR="00AF2AE5">
        <w:rPr>
          <w:noProof/>
        </w:rPr>
        <w:t> </w:t>
      </w:r>
      <w:r w:rsidR="00AF2AE5" w:rsidRPr="00882905">
        <w:rPr>
          <w:noProof/>
        </w:rPr>
        <w:t>okr</w:t>
      </w:r>
      <w:r w:rsidR="60F17E0C" w:rsidRPr="00882905">
        <w:rPr>
          <w:noProof/>
        </w:rPr>
        <w:t>esie obowiązywania przyszłych WRF na lata 2028–2034. Ten mechanizm kryzysowy nie powinien być uruchamiany,</w:t>
      </w:r>
      <w:r w:rsidR="00AF2AE5" w:rsidRPr="00882905">
        <w:rPr>
          <w:noProof/>
        </w:rPr>
        <w:t xml:space="preserve"> w</w:t>
      </w:r>
      <w:r w:rsidR="00AF2AE5">
        <w:rPr>
          <w:noProof/>
        </w:rPr>
        <w:t> </w:t>
      </w:r>
      <w:r w:rsidR="00AF2AE5" w:rsidRPr="00882905">
        <w:rPr>
          <w:noProof/>
        </w:rPr>
        <w:t>prz</w:t>
      </w:r>
      <w:r w:rsidR="60F17E0C" w:rsidRPr="00882905">
        <w:rPr>
          <w:noProof/>
        </w:rPr>
        <w:t>ypadku gdy programy unijne już odpowiednio przeciwdziałają skutkom danej sytuacji.</w:t>
      </w:r>
    </w:p>
    <w:p w14:paraId="2C00B491" w14:textId="68FECF7B" w:rsidR="60F17E0C" w:rsidRPr="00882905" w:rsidRDefault="00EE785B" w:rsidP="00EE785B">
      <w:pPr>
        <w:pStyle w:val="ManualConsidrant"/>
        <w:rPr>
          <w:noProof/>
        </w:rPr>
      </w:pPr>
      <w:r w:rsidRPr="00EE785B">
        <w:rPr>
          <w:noProof/>
        </w:rPr>
        <w:t>(22)</w:t>
      </w:r>
      <w:r w:rsidRPr="00EE785B">
        <w:rPr>
          <w:noProof/>
        </w:rPr>
        <w:tab/>
      </w:r>
      <w:r w:rsidR="00485AF3" w:rsidRPr="00882905">
        <w:rPr>
          <w:noProof/>
        </w:rPr>
        <w:t>O wykorzystaniu tego nadzwyczajnego</w:t>
      </w:r>
      <w:r w:rsidR="00AF2AE5" w:rsidRPr="00882905">
        <w:rPr>
          <w:noProof/>
        </w:rPr>
        <w:t xml:space="preserve"> i</w:t>
      </w:r>
      <w:r w:rsidR="00AF2AE5">
        <w:rPr>
          <w:noProof/>
        </w:rPr>
        <w:t> </w:t>
      </w:r>
      <w:r w:rsidR="00AF2AE5" w:rsidRPr="00882905">
        <w:rPr>
          <w:noProof/>
        </w:rPr>
        <w:t>uki</w:t>
      </w:r>
      <w:r w:rsidR="00485AF3" w:rsidRPr="00882905">
        <w:rPr>
          <w:noProof/>
        </w:rPr>
        <w:t xml:space="preserve">erunkowanego narzędzia reagowania kryzysowego powinna decydować Rada </w:t>
      </w:r>
      <w:r w:rsidR="00485AF3" w:rsidRPr="00882905">
        <w:rPr>
          <w:i/>
          <w:noProof/>
        </w:rPr>
        <w:t>ad hoc</w:t>
      </w:r>
      <w:r w:rsidR="00485AF3" w:rsidRPr="00882905">
        <w:rPr>
          <w:noProof/>
        </w:rPr>
        <w:t>, biorąc pod uwagę specyfikę</w:t>
      </w:r>
      <w:r w:rsidR="00AF2AE5" w:rsidRPr="00882905">
        <w:rPr>
          <w:noProof/>
        </w:rPr>
        <w:t xml:space="preserve"> i</w:t>
      </w:r>
      <w:r w:rsidR="00AF2AE5">
        <w:rPr>
          <w:noProof/>
        </w:rPr>
        <w:t> </w:t>
      </w:r>
      <w:r w:rsidR="00AF2AE5" w:rsidRPr="00882905">
        <w:rPr>
          <w:noProof/>
        </w:rPr>
        <w:t>poj</w:t>
      </w:r>
      <w:r w:rsidR="00485AF3" w:rsidRPr="00882905">
        <w:rPr>
          <w:noProof/>
        </w:rPr>
        <w:t>awiające się potrzeby, przy jednoczesnym uznaniu roli Rady Europejskiej</w:t>
      </w:r>
      <w:r w:rsidR="00AF2AE5" w:rsidRPr="00882905">
        <w:rPr>
          <w:noProof/>
        </w:rPr>
        <w:t xml:space="preserve"> w</w:t>
      </w:r>
      <w:r w:rsidR="00AF2AE5">
        <w:rPr>
          <w:noProof/>
        </w:rPr>
        <w:t> </w:t>
      </w:r>
      <w:r w:rsidR="00AF2AE5" w:rsidRPr="00882905">
        <w:rPr>
          <w:noProof/>
        </w:rPr>
        <w:t>zap</w:t>
      </w:r>
      <w:r w:rsidR="00485AF3" w:rsidRPr="00882905">
        <w:rPr>
          <w:noProof/>
        </w:rPr>
        <w:t>ewnianiu niezbędnego bodźca dla rozwoju Unii oraz</w:t>
      </w:r>
      <w:r w:rsidR="00AF2AE5" w:rsidRPr="00882905">
        <w:rPr>
          <w:noProof/>
        </w:rPr>
        <w:t xml:space="preserve"> w</w:t>
      </w:r>
      <w:r w:rsidR="00AF2AE5">
        <w:rPr>
          <w:noProof/>
        </w:rPr>
        <w:t> </w:t>
      </w:r>
      <w:r w:rsidR="00AF2AE5" w:rsidRPr="00882905">
        <w:rPr>
          <w:noProof/>
        </w:rPr>
        <w:t>okr</w:t>
      </w:r>
      <w:r w:rsidR="00485AF3" w:rsidRPr="00882905">
        <w:rPr>
          <w:noProof/>
        </w:rPr>
        <w:t>eślaniu ogólnych kierunków</w:t>
      </w:r>
      <w:r w:rsidR="00AF2AE5" w:rsidRPr="00882905">
        <w:rPr>
          <w:noProof/>
        </w:rPr>
        <w:t xml:space="preserve"> i</w:t>
      </w:r>
      <w:r w:rsidR="00AF2AE5">
        <w:rPr>
          <w:noProof/>
        </w:rPr>
        <w:t> </w:t>
      </w:r>
      <w:r w:rsidR="00AF2AE5" w:rsidRPr="00882905">
        <w:rPr>
          <w:noProof/>
        </w:rPr>
        <w:t>pri</w:t>
      </w:r>
      <w:r w:rsidR="00485AF3" w:rsidRPr="00882905">
        <w:rPr>
          <w:noProof/>
        </w:rPr>
        <w:t>orytetów politycznych,</w:t>
      </w:r>
      <w:r w:rsidR="00AF2AE5" w:rsidRPr="00882905">
        <w:rPr>
          <w:noProof/>
        </w:rPr>
        <w:t xml:space="preserve"> w</w:t>
      </w:r>
      <w:r w:rsidR="00AF2AE5">
        <w:rPr>
          <w:noProof/>
        </w:rPr>
        <w:t> </w:t>
      </w:r>
      <w:r w:rsidR="00AF2AE5" w:rsidRPr="00882905">
        <w:rPr>
          <w:noProof/>
        </w:rPr>
        <w:t>tym w</w:t>
      </w:r>
      <w:r w:rsidR="00AF2AE5">
        <w:rPr>
          <w:noProof/>
        </w:rPr>
        <w:t> </w:t>
      </w:r>
      <w:r w:rsidR="00AF2AE5" w:rsidRPr="00882905">
        <w:rPr>
          <w:noProof/>
        </w:rPr>
        <w:t>cza</w:t>
      </w:r>
      <w:r w:rsidR="00485AF3" w:rsidRPr="00882905">
        <w:rPr>
          <w:noProof/>
        </w:rPr>
        <w:t>sach kryzysów, trudności lub zagrożeń nimi. Rada powinna stanowić</w:t>
      </w:r>
      <w:r w:rsidR="00AF2AE5" w:rsidRPr="00882905">
        <w:rPr>
          <w:noProof/>
        </w:rPr>
        <w:t xml:space="preserve"> w</w:t>
      </w:r>
      <w:r w:rsidR="00AF2AE5">
        <w:rPr>
          <w:noProof/>
        </w:rPr>
        <w:t> </w:t>
      </w:r>
      <w:r w:rsidR="00AF2AE5" w:rsidRPr="00882905">
        <w:rPr>
          <w:noProof/>
        </w:rPr>
        <w:t>dro</w:t>
      </w:r>
      <w:r w:rsidR="00485AF3" w:rsidRPr="00882905">
        <w:rPr>
          <w:noProof/>
        </w:rPr>
        <w:t>dze rozporządzenia Rady, przyjmowanego zgodnie</w:t>
      </w:r>
      <w:r w:rsidR="00AF2AE5" w:rsidRPr="00882905">
        <w:rPr>
          <w:noProof/>
        </w:rPr>
        <w:t xml:space="preserve"> z</w:t>
      </w:r>
      <w:r w:rsidR="00AF2AE5">
        <w:rPr>
          <w:noProof/>
        </w:rPr>
        <w:t> </w:t>
      </w:r>
      <w:r w:rsidR="00AF2AE5" w:rsidRPr="00882905">
        <w:rPr>
          <w:noProof/>
        </w:rPr>
        <w:t>pro</w:t>
      </w:r>
      <w:r w:rsidR="00485AF3" w:rsidRPr="00882905">
        <w:rPr>
          <w:noProof/>
        </w:rPr>
        <w:t>cedurą określoną</w:t>
      </w:r>
      <w:r w:rsidR="00AF2AE5" w:rsidRPr="00882905">
        <w:rPr>
          <w:noProof/>
        </w:rPr>
        <w:t xml:space="preserve"> w</w:t>
      </w:r>
      <w:r w:rsidR="00AF2AE5">
        <w:rPr>
          <w:noProof/>
        </w:rPr>
        <w:t> </w:t>
      </w:r>
      <w:r w:rsidR="00AF2AE5" w:rsidRPr="00AF2AE5">
        <w:rPr>
          <w:noProof/>
        </w:rPr>
        <w:t>art</w:t>
      </w:r>
      <w:r w:rsidR="00485AF3" w:rsidRPr="00AF2AE5">
        <w:rPr>
          <w:noProof/>
        </w:rPr>
        <w:t>.</w:t>
      </w:r>
      <w:r w:rsidR="00AF2AE5" w:rsidRPr="00AF2AE5">
        <w:rPr>
          <w:noProof/>
        </w:rPr>
        <w:t> </w:t>
      </w:r>
      <w:r w:rsidR="00485AF3" w:rsidRPr="00AF2AE5">
        <w:rPr>
          <w:noProof/>
        </w:rPr>
        <w:t>3</w:t>
      </w:r>
      <w:r w:rsidR="00485AF3" w:rsidRPr="00882905">
        <w:rPr>
          <w:noProof/>
        </w:rPr>
        <w:t>11 akapit czwarty TFUE, po uzyskaniu zgody Parlamentu Europejskiego</w:t>
      </w:r>
      <w:r w:rsidR="00AF2AE5" w:rsidRPr="00882905">
        <w:rPr>
          <w:noProof/>
        </w:rPr>
        <w:t>. W</w:t>
      </w:r>
      <w:r w:rsidR="00AF2AE5">
        <w:rPr>
          <w:noProof/>
        </w:rPr>
        <w:t> </w:t>
      </w:r>
      <w:r w:rsidR="00AF2AE5" w:rsidRPr="00882905">
        <w:rPr>
          <w:noProof/>
        </w:rPr>
        <w:t>roz</w:t>
      </w:r>
      <w:r w:rsidR="00485AF3" w:rsidRPr="00882905">
        <w:rPr>
          <w:noProof/>
        </w:rPr>
        <w:t>porządzeniu Rady należy zatwierdzić kwotę pożyczek. Warunki</w:t>
      </w:r>
      <w:r w:rsidR="00AF2AE5" w:rsidRPr="00882905">
        <w:rPr>
          <w:noProof/>
        </w:rPr>
        <w:t xml:space="preserve"> i</w:t>
      </w:r>
      <w:r w:rsidR="00AF2AE5">
        <w:rPr>
          <w:noProof/>
        </w:rPr>
        <w:t> </w:t>
      </w:r>
      <w:r w:rsidR="00AF2AE5" w:rsidRPr="00882905">
        <w:rPr>
          <w:noProof/>
        </w:rPr>
        <w:t>zas</w:t>
      </w:r>
      <w:r w:rsidR="00485AF3" w:rsidRPr="00882905">
        <w:rPr>
          <w:noProof/>
        </w:rPr>
        <w:t>ady określające przydział kwot pożyczek ustalonych</w:t>
      </w:r>
      <w:r w:rsidR="00AF2AE5" w:rsidRPr="00882905">
        <w:rPr>
          <w:noProof/>
        </w:rPr>
        <w:t xml:space="preserve"> w</w:t>
      </w:r>
      <w:r w:rsidR="00AF2AE5">
        <w:rPr>
          <w:noProof/>
        </w:rPr>
        <w:t> </w:t>
      </w:r>
      <w:r w:rsidR="00AF2AE5" w:rsidRPr="00882905">
        <w:rPr>
          <w:noProof/>
        </w:rPr>
        <w:t>roz</w:t>
      </w:r>
      <w:r w:rsidR="00485AF3" w:rsidRPr="00882905">
        <w:rPr>
          <w:noProof/>
        </w:rPr>
        <w:t>porządzeniu Rady należy określić</w:t>
      </w:r>
      <w:r w:rsidR="00AF2AE5" w:rsidRPr="00882905">
        <w:rPr>
          <w:noProof/>
        </w:rPr>
        <w:t xml:space="preserve"> w</w:t>
      </w:r>
      <w:r w:rsidR="00AF2AE5">
        <w:rPr>
          <w:noProof/>
        </w:rPr>
        <w:t> </w:t>
      </w:r>
      <w:r w:rsidR="00AF2AE5" w:rsidRPr="00882905">
        <w:rPr>
          <w:noProof/>
        </w:rPr>
        <w:t>akc</w:t>
      </w:r>
      <w:r w:rsidR="00485AF3" w:rsidRPr="00882905">
        <w:rPr>
          <w:noProof/>
        </w:rPr>
        <w:t>ie podstawowym, który ma być przyjmowany lub dostosowywany</w:t>
      </w:r>
      <w:r w:rsidR="00AF2AE5" w:rsidRPr="00882905">
        <w:rPr>
          <w:noProof/>
        </w:rPr>
        <w:t xml:space="preserve"> w</w:t>
      </w:r>
      <w:r w:rsidR="00AF2AE5">
        <w:rPr>
          <w:noProof/>
        </w:rPr>
        <w:t> </w:t>
      </w:r>
      <w:r w:rsidR="00AF2AE5" w:rsidRPr="00882905">
        <w:rPr>
          <w:noProof/>
        </w:rPr>
        <w:t>świ</w:t>
      </w:r>
      <w:r w:rsidR="00485AF3" w:rsidRPr="00882905">
        <w:rPr>
          <w:noProof/>
        </w:rPr>
        <w:t>etle pojawiających się potrzeb</w:t>
      </w:r>
      <w:r w:rsidR="00AF2AE5" w:rsidRPr="00882905">
        <w:rPr>
          <w:noProof/>
        </w:rPr>
        <w:t xml:space="preserve"> w</w:t>
      </w:r>
      <w:r w:rsidR="00AF2AE5">
        <w:rPr>
          <w:noProof/>
        </w:rPr>
        <w:t> </w:t>
      </w:r>
      <w:r w:rsidR="00AF2AE5" w:rsidRPr="00882905">
        <w:rPr>
          <w:noProof/>
        </w:rPr>
        <w:t>cel</w:t>
      </w:r>
      <w:r w:rsidR="00485AF3" w:rsidRPr="00882905">
        <w:rPr>
          <w:noProof/>
        </w:rPr>
        <w:t>u zaradzenia zaistniałej sytuacji.</w:t>
      </w:r>
    </w:p>
    <w:p w14:paraId="321BD693" w14:textId="18AE1240" w:rsidR="00F574A9" w:rsidRPr="00882905" w:rsidRDefault="00EE785B" w:rsidP="00EE785B">
      <w:pPr>
        <w:pStyle w:val="ManualConsidrant"/>
        <w:rPr>
          <w:noProof/>
        </w:rPr>
      </w:pPr>
      <w:r w:rsidRPr="00EE785B">
        <w:rPr>
          <w:noProof/>
        </w:rPr>
        <w:t>(23)</w:t>
      </w:r>
      <w:r w:rsidRPr="00EE785B">
        <w:rPr>
          <w:noProof/>
        </w:rPr>
        <w:tab/>
      </w:r>
      <w:r w:rsidR="60F17E0C" w:rsidRPr="00882905">
        <w:rPr>
          <w:noProof/>
        </w:rPr>
        <w:t>Pożyczone środki finansowe, które są wykorzystywane do udzielania pożyczek państwom członkowskim, powinny być spłacane</w:t>
      </w:r>
      <w:r w:rsidR="00AF2AE5" w:rsidRPr="00882905">
        <w:rPr>
          <w:noProof/>
        </w:rPr>
        <w:t xml:space="preserve"> z</w:t>
      </w:r>
      <w:r w:rsidR="00AF2AE5">
        <w:rPr>
          <w:noProof/>
        </w:rPr>
        <w:t> </w:t>
      </w:r>
      <w:r w:rsidR="00AF2AE5" w:rsidRPr="00882905">
        <w:rPr>
          <w:noProof/>
        </w:rPr>
        <w:t>kwo</w:t>
      </w:r>
      <w:r w:rsidR="60F17E0C" w:rsidRPr="00882905">
        <w:rPr>
          <w:noProof/>
        </w:rPr>
        <w:t>t otrzymanych od państw członkowskich będących beneficjentami. Aby umożliwić Unii ponoszenie odpowiedzialności</w:t>
      </w:r>
      <w:r w:rsidR="00AF2AE5" w:rsidRPr="00882905">
        <w:rPr>
          <w:noProof/>
        </w:rPr>
        <w:t xml:space="preserve"> z</w:t>
      </w:r>
      <w:r w:rsidR="00AF2AE5">
        <w:rPr>
          <w:noProof/>
        </w:rPr>
        <w:t> </w:t>
      </w:r>
      <w:r w:rsidR="00AF2AE5" w:rsidRPr="00882905">
        <w:rPr>
          <w:noProof/>
        </w:rPr>
        <w:t>tyt</w:t>
      </w:r>
      <w:r w:rsidR="60F17E0C" w:rsidRPr="00882905">
        <w:rPr>
          <w:noProof/>
        </w:rPr>
        <w:t>ułu zobowiązań warunkowych związanych</w:t>
      </w:r>
      <w:r w:rsidR="00AF2AE5" w:rsidRPr="00882905">
        <w:rPr>
          <w:noProof/>
        </w:rPr>
        <w:t xml:space="preserve"> z</w:t>
      </w:r>
      <w:r w:rsidR="00AF2AE5">
        <w:rPr>
          <w:noProof/>
        </w:rPr>
        <w:t> </w:t>
      </w:r>
      <w:r w:rsidR="00AF2AE5" w:rsidRPr="00882905">
        <w:rPr>
          <w:noProof/>
        </w:rPr>
        <w:t>pla</w:t>
      </w:r>
      <w:r w:rsidR="60F17E0C" w:rsidRPr="00882905">
        <w:rPr>
          <w:noProof/>
        </w:rPr>
        <w:t>nowanym pożyczaniem środków finansowych na pożyczki, konieczne jest nadzwyczajne</w:t>
      </w:r>
      <w:r w:rsidR="00AF2AE5" w:rsidRPr="00882905">
        <w:rPr>
          <w:noProof/>
        </w:rPr>
        <w:t xml:space="preserve"> i</w:t>
      </w:r>
      <w:r w:rsidR="00AF2AE5">
        <w:rPr>
          <w:noProof/>
        </w:rPr>
        <w:t> </w:t>
      </w:r>
      <w:r w:rsidR="00AF2AE5" w:rsidRPr="00882905">
        <w:rPr>
          <w:noProof/>
        </w:rPr>
        <w:t>tym</w:t>
      </w:r>
      <w:r w:rsidR="60F17E0C" w:rsidRPr="00882905">
        <w:rPr>
          <w:noProof/>
        </w:rPr>
        <w:t>czasowe zwiększenie pułapów zasobów własnych. Zarówno pułap środków na płatności, jak</w:t>
      </w:r>
      <w:r w:rsidR="00AF2AE5" w:rsidRPr="00882905">
        <w:rPr>
          <w:noProof/>
        </w:rPr>
        <w:t xml:space="preserve"> i</w:t>
      </w:r>
      <w:r w:rsidR="00AF2AE5">
        <w:rPr>
          <w:noProof/>
        </w:rPr>
        <w:t> </w:t>
      </w:r>
      <w:r w:rsidR="00AF2AE5" w:rsidRPr="00882905">
        <w:rPr>
          <w:noProof/>
        </w:rPr>
        <w:t>puł</w:t>
      </w:r>
      <w:r w:rsidR="60F17E0C" w:rsidRPr="00882905">
        <w:rPr>
          <w:noProof/>
        </w:rPr>
        <w:t>ap środków na zobowiązania należy zwiększyć</w:t>
      </w:r>
      <w:r w:rsidR="00AF2AE5" w:rsidRPr="00882905">
        <w:rPr>
          <w:noProof/>
        </w:rPr>
        <w:t xml:space="preserve"> o</w:t>
      </w:r>
      <w:r w:rsidR="00AF2AE5">
        <w:rPr>
          <w:noProof/>
        </w:rPr>
        <w:t> </w:t>
      </w:r>
      <w:r w:rsidR="00AF2AE5" w:rsidRPr="00882905">
        <w:rPr>
          <w:noProof/>
        </w:rPr>
        <w:t>0</w:t>
      </w:r>
      <w:r w:rsidR="60F17E0C" w:rsidRPr="00882905">
        <w:rPr>
          <w:noProof/>
        </w:rPr>
        <w:t>,25 punktu procentowego. Jedynym celem tego zwiększenia powinno być pokrycie wszystkich zobowiązań Unii wynikających</w:t>
      </w:r>
      <w:r w:rsidR="00AF2AE5" w:rsidRPr="00882905">
        <w:rPr>
          <w:noProof/>
        </w:rPr>
        <w:t xml:space="preserve"> z</w:t>
      </w:r>
      <w:r w:rsidR="00AF2AE5">
        <w:rPr>
          <w:noProof/>
        </w:rPr>
        <w:t> </w:t>
      </w:r>
      <w:r w:rsidR="00AF2AE5" w:rsidRPr="00882905">
        <w:rPr>
          <w:noProof/>
        </w:rPr>
        <w:t>poż</w:t>
      </w:r>
      <w:r w:rsidR="60F17E0C" w:rsidRPr="00882905">
        <w:rPr>
          <w:noProof/>
        </w:rPr>
        <w:t>yczania przez nią środków finansowych na pożyczki</w:t>
      </w:r>
      <w:r w:rsidR="00AF2AE5" w:rsidRPr="00882905">
        <w:rPr>
          <w:noProof/>
        </w:rPr>
        <w:t xml:space="preserve"> w</w:t>
      </w:r>
      <w:r w:rsidR="00AF2AE5">
        <w:rPr>
          <w:noProof/>
        </w:rPr>
        <w:t> </w:t>
      </w:r>
      <w:r w:rsidR="00AF2AE5" w:rsidRPr="00882905">
        <w:rPr>
          <w:noProof/>
        </w:rPr>
        <w:t>cel</w:t>
      </w:r>
      <w:r w:rsidR="60F17E0C" w:rsidRPr="00882905">
        <w:rPr>
          <w:noProof/>
        </w:rPr>
        <w:t xml:space="preserve">u zaradzenia skutkom takich zdarzeń. </w:t>
      </w:r>
    </w:p>
    <w:p w14:paraId="71038C35" w14:textId="6C9E8701" w:rsidR="000A397C" w:rsidRPr="00882905" w:rsidRDefault="00EE785B" w:rsidP="00EE785B">
      <w:pPr>
        <w:pStyle w:val="ManualConsidrant"/>
        <w:rPr>
          <w:noProof/>
          <w:szCs w:val="24"/>
        </w:rPr>
      </w:pPr>
      <w:r w:rsidRPr="00EE785B">
        <w:rPr>
          <w:noProof/>
        </w:rPr>
        <w:t>(24)</w:t>
      </w:r>
      <w:r w:rsidRPr="00EE785B">
        <w:rPr>
          <w:noProof/>
        </w:rPr>
        <w:tab/>
      </w:r>
      <w:r w:rsidR="60F17E0C" w:rsidRPr="00882905">
        <w:rPr>
          <w:noProof/>
        </w:rPr>
        <w:t>Uprawnienie Komisji do zaciągania,</w:t>
      </w:r>
      <w:r w:rsidR="00AF2AE5" w:rsidRPr="00882905">
        <w:rPr>
          <w:noProof/>
        </w:rPr>
        <w:t xml:space="preserve"> w</w:t>
      </w:r>
      <w:r w:rsidR="00AF2AE5">
        <w:rPr>
          <w:noProof/>
        </w:rPr>
        <w:t> </w:t>
      </w:r>
      <w:r w:rsidR="00AF2AE5" w:rsidRPr="00882905">
        <w:rPr>
          <w:noProof/>
        </w:rPr>
        <w:t>imi</w:t>
      </w:r>
      <w:r w:rsidR="60F17E0C" w:rsidRPr="00882905">
        <w:rPr>
          <w:noProof/>
        </w:rPr>
        <w:t>eniu Unii, pożyczek na rynkach kapitałowych</w:t>
      </w:r>
      <w:r w:rsidR="00AF2AE5" w:rsidRPr="00882905">
        <w:rPr>
          <w:noProof/>
        </w:rPr>
        <w:t xml:space="preserve"> w</w:t>
      </w:r>
      <w:r w:rsidR="00AF2AE5">
        <w:rPr>
          <w:noProof/>
        </w:rPr>
        <w:t> </w:t>
      </w:r>
      <w:r w:rsidR="00AF2AE5" w:rsidRPr="00882905">
        <w:rPr>
          <w:noProof/>
        </w:rPr>
        <w:t>jed</w:t>
      </w:r>
      <w:r w:rsidR="60F17E0C" w:rsidRPr="00882905">
        <w:rPr>
          <w:noProof/>
        </w:rPr>
        <w:t>ynym</w:t>
      </w:r>
      <w:r w:rsidR="00AF2AE5" w:rsidRPr="00882905">
        <w:rPr>
          <w:noProof/>
        </w:rPr>
        <w:t xml:space="preserve"> i</w:t>
      </w:r>
      <w:r w:rsidR="00AF2AE5">
        <w:rPr>
          <w:noProof/>
        </w:rPr>
        <w:t> </w:t>
      </w:r>
      <w:r w:rsidR="00AF2AE5" w:rsidRPr="00882905">
        <w:rPr>
          <w:noProof/>
        </w:rPr>
        <w:t>wył</w:t>
      </w:r>
      <w:r w:rsidR="60F17E0C" w:rsidRPr="00882905">
        <w:rPr>
          <w:noProof/>
        </w:rPr>
        <w:t>ącznym celu sfinansowania nadzwyczajnych środków</w:t>
      </w:r>
      <w:r w:rsidR="00AF2AE5" w:rsidRPr="00882905">
        <w:rPr>
          <w:noProof/>
        </w:rPr>
        <w:t xml:space="preserve"> w</w:t>
      </w:r>
      <w:r w:rsidR="00AF2AE5">
        <w:rPr>
          <w:noProof/>
        </w:rPr>
        <w:t> </w:t>
      </w:r>
      <w:r w:rsidR="00AF2AE5" w:rsidRPr="00882905">
        <w:rPr>
          <w:noProof/>
        </w:rPr>
        <w:t>for</w:t>
      </w:r>
      <w:r w:rsidR="60F17E0C" w:rsidRPr="00882905">
        <w:rPr>
          <w:noProof/>
        </w:rPr>
        <w:t>mie pożyczek, aby zaradzić skutkom takich kryzysów, powinno być ściśle związane</w:t>
      </w:r>
      <w:r w:rsidR="00AF2AE5" w:rsidRPr="00882905">
        <w:rPr>
          <w:noProof/>
        </w:rPr>
        <w:t xml:space="preserve"> z</w:t>
      </w:r>
      <w:r w:rsidR="00AF2AE5">
        <w:rPr>
          <w:noProof/>
        </w:rPr>
        <w:t> </w:t>
      </w:r>
      <w:r w:rsidR="00AF2AE5" w:rsidRPr="00882905">
        <w:rPr>
          <w:noProof/>
        </w:rPr>
        <w:t>pod</w:t>
      </w:r>
      <w:r w:rsidR="60F17E0C" w:rsidRPr="00882905">
        <w:rPr>
          <w:noProof/>
        </w:rPr>
        <w:t>wyższeniem pułapów zasobów własnych przewidzianym</w:t>
      </w:r>
      <w:r w:rsidR="00AF2AE5" w:rsidRPr="00882905">
        <w:rPr>
          <w:noProof/>
        </w:rPr>
        <w:t xml:space="preserve"> w</w:t>
      </w:r>
      <w:r w:rsidR="00AF2AE5">
        <w:rPr>
          <w:noProof/>
        </w:rPr>
        <w:t> </w:t>
      </w:r>
      <w:r w:rsidR="00AF2AE5" w:rsidRPr="00882905">
        <w:rPr>
          <w:noProof/>
        </w:rPr>
        <w:t>nin</w:t>
      </w:r>
      <w:r w:rsidR="60F17E0C" w:rsidRPr="00882905">
        <w:rPr>
          <w:noProof/>
        </w:rPr>
        <w:t>iejszej decyzji oraz, ostatecznie,</w:t>
      </w:r>
      <w:r w:rsidR="00AF2AE5" w:rsidRPr="00882905">
        <w:rPr>
          <w:noProof/>
        </w:rPr>
        <w:t xml:space="preserve"> z</w:t>
      </w:r>
      <w:r w:rsidR="00AF2AE5">
        <w:rPr>
          <w:noProof/>
        </w:rPr>
        <w:t> </w:t>
      </w:r>
      <w:r w:rsidR="00AF2AE5" w:rsidRPr="00882905">
        <w:rPr>
          <w:noProof/>
        </w:rPr>
        <w:t>fun</w:t>
      </w:r>
      <w:r w:rsidR="60F17E0C" w:rsidRPr="00882905">
        <w:rPr>
          <w:noProof/>
        </w:rPr>
        <w:t>kcjonowaniem systemu zasobów własnych Unii</w:t>
      </w:r>
      <w:r w:rsidR="00AF2AE5" w:rsidRPr="00882905">
        <w:rPr>
          <w:noProof/>
        </w:rPr>
        <w:t>. W</w:t>
      </w:r>
      <w:r w:rsidR="00AF2AE5">
        <w:rPr>
          <w:noProof/>
        </w:rPr>
        <w:t> </w:t>
      </w:r>
      <w:r w:rsidR="00AF2AE5" w:rsidRPr="00882905">
        <w:rPr>
          <w:noProof/>
        </w:rPr>
        <w:t>zwi</w:t>
      </w:r>
      <w:r w:rsidR="60F17E0C" w:rsidRPr="00882905">
        <w:rPr>
          <w:noProof/>
        </w:rPr>
        <w:t>ązku</w:t>
      </w:r>
      <w:r w:rsidR="00AF2AE5" w:rsidRPr="00882905">
        <w:rPr>
          <w:noProof/>
        </w:rPr>
        <w:t xml:space="preserve"> z</w:t>
      </w:r>
      <w:r w:rsidR="00AF2AE5">
        <w:rPr>
          <w:noProof/>
        </w:rPr>
        <w:t> </w:t>
      </w:r>
      <w:r w:rsidR="00AF2AE5" w:rsidRPr="00882905">
        <w:rPr>
          <w:noProof/>
        </w:rPr>
        <w:t>tym w</w:t>
      </w:r>
      <w:r w:rsidR="00AF2AE5">
        <w:rPr>
          <w:noProof/>
        </w:rPr>
        <w:t> </w:t>
      </w:r>
      <w:r w:rsidR="00AF2AE5" w:rsidRPr="00882905">
        <w:rPr>
          <w:noProof/>
        </w:rPr>
        <w:t>nin</w:t>
      </w:r>
      <w:r w:rsidR="60F17E0C" w:rsidRPr="00882905">
        <w:rPr>
          <w:noProof/>
        </w:rPr>
        <w:t xml:space="preserve">iejszej decyzji należy przewidzieć to uprawnienie. Nadzwyczajny charakter tej operacji oraz wyjątkowa kwota środków finansowych, które mają zostać pożyczone, wymagają pewności co do ogólnej wielkości zobowiązań Unii. Ze względu na przewidywaną wielkość należy wykorzystać do zaciągania pożyczek zróżnicowaną strategię finansowania, która jest standardową metodą na podstawie </w:t>
      </w:r>
      <w:r w:rsidR="60F17E0C" w:rsidRPr="00AF2AE5">
        <w:rPr>
          <w:noProof/>
        </w:rPr>
        <w:t>art.</w:t>
      </w:r>
      <w:r w:rsidR="00AF2AE5" w:rsidRPr="00AF2AE5">
        <w:rPr>
          <w:noProof/>
        </w:rPr>
        <w:t> </w:t>
      </w:r>
      <w:r w:rsidR="60F17E0C" w:rsidRPr="00AF2AE5">
        <w:rPr>
          <w:noProof/>
        </w:rPr>
        <w:t>2</w:t>
      </w:r>
      <w:r w:rsidR="60F17E0C" w:rsidRPr="00882905">
        <w:rPr>
          <w:noProof/>
        </w:rPr>
        <w:t>24 rozporządzenia finansowego</w:t>
      </w:r>
      <w:r w:rsidR="0039368E" w:rsidRPr="00882905">
        <w:rPr>
          <w:rStyle w:val="FootnoteReference"/>
          <w:noProof/>
          <w:color w:val="000000" w:themeColor="text1"/>
        </w:rPr>
        <w:footnoteReference w:id="8"/>
      </w:r>
      <w:r w:rsidR="60F17E0C" w:rsidRPr="00882905">
        <w:rPr>
          <w:noProof/>
        </w:rPr>
        <w:t>.</w:t>
      </w:r>
    </w:p>
    <w:p w14:paraId="3026C00C" w14:textId="051408B4" w:rsidR="306D4974" w:rsidRPr="00882905" w:rsidRDefault="00EE785B" w:rsidP="00EE785B">
      <w:pPr>
        <w:pStyle w:val="ManualConsidrant"/>
        <w:rPr>
          <w:noProof/>
        </w:rPr>
      </w:pPr>
      <w:r w:rsidRPr="00EE785B">
        <w:rPr>
          <w:noProof/>
        </w:rPr>
        <w:t>(25)</w:t>
      </w:r>
      <w:r w:rsidRPr="00EE785B">
        <w:rPr>
          <w:noProof/>
        </w:rPr>
        <w:tab/>
      </w:r>
      <w:r w:rsidR="00830605" w:rsidRPr="00882905">
        <w:rPr>
          <w:noProof/>
        </w:rPr>
        <w:t>Nadzwyczajne zwiększenie pułapów zasobów własnych jest jednak konieczne, ponieważ standardowe pułapy nie byłyby wystarczające do zapewnienia dostępności odpowiednich zasobów, których Unia potrzebuje do pokrycia zobowiązań warunkowych wynikających</w:t>
      </w:r>
      <w:r w:rsidR="00AF2AE5" w:rsidRPr="00882905">
        <w:rPr>
          <w:noProof/>
        </w:rPr>
        <w:t xml:space="preserve"> z</w:t>
      </w:r>
      <w:r w:rsidR="00AF2AE5">
        <w:rPr>
          <w:noProof/>
        </w:rPr>
        <w:t> </w:t>
      </w:r>
      <w:r w:rsidR="00AF2AE5" w:rsidRPr="00882905">
        <w:rPr>
          <w:noProof/>
        </w:rPr>
        <w:t>nad</w:t>
      </w:r>
      <w:r w:rsidR="00830605" w:rsidRPr="00882905">
        <w:rPr>
          <w:noProof/>
        </w:rPr>
        <w:t>zwyczajnego</w:t>
      </w:r>
      <w:r w:rsidR="00AF2AE5" w:rsidRPr="00882905">
        <w:rPr>
          <w:noProof/>
        </w:rPr>
        <w:t xml:space="preserve"> i</w:t>
      </w:r>
      <w:r w:rsidR="00AF2AE5">
        <w:rPr>
          <w:noProof/>
        </w:rPr>
        <w:t> </w:t>
      </w:r>
      <w:r w:rsidR="00AF2AE5" w:rsidRPr="00882905">
        <w:rPr>
          <w:noProof/>
        </w:rPr>
        <w:t>tym</w:t>
      </w:r>
      <w:r w:rsidR="00830605" w:rsidRPr="00882905">
        <w:rPr>
          <w:noProof/>
        </w:rPr>
        <w:t>czasowego uprawnienia do pożyczania środków finansowych na pożyczki.</w:t>
      </w:r>
    </w:p>
    <w:p w14:paraId="59A24A53" w14:textId="3F3C3D9A" w:rsidR="00704957" w:rsidRPr="00882905" w:rsidRDefault="00EE785B" w:rsidP="00EE785B">
      <w:pPr>
        <w:pStyle w:val="ManualConsidrant"/>
        <w:rPr>
          <w:noProof/>
        </w:rPr>
      </w:pPr>
      <w:r w:rsidRPr="00EE785B">
        <w:rPr>
          <w:noProof/>
        </w:rPr>
        <w:t>(26)</w:t>
      </w:r>
      <w:r w:rsidRPr="00EE785B">
        <w:rPr>
          <w:noProof/>
        </w:rPr>
        <w:tab/>
      </w:r>
      <w:r w:rsidR="6ABF2BB5" w:rsidRPr="00882905">
        <w:rPr>
          <w:noProof/>
        </w:rPr>
        <w:t>Należy utrzymać zasadę, zgodnie</w:t>
      </w:r>
      <w:r w:rsidR="00AF2AE5" w:rsidRPr="00882905">
        <w:rPr>
          <w:noProof/>
        </w:rPr>
        <w:t xml:space="preserve"> z</w:t>
      </w:r>
      <w:r w:rsidR="00AF2AE5">
        <w:rPr>
          <w:noProof/>
        </w:rPr>
        <w:t> </w:t>
      </w:r>
      <w:r w:rsidR="00AF2AE5" w:rsidRPr="00882905">
        <w:rPr>
          <w:noProof/>
        </w:rPr>
        <w:t>któ</w:t>
      </w:r>
      <w:r w:rsidR="6ABF2BB5" w:rsidRPr="00882905">
        <w:rPr>
          <w:noProof/>
        </w:rPr>
        <w:t>rą Unia nie powinna wykorzystywać środków finansowych pożyczonych na rynkach kapitałowych do finansowania wydatków operacyjnych jako zewnętrznych dochodów przeznaczonych na określony cel, które generują środki na zobowiązania</w:t>
      </w:r>
      <w:r w:rsidR="00AF2AE5" w:rsidRPr="00882905">
        <w:rPr>
          <w:noProof/>
        </w:rPr>
        <w:t xml:space="preserve"> i</w:t>
      </w:r>
      <w:r w:rsidR="00AF2AE5">
        <w:rPr>
          <w:noProof/>
        </w:rPr>
        <w:t> </w:t>
      </w:r>
      <w:r w:rsidR="00AF2AE5" w:rsidRPr="00882905">
        <w:rPr>
          <w:noProof/>
        </w:rPr>
        <w:t>śro</w:t>
      </w:r>
      <w:r w:rsidR="6ABF2BB5" w:rsidRPr="00882905">
        <w:rPr>
          <w:noProof/>
        </w:rPr>
        <w:t>dki na płatności dla budżetu Unii. Uprawnienie Komisji do wykorzystywania pożyczonych środków finansowych na wydatki powinno pozostać ograniczone do nadzwyczajnego</w:t>
      </w:r>
      <w:r w:rsidR="00AF2AE5" w:rsidRPr="00882905">
        <w:rPr>
          <w:noProof/>
        </w:rPr>
        <w:t xml:space="preserve"> i</w:t>
      </w:r>
      <w:r w:rsidR="00AF2AE5">
        <w:rPr>
          <w:noProof/>
        </w:rPr>
        <w:t> </w:t>
      </w:r>
      <w:r w:rsidR="00AF2AE5" w:rsidRPr="00882905">
        <w:rPr>
          <w:noProof/>
        </w:rPr>
        <w:t>tym</w:t>
      </w:r>
      <w:r w:rsidR="6ABF2BB5" w:rsidRPr="00882905">
        <w:rPr>
          <w:noProof/>
        </w:rPr>
        <w:t xml:space="preserve">czasowego charakteru przeciwdziałania skutkom kryzysu związanego z COVID-19 za pośrednictwem Instrumentu Unii Europejskiej na rzecz Odbudowy, </w:t>
      </w:r>
    </w:p>
    <w:p w14:paraId="420A344F" w14:textId="77777777" w:rsidR="00704957" w:rsidRPr="00882905" w:rsidRDefault="00704957" w:rsidP="00704957">
      <w:pPr>
        <w:pStyle w:val="Formuledadoption"/>
        <w:rPr>
          <w:noProof/>
        </w:rPr>
      </w:pPr>
      <w:r w:rsidRPr="00882905">
        <w:rPr>
          <w:noProof/>
        </w:rPr>
        <w:t xml:space="preserve">PRZYJMUJE NINIEJSZĄ DECYZJĘ: </w:t>
      </w:r>
    </w:p>
    <w:p w14:paraId="1C859298" w14:textId="77777777" w:rsidR="00704957" w:rsidRPr="00882905" w:rsidRDefault="00704957" w:rsidP="00704957">
      <w:pPr>
        <w:pStyle w:val="Titrearticle"/>
        <w:rPr>
          <w:noProof/>
        </w:rPr>
      </w:pPr>
      <w:r w:rsidRPr="00882905">
        <w:rPr>
          <w:noProof/>
        </w:rPr>
        <w:t>Artykuł 1</w:t>
      </w:r>
      <w:r w:rsidRPr="00882905">
        <w:rPr>
          <w:noProof/>
        </w:rPr>
        <w:br/>
      </w:r>
      <w:r w:rsidRPr="00882905">
        <w:rPr>
          <w:b/>
          <w:noProof/>
        </w:rPr>
        <w:t>Przedmiot</w:t>
      </w:r>
    </w:p>
    <w:p w14:paraId="4B55872B" w14:textId="4D6A255C" w:rsidR="00704957" w:rsidRPr="00882905" w:rsidRDefault="00704957" w:rsidP="005674C9">
      <w:pPr>
        <w:rPr>
          <w:noProof/>
        </w:rPr>
      </w:pPr>
      <w:r w:rsidRPr="00882905">
        <w:rPr>
          <w:noProof/>
        </w:rPr>
        <w:t>W niniejszej decyzji ustanawia się zasady przydziału zasobów własnych Unii</w:t>
      </w:r>
      <w:r w:rsidR="00AF2AE5" w:rsidRPr="00882905">
        <w:rPr>
          <w:noProof/>
        </w:rPr>
        <w:t xml:space="preserve"> w</w:t>
      </w:r>
      <w:r w:rsidR="00AF2AE5">
        <w:rPr>
          <w:noProof/>
        </w:rPr>
        <w:t> </w:t>
      </w:r>
      <w:r w:rsidR="00AF2AE5" w:rsidRPr="00882905">
        <w:rPr>
          <w:noProof/>
        </w:rPr>
        <w:t>cel</w:t>
      </w:r>
      <w:r w:rsidRPr="00882905">
        <w:rPr>
          <w:noProof/>
        </w:rPr>
        <w:t>u zapewnienia finansowania rocznego budżetu Unii.</w:t>
      </w:r>
    </w:p>
    <w:p w14:paraId="2B2F4E12" w14:textId="77777777" w:rsidR="00704957" w:rsidRPr="00882905" w:rsidRDefault="00704957" w:rsidP="00704957">
      <w:pPr>
        <w:pStyle w:val="Titrearticle"/>
        <w:rPr>
          <w:noProof/>
        </w:rPr>
      </w:pPr>
      <w:r w:rsidRPr="00882905">
        <w:rPr>
          <w:noProof/>
        </w:rPr>
        <w:t>Artykuł 2</w:t>
      </w:r>
      <w:r w:rsidRPr="00882905">
        <w:rPr>
          <w:noProof/>
        </w:rPr>
        <w:br/>
      </w:r>
      <w:r w:rsidRPr="00882905">
        <w:rPr>
          <w:b/>
          <w:noProof/>
        </w:rPr>
        <w:t>Definicje</w:t>
      </w:r>
    </w:p>
    <w:p w14:paraId="50D2CD06" w14:textId="77777777" w:rsidR="00704957" w:rsidRPr="00882905" w:rsidRDefault="00704957" w:rsidP="005674C9">
      <w:pPr>
        <w:rPr>
          <w:noProof/>
        </w:rPr>
      </w:pPr>
      <w:r w:rsidRPr="00882905">
        <w:rPr>
          <w:noProof/>
        </w:rPr>
        <w:t>Do celów niniejszej decyzji stosuje się następujące definicje:</w:t>
      </w:r>
    </w:p>
    <w:p w14:paraId="421039C5" w14:textId="2FF8DAC7" w:rsidR="00704957" w:rsidRPr="00882905" w:rsidRDefault="00EB3FA5" w:rsidP="00EB3FA5">
      <w:pPr>
        <w:pStyle w:val="Point0"/>
        <w:rPr>
          <w:noProof/>
        </w:rPr>
      </w:pPr>
      <w:r w:rsidRPr="00882905">
        <w:rPr>
          <w:noProof/>
        </w:rPr>
        <w:t>1)</w:t>
      </w:r>
      <w:r w:rsidRPr="00882905">
        <w:rPr>
          <w:noProof/>
        </w:rPr>
        <w:tab/>
      </w:r>
      <w:r w:rsidR="00704957" w:rsidRPr="00882905">
        <w:rPr>
          <w:noProof/>
        </w:rPr>
        <w:t>„przychody netto ze sprzedaży” oznaczają przychody netto ze sprzedaży zdefiniowane</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2</w:t>
      </w:r>
      <w:r w:rsidR="00704957" w:rsidRPr="00882905">
        <w:rPr>
          <w:noProof/>
        </w:rPr>
        <w:t xml:space="preserve"> </w:t>
      </w:r>
      <w:r w:rsidR="00704957" w:rsidRPr="00AF2AE5">
        <w:rPr>
          <w:noProof/>
        </w:rPr>
        <w:t>pkt</w:t>
      </w:r>
      <w:r w:rsidR="00AF2AE5" w:rsidRPr="00AF2AE5">
        <w:rPr>
          <w:noProof/>
        </w:rPr>
        <w:t> </w:t>
      </w:r>
      <w:r w:rsidR="00704957" w:rsidRPr="00AF2AE5">
        <w:rPr>
          <w:noProof/>
        </w:rPr>
        <w:t>5</w:t>
      </w:r>
      <w:r w:rsidR="00704957" w:rsidRPr="00882905">
        <w:rPr>
          <w:noProof/>
        </w:rPr>
        <w:t xml:space="preserve"> dyrektywy 2013/34/UE</w:t>
      </w:r>
      <w:r w:rsidR="00704957" w:rsidRPr="00882905">
        <w:rPr>
          <w:rStyle w:val="FootnoteReference"/>
          <w:noProof/>
        </w:rPr>
        <w:footnoteReference w:id="9"/>
      </w:r>
      <w:r w:rsidR="00704957" w:rsidRPr="00882905">
        <w:rPr>
          <w:noProof/>
        </w:rPr>
        <w:t xml:space="preserve"> lub</w:t>
      </w:r>
      <w:r w:rsidR="00AF2AE5" w:rsidRPr="00882905">
        <w:rPr>
          <w:noProof/>
        </w:rPr>
        <w:t xml:space="preserve"> w</w:t>
      </w:r>
      <w:r w:rsidR="00AF2AE5">
        <w:rPr>
          <w:noProof/>
        </w:rPr>
        <w:t> </w:t>
      </w:r>
      <w:r w:rsidR="00AF2AE5" w:rsidRPr="00882905">
        <w:rPr>
          <w:noProof/>
        </w:rPr>
        <w:t>pra</w:t>
      </w:r>
      <w:r w:rsidR="00704957" w:rsidRPr="00882905">
        <w:rPr>
          <w:noProof/>
        </w:rPr>
        <w:t>wie krajowym;</w:t>
      </w:r>
    </w:p>
    <w:p w14:paraId="03850533" w14:textId="385C0106" w:rsidR="00704957" w:rsidRPr="00882905" w:rsidRDefault="00EB3FA5" w:rsidP="00EB3FA5">
      <w:pPr>
        <w:pStyle w:val="Point0"/>
        <w:rPr>
          <w:noProof/>
        </w:rPr>
      </w:pPr>
      <w:r w:rsidRPr="00882905">
        <w:rPr>
          <w:noProof/>
        </w:rPr>
        <w:t>2)</w:t>
      </w:r>
      <w:r w:rsidRPr="00882905">
        <w:rPr>
          <w:noProof/>
        </w:rPr>
        <w:tab/>
      </w:r>
      <w:r w:rsidR="00704957" w:rsidRPr="00882905">
        <w:rPr>
          <w:noProof/>
        </w:rPr>
        <w:t>„przedsiębiorstwo” oznacza każdą osobę prawną lub porozumienie prawne („podmiot”), które są rezydentami do celów podatkowych</w:t>
      </w:r>
      <w:r w:rsidR="00AF2AE5" w:rsidRPr="00882905">
        <w:rPr>
          <w:noProof/>
        </w:rPr>
        <w:t xml:space="preserve"> w</w:t>
      </w:r>
      <w:r w:rsidR="00AF2AE5">
        <w:rPr>
          <w:noProof/>
        </w:rPr>
        <w:t> </w:t>
      </w:r>
      <w:r w:rsidR="00AF2AE5" w:rsidRPr="00882905">
        <w:rPr>
          <w:noProof/>
        </w:rPr>
        <w:t>pań</w:t>
      </w:r>
      <w:r w:rsidR="00704957" w:rsidRPr="00882905">
        <w:rPr>
          <w:noProof/>
        </w:rPr>
        <w:t>stwie członkowskim, oraz każdy zlokalizowany</w:t>
      </w:r>
      <w:r w:rsidR="00AF2AE5" w:rsidRPr="00882905">
        <w:rPr>
          <w:noProof/>
        </w:rPr>
        <w:t xml:space="preserve"> w</w:t>
      </w:r>
      <w:r w:rsidR="00AF2AE5">
        <w:rPr>
          <w:noProof/>
        </w:rPr>
        <w:t> </w:t>
      </w:r>
      <w:r w:rsidR="00AF2AE5" w:rsidRPr="00882905">
        <w:rPr>
          <w:noProof/>
        </w:rPr>
        <w:t>pań</w:t>
      </w:r>
      <w:r w:rsidR="00704957" w:rsidRPr="00882905">
        <w:rPr>
          <w:noProof/>
        </w:rPr>
        <w:t>stwie członkowskim stały zakład podmiotów będących rezydentami do celów podatkowych</w:t>
      </w:r>
      <w:r w:rsidR="00AF2AE5" w:rsidRPr="00882905">
        <w:rPr>
          <w:noProof/>
        </w:rPr>
        <w:t xml:space="preserve"> w</w:t>
      </w:r>
      <w:r w:rsidR="00AF2AE5">
        <w:rPr>
          <w:noProof/>
        </w:rPr>
        <w:t> </w:t>
      </w:r>
      <w:r w:rsidR="00AF2AE5" w:rsidRPr="00882905">
        <w:rPr>
          <w:noProof/>
        </w:rPr>
        <w:t>pań</w:t>
      </w:r>
      <w:r w:rsidR="00704957" w:rsidRPr="00882905">
        <w:rPr>
          <w:noProof/>
        </w:rPr>
        <w:t>stwie trzecim,</w:t>
      </w:r>
      <w:r w:rsidR="00AF2AE5" w:rsidRPr="00882905">
        <w:rPr>
          <w:noProof/>
        </w:rPr>
        <w:t xml:space="preserve"> w</w:t>
      </w:r>
      <w:r w:rsidR="00AF2AE5">
        <w:rPr>
          <w:noProof/>
        </w:rPr>
        <w:t> </w:t>
      </w:r>
      <w:r w:rsidR="00AF2AE5" w:rsidRPr="00882905">
        <w:rPr>
          <w:noProof/>
        </w:rPr>
        <w:t>odn</w:t>
      </w:r>
      <w:r w:rsidR="00704957" w:rsidRPr="00882905">
        <w:rPr>
          <w:noProof/>
        </w:rPr>
        <w:t>iesieniu do których istnieje obowiązek zgłaszania przychodów netto ze sprzedaży. Pojęcie przedsiębiorstwa nie obejmuje jednak podmiotów rządowych, organizacji międzynarodowych</w:t>
      </w:r>
      <w:r w:rsidR="00AF2AE5" w:rsidRPr="00882905">
        <w:rPr>
          <w:noProof/>
        </w:rPr>
        <w:t xml:space="preserve"> i</w:t>
      </w:r>
      <w:r w:rsidR="00AF2AE5">
        <w:rPr>
          <w:noProof/>
        </w:rPr>
        <w:t> </w:t>
      </w:r>
      <w:r w:rsidR="00AF2AE5" w:rsidRPr="00882905">
        <w:rPr>
          <w:noProof/>
        </w:rPr>
        <w:t>org</w:t>
      </w:r>
      <w:r w:rsidR="00704957" w:rsidRPr="00882905">
        <w:rPr>
          <w:noProof/>
        </w:rPr>
        <w:t>anizacji nienastawionych na zysk;</w:t>
      </w:r>
    </w:p>
    <w:p w14:paraId="212525B5" w14:textId="7C730AAB" w:rsidR="00704957" w:rsidRPr="00882905" w:rsidRDefault="00EB3FA5" w:rsidP="00EB3FA5">
      <w:pPr>
        <w:pStyle w:val="Point0"/>
        <w:rPr>
          <w:noProof/>
        </w:rPr>
      </w:pPr>
      <w:r w:rsidRPr="00882905">
        <w:rPr>
          <w:noProof/>
        </w:rPr>
        <w:t>3)</w:t>
      </w:r>
      <w:r w:rsidRPr="00882905">
        <w:rPr>
          <w:noProof/>
        </w:rPr>
        <w:tab/>
      </w:r>
      <w:r w:rsidR="00F57E51" w:rsidRPr="00882905">
        <w:rPr>
          <w:noProof/>
        </w:rPr>
        <w:t>„wyrób tytoniowy” oznacza wyroby zdefiniowane</w:t>
      </w:r>
      <w:r w:rsidR="00AF2AE5" w:rsidRPr="00882905">
        <w:rPr>
          <w:noProof/>
        </w:rPr>
        <w:t xml:space="preserve"> w</w:t>
      </w:r>
      <w:r w:rsidR="00AF2AE5">
        <w:rPr>
          <w:noProof/>
        </w:rPr>
        <w:t> </w:t>
      </w:r>
      <w:r w:rsidR="00AF2AE5" w:rsidRPr="00AF2AE5">
        <w:rPr>
          <w:noProof/>
        </w:rPr>
        <w:t>art</w:t>
      </w:r>
      <w:r w:rsidR="00F57E51" w:rsidRPr="00AF2AE5">
        <w:rPr>
          <w:noProof/>
        </w:rPr>
        <w:t>.</w:t>
      </w:r>
      <w:r w:rsidR="00AF2AE5" w:rsidRPr="00AF2AE5">
        <w:rPr>
          <w:noProof/>
        </w:rPr>
        <w:t> </w:t>
      </w:r>
      <w:r w:rsidR="00F57E51" w:rsidRPr="00AF2AE5">
        <w:rPr>
          <w:noProof/>
        </w:rPr>
        <w:t>2</w:t>
      </w:r>
      <w:r w:rsidR="00AF2AE5" w:rsidRPr="00882905">
        <w:rPr>
          <w:noProof/>
        </w:rPr>
        <w:t xml:space="preserve"> i</w:t>
      </w:r>
      <w:r w:rsidR="00AF2AE5">
        <w:rPr>
          <w:noProof/>
        </w:rPr>
        <w:t> </w:t>
      </w:r>
      <w:r w:rsidR="00AF2AE5" w:rsidRPr="00882905">
        <w:rPr>
          <w:noProof/>
        </w:rPr>
        <w:t>nas</w:t>
      </w:r>
      <w:r w:rsidR="00F57E51" w:rsidRPr="00882905">
        <w:rPr>
          <w:noProof/>
        </w:rPr>
        <w:t>tępnych dyrektywy Rady 2011/64/UE</w:t>
      </w:r>
      <w:r w:rsidR="00704957" w:rsidRPr="00882905">
        <w:rPr>
          <w:rStyle w:val="FootnoteReference"/>
          <w:noProof/>
          <w:szCs w:val="24"/>
        </w:rPr>
        <w:footnoteReference w:id="10"/>
      </w:r>
      <w:r w:rsidR="00F57E51" w:rsidRPr="00882905">
        <w:rPr>
          <w:noProof/>
        </w:rPr>
        <w:t>;</w:t>
      </w:r>
    </w:p>
    <w:p w14:paraId="292462BA" w14:textId="6EF71D58" w:rsidR="00704957" w:rsidRPr="00882905" w:rsidRDefault="00EB3FA5" w:rsidP="00EB3FA5">
      <w:pPr>
        <w:pStyle w:val="Point0"/>
        <w:rPr>
          <w:noProof/>
          <w:kern w:val="2"/>
          <w14:ligatures w14:val="standardContextual"/>
        </w:rPr>
      </w:pPr>
      <w:r w:rsidRPr="00882905">
        <w:rPr>
          <w:noProof/>
        </w:rPr>
        <w:t>4)</w:t>
      </w:r>
      <w:r w:rsidRPr="00882905">
        <w:rPr>
          <w:noProof/>
        </w:rPr>
        <w:tab/>
      </w:r>
      <w:r w:rsidR="00DE476E" w:rsidRPr="00882905">
        <w:rPr>
          <w:noProof/>
        </w:rPr>
        <w:t>„substytucyjne wyroby tytoniowe” oznaczają wyroby zdefiniowane</w:t>
      </w:r>
      <w:r w:rsidR="00AF2AE5" w:rsidRPr="00882905">
        <w:rPr>
          <w:noProof/>
        </w:rPr>
        <w:t xml:space="preserve"> w</w:t>
      </w:r>
      <w:r w:rsidR="00AF2AE5">
        <w:rPr>
          <w:noProof/>
        </w:rPr>
        <w:t> </w:t>
      </w:r>
      <w:r w:rsidR="00AF2AE5" w:rsidRPr="00AF2AE5">
        <w:rPr>
          <w:noProof/>
        </w:rPr>
        <w:t>art</w:t>
      </w:r>
      <w:r w:rsidR="00DE476E" w:rsidRPr="00AF2AE5">
        <w:rPr>
          <w:noProof/>
        </w:rPr>
        <w:t>.</w:t>
      </w:r>
      <w:r w:rsidR="00AF2AE5" w:rsidRPr="00AF2AE5">
        <w:rPr>
          <w:noProof/>
        </w:rPr>
        <w:t> </w:t>
      </w:r>
      <w:r w:rsidR="00DE476E" w:rsidRPr="00AF2AE5">
        <w:rPr>
          <w:noProof/>
        </w:rPr>
        <w:t>2</w:t>
      </w:r>
      <w:r w:rsidR="00AF2AE5" w:rsidRPr="00882905">
        <w:rPr>
          <w:noProof/>
        </w:rPr>
        <w:t xml:space="preserve"> i</w:t>
      </w:r>
      <w:r w:rsidR="00AF2AE5">
        <w:rPr>
          <w:noProof/>
        </w:rPr>
        <w:t> </w:t>
      </w:r>
      <w:r w:rsidR="00AF2AE5" w:rsidRPr="00882905">
        <w:rPr>
          <w:noProof/>
        </w:rPr>
        <w:t>nas</w:t>
      </w:r>
      <w:r w:rsidR="00DE476E" w:rsidRPr="00882905">
        <w:rPr>
          <w:noProof/>
        </w:rPr>
        <w:t>tępnych [dyrektywy Rady [XXX]]</w:t>
      </w:r>
      <w:r w:rsidR="00704957" w:rsidRPr="00882905">
        <w:rPr>
          <w:rStyle w:val="FootnoteReference"/>
          <w:noProof/>
          <w:szCs w:val="24"/>
        </w:rPr>
        <w:footnoteReference w:id="11"/>
      </w:r>
      <w:r w:rsidR="00DE476E" w:rsidRPr="00882905">
        <w:rPr>
          <w:noProof/>
        </w:rPr>
        <w:t>;</w:t>
      </w:r>
    </w:p>
    <w:p w14:paraId="73EC4878" w14:textId="6BAA7DEF" w:rsidR="00704957" w:rsidRPr="00882905" w:rsidRDefault="00EB3FA5" w:rsidP="00EB3FA5">
      <w:pPr>
        <w:pStyle w:val="Point0"/>
        <w:rPr>
          <w:noProof/>
        </w:rPr>
      </w:pPr>
      <w:r w:rsidRPr="00882905">
        <w:rPr>
          <w:noProof/>
        </w:rPr>
        <w:t>5)</w:t>
      </w:r>
      <w:r w:rsidRPr="00882905">
        <w:rPr>
          <w:noProof/>
        </w:rPr>
        <w:tab/>
      </w:r>
      <w:r w:rsidR="00704957" w:rsidRPr="00882905">
        <w:rPr>
          <w:noProof/>
        </w:rPr>
        <w:t xml:space="preserve">„stawka minimalna” mająca zastosowanie do każdego państwa członkowskiego oznacza, do celów </w:t>
      </w:r>
      <w:r w:rsidR="00704957" w:rsidRPr="00AF2AE5">
        <w:rPr>
          <w:noProof/>
        </w:rPr>
        <w:t>art.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d)</w:t>
      </w:r>
      <w:r w:rsidR="00704957" w:rsidRPr="00882905">
        <w:rPr>
          <w:noProof/>
        </w:rPr>
        <w:t>, minimalną wartość nominalną mającą zastosowanie</w:t>
      </w:r>
      <w:r w:rsidR="00AF2AE5" w:rsidRPr="00882905">
        <w:rPr>
          <w:noProof/>
        </w:rPr>
        <w:t xml:space="preserve"> w</w:t>
      </w:r>
      <w:r w:rsidR="00AF2AE5">
        <w:rPr>
          <w:noProof/>
        </w:rPr>
        <w:t> </w:t>
      </w:r>
      <w:r w:rsidR="00AF2AE5" w:rsidRPr="00882905">
        <w:rPr>
          <w:noProof/>
        </w:rPr>
        <w:t>każ</w:t>
      </w:r>
      <w:r w:rsidR="00704957" w:rsidRPr="00882905">
        <w:rPr>
          <w:noProof/>
        </w:rPr>
        <w:t>dym państwie członkowskim do całkowitego podatku akcyzowego, zgodnie</w:t>
      </w:r>
      <w:r w:rsidR="00AF2AE5" w:rsidRPr="00882905">
        <w:rPr>
          <w:noProof/>
        </w:rPr>
        <w:t xml:space="preserve"> z</w:t>
      </w:r>
      <w:r w:rsidR="00AF2AE5">
        <w:rPr>
          <w:noProof/>
        </w:rPr>
        <w:t> </w:t>
      </w:r>
      <w:r w:rsidR="00AF2AE5" w:rsidRPr="00882905">
        <w:rPr>
          <w:noProof/>
        </w:rPr>
        <w:t>def</w:t>
      </w:r>
      <w:r w:rsidR="00704957" w:rsidRPr="00882905">
        <w:rPr>
          <w:noProof/>
        </w:rPr>
        <w:t>inicją</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1</w:t>
      </w:r>
      <w:r w:rsidR="00704957" w:rsidRPr="00882905">
        <w:rPr>
          <w:noProof/>
        </w:rPr>
        <w:t>0</w:t>
      </w:r>
      <w:r w:rsidR="00AF2AE5" w:rsidRPr="00882905">
        <w:rPr>
          <w:noProof/>
        </w:rPr>
        <w:t xml:space="preserve"> i</w:t>
      </w:r>
      <w:r w:rsidR="00AF2AE5">
        <w:rPr>
          <w:noProof/>
        </w:rPr>
        <w:t> </w:t>
      </w:r>
      <w:r w:rsidR="00AF2AE5" w:rsidRPr="00882905">
        <w:rPr>
          <w:noProof/>
        </w:rPr>
        <w:t>1</w:t>
      </w:r>
      <w:r w:rsidR="00704957" w:rsidRPr="00882905">
        <w:rPr>
          <w:noProof/>
        </w:rPr>
        <w:t xml:space="preserve">4 dyrektywy Rady 2011/64/UE; </w:t>
      </w:r>
    </w:p>
    <w:p w14:paraId="4AA507B3" w14:textId="4BA07371" w:rsidR="00704957" w:rsidRPr="00882905" w:rsidRDefault="00EB3FA5" w:rsidP="00EB3FA5">
      <w:pPr>
        <w:pStyle w:val="Point0"/>
        <w:rPr>
          <w:noProof/>
        </w:rPr>
      </w:pPr>
      <w:r w:rsidRPr="00882905">
        <w:rPr>
          <w:noProof/>
        </w:rPr>
        <w:t>6)</w:t>
      </w:r>
      <w:r w:rsidRPr="00882905">
        <w:rPr>
          <w:noProof/>
        </w:rPr>
        <w:tab/>
      </w:r>
      <w:r w:rsidR="00704957" w:rsidRPr="00882905">
        <w:rPr>
          <w:noProof/>
        </w:rPr>
        <w:t>„dopuszczony do konsumpcji” ma znaczenie zdefiniowane</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6</w:t>
      </w:r>
      <w:r w:rsidR="00704957" w:rsidRPr="00882905">
        <w:rPr>
          <w:noProof/>
        </w:rPr>
        <w:t xml:space="preserve"> </w:t>
      </w:r>
      <w:r w:rsidR="00704957" w:rsidRPr="00AF2AE5">
        <w:rPr>
          <w:noProof/>
        </w:rPr>
        <w:t>ust.</w:t>
      </w:r>
      <w:r w:rsidR="00AF2AE5" w:rsidRPr="00AF2AE5">
        <w:rPr>
          <w:noProof/>
        </w:rPr>
        <w:t> </w:t>
      </w:r>
      <w:r w:rsidR="00704957" w:rsidRPr="00AF2AE5">
        <w:rPr>
          <w:noProof/>
        </w:rPr>
        <w:t>3</w:t>
      </w:r>
      <w:r w:rsidR="00704957" w:rsidRPr="00882905">
        <w:rPr>
          <w:noProof/>
        </w:rPr>
        <w:t xml:space="preserve"> dyrektywy Rady (UE) 2020/262</w:t>
      </w:r>
      <w:r w:rsidR="00704957" w:rsidRPr="00882905">
        <w:rPr>
          <w:rStyle w:val="FootnoteReference"/>
          <w:noProof/>
          <w:szCs w:val="24"/>
        </w:rPr>
        <w:footnoteReference w:id="12"/>
      </w:r>
      <w:r w:rsidR="00704957" w:rsidRPr="00882905">
        <w:rPr>
          <w:noProof/>
        </w:rPr>
        <w:t>;</w:t>
      </w:r>
    </w:p>
    <w:p w14:paraId="38252B47" w14:textId="5A192218" w:rsidR="00704957" w:rsidRPr="00882905" w:rsidRDefault="00EB3FA5" w:rsidP="00EB3FA5">
      <w:pPr>
        <w:pStyle w:val="Point0"/>
        <w:rPr>
          <w:noProof/>
        </w:rPr>
      </w:pPr>
      <w:r w:rsidRPr="00882905">
        <w:rPr>
          <w:noProof/>
        </w:rPr>
        <w:t>7)</w:t>
      </w:r>
      <w:r w:rsidRPr="00882905">
        <w:rPr>
          <w:noProof/>
        </w:rPr>
        <w:tab/>
      </w:r>
      <w:r w:rsidR="00704957" w:rsidRPr="00882905">
        <w:rPr>
          <w:noProof/>
        </w:rPr>
        <w:t>„tworzywo sztuczne” oznacza tworzywo sztuczne zdefiniowane</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pkt</w:t>
      </w:r>
      <w:r w:rsidR="00AF2AE5" w:rsidRPr="00AF2AE5">
        <w:rPr>
          <w:noProof/>
        </w:rPr>
        <w:t> </w:t>
      </w:r>
      <w:r w:rsidR="00704957" w:rsidRPr="00AF2AE5">
        <w:rPr>
          <w:noProof/>
        </w:rPr>
        <w:t>5</w:t>
      </w:r>
      <w:r w:rsidR="00704957" w:rsidRPr="00882905">
        <w:rPr>
          <w:noProof/>
        </w:rPr>
        <w:t>2 rozporządzenia Parlamentu Europejskiego</w:t>
      </w:r>
      <w:r w:rsidR="00AF2AE5" w:rsidRPr="00882905">
        <w:rPr>
          <w:noProof/>
        </w:rPr>
        <w:t xml:space="preserve"> i</w:t>
      </w:r>
      <w:r w:rsidR="00AF2AE5">
        <w:rPr>
          <w:noProof/>
        </w:rPr>
        <w:t> </w:t>
      </w:r>
      <w:r w:rsidR="00AF2AE5" w:rsidRPr="00882905">
        <w:rPr>
          <w:noProof/>
        </w:rPr>
        <w:t>Rad</w:t>
      </w:r>
      <w:r w:rsidR="00704957" w:rsidRPr="00882905">
        <w:rPr>
          <w:noProof/>
        </w:rPr>
        <w:t>y (UE) 2025/40</w:t>
      </w:r>
      <w:r w:rsidR="00704957" w:rsidRPr="00882905">
        <w:rPr>
          <w:rStyle w:val="FootnoteReference"/>
          <w:noProof/>
        </w:rPr>
        <w:footnoteReference w:id="13"/>
      </w:r>
      <w:r w:rsidR="00704957" w:rsidRPr="00882905">
        <w:rPr>
          <w:noProof/>
        </w:rPr>
        <w:t xml:space="preserve">; </w:t>
      </w:r>
    </w:p>
    <w:p w14:paraId="04FA270D" w14:textId="1E9D8145" w:rsidR="00704957" w:rsidRPr="00882905" w:rsidRDefault="00EB3FA5" w:rsidP="00EB3FA5">
      <w:pPr>
        <w:pStyle w:val="Point0"/>
        <w:rPr>
          <w:noProof/>
        </w:rPr>
      </w:pPr>
      <w:r w:rsidRPr="00882905">
        <w:rPr>
          <w:noProof/>
        </w:rPr>
        <w:t>8)</w:t>
      </w:r>
      <w:r w:rsidRPr="00882905">
        <w:rPr>
          <w:noProof/>
        </w:rPr>
        <w:tab/>
      </w:r>
      <w:r w:rsidR="00704957" w:rsidRPr="00882905">
        <w:rPr>
          <w:noProof/>
        </w:rPr>
        <w:t>„odpady opakowaniowe” oznaczają odpady opakowaniowe zdefiniowane</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pkt</w:t>
      </w:r>
      <w:r w:rsidR="00AF2AE5" w:rsidRPr="00AF2AE5">
        <w:rPr>
          <w:noProof/>
        </w:rPr>
        <w:t> </w:t>
      </w:r>
      <w:r w:rsidR="00704957" w:rsidRPr="00AF2AE5">
        <w:rPr>
          <w:noProof/>
        </w:rPr>
        <w:t>2</w:t>
      </w:r>
      <w:r w:rsidR="00704957" w:rsidRPr="00882905">
        <w:rPr>
          <w:noProof/>
        </w:rPr>
        <w:t>5 rozporządzenia Parlamentu Europejskiego</w:t>
      </w:r>
      <w:r w:rsidR="00AF2AE5" w:rsidRPr="00882905">
        <w:rPr>
          <w:noProof/>
        </w:rPr>
        <w:t xml:space="preserve"> i</w:t>
      </w:r>
      <w:r w:rsidR="00AF2AE5">
        <w:rPr>
          <w:noProof/>
        </w:rPr>
        <w:t> </w:t>
      </w:r>
      <w:r w:rsidR="00AF2AE5" w:rsidRPr="00882905">
        <w:rPr>
          <w:noProof/>
        </w:rPr>
        <w:t>Rad</w:t>
      </w:r>
      <w:r w:rsidR="00704957" w:rsidRPr="00882905">
        <w:rPr>
          <w:noProof/>
        </w:rPr>
        <w:t>y (UE) 2025/40;</w:t>
      </w:r>
    </w:p>
    <w:p w14:paraId="0BB8D28D" w14:textId="29372304" w:rsidR="00704957" w:rsidRPr="00882905" w:rsidRDefault="00EB3FA5" w:rsidP="00EB3FA5">
      <w:pPr>
        <w:pStyle w:val="Point0"/>
        <w:rPr>
          <w:noProof/>
        </w:rPr>
      </w:pPr>
      <w:r w:rsidRPr="00882905">
        <w:rPr>
          <w:noProof/>
        </w:rPr>
        <w:t>9)</w:t>
      </w:r>
      <w:r w:rsidRPr="00882905">
        <w:rPr>
          <w:noProof/>
        </w:rPr>
        <w:tab/>
      </w:r>
      <w:r w:rsidR="00704957" w:rsidRPr="00882905">
        <w:rPr>
          <w:noProof/>
        </w:rPr>
        <w:t>„recykling” oznacza recykling zdefiniowany</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rozporządzenia Parlamentu Europejskiego</w:t>
      </w:r>
      <w:r w:rsidR="00AF2AE5" w:rsidRPr="00882905">
        <w:rPr>
          <w:noProof/>
        </w:rPr>
        <w:t xml:space="preserve"> i</w:t>
      </w:r>
      <w:r w:rsidR="00AF2AE5">
        <w:rPr>
          <w:noProof/>
        </w:rPr>
        <w:t> </w:t>
      </w:r>
      <w:r w:rsidR="00AF2AE5" w:rsidRPr="00882905">
        <w:rPr>
          <w:noProof/>
        </w:rPr>
        <w:t>Rad</w:t>
      </w:r>
      <w:r w:rsidR="00704957" w:rsidRPr="00882905">
        <w:rPr>
          <w:noProof/>
        </w:rPr>
        <w:t>y (UE) 2025/40;</w:t>
      </w:r>
    </w:p>
    <w:p w14:paraId="4C7220DF" w14:textId="2BB5DEF6" w:rsidR="00704957" w:rsidRPr="00882905" w:rsidRDefault="00EB3FA5" w:rsidP="00EB3FA5">
      <w:pPr>
        <w:pStyle w:val="Point0"/>
        <w:rPr>
          <w:rFonts w:asciiTheme="minorHAnsi" w:hAnsiTheme="minorHAnsi" w:cstheme="minorBidi"/>
          <w:noProof/>
        </w:rPr>
      </w:pPr>
      <w:r w:rsidRPr="00882905">
        <w:rPr>
          <w:noProof/>
        </w:rPr>
        <w:t>10)</w:t>
      </w:r>
      <w:r w:rsidRPr="00882905">
        <w:rPr>
          <w:noProof/>
        </w:rPr>
        <w:tab/>
      </w:r>
      <w:r w:rsidR="00704957" w:rsidRPr="00882905">
        <w:rPr>
          <w:noProof/>
        </w:rPr>
        <w:t>„sprzęt elektryczny</w:t>
      </w:r>
      <w:r w:rsidR="00AF2AE5" w:rsidRPr="00882905">
        <w:rPr>
          <w:noProof/>
        </w:rPr>
        <w:t xml:space="preserve"> i</w:t>
      </w:r>
      <w:r w:rsidR="00AF2AE5">
        <w:rPr>
          <w:noProof/>
        </w:rPr>
        <w:t> </w:t>
      </w:r>
      <w:r w:rsidR="00AF2AE5" w:rsidRPr="00882905">
        <w:rPr>
          <w:noProof/>
        </w:rPr>
        <w:t>ele</w:t>
      </w:r>
      <w:r w:rsidR="00704957" w:rsidRPr="00882905">
        <w:rPr>
          <w:noProof/>
        </w:rPr>
        <w:t>ktroniczny” oznacza sprzęt elektryczny</w:t>
      </w:r>
      <w:r w:rsidR="00AF2AE5" w:rsidRPr="00882905">
        <w:rPr>
          <w:noProof/>
        </w:rPr>
        <w:t xml:space="preserve"> i</w:t>
      </w:r>
      <w:r w:rsidR="00AF2AE5">
        <w:rPr>
          <w:noProof/>
        </w:rPr>
        <w:t> </w:t>
      </w:r>
      <w:r w:rsidR="00AF2AE5" w:rsidRPr="00882905">
        <w:rPr>
          <w:noProof/>
        </w:rPr>
        <w:t>ele</w:t>
      </w:r>
      <w:r w:rsidR="00704957" w:rsidRPr="00882905">
        <w:rPr>
          <w:noProof/>
        </w:rPr>
        <w:t>ktroniczny zdefiniowany</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704957" w:rsidRPr="00882905">
        <w:rPr>
          <w:noProof/>
        </w:rPr>
        <w:t xml:space="preserve"> dyrektywy Parlamentu Europejskiego</w:t>
      </w:r>
      <w:r w:rsidR="00AF2AE5" w:rsidRPr="00882905">
        <w:rPr>
          <w:noProof/>
        </w:rPr>
        <w:t xml:space="preserve"> i</w:t>
      </w:r>
      <w:r w:rsidR="00AF2AE5">
        <w:rPr>
          <w:noProof/>
        </w:rPr>
        <w:t> </w:t>
      </w:r>
      <w:r w:rsidR="00AF2AE5" w:rsidRPr="00882905">
        <w:rPr>
          <w:noProof/>
        </w:rPr>
        <w:t>Rad</w:t>
      </w:r>
      <w:r w:rsidR="00704957" w:rsidRPr="00882905">
        <w:rPr>
          <w:noProof/>
        </w:rPr>
        <w:t>y 2012/19/UE</w:t>
      </w:r>
      <w:r w:rsidR="00704957" w:rsidRPr="00882905">
        <w:rPr>
          <w:rStyle w:val="FootnoteReference"/>
          <w:noProof/>
          <w:szCs w:val="24"/>
        </w:rPr>
        <w:footnoteReference w:id="14"/>
      </w:r>
      <w:r w:rsidR="00704957" w:rsidRPr="00882905">
        <w:rPr>
          <w:noProof/>
        </w:rPr>
        <w:t>;</w:t>
      </w:r>
    </w:p>
    <w:p w14:paraId="5163E6F3" w14:textId="05A1F594" w:rsidR="00704957" w:rsidRPr="00882905" w:rsidRDefault="00EB3FA5" w:rsidP="00EB3FA5">
      <w:pPr>
        <w:pStyle w:val="Point0"/>
        <w:rPr>
          <w:noProof/>
        </w:rPr>
      </w:pPr>
      <w:r w:rsidRPr="00882905">
        <w:rPr>
          <w:noProof/>
        </w:rPr>
        <w:t>11)</w:t>
      </w:r>
      <w:r w:rsidRPr="00882905">
        <w:rPr>
          <w:noProof/>
        </w:rPr>
        <w:tab/>
      </w:r>
      <w:r w:rsidR="00306E7A" w:rsidRPr="00882905">
        <w:rPr>
          <w:noProof/>
        </w:rPr>
        <w:t xml:space="preserve">„zbieranie” oznacza, do celów </w:t>
      </w:r>
      <w:r w:rsidR="00306E7A" w:rsidRPr="00AF2AE5">
        <w:rPr>
          <w:noProof/>
        </w:rPr>
        <w:t>art.</w:t>
      </w:r>
      <w:r w:rsidR="00AF2AE5" w:rsidRPr="00AF2AE5">
        <w:rPr>
          <w:noProof/>
        </w:rPr>
        <w:t> </w:t>
      </w:r>
      <w:r w:rsidR="00306E7A" w:rsidRPr="00AF2AE5">
        <w:rPr>
          <w:noProof/>
        </w:rPr>
        <w:t>3</w:t>
      </w:r>
      <w:r w:rsidR="00306E7A" w:rsidRPr="00882905">
        <w:rPr>
          <w:noProof/>
        </w:rPr>
        <w:t xml:space="preserve"> </w:t>
      </w:r>
      <w:r w:rsidR="00306E7A" w:rsidRPr="00AF2AE5">
        <w:rPr>
          <w:noProof/>
        </w:rPr>
        <w:t>ust.</w:t>
      </w:r>
      <w:r w:rsidR="00AF2AE5" w:rsidRPr="00AF2AE5">
        <w:rPr>
          <w:noProof/>
        </w:rPr>
        <w:t> </w:t>
      </w:r>
      <w:r w:rsidR="00306E7A" w:rsidRPr="00AF2AE5">
        <w:rPr>
          <w:noProof/>
        </w:rPr>
        <w:t>1</w:t>
      </w:r>
      <w:r w:rsidR="00306E7A" w:rsidRPr="00882905">
        <w:rPr>
          <w:noProof/>
        </w:rPr>
        <w:t xml:space="preserve"> </w:t>
      </w:r>
      <w:r w:rsidR="00306E7A" w:rsidRPr="00AF2AE5">
        <w:rPr>
          <w:noProof/>
        </w:rPr>
        <w:t>lit.</w:t>
      </w:r>
      <w:r w:rsidR="00AF2AE5" w:rsidRPr="00AF2AE5">
        <w:rPr>
          <w:noProof/>
        </w:rPr>
        <w:t> </w:t>
      </w:r>
      <w:r w:rsidR="00306E7A" w:rsidRPr="00AF2AE5">
        <w:rPr>
          <w:noProof/>
        </w:rPr>
        <w:t>f)</w:t>
      </w:r>
      <w:r w:rsidR="00306E7A" w:rsidRPr="00882905">
        <w:rPr>
          <w:noProof/>
        </w:rPr>
        <w:t>, zbieranie,</w:t>
      </w:r>
      <w:r w:rsidR="00AF2AE5" w:rsidRPr="00882905">
        <w:rPr>
          <w:noProof/>
        </w:rPr>
        <w:t xml:space="preserve"> o</w:t>
      </w:r>
      <w:r w:rsidR="00AF2AE5">
        <w:rPr>
          <w:noProof/>
        </w:rPr>
        <w:t> </w:t>
      </w:r>
      <w:r w:rsidR="00AF2AE5" w:rsidRPr="00882905">
        <w:rPr>
          <w:noProof/>
        </w:rPr>
        <w:t>któ</w:t>
      </w:r>
      <w:r w:rsidR="00306E7A" w:rsidRPr="00882905">
        <w:rPr>
          <w:noProof/>
        </w:rPr>
        <w:t>rym mowa</w:t>
      </w:r>
      <w:r w:rsidR="00AF2AE5" w:rsidRPr="00882905">
        <w:rPr>
          <w:noProof/>
        </w:rPr>
        <w:t xml:space="preserve"> w</w:t>
      </w:r>
      <w:r w:rsidR="00AF2AE5">
        <w:rPr>
          <w:noProof/>
        </w:rPr>
        <w:t> </w:t>
      </w:r>
      <w:r w:rsidR="00AF2AE5" w:rsidRPr="00AF2AE5">
        <w:rPr>
          <w:noProof/>
        </w:rPr>
        <w:t>art</w:t>
      </w:r>
      <w:r w:rsidR="00306E7A" w:rsidRPr="00AF2AE5">
        <w:rPr>
          <w:noProof/>
        </w:rPr>
        <w:t>.</w:t>
      </w:r>
      <w:r w:rsidR="00AF2AE5" w:rsidRPr="00AF2AE5">
        <w:rPr>
          <w:noProof/>
        </w:rPr>
        <w:t> </w:t>
      </w:r>
      <w:r w:rsidR="00306E7A" w:rsidRPr="00AF2AE5">
        <w:rPr>
          <w:noProof/>
        </w:rPr>
        <w:t>3</w:t>
      </w:r>
      <w:r w:rsidR="00306E7A" w:rsidRPr="00882905">
        <w:rPr>
          <w:noProof/>
        </w:rPr>
        <w:t xml:space="preserve"> </w:t>
      </w:r>
      <w:r w:rsidR="00306E7A" w:rsidRPr="00AF2AE5">
        <w:rPr>
          <w:noProof/>
        </w:rPr>
        <w:t>ust.</w:t>
      </w:r>
      <w:r w:rsidR="00AF2AE5" w:rsidRPr="00AF2AE5">
        <w:rPr>
          <w:noProof/>
        </w:rPr>
        <w:t> </w:t>
      </w:r>
      <w:r w:rsidR="00306E7A" w:rsidRPr="00AF2AE5">
        <w:rPr>
          <w:noProof/>
        </w:rPr>
        <w:t>2</w:t>
      </w:r>
      <w:r w:rsidR="00306E7A" w:rsidRPr="00882905">
        <w:rPr>
          <w:noProof/>
        </w:rPr>
        <w:t xml:space="preserve"> dyrektywy 2012/19/UE;</w:t>
      </w:r>
    </w:p>
    <w:p w14:paraId="009FCD40" w14:textId="044FFB26" w:rsidR="00704957" w:rsidRPr="00882905" w:rsidRDefault="00EB3FA5" w:rsidP="00EB3FA5">
      <w:pPr>
        <w:pStyle w:val="Point0"/>
        <w:rPr>
          <w:noProof/>
        </w:rPr>
      </w:pPr>
      <w:r w:rsidRPr="00882905">
        <w:rPr>
          <w:noProof/>
        </w:rPr>
        <w:t>12)</w:t>
      </w:r>
      <w:r w:rsidRPr="00882905">
        <w:rPr>
          <w:noProof/>
        </w:rPr>
        <w:tab/>
      </w:r>
      <w:r w:rsidR="00704957" w:rsidRPr="00882905">
        <w:rPr>
          <w:noProof/>
        </w:rPr>
        <w:t xml:space="preserve">„wprowadzony do obrotu” oznacza, do celów </w:t>
      </w:r>
      <w:r w:rsidR="00704957" w:rsidRPr="00AF2AE5">
        <w:rPr>
          <w:noProof/>
        </w:rPr>
        <w:t>art.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f)</w:t>
      </w:r>
      <w:r w:rsidR="00704957" w:rsidRPr="00882905">
        <w:rPr>
          <w:noProof/>
        </w:rPr>
        <w:t>, wprowadzenie do obrotu zdefiniowane</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k)</w:t>
      </w:r>
      <w:r w:rsidR="00704957" w:rsidRPr="00882905">
        <w:rPr>
          <w:noProof/>
        </w:rPr>
        <w:t xml:space="preserve"> dyrektywy Parlamentu Europejskiego</w:t>
      </w:r>
      <w:r w:rsidR="00AF2AE5" w:rsidRPr="00882905">
        <w:rPr>
          <w:noProof/>
        </w:rPr>
        <w:t xml:space="preserve"> i</w:t>
      </w:r>
      <w:r w:rsidR="00AF2AE5">
        <w:rPr>
          <w:noProof/>
        </w:rPr>
        <w:t> </w:t>
      </w:r>
      <w:r w:rsidR="00AF2AE5" w:rsidRPr="00882905">
        <w:rPr>
          <w:noProof/>
        </w:rPr>
        <w:t>Rad</w:t>
      </w:r>
      <w:r w:rsidR="00704957" w:rsidRPr="00882905">
        <w:rPr>
          <w:noProof/>
        </w:rPr>
        <w:t>y 2012/19/UE.</w:t>
      </w:r>
    </w:p>
    <w:p w14:paraId="0D91C2FB" w14:textId="6116A9BB" w:rsidR="00704957" w:rsidRPr="00882905" w:rsidRDefault="00704957" w:rsidP="00704957">
      <w:pPr>
        <w:pStyle w:val="Titrearticle"/>
        <w:rPr>
          <w:b/>
          <w:bCs/>
          <w:noProof/>
        </w:rPr>
      </w:pPr>
      <w:r w:rsidRPr="00882905">
        <w:rPr>
          <w:noProof/>
        </w:rPr>
        <w:t>Artykuł 3</w:t>
      </w:r>
      <w:r w:rsidRPr="00882905">
        <w:rPr>
          <w:noProof/>
        </w:rPr>
        <w:br/>
      </w:r>
      <w:r w:rsidRPr="00882905">
        <w:rPr>
          <w:b/>
          <w:noProof/>
        </w:rPr>
        <w:t>Kategorie zasobów własnych</w:t>
      </w:r>
      <w:r w:rsidR="00AF2AE5" w:rsidRPr="00882905">
        <w:rPr>
          <w:b/>
          <w:noProof/>
        </w:rPr>
        <w:t xml:space="preserve"> i</w:t>
      </w:r>
      <w:r w:rsidR="00AF2AE5">
        <w:rPr>
          <w:b/>
          <w:noProof/>
        </w:rPr>
        <w:t> </w:t>
      </w:r>
      <w:r w:rsidR="00AF2AE5" w:rsidRPr="00882905">
        <w:rPr>
          <w:b/>
          <w:noProof/>
        </w:rPr>
        <w:t>spe</w:t>
      </w:r>
      <w:r w:rsidRPr="00882905">
        <w:rPr>
          <w:b/>
          <w:noProof/>
        </w:rPr>
        <w:t>cjalne metody ich obliczania</w:t>
      </w:r>
    </w:p>
    <w:p w14:paraId="2BF1C98A" w14:textId="17EB76E0" w:rsidR="00704957" w:rsidRPr="00882905" w:rsidRDefault="00EE785B" w:rsidP="00EE785B">
      <w:pPr>
        <w:pStyle w:val="ManualNumPar1"/>
        <w:rPr>
          <w:noProof/>
        </w:rPr>
      </w:pPr>
      <w:r w:rsidRPr="00EE785B">
        <w:rPr>
          <w:noProof/>
        </w:rPr>
        <w:t>1.</w:t>
      </w:r>
      <w:r w:rsidRPr="00EE785B">
        <w:rPr>
          <w:noProof/>
        </w:rPr>
        <w:tab/>
      </w:r>
      <w:r w:rsidR="00704957" w:rsidRPr="00882905">
        <w:rPr>
          <w:noProof/>
        </w:rPr>
        <w:t>Na zasoby własne zapisane</w:t>
      </w:r>
      <w:r w:rsidR="00AF2AE5" w:rsidRPr="00882905">
        <w:rPr>
          <w:noProof/>
        </w:rPr>
        <w:t xml:space="preserve"> w</w:t>
      </w:r>
      <w:r w:rsidR="00AF2AE5">
        <w:rPr>
          <w:noProof/>
        </w:rPr>
        <w:t> </w:t>
      </w:r>
      <w:r w:rsidR="00AF2AE5" w:rsidRPr="00882905">
        <w:rPr>
          <w:noProof/>
        </w:rPr>
        <w:t>bud</w:t>
      </w:r>
      <w:r w:rsidR="00704957" w:rsidRPr="00882905">
        <w:rPr>
          <w:noProof/>
        </w:rPr>
        <w:t>żecie Unii składają się dochody pochodzące</w:t>
      </w:r>
      <w:r w:rsidR="00AF2AE5" w:rsidRPr="00882905">
        <w:rPr>
          <w:noProof/>
        </w:rPr>
        <w:t xml:space="preserve"> z</w:t>
      </w:r>
      <w:r w:rsidR="00AF2AE5">
        <w:rPr>
          <w:noProof/>
        </w:rPr>
        <w:t> </w:t>
      </w:r>
      <w:r w:rsidR="00AF2AE5" w:rsidRPr="00882905">
        <w:rPr>
          <w:noProof/>
        </w:rPr>
        <w:t>nas</w:t>
      </w:r>
      <w:r w:rsidR="00704957" w:rsidRPr="00882905">
        <w:rPr>
          <w:noProof/>
        </w:rPr>
        <w:t>tępujących źródeł:</w:t>
      </w:r>
    </w:p>
    <w:p w14:paraId="75CD7481" w14:textId="5A2BD570" w:rsidR="00704957" w:rsidRPr="00882905" w:rsidRDefault="00EB3FA5" w:rsidP="00EB3FA5">
      <w:pPr>
        <w:pStyle w:val="Point0"/>
        <w:rPr>
          <w:noProof/>
        </w:rPr>
      </w:pPr>
      <w:r w:rsidRPr="00882905">
        <w:rPr>
          <w:noProof/>
        </w:rPr>
        <w:t>a)</w:t>
      </w:r>
      <w:r w:rsidRPr="00882905">
        <w:rPr>
          <w:noProof/>
        </w:rPr>
        <w:tab/>
      </w:r>
      <w:r w:rsidR="104EF3EA" w:rsidRPr="00882905">
        <w:rPr>
          <w:noProof/>
        </w:rPr>
        <w:t>tradycyjne zasoby własne składające się</w:t>
      </w:r>
      <w:r w:rsidR="00AF2AE5" w:rsidRPr="00882905">
        <w:rPr>
          <w:noProof/>
        </w:rPr>
        <w:t xml:space="preserve"> z</w:t>
      </w:r>
      <w:r w:rsidR="00AF2AE5">
        <w:rPr>
          <w:noProof/>
        </w:rPr>
        <w:t> </w:t>
      </w:r>
      <w:r w:rsidR="00AF2AE5" w:rsidRPr="00882905">
        <w:rPr>
          <w:noProof/>
        </w:rPr>
        <w:t>opł</w:t>
      </w:r>
      <w:r w:rsidR="104EF3EA" w:rsidRPr="00882905">
        <w:rPr>
          <w:noProof/>
        </w:rPr>
        <w:t>at, składek, kwot dodatkowych lub wyrównawczych, kwot lub czynników dodatkowych, ceł pobieranych na podstawie wspólnej taryfy celnej</w:t>
      </w:r>
      <w:r w:rsidR="00AF2AE5" w:rsidRPr="00882905">
        <w:rPr>
          <w:noProof/>
        </w:rPr>
        <w:t xml:space="preserve"> i</w:t>
      </w:r>
      <w:r w:rsidR="00AF2AE5">
        <w:rPr>
          <w:noProof/>
        </w:rPr>
        <w:t> </w:t>
      </w:r>
      <w:r w:rsidR="00AF2AE5" w:rsidRPr="00882905">
        <w:rPr>
          <w:noProof/>
        </w:rPr>
        <w:t>inn</w:t>
      </w:r>
      <w:r w:rsidR="104EF3EA" w:rsidRPr="00882905">
        <w:rPr>
          <w:noProof/>
        </w:rPr>
        <w:t>ych ceł, które zostały lub zostaną ustanowione przez instytucje Unii</w:t>
      </w:r>
      <w:r w:rsidR="00AF2AE5" w:rsidRPr="00882905">
        <w:rPr>
          <w:noProof/>
        </w:rPr>
        <w:t xml:space="preserve"> w</w:t>
      </w:r>
      <w:r w:rsidR="00AF2AE5">
        <w:rPr>
          <w:noProof/>
        </w:rPr>
        <w:t> </w:t>
      </w:r>
      <w:r w:rsidR="00AF2AE5" w:rsidRPr="00882905">
        <w:rPr>
          <w:noProof/>
        </w:rPr>
        <w:t>odn</w:t>
      </w:r>
      <w:r w:rsidR="104EF3EA" w:rsidRPr="00882905">
        <w:rPr>
          <w:noProof/>
        </w:rPr>
        <w:t>iesieniu do handlu</w:t>
      </w:r>
      <w:r w:rsidR="00AF2AE5" w:rsidRPr="00882905">
        <w:rPr>
          <w:noProof/>
        </w:rPr>
        <w:t xml:space="preserve"> z</w:t>
      </w:r>
      <w:r w:rsidR="00AF2AE5">
        <w:rPr>
          <w:noProof/>
        </w:rPr>
        <w:t> </w:t>
      </w:r>
      <w:r w:rsidR="00AF2AE5" w:rsidRPr="00882905">
        <w:rPr>
          <w:noProof/>
        </w:rPr>
        <w:t>pań</w:t>
      </w:r>
      <w:r w:rsidR="104EF3EA" w:rsidRPr="00882905">
        <w:rPr>
          <w:noProof/>
        </w:rPr>
        <w:t>stwami trzecimi, ceł na produkty objęte nieobowiązującym już Traktatem ustanawiającym Europejską Wspólnotę Węgla</w:t>
      </w:r>
      <w:r w:rsidR="00AF2AE5" w:rsidRPr="00882905">
        <w:rPr>
          <w:noProof/>
        </w:rPr>
        <w:t xml:space="preserve"> i</w:t>
      </w:r>
      <w:r w:rsidR="00AF2AE5">
        <w:rPr>
          <w:noProof/>
        </w:rPr>
        <w:t> </w:t>
      </w:r>
      <w:r w:rsidR="00AF2AE5" w:rsidRPr="00882905">
        <w:rPr>
          <w:noProof/>
        </w:rPr>
        <w:t>Sta</w:t>
      </w:r>
      <w:r w:rsidR="104EF3EA" w:rsidRPr="00882905">
        <w:rPr>
          <w:noProof/>
        </w:rPr>
        <w:t>li,</w:t>
      </w:r>
      <w:r w:rsidR="00AF2AE5" w:rsidRPr="00882905">
        <w:rPr>
          <w:noProof/>
        </w:rPr>
        <w:t xml:space="preserve"> a</w:t>
      </w:r>
      <w:r w:rsidR="00AF2AE5">
        <w:rPr>
          <w:noProof/>
        </w:rPr>
        <w:t> </w:t>
      </w:r>
      <w:r w:rsidR="00AF2AE5" w:rsidRPr="00882905">
        <w:rPr>
          <w:noProof/>
        </w:rPr>
        <w:t>tak</w:t>
      </w:r>
      <w:r w:rsidR="104EF3EA" w:rsidRPr="00882905">
        <w:rPr>
          <w:noProof/>
        </w:rPr>
        <w:t>że wkładów</w:t>
      </w:r>
      <w:r w:rsidR="00AF2AE5" w:rsidRPr="00882905">
        <w:rPr>
          <w:noProof/>
        </w:rPr>
        <w:t xml:space="preserve"> i</w:t>
      </w:r>
      <w:r w:rsidR="00AF2AE5">
        <w:rPr>
          <w:noProof/>
        </w:rPr>
        <w:t> </w:t>
      </w:r>
      <w:r w:rsidR="00AF2AE5" w:rsidRPr="00882905">
        <w:rPr>
          <w:noProof/>
        </w:rPr>
        <w:t>inn</w:t>
      </w:r>
      <w:r w:rsidR="104EF3EA" w:rsidRPr="00882905">
        <w:rPr>
          <w:noProof/>
        </w:rPr>
        <w:t>ych opłat przewidzianych</w:t>
      </w:r>
      <w:r w:rsidR="00AF2AE5" w:rsidRPr="00882905">
        <w:rPr>
          <w:noProof/>
        </w:rPr>
        <w:t xml:space="preserve"> w</w:t>
      </w:r>
      <w:r w:rsidR="00AF2AE5">
        <w:rPr>
          <w:noProof/>
        </w:rPr>
        <w:t> </w:t>
      </w:r>
      <w:r w:rsidR="00AF2AE5" w:rsidRPr="00882905">
        <w:rPr>
          <w:noProof/>
        </w:rPr>
        <w:t>ram</w:t>
      </w:r>
      <w:r w:rsidR="104EF3EA" w:rsidRPr="00882905">
        <w:rPr>
          <w:noProof/>
        </w:rPr>
        <w:t xml:space="preserve">ach wspólnej organizacji rynków cukru; </w:t>
      </w:r>
    </w:p>
    <w:p w14:paraId="65FB785A" w14:textId="343CDC35" w:rsidR="00704957" w:rsidRPr="00882905" w:rsidRDefault="00EB3FA5" w:rsidP="00EB3FA5">
      <w:pPr>
        <w:pStyle w:val="Point0"/>
        <w:rPr>
          <w:noProof/>
        </w:rPr>
      </w:pPr>
      <w:r w:rsidRPr="00882905">
        <w:rPr>
          <w:noProof/>
        </w:rPr>
        <w:t>b)</w:t>
      </w:r>
      <w:r w:rsidRPr="00882905">
        <w:rPr>
          <w:noProof/>
        </w:rPr>
        <w:tab/>
      </w:r>
      <w:r w:rsidR="00704957" w:rsidRPr="00882905">
        <w:rPr>
          <w:noProof/>
        </w:rPr>
        <w:t>roczne wkłady od przedsiębiorstw</w:t>
      </w:r>
      <w:r w:rsidR="00AF2AE5" w:rsidRPr="00882905">
        <w:rPr>
          <w:noProof/>
        </w:rPr>
        <w:t xml:space="preserve"> w</w:t>
      </w:r>
      <w:r w:rsidR="00AF2AE5">
        <w:rPr>
          <w:noProof/>
        </w:rPr>
        <w:t> </w:t>
      </w:r>
      <w:r w:rsidR="00AF2AE5" w:rsidRPr="00882905">
        <w:rPr>
          <w:noProof/>
        </w:rPr>
        <w:t>sto</w:t>
      </w:r>
      <w:r w:rsidR="00704957" w:rsidRPr="00882905">
        <w:rPr>
          <w:noProof/>
        </w:rPr>
        <w:t>sunku do ich rocznych przychodów netto ze sprzedaży. Roczny wkład każdego przedsiębiorstwa ustala się według następującej skali:</w:t>
      </w:r>
    </w:p>
    <w:p w14:paraId="21BBAA33" w14:textId="79CD7C3D" w:rsidR="00704957" w:rsidRPr="00882905" w:rsidRDefault="00704957" w:rsidP="008E53DD">
      <w:pPr>
        <w:pStyle w:val="LegalNumPar3"/>
        <w:rPr>
          <w:noProof/>
        </w:rPr>
      </w:pPr>
      <w:r w:rsidRPr="00882905">
        <w:rPr>
          <w:noProof/>
        </w:rPr>
        <w:t xml:space="preserve">przychody netto ze sprzedaży </w:t>
      </w:r>
      <w:r w:rsidRPr="00AF2AE5">
        <w:rPr>
          <w:noProof/>
        </w:rPr>
        <w:t>od</w:t>
      </w:r>
      <w:r w:rsidR="00AF2AE5" w:rsidRPr="00AF2AE5">
        <w:rPr>
          <w:noProof/>
        </w:rPr>
        <w:t> </w:t>
      </w:r>
      <w:r w:rsidRPr="00AF2AE5">
        <w:rPr>
          <w:noProof/>
        </w:rPr>
        <w:t>1</w:t>
      </w:r>
      <w:r w:rsidRPr="00882905">
        <w:rPr>
          <w:noProof/>
        </w:rPr>
        <w:t xml:space="preserve">00 000 000,01 EUR </w:t>
      </w:r>
      <w:r w:rsidRPr="00AF2AE5">
        <w:rPr>
          <w:noProof/>
        </w:rPr>
        <w:t>do</w:t>
      </w:r>
      <w:r w:rsidR="00AF2AE5" w:rsidRPr="00AF2AE5">
        <w:rPr>
          <w:noProof/>
        </w:rPr>
        <w:t> </w:t>
      </w:r>
      <w:r w:rsidRPr="00AF2AE5">
        <w:rPr>
          <w:noProof/>
        </w:rPr>
        <w:t>2</w:t>
      </w:r>
      <w:r w:rsidRPr="00882905">
        <w:rPr>
          <w:noProof/>
        </w:rPr>
        <w:t>49 999 999,99 EUR – wkład</w:t>
      </w:r>
      <w:r w:rsidR="00AF2AE5" w:rsidRPr="00882905">
        <w:rPr>
          <w:noProof/>
        </w:rPr>
        <w:t xml:space="preserve"> w</w:t>
      </w:r>
      <w:r w:rsidR="00AF2AE5">
        <w:rPr>
          <w:noProof/>
        </w:rPr>
        <w:t> </w:t>
      </w:r>
      <w:r w:rsidR="00AF2AE5" w:rsidRPr="00882905">
        <w:rPr>
          <w:noProof/>
        </w:rPr>
        <w:t>wys</w:t>
      </w:r>
      <w:r w:rsidRPr="00882905">
        <w:rPr>
          <w:noProof/>
        </w:rPr>
        <w:t>okości 100 000 EUR;</w:t>
      </w:r>
    </w:p>
    <w:p w14:paraId="377D1C1A" w14:textId="52C0194D" w:rsidR="00704957" w:rsidRPr="00882905" w:rsidRDefault="00704957" w:rsidP="008E53DD">
      <w:pPr>
        <w:pStyle w:val="LegalNumPar3"/>
        <w:rPr>
          <w:noProof/>
        </w:rPr>
      </w:pPr>
      <w:r w:rsidRPr="00882905">
        <w:rPr>
          <w:noProof/>
        </w:rPr>
        <w:t xml:space="preserve">przychody netto ze sprzedaży </w:t>
      </w:r>
      <w:r w:rsidRPr="00AF2AE5">
        <w:rPr>
          <w:noProof/>
        </w:rPr>
        <w:t>od</w:t>
      </w:r>
      <w:r w:rsidR="00AF2AE5" w:rsidRPr="00AF2AE5">
        <w:rPr>
          <w:noProof/>
        </w:rPr>
        <w:t> </w:t>
      </w:r>
      <w:r w:rsidRPr="00AF2AE5">
        <w:rPr>
          <w:noProof/>
        </w:rPr>
        <w:t>2</w:t>
      </w:r>
      <w:r w:rsidRPr="00882905">
        <w:rPr>
          <w:noProof/>
        </w:rPr>
        <w:t xml:space="preserve">50 000 000 EUR </w:t>
      </w:r>
      <w:r w:rsidRPr="00AF2AE5">
        <w:rPr>
          <w:noProof/>
        </w:rPr>
        <w:t>do</w:t>
      </w:r>
      <w:r w:rsidR="00AF2AE5" w:rsidRPr="00AF2AE5">
        <w:rPr>
          <w:noProof/>
        </w:rPr>
        <w:t> </w:t>
      </w:r>
      <w:r w:rsidRPr="00AF2AE5">
        <w:rPr>
          <w:noProof/>
        </w:rPr>
        <w:t>4</w:t>
      </w:r>
      <w:r w:rsidRPr="00882905">
        <w:rPr>
          <w:noProof/>
        </w:rPr>
        <w:t>99 999 999,99 EUR – wkład</w:t>
      </w:r>
      <w:r w:rsidR="00AF2AE5" w:rsidRPr="00882905">
        <w:rPr>
          <w:noProof/>
        </w:rPr>
        <w:t xml:space="preserve"> w</w:t>
      </w:r>
      <w:r w:rsidR="00AF2AE5">
        <w:rPr>
          <w:noProof/>
        </w:rPr>
        <w:t> </w:t>
      </w:r>
      <w:r w:rsidR="00AF2AE5" w:rsidRPr="00882905">
        <w:rPr>
          <w:noProof/>
        </w:rPr>
        <w:t>wys</w:t>
      </w:r>
      <w:r w:rsidRPr="00882905">
        <w:rPr>
          <w:noProof/>
        </w:rPr>
        <w:t>okości 250 000 EUR;</w:t>
      </w:r>
    </w:p>
    <w:p w14:paraId="55ABE66A" w14:textId="6E6837AE" w:rsidR="00704957" w:rsidRPr="00882905" w:rsidRDefault="00704957" w:rsidP="008E53DD">
      <w:pPr>
        <w:pStyle w:val="LegalNumPar3"/>
        <w:rPr>
          <w:noProof/>
        </w:rPr>
      </w:pPr>
      <w:r w:rsidRPr="00882905">
        <w:rPr>
          <w:noProof/>
        </w:rPr>
        <w:t xml:space="preserve">przychody netto ze sprzedaży </w:t>
      </w:r>
      <w:r w:rsidRPr="00AF2AE5">
        <w:rPr>
          <w:noProof/>
        </w:rPr>
        <w:t>od</w:t>
      </w:r>
      <w:r w:rsidR="00AF2AE5" w:rsidRPr="00AF2AE5">
        <w:rPr>
          <w:noProof/>
        </w:rPr>
        <w:t> </w:t>
      </w:r>
      <w:r w:rsidRPr="00AF2AE5">
        <w:rPr>
          <w:noProof/>
        </w:rPr>
        <w:t>5</w:t>
      </w:r>
      <w:r w:rsidRPr="00882905">
        <w:rPr>
          <w:noProof/>
        </w:rPr>
        <w:t xml:space="preserve">00 000 000 EUR </w:t>
      </w:r>
      <w:r w:rsidRPr="00AF2AE5">
        <w:rPr>
          <w:noProof/>
        </w:rPr>
        <w:t>do</w:t>
      </w:r>
      <w:r w:rsidR="00AF2AE5" w:rsidRPr="00AF2AE5">
        <w:rPr>
          <w:noProof/>
        </w:rPr>
        <w:t> </w:t>
      </w:r>
      <w:r w:rsidRPr="00AF2AE5">
        <w:rPr>
          <w:noProof/>
        </w:rPr>
        <w:t>7</w:t>
      </w:r>
      <w:r w:rsidRPr="00882905">
        <w:rPr>
          <w:noProof/>
        </w:rPr>
        <w:t>49 999 999,99 EUR – wkład</w:t>
      </w:r>
      <w:r w:rsidR="00AF2AE5" w:rsidRPr="00882905">
        <w:rPr>
          <w:noProof/>
        </w:rPr>
        <w:t xml:space="preserve"> w</w:t>
      </w:r>
      <w:r w:rsidR="00AF2AE5">
        <w:rPr>
          <w:noProof/>
        </w:rPr>
        <w:t> </w:t>
      </w:r>
      <w:r w:rsidR="00AF2AE5" w:rsidRPr="00882905">
        <w:rPr>
          <w:noProof/>
        </w:rPr>
        <w:t>wys</w:t>
      </w:r>
      <w:r w:rsidRPr="00882905">
        <w:rPr>
          <w:noProof/>
        </w:rPr>
        <w:t>okości 500 000 EUR;</w:t>
      </w:r>
    </w:p>
    <w:p w14:paraId="3EB34999" w14:textId="16D0FF7E" w:rsidR="00704957" w:rsidRPr="00882905" w:rsidRDefault="00704957" w:rsidP="008E53DD">
      <w:pPr>
        <w:pStyle w:val="LegalNumPar3"/>
        <w:rPr>
          <w:noProof/>
        </w:rPr>
      </w:pPr>
      <w:r w:rsidRPr="00882905">
        <w:rPr>
          <w:noProof/>
        </w:rPr>
        <w:t>przychody netto ze sprzedaży wynoszące co najmniej 750 000 000 EUR – wkład</w:t>
      </w:r>
      <w:r w:rsidR="00AF2AE5" w:rsidRPr="00882905">
        <w:rPr>
          <w:noProof/>
        </w:rPr>
        <w:t xml:space="preserve"> w</w:t>
      </w:r>
      <w:r w:rsidR="00AF2AE5">
        <w:rPr>
          <w:noProof/>
        </w:rPr>
        <w:t> </w:t>
      </w:r>
      <w:r w:rsidR="00AF2AE5" w:rsidRPr="00882905">
        <w:rPr>
          <w:noProof/>
        </w:rPr>
        <w:t>wys</w:t>
      </w:r>
      <w:r w:rsidRPr="00882905">
        <w:rPr>
          <w:noProof/>
        </w:rPr>
        <w:t>okości 750 000 EUR;</w:t>
      </w:r>
    </w:p>
    <w:p w14:paraId="7F1B4B4B" w14:textId="6D0E9D8A" w:rsidR="00704957" w:rsidRPr="00882905" w:rsidRDefault="00EB3FA5" w:rsidP="00EB3FA5">
      <w:pPr>
        <w:pStyle w:val="Point0"/>
        <w:rPr>
          <w:noProof/>
        </w:rPr>
      </w:pPr>
      <w:r w:rsidRPr="00882905">
        <w:rPr>
          <w:noProof/>
        </w:rPr>
        <w:t>c)</w:t>
      </w:r>
      <w:r w:rsidRPr="00882905">
        <w:rPr>
          <w:noProof/>
        </w:rPr>
        <w:tab/>
      </w:r>
      <w:r w:rsidR="00704957" w:rsidRPr="00882905">
        <w:rPr>
          <w:noProof/>
        </w:rPr>
        <w:t>zastosowanie jednolitej stawki poboru</w:t>
      </w:r>
      <w:r w:rsidR="00AF2AE5" w:rsidRPr="00882905">
        <w:rPr>
          <w:noProof/>
        </w:rPr>
        <w:t xml:space="preserve"> w</w:t>
      </w:r>
      <w:r w:rsidR="00AF2AE5">
        <w:rPr>
          <w:noProof/>
        </w:rPr>
        <w:t> </w:t>
      </w:r>
      <w:r w:rsidR="00AF2AE5" w:rsidRPr="00882905">
        <w:rPr>
          <w:noProof/>
        </w:rPr>
        <w:t>wys</w:t>
      </w:r>
      <w:r w:rsidR="00704957" w:rsidRPr="00882905">
        <w:rPr>
          <w:noProof/>
        </w:rPr>
        <w:t>okości 0,30 %</w:t>
      </w:r>
      <w:r w:rsidR="00AF2AE5" w:rsidRPr="00882905">
        <w:rPr>
          <w:noProof/>
        </w:rPr>
        <w:t xml:space="preserve"> w</w:t>
      </w:r>
      <w:r w:rsidR="00AF2AE5">
        <w:rPr>
          <w:noProof/>
        </w:rPr>
        <w:t> </w:t>
      </w:r>
      <w:r w:rsidR="00AF2AE5" w:rsidRPr="00882905">
        <w:rPr>
          <w:noProof/>
        </w:rPr>
        <w:t>prz</w:t>
      </w:r>
      <w:r w:rsidR="00704957" w:rsidRPr="00882905">
        <w:rPr>
          <w:noProof/>
        </w:rPr>
        <w:t>ypadku wszystkich państw członkowskich do całkowitej kwoty przychodów z VAT pobranych</w:t>
      </w:r>
      <w:r w:rsidR="00AF2AE5" w:rsidRPr="00882905">
        <w:rPr>
          <w:noProof/>
        </w:rPr>
        <w:t xml:space="preserve"> w</w:t>
      </w:r>
      <w:r w:rsidR="00AF2AE5">
        <w:rPr>
          <w:noProof/>
        </w:rPr>
        <w:t> </w:t>
      </w:r>
      <w:r w:rsidR="00AF2AE5" w:rsidRPr="00882905">
        <w:rPr>
          <w:noProof/>
        </w:rPr>
        <w:t>odn</w:t>
      </w:r>
      <w:r w:rsidR="00704957" w:rsidRPr="00882905">
        <w:rPr>
          <w:noProof/>
        </w:rPr>
        <w:t>iesieniu do wszystkich dostaw podlegających opodatkowaniu podzielonej przez średnią ważoną stawkę VAT obliczoną dla odnośnego roku kalendarzowego, jak przewidziano</w:t>
      </w:r>
      <w:r w:rsidR="00AF2AE5" w:rsidRPr="00882905">
        <w:rPr>
          <w:noProof/>
        </w:rPr>
        <w:t xml:space="preserve"> w</w:t>
      </w:r>
      <w:r w:rsidR="00AF2AE5">
        <w:rPr>
          <w:noProof/>
        </w:rPr>
        <w:t> </w:t>
      </w:r>
      <w:r w:rsidR="00AF2AE5" w:rsidRPr="00882905">
        <w:rPr>
          <w:noProof/>
        </w:rPr>
        <w:t>roz</w:t>
      </w:r>
      <w:r w:rsidR="00704957" w:rsidRPr="00882905">
        <w:rPr>
          <w:noProof/>
        </w:rPr>
        <w:t xml:space="preserve">porządzeniu Rady (EWG, Euratom) </w:t>
      </w:r>
      <w:r w:rsidR="00704957" w:rsidRPr="00AF2AE5">
        <w:rPr>
          <w:noProof/>
        </w:rPr>
        <w:t>nr</w:t>
      </w:r>
      <w:r w:rsidR="00AF2AE5" w:rsidRPr="00AF2AE5">
        <w:rPr>
          <w:noProof/>
        </w:rPr>
        <w:t> </w:t>
      </w:r>
      <w:r w:rsidR="00704957" w:rsidRPr="00AF2AE5">
        <w:rPr>
          <w:noProof/>
        </w:rPr>
        <w:t>1</w:t>
      </w:r>
      <w:r w:rsidR="00704957" w:rsidRPr="00882905">
        <w:rPr>
          <w:noProof/>
        </w:rPr>
        <w:t>553/89</w:t>
      </w:r>
      <w:r w:rsidR="00704957" w:rsidRPr="00882905">
        <w:rPr>
          <w:rStyle w:val="FootnoteReference"/>
          <w:noProof/>
        </w:rPr>
        <w:footnoteReference w:id="15"/>
      </w:r>
      <w:r w:rsidR="00704957" w:rsidRPr="00882905">
        <w:rPr>
          <w:noProof/>
        </w:rPr>
        <w:t>;</w:t>
      </w:r>
    </w:p>
    <w:p w14:paraId="55247ED8" w14:textId="0B54635E" w:rsidR="00704957" w:rsidRPr="00882905" w:rsidRDefault="00EB3FA5" w:rsidP="00EB3FA5">
      <w:pPr>
        <w:pStyle w:val="Point0"/>
        <w:rPr>
          <w:noProof/>
        </w:rPr>
      </w:pPr>
      <w:r w:rsidRPr="00882905">
        <w:rPr>
          <w:noProof/>
        </w:rPr>
        <w:t>d)</w:t>
      </w:r>
      <w:r w:rsidRPr="00882905">
        <w:rPr>
          <w:noProof/>
        </w:rPr>
        <w:tab/>
      </w:r>
      <w:r w:rsidR="00704957" w:rsidRPr="00882905">
        <w:rPr>
          <w:noProof/>
        </w:rPr>
        <w:t>zastosowanie jednolitej stawki poboru</w:t>
      </w:r>
      <w:r w:rsidR="00AF2AE5" w:rsidRPr="00882905">
        <w:rPr>
          <w:noProof/>
        </w:rPr>
        <w:t xml:space="preserve"> w</w:t>
      </w:r>
      <w:r w:rsidR="00AF2AE5">
        <w:rPr>
          <w:noProof/>
        </w:rPr>
        <w:t> </w:t>
      </w:r>
      <w:r w:rsidR="00AF2AE5" w:rsidRPr="00882905">
        <w:rPr>
          <w:noProof/>
        </w:rPr>
        <w:t>wys</w:t>
      </w:r>
      <w:r w:rsidR="00704957" w:rsidRPr="00882905">
        <w:rPr>
          <w:noProof/>
        </w:rPr>
        <w:t>okości 15 %</w:t>
      </w:r>
      <w:r w:rsidR="00AF2AE5" w:rsidRPr="00882905">
        <w:rPr>
          <w:noProof/>
        </w:rPr>
        <w:t xml:space="preserve"> w</w:t>
      </w:r>
      <w:r w:rsidR="00AF2AE5">
        <w:rPr>
          <w:noProof/>
        </w:rPr>
        <w:t> </w:t>
      </w:r>
      <w:r w:rsidR="00AF2AE5" w:rsidRPr="00882905">
        <w:rPr>
          <w:noProof/>
        </w:rPr>
        <w:t>prz</w:t>
      </w:r>
      <w:r w:rsidR="00704957" w:rsidRPr="00882905">
        <w:rPr>
          <w:noProof/>
        </w:rPr>
        <w:t>ypadku wszystkich państw członkowskich do ilości wyrobów tytoniowych</w:t>
      </w:r>
      <w:r w:rsidR="00AF2AE5" w:rsidRPr="00882905">
        <w:rPr>
          <w:noProof/>
        </w:rPr>
        <w:t xml:space="preserve"> i</w:t>
      </w:r>
      <w:r w:rsidR="00AF2AE5">
        <w:rPr>
          <w:noProof/>
        </w:rPr>
        <w:t> </w:t>
      </w:r>
      <w:r w:rsidR="00AF2AE5" w:rsidRPr="00882905">
        <w:rPr>
          <w:noProof/>
        </w:rPr>
        <w:t>ilo</w:t>
      </w:r>
      <w:r w:rsidR="00704957" w:rsidRPr="00882905">
        <w:rPr>
          <w:noProof/>
        </w:rPr>
        <w:t>ści substytucyjnych wyrobów tytoniowych dopuszczonych do konsumpcji pomnożonych przez minimalną stawkę mającą zastosowanie do każdego państwa członkowskiego</w:t>
      </w:r>
      <w:r w:rsidR="00AF2AE5" w:rsidRPr="00882905">
        <w:rPr>
          <w:noProof/>
        </w:rPr>
        <w:t xml:space="preserve"> w</w:t>
      </w:r>
      <w:r w:rsidR="00AF2AE5">
        <w:rPr>
          <w:noProof/>
        </w:rPr>
        <w:t> </w:t>
      </w:r>
      <w:r w:rsidR="00AF2AE5" w:rsidRPr="00882905">
        <w:rPr>
          <w:noProof/>
        </w:rPr>
        <w:t>rok</w:t>
      </w:r>
      <w:r w:rsidR="00704957" w:rsidRPr="00882905">
        <w:rPr>
          <w:noProof/>
        </w:rPr>
        <w:t>u kalendarzowym;</w:t>
      </w:r>
    </w:p>
    <w:p w14:paraId="74231562" w14:textId="0E231453" w:rsidR="00704957" w:rsidRPr="00882905" w:rsidRDefault="00EB3FA5" w:rsidP="00EB3FA5">
      <w:pPr>
        <w:pStyle w:val="Point0"/>
        <w:rPr>
          <w:noProof/>
        </w:rPr>
      </w:pPr>
      <w:r w:rsidRPr="00882905">
        <w:rPr>
          <w:noProof/>
        </w:rPr>
        <w:t>e)</w:t>
      </w:r>
      <w:r w:rsidRPr="00882905">
        <w:rPr>
          <w:noProof/>
        </w:rPr>
        <w:tab/>
      </w:r>
      <w:r w:rsidR="00704957" w:rsidRPr="00882905">
        <w:rPr>
          <w:noProof/>
        </w:rPr>
        <w:t>zastosowanie jednolitej stawki poboru do masy odpadów opakowaniowych</w:t>
      </w:r>
      <w:r w:rsidR="00AF2AE5" w:rsidRPr="00882905">
        <w:rPr>
          <w:noProof/>
        </w:rPr>
        <w:t xml:space="preserve"> z</w:t>
      </w:r>
      <w:r w:rsidR="00AF2AE5">
        <w:rPr>
          <w:noProof/>
        </w:rPr>
        <w:t> </w:t>
      </w:r>
      <w:r w:rsidR="00AF2AE5" w:rsidRPr="00882905">
        <w:rPr>
          <w:noProof/>
        </w:rPr>
        <w:t>two</w:t>
      </w:r>
      <w:r w:rsidR="00704957" w:rsidRPr="00882905">
        <w:rPr>
          <w:noProof/>
        </w:rPr>
        <w:t>rzyw sztucznych wytworzonych</w:t>
      </w:r>
      <w:r w:rsidR="00AF2AE5" w:rsidRPr="00882905">
        <w:rPr>
          <w:noProof/>
        </w:rPr>
        <w:t xml:space="preserve"> w</w:t>
      </w:r>
      <w:r w:rsidR="00AF2AE5">
        <w:rPr>
          <w:noProof/>
        </w:rPr>
        <w:t> </w:t>
      </w:r>
      <w:r w:rsidR="00AF2AE5" w:rsidRPr="00882905">
        <w:rPr>
          <w:noProof/>
        </w:rPr>
        <w:t>pos</w:t>
      </w:r>
      <w:r w:rsidR="00704957" w:rsidRPr="00882905">
        <w:rPr>
          <w:noProof/>
        </w:rPr>
        <w:t>zczególnych państwach członkowskich, która nie została poddana recyklingowi. Jednolita stawka poboru wynosi 1 EUR za kilogram.</w:t>
      </w:r>
    </w:p>
    <w:p w14:paraId="00F8468B" w14:textId="577842D0" w:rsidR="00704957" w:rsidRPr="00882905" w:rsidRDefault="00704957" w:rsidP="007D24F0">
      <w:pPr>
        <w:pStyle w:val="Text1"/>
        <w:rPr>
          <w:noProof/>
        </w:rPr>
      </w:pPr>
      <w:r w:rsidRPr="00882905">
        <w:rPr>
          <w:noProof/>
        </w:rPr>
        <w:t>Masę odpadów opakowaniowych</w:t>
      </w:r>
      <w:r w:rsidR="00AF2AE5" w:rsidRPr="00882905">
        <w:rPr>
          <w:noProof/>
        </w:rPr>
        <w:t xml:space="preserve"> z</w:t>
      </w:r>
      <w:r w:rsidR="00AF2AE5">
        <w:rPr>
          <w:noProof/>
        </w:rPr>
        <w:t> </w:t>
      </w:r>
      <w:r w:rsidR="00AF2AE5" w:rsidRPr="00882905">
        <w:rPr>
          <w:noProof/>
        </w:rPr>
        <w:t>two</w:t>
      </w:r>
      <w:r w:rsidRPr="00882905">
        <w:rPr>
          <w:noProof/>
        </w:rPr>
        <w:t>rzyw sztucznych, które nie są poddawane recyklingowi, oblicza się jako różnicę między masą odpadów opakowaniowych</w:t>
      </w:r>
      <w:r w:rsidR="00AF2AE5" w:rsidRPr="00882905">
        <w:rPr>
          <w:noProof/>
        </w:rPr>
        <w:t xml:space="preserve"> z</w:t>
      </w:r>
      <w:r w:rsidR="00AF2AE5">
        <w:rPr>
          <w:noProof/>
        </w:rPr>
        <w:t> </w:t>
      </w:r>
      <w:r w:rsidR="00AF2AE5" w:rsidRPr="00882905">
        <w:rPr>
          <w:noProof/>
        </w:rPr>
        <w:t>two</w:t>
      </w:r>
      <w:r w:rsidRPr="00882905">
        <w:rPr>
          <w:noProof/>
        </w:rPr>
        <w:t>rzyw sztucznych wytwarzanych</w:t>
      </w:r>
      <w:r w:rsidR="00AF2AE5" w:rsidRPr="00882905">
        <w:rPr>
          <w:noProof/>
        </w:rPr>
        <w:t xml:space="preserve"> w</w:t>
      </w:r>
      <w:r w:rsidR="00AF2AE5">
        <w:rPr>
          <w:noProof/>
        </w:rPr>
        <w:t> </w:t>
      </w:r>
      <w:r w:rsidR="00AF2AE5" w:rsidRPr="00882905">
        <w:rPr>
          <w:noProof/>
        </w:rPr>
        <w:t>pań</w:t>
      </w:r>
      <w:r w:rsidRPr="00882905">
        <w:rPr>
          <w:noProof/>
        </w:rPr>
        <w:t>stwie członkowskim</w:t>
      </w:r>
      <w:r w:rsidR="00AF2AE5" w:rsidRPr="00882905">
        <w:rPr>
          <w:noProof/>
        </w:rPr>
        <w:t xml:space="preserve"> w</w:t>
      </w:r>
      <w:r w:rsidR="00AF2AE5">
        <w:rPr>
          <w:noProof/>
        </w:rPr>
        <w:t> </w:t>
      </w:r>
      <w:r w:rsidR="00AF2AE5" w:rsidRPr="00882905">
        <w:rPr>
          <w:noProof/>
        </w:rPr>
        <w:t>dan</w:t>
      </w:r>
      <w:r w:rsidRPr="00882905">
        <w:rPr>
          <w:noProof/>
        </w:rPr>
        <w:t>ym roku</w:t>
      </w:r>
      <w:r w:rsidR="00AF2AE5" w:rsidRPr="00882905">
        <w:rPr>
          <w:noProof/>
        </w:rPr>
        <w:t xml:space="preserve"> a</w:t>
      </w:r>
      <w:r w:rsidR="00AF2AE5">
        <w:rPr>
          <w:noProof/>
        </w:rPr>
        <w:t> </w:t>
      </w:r>
      <w:r w:rsidR="00AF2AE5" w:rsidRPr="00882905">
        <w:rPr>
          <w:noProof/>
        </w:rPr>
        <w:t>mas</w:t>
      </w:r>
      <w:r w:rsidRPr="00882905">
        <w:rPr>
          <w:noProof/>
        </w:rPr>
        <w:t>ą odpadów opakowaniowych</w:t>
      </w:r>
      <w:r w:rsidR="00AF2AE5" w:rsidRPr="00882905">
        <w:rPr>
          <w:noProof/>
        </w:rPr>
        <w:t xml:space="preserve"> z</w:t>
      </w:r>
      <w:r w:rsidR="00AF2AE5">
        <w:rPr>
          <w:noProof/>
        </w:rPr>
        <w:t> </w:t>
      </w:r>
      <w:r w:rsidR="00AF2AE5" w:rsidRPr="00882905">
        <w:rPr>
          <w:noProof/>
        </w:rPr>
        <w:t>two</w:t>
      </w:r>
      <w:r w:rsidRPr="00882905">
        <w:rPr>
          <w:noProof/>
        </w:rPr>
        <w:t>rzyw sztucznych, które są poddawane recyklingowi</w:t>
      </w:r>
      <w:r w:rsidR="00AF2AE5" w:rsidRPr="00882905">
        <w:rPr>
          <w:noProof/>
        </w:rPr>
        <w:t xml:space="preserve"> w</w:t>
      </w:r>
      <w:r w:rsidR="00AF2AE5">
        <w:rPr>
          <w:noProof/>
        </w:rPr>
        <w:t> </w:t>
      </w:r>
      <w:r w:rsidR="00AF2AE5" w:rsidRPr="00882905">
        <w:rPr>
          <w:noProof/>
        </w:rPr>
        <w:t>dan</w:t>
      </w:r>
      <w:r w:rsidRPr="00882905">
        <w:rPr>
          <w:noProof/>
        </w:rPr>
        <w:t>ym roku. Do celów obliczania ilości wytworzonych odpadów opakowaniowych</w:t>
      </w:r>
      <w:r w:rsidR="00AF2AE5" w:rsidRPr="00882905">
        <w:rPr>
          <w:noProof/>
        </w:rPr>
        <w:t xml:space="preserve"> z</w:t>
      </w:r>
      <w:r w:rsidR="00AF2AE5">
        <w:rPr>
          <w:noProof/>
        </w:rPr>
        <w:t> </w:t>
      </w:r>
      <w:r w:rsidR="00AF2AE5" w:rsidRPr="00882905">
        <w:rPr>
          <w:noProof/>
        </w:rPr>
        <w:t>two</w:t>
      </w:r>
      <w:r w:rsidRPr="00882905">
        <w:rPr>
          <w:noProof/>
        </w:rPr>
        <w:t>rzyw sztucznych państwa członkowskie stosują oba podejścia,</w:t>
      </w:r>
      <w:r w:rsidR="00AF2AE5" w:rsidRPr="00882905">
        <w:rPr>
          <w:noProof/>
        </w:rPr>
        <w:t xml:space="preserve"> o</w:t>
      </w:r>
      <w:r w:rsidR="00AF2AE5">
        <w:rPr>
          <w:noProof/>
        </w:rPr>
        <w:t> </w:t>
      </w:r>
      <w:r w:rsidR="00AF2AE5" w:rsidRPr="00882905">
        <w:rPr>
          <w:noProof/>
        </w:rPr>
        <w:t>któ</w:t>
      </w:r>
      <w:r w:rsidRPr="00882905">
        <w:rPr>
          <w:noProof/>
        </w:rPr>
        <w:t>rych mowa</w:t>
      </w:r>
      <w:r w:rsidR="00AF2AE5" w:rsidRPr="00882905">
        <w:rPr>
          <w:noProof/>
        </w:rPr>
        <w:t xml:space="preserve"> w</w:t>
      </w:r>
      <w:r w:rsidR="00AF2AE5">
        <w:rPr>
          <w:noProof/>
        </w:rPr>
        <w:t> </w:t>
      </w:r>
      <w:r w:rsidR="00AF2AE5" w:rsidRPr="00AF2AE5">
        <w:rPr>
          <w:noProof/>
        </w:rPr>
        <w:t>art</w:t>
      </w:r>
      <w:r w:rsidRPr="00AF2AE5">
        <w:rPr>
          <w:noProof/>
        </w:rPr>
        <w:t>.</w:t>
      </w:r>
      <w:r w:rsidR="00AF2AE5" w:rsidRPr="00AF2AE5">
        <w:rPr>
          <w:noProof/>
        </w:rPr>
        <w:t> </w:t>
      </w:r>
      <w:r w:rsidRPr="00AF2AE5">
        <w:rPr>
          <w:noProof/>
        </w:rPr>
        <w:t>5</w:t>
      </w:r>
      <w:r w:rsidRPr="00882905">
        <w:rPr>
          <w:noProof/>
        </w:rPr>
        <w:t xml:space="preserve">3 </w:t>
      </w:r>
      <w:r w:rsidRPr="00AF2AE5">
        <w:rPr>
          <w:noProof/>
        </w:rPr>
        <w:t>ust.</w:t>
      </w:r>
      <w:r w:rsidR="00AF2AE5" w:rsidRPr="00AF2AE5">
        <w:rPr>
          <w:noProof/>
        </w:rPr>
        <w:t> </w:t>
      </w:r>
      <w:r w:rsidRPr="00AF2AE5">
        <w:rPr>
          <w:noProof/>
        </w:rPr>
        <w:t>2</w:t>
      </w:r>
      <w:r w:rsidRPr="00882905">
        <w:rPr>
          <w:noProof/>
        </w:rPr>
        <w:t xml:space="preserve"> </w:t>
      </w:r>
      <w:r w:rsidRPr="00AF2AE5">
        <w:rPr>
          <w:noProof/>
        </w:rPr>
        <w:t>lit.</w:t>
      </w:r>
      <w:r w:rsidR="00AF2AE5" w:rsidRPr="00AF2AE5">
        <w:rPr>
          <w:noProof/>
        </w:rPr>
        <w:t> </w:t>
      </w:r>
      <w:r w:rsidRPr="00AF2AE5">
        <w:rPr>
          <w:noProof/>
        </w:rPr>
        <w:t>a)</w:t>
      </w:r>
      <w:r w:rsidRPr="00882905">
        <w:rPr>
          <w:noProof/>
        </w:rPr>
        <w:t xml:space="preserve"> i b) rozporządzenia (UE) 2025/40</w:t>
      </w:r>
      <w:r w:rsidR="00AF2AE5" w:rsidRPr="00882905">
        <w:rPr>
          <w:noProof/>
        </w:rPr>
        <w:t xml:space="preserve"> i</w:t>
      </w:r>
      <w:r w:rsidR="00AF2AE5">
        <w:rPr>
          <w:noProof/>
        </w:rPr>
        <w:t> </w:t>
      </w:r>
      <w:r w:rsidR="00AF2AE5" w:rsidRPr="00882905">
        <w:rPr>
          <w:noProof/>
        </w:rPr>
        <w:t>któ</w:t>
      </w:r>
      <w:r w:rsidRPr="00882905">
        <w:rPr>
          <w:noProof/>
        </w:rPr>
        <w:t>re dostosowuje się</w:t>
      </w:r>
      <w:r w:rsidR="00AF2AE5" w:rsidRPr="00882905">
        <w:rPr>
          <w:noProof/>
        </w:rPr>
        <w:t xml:space="preserve"> w</w:t>
      </w:r>
      <w:r w:rsidR="00AF2AE5">
        <w:rPr>
          <w:noProof/>
        </w:rPr>
        <w:t> </w:t>
      </w:r>
      <w:r w:rsidR="00AF2AE5" w:rsidRPr="00882905">
        <w:rPr>
          <w:noProof/>
        </w:rPr>
        <w:t>cel</w:t>
      </w:r>
      <w:r w:rsidRPr="00882905">
        <w:rPr>
          <w:noProof/>
        </w:rPr>
        <w:t>u zapewnienia porównywalności, wiarygodności</w:t>
      </w:r>
      <w:r w:rsidR="00AF2AE5" w:rsidRPr="00882905">
        <w:rPr>
          <w:noProof/>
        </w:rPr>
        <w:t xml:space="preserve"> i</w:t>
      </w:r>
      <w:r w:rsidR="00AF2AE5">
        <w:rPr>
          <w:noProof/>
        </w:rPr>
        <w:t> </w:t>
      </w:r>
      <w:r w:rsidR="00AF2AE5" w:rsidRPr="00882905">
        <w:rPr>
          <w:noProof/>
        </w:rPr>
        <w:t>kom</w:t>
      </w:r>
      <w:r w:rsidRPr="00882905">
        <w:rPr>
          <w:noProof/>
        </w:rPr>
        <w:t>pletności wyników;</w:t>
      </w:r>
    </w:p>
    <w:p w14:paraId="4FB6F260" w14:textId="038F6D48" w:rsidR="00704957" w:rsidRPr="00882905" w:rsidRDefault="00EB3FA5" w:rsidP="00EB3FA5">
      <w:pPr>
        <w:pStyle w:val="Point0"/>
        <w:rPr>
          <w:noProof/>
        </w:rPr>
      </w:pPr>
      <w:r w:rsidRPr="00882905">
        <w:rPr>
          <w:noProof/>
        </w:rPr>
        <w:t>f)</w:t>
      </w:r>
      <w:r w:rsidRPr="00882905">
        <w:rPr>
          <w:noProof/>
        </w:rPr>
        <w:tab/>
      </w:r>
      <w:r w:rsidR="00704957" w:rsidRPr="00882905">
        <w:rPr>
          <w:noProof/>
        </w:rPr>
        <w:t>zastosowanie jednolitej stawki poboru do masy niezebranego sprzętu elektrycznego</w:t>
      </w:r>
      <w:r w:rsidR="00AF2AE5" w:rsidRPr="00882905">
        <w:rPr>
          <w:noProof/>
        </w:rPr>
        <w:t xml:space="preserve"> i</w:t>
      </w:r>
      <w:r w:rsidR="00AF2AE5">
        <w:rPr>
          <w:noProof/>
        </w:rPr>
        <w:t> </w:t>
      </w:r>
      <w:r w:rsidR="00AF2AE5" w:rsidRPr="00882905">
        <w:rPr>
          <w:noProof/>
        </w:rPr>
        <w:t>ele</w:t>
      </w:r>
      <w:r w:rsidR="00704957" w:rsidRPr="00882905">
        <w:rPr>
          <w:noProof/>
        </w:rPr>
        <w:t>ktronicznego</w:t>
      </w:r>
      <w:r w:rsidR="00AF2AE5" w:rsidRPr="00882905">
        <w:rPr>
          <w:noProof/>
        </w:rPr>
        <w:t xml:space="preserve"> w</w:t>
      </w:r>
      <w:r w:rsidR="00AF2AE5">
        <w:rPr>
          <w:noProof/>
        </w:rPr>
        <w:t> </w:t>
      </w:r>
      <w:r w:rsidR="00AF2AE5" w:rsidRPr="00882905">
        <w:rPr>
          <w:noProof/>
        </w:rPr>
        <w:t>każ</w:t>
      </w:r>
      <w:r w:rsidR="00704957" w:rsidRPr="00882905">
        <w:rPr>
          <w:noProof/>
        </w:rPr>
        <w:t xml:space="preserve">dym państwie członkowskim rocznie. Jednolita stawka poboru wynosi 2 EUR za kilogram. </w:t>
      </w:r>
    </w:p>
    <w:p w14:paraId="387D2957" w14:textId="7DA86F36" w:rsidR="00704957" w:rsidRPr="00882905" w:rsidRDefault="00704957" w:rsidP="007D24F0">
      <w:pPr>
        <w:pStyle w:val="Text1"/>
        <w:rPr>
          <w:noProof/>
        </w:rPr>
      </w:pPr>
      <w:r w:rsidRPr="00882905">
        <w:rPr>
          <w:noProof/>
        </w:rPr>
        <w:t>Masę sprzętu elektrycznego</w:t>
      </w:r>
      <w:r w:rsidR="00AF2AE5" w:rsidRPr="00882905">
        <w:rPr>
          <w:noProof/>
        </w:rPr>
        <w:t xml:space="preserve"> i</w:t>
      </w:r>
      <w:r w:rsidR="00AF2AE5">
        <w:rPr>
          <w:noProof/>
        </w:rPr>
        <w:t> </w:t>
      </w:r>
      <w:r w:rsidR="00AF2AE5" w:rsidRPr="00882905">
        <w:rPr>
          <w:noProof/>
        </w:rPr>
        <w:t>ele</w:t>
      </w:r>
      <w:r w:rsidRPr="00882905">
        <w:rPr>
          <w:noProof/>
        </w:rPr>
        <w:t>ktronicznego, który nie został zebrany</w:t>
      </w:r>
      <w:r w:rsidR="00AF2AE5" w:rsidRPr="00882905">
        <w:rPr>
          <w:noProof/>
        </w:rPr>
        <w:t xml:space="preserve"> w</w:t>
      </w:r>
      <w:r w:rsidR="00AF2AE5">
        <w:rPr>
          <w:noProof/>
        </w:rPr>
        <w:t> </w:t>
      </w:r>
      <w:r w:rsidR="00AF2AE5" w:rsidRPr="00882905">
        <w:rPr>
          <w:noProof/>
        </w:rPr>
        <w:t>pań</w:t>
      </w:r>
      <w:r w:rsidRPr="00882905">
        <w:rPr>
          <w:noProof/>
        </w:rPr>
        <w:t>stwie członkowskim</w:t>
      </w:r>
      <w:r w:rsidR="00AF2AE5" w:rsidRPr="00882905">
        <w:rPr>
          <w:noProof/>
        </w:rPr>
        <w:t xml:space="preserve"> w</w:t>
      </w:r>
      <w:r w:rsidR="00AF2AE5">
        <w:rPr>
          <w:noProof/>
        </w:rPr>
        <w:t> </w:t>
      </w:r>
      <w:r w:rsidR="00AF2AE5" w:rsidRPr="00882905">
        <w:rPr>
          <w:noProof/>
        </w:rPr>
        <w:t>dan</w:t>
      </w:r>
      <w:r w:rsidRPr="00882905">
        <w:rPr>
          <w:noProof/>
        </w:rPr>
        <w:t>ym roku (N), oblicza się jako średnią roczną masę sprzętu elektrycznego</w:t>
      </w:r>
      <w:r w:rsidR="00AF2AE5" w:rsidRPr="00882905">
        <w:rPr>
          <w:noProof/>
        </w:rPr>
        <w:t xml:space="preserve"> i</w:t>
      </w:r>
      <w:r w:rsidR="00AF2AE5">
        <w:rPr>
          <w:noProof/>
        </w:rPr>
        <w:t> </w:t>
      </w:r>
      <w:r w:rsidR="00AF2AE5" w:rsidRPr="00882905">
        <w:rPr>
          <w:noProof/>
        </w:rPr>
        <w:t>ele</w:t>
      </w:r>
      <w:r w:rsidRPr="00882905">
        <w:rPr>
          <w:noProof/>
        </w:rPr>
        <w:t>ktronicznego wprowadzonego do obrotu</w:t>
      </w:r>
      <w:r w:rsidR="00AF2AE5" w:rsidRPr="00882905">
        <w:rPr>
          <w:noProof/>
        </w:rPr>
        <w:t xml:space="preserve"> w</w:t>
      </w:r>
      <w:r w:rsidR="00AF2AE5">
        <w:rPr>
          <w:noProof/>
        </w:rPr>
        <w:t> </w:t>
      </w:r>
      <w:r w:rsidR="00AF2AE5" w:rsidRPr="00882905">
        <w:rPr>
          <w:noProof/>
        </w:rPr>
        <w:t>trz</w:t>
      </w:r>
      <w:r w:rsidRPr="00882905">
        <w:rPr>
          <w:noProof/>
        </w:rPr>
        <w:t>ech poprzednich latach (N-1, N-2, N-3) pomniejszoną</w:t>
      </w:r>
      <w:r w:rsidR="00AF2AE5" w:rsidRPr="00882905">
        <w:rPr>
          <w:noProof/>
        </w:rPr>
        <w:t xml:space="preserve"> o</w:t>
      </w:r>
      <w:r w:rsidR="00AF2AE5">
        <w:rPr>
          <w:noProof/>
        </w:rPr>
        <w:t> </w:t>
      </w:r>
      <w:r w:rsidR="00AF2AE5" w:rsidRPr="00882905">
        <w:rPr>
          <w:noProof/>
        </w:rPr>
        <w:t>mas</w:t>
      </w:r>
      <w:r w:rsidRPr="00882905">
        <w:rPr>
          <w:noProof/>
        </w:rPr>
        <w:t>ę zużytego sprzętu elektrycznego</w:t>
      </w:r>
      <w:r w:rsidR="00AF2AE5" w:rsidRPr="00882905">
        <w:rPr>
          <w:noProof/>
        </w:rPr>
        <w:t xml:space="preserve"> i</w:t>
      </w:r>
      <w:r w:rsidR="00AF2AE5">
        <w:rPr>
          <w:noProof/>
        </w:rPr>
        <w:t> </w:t>
      </w:r>
      <w:r w:rsidR="00AF2AE5" w:rsidRPr="00882905">
        <w:rPr>
          <w:noProof/>
        </w:rPr>
        <w:t>ele</w:t>
      </w:r>
      <w:r w:rsidRPr="00882905">
        <w:rPr>
          <w:noProof/>
        </w:rPr>
        <w:t>ktronicznego zebranego</w:t>
      </w:r>
      <w:r w:rsidR="00AF2AE5" w:rsidRPr="00882905">
        <w:rPr>
          <w:noProof/>
        </w:rPr>
        <w:t xml:space="preserve"> w</w:t>
      </w:r>
      <w:r w:rsidR="00AF2AE5">
        <w:rPr>
          <w:noProof/>
        </w:rPr>
        <w:t> </w:t>
      </w:r>
      <w:r w:rsidR="00AF2AE5" w:rsidRPr="00882905">
        <w:rPr>
          <w:noProof/>
        </w:rPr>
        <w:t>rok</w:t>
      </w:r>
      <w:r w:rsidRPr="00882905">
        <w:rPr>
          <w:noProof/>
        </w:rPr>
        <w:t>u N.</w:t>
      </w:r>
    </w:p>
    <w:p w14:paraId="34A7B317" w14:textId="0486AB40" w:rsidR="00704957" w:rsidRPr="00882905" w:rsidRDefault="00704957" w:rsidP="007D24F0">
      <w:pPr>
        <w:pStyle w:val="Text1"/>
        <w:rPr>
          <w:noProof/>
        </w:rPr>
      </w:pPr>
      <w:r w:rsidRPr="00882905">
        <w:rPr>
          <w:noProof/>
        </w:rPr>
        <w:t>W przypadku gdy różnica jest ujemna, masę sprzętu elektrycznego</w:t>
      </w:r>
      <w:r w:rsidR="00AF2AE5" w:rsidRPr="00882905">
        <w:rPr>
          <w:noProof/>
        </w:rPr>
        <w:t xml:space="preserve"> i</w:t>
      </w:r>
      <w:r w:rsidR="00AF2AE5">
        <w:rPr>
          <w:noProof/>
        </w:rPr>
        <w:t> </w:t>
      </w:r>
      <w:r w:rsidR="00AF2AE5" w:rsidRPr="00882905">
        <w:rPr>
          <w:noProof/>
        </w:rPr>
        <w:t>ele</w:t>
      </w:r>
      <w:r w:rsidRPr="00882905">
        <w:rPr>
          <w:noProof/>
        </w:rPr>
        <w:t>ktronicznego, który nie został zebrany</w:t>
      </w:r>
      <w:r w:rsidR="00AF2AE5" w:rsidRPr="00882905">
        <w:rPr>
          <w:noProof/>
        </w:rPr>
        <w:t xml:space="preserve"> w</w:t>
      </w:r>
      <w:r w:rsidR="00AF2AE5">
        <w:rPr>
          <w:noProof/>
        </w:rPr>
        <w:t> </w:t>
      </w:r>
      <w:r w:rsidR="00AF2AE5" w:rsidRPr="00882905">
        <w:rPr>
          <w:noProof/>
        </w:rPr>
        <w:t>dan</w:t>
      </w:r>
      <w:r w:rsidRPr="00882905">
        <w:rPr>
          <w:noProof/>
        </w:rPr>
        <w:t>ym państwie członkowskim, uznaje się za zerową;</w:t>
      </w:r>
    </w:p>
    <w:p w14:paraId="208E53F2" w14:textId="33F24188" w:rsidR="00704957" w:rsidRPr="00882905" w:rsidRDefault="00EB3FA5" w:rsidP="00EB3FA5">
      <w:pPr>
        <w:pStyle w:val="Point0"/>
        <w:rPr>
          <w:noProof/>
        </w:rPr>
      </w:pPr>
      <w:r w:rsidRPr="00882905">
        <w:rPr>
          <w:noProof/>
        </w:rPr>
        <w:t>g)</w:t>
      </w:r>
      <w:r w:rsidRPr="00882905">
        <w:rPr>
          <w:noProof/>
        </w:rPr>
        <w:tab/>
      </w:r>
      <w:r w:rsidR="00704957" w:rsidRPr="00882905">
        <w:rPr>
          <w:noProof/>
        </w:rPr>
        <w:t>zastosowanie stawki jednolitej</w:t>
      </w:r>
      <w:r w:rsidR="00AF2AE5" w:rsidRPr="00882905">
        <w:rPr>
          <w:noProof/>
        </w:rPr>
        <w:t xml:space="preserve"> w</w:t>
      </w:r>
      <w:r w:rsidR="00AF2AE5">
        <w:rPr>
          <w:noProof/>
        </w:rPr>
        <w:t> </w:t>
      </w:r>
      <w:r w:rsidR="00AF2AE5" w:rsidRPr="00882905">
        <w:rPr>
          <w:noProof/>
        </w:rPr>
        <w:t>wys</w:t>
      </w:r>
      <w:r w:rsidR="00704957" w:rsidRPr="00882905">
        <w:rPr>
          <w:noProof/>
        </w:rPr>
        <w:t>okości 30 % do:</w:t>
      </w:r>
    </w:p>
    <w:p w14:paraId="0F37358C" w14:textId="75ECFD9A" w:rsidR="00704957" w:rsidRPr="00882905" w:rsidRDefault="00EB3FA5" w:rsidP="00EB3FA5">
      <w:pPr>
        <w:pStyle w:val="Point2"/>
        <w:rPr>
          <w:noProof/>
        </w:rPr>
      </w:pPr>
      <w:r w:rsidRPr="00882905">
        <w:rPr>
          <w:noProof/>
        </w:rPr>
        <w:t>1)</w:t>
      </w:r>
      <w:r w:rsidRPr="00882905">
        <w:rPr>
          <w:noProof/>
        </w:rPr>
        <w:tab/>
      </w:r>
      <w:r w:rsidR="00704957" w:rsidRPr="00882905">
        <w:rPr>
          <w:noProof/>
        </w:rPr>
        <w:t>dochodów uzyskanych ze sprzedaży na aukcji uprawnień przez państwa członkowskie zgodnie</w:t>
      </w:r>
      <w:r w:rsidR="00AF2AE5" w:rsidRPr="00882905">
        <w:rPr>
          <w:noProof/>
        </w:rPr>
        <w:t xml:space="preserve"> z</w:t>
      </w:r>
      <w:r w:rsidR="00AF2AE5">
        <w:rPr>
          <w:noProof/>
        </w:rPr>
        <w:t> </w:t>
      </w:r>
      <w:r w:rsidR="00AF2AE5" w:rsidRPr="00882905">
        <w:rPr>
          <w:noProof/>
        </w:rPr>
        <w:t>art</w:t>
      </w:r>
      <w:r w:rsidR="00704957" w:rsidRPr="00882905">
        <w:rPr>
          <w:noProof/>
        </w:rPr>
        <w:t>. 3d</w:t>
      </w:r>
      <w:r w:rsidR="00AF2AE5" w:rsidRPr="00882905">
        <w:rPr>
          <w:noProof/>
        </w:rPr>
        <w:t xml:space="preserve"> i</w:t>
      </w:r>
      <w:r w:rsidR="00AF2AE5">
        <w:rPr>
          <w:noProof/>
        </w:rPr>
        <w:t> </w:t>
      </w:r>
      <w:r w:rsidR="00AF2AE5" w:rsidRPr="00882905">
        <w:rPr>
          <w:noProof/>
        </w:rPr>
        <w:t>1</w:t>
      </w:r>
      <w:r w:rsidR="00704957" w:rsidRPr="00882905">
        <w:rPr>
          <w:noProof/>
        </w:rPr>
        <w:t>0 dyrektywy 2003/87/WE Parlamentu Europejskiego</w:t>
      </w:r>
      <w:r w:rsidR="00AF2AE5" w:rsidRPr="00882905">
        <w:rPr>
          <w:noProof/>
        </w:rPr>
        <w:t xml:space="preserve"> i</w:t>
      </w:r>
      <w:r w:rsidR="00AF2AE5">
        <w:rPr>
          <w:noProof/>
        </w:rPr>
        <w:t> </w:t>
      </w:r>
      <w:r w:rsidR="00AF2AE5" w:rsidRPr="00882905">
        <w:rPr>
          <w:noProof/>
        </w:rPr>
        <w:t>Rad</w:t>
      </w:r>
      <w:r w:rsidR="00704957" w:rsidRPr="00882905">
        <w:rPr>
          <w:noProof/>
        </w:rPr>
        <w:t>y</w:t>
      </w:r>
      <w:r w:rsidR="00704957" w:rsidRPr="00882905">
        <w:rPr>
          <w:rStyle w:val="FootnoteReference"/>
          <w:noProof/>
        </w:rPr>
        <w:footnoteReference w:id="16"/>
      </w:r>
      <w:r w:rsidR="00704957" w:rsidRPr="00882905">
        <w:rPr>
          <w:noProof/>
        </w:rPr>
        <w:t xml:space="preserve">; </w:t>
      </w:r>
    </w:p>
    <w:p w14:paraId="540DEC0A" w14:textId="093220E6" w:rsidR="00704957" w:rsidRPr="00882905" w:rsidRDefault="00EB3FA5" w:rsidP="00EB3FA5">
      <w:pPr>
        <w:pStyle w:val="Point2"/>
        <w:rPr>
          <w:noProof/>
        </w:rPr>
      </w:pPr>
      <w:r w:rsidRPr="00882905">
        <w:rPr>
          <w:noProof/>
        </w:rPr>
        <w:t>2)</w:t>
      </w:r>
      <w:r w:rsidRPr="00882905">
        <w:rPr>
          <w:noProof/>
        </w:rPr>
        <w:tab/>
      </w:r>
      <w:r w:rsidR="00704957" w:rsidRPr="00882905">
        <w:rPr>
          <w:noProof/>
        </w:rPr>
        <w:t>kwoty obliczonej przez pomnożenie rocznej liczby uprawnień,</w:t>
      </w:r>
      <w:r w:rsidR="00AF2AE5" w:rsidRPr="00882905">
        <w:rPr>
          <w:noProof/>
        </w:rPr>
        <w:t xml:space="preserve"> w</w:t>
      </w:r>
      <w:r w:rsidR="00AF2AE5">
        <w:rPr>
          <w:noProof/>
        </w:rPr>
        <w:t> </w:t>
      </w:r>
      <w:r w:rsidR="00AF2AE5" w:rsidRPr="00882905">
        <w:rPr>
          <w:noProof/>
        </w:rPr>
        <w:t>odn</w:t>
      </w:r>
      <w:r w:rsidR="00704957" w:rsidRPr="00882905">
        <w:rPr>
          <w:noProof/>
        </w:rPr>
        <w:t>iesieniu do których dane państwo członkowskie stosuje którekolwiek</w:t>
      </w:r>
      <w:r w:rsidR="00AF2AE5" w:rsidRPr="00882905">
        <w:rPr>
          <w:noProof/>
        </w:rPr>
        <w:t xml:space="preserve"> z</w:t>
      </w:r>
      <w:r w:rsidR="00AF2AE5">
        <w:rPr>
          <w:noProof/>
        </w:rPr>
        <w:t> </w:t>
      </w:r>
      <w:r w:rsidR="00AF2AE5" w:rsidRPr="00882905">
        <w:rPr>
          <w:noProof/>
        </w:rPr>
        <w:t>pon</w:t>
      </w:r>
      <w:r w:rsidR="00704957" w:rsidRPr="00882905">
        <w:rPr>
          <w:noProof/>
        </w:rPr>
        <w:t xml:space="preserve">iższych: </w:t>
      </w:r>
    </w:p>
    <w:p w14:paraId="35250D9B" w14:textId="72782E8D" w:rsidR="00704957" w:rsidRPr="00882905" w:rsidRDefault="00EB3FA5" w:rsidP="00EB3FA5">
      <w:pPr>
        <w:pStyle w:val="Point3"/>
        <w:rPr>
          <w:noProof/>
        </w:rPr>
      </w:pPr>
      <w:r w:rsidRPr="00882905">
        <w:rPr>
          <w:noProof/>
        </w:rPr>
        <w:t>a)</w:t>
      </w:r>
      <w:r w:rsidRPr="00882905">
        <w:rPr>
          <w:noProof/>
        </w:rPr>
        <w:tab/>
      </w:r>
      <w:r w:rsidR="002848D8" w:rsidRPr="00882905">
        <w:rPr>
          <w:noProof/>
        </w:rPr>
        <w:t>możliwość ograniczonego anulowania,</w:t>
      </w:r>
      <w:r w:rsidR="00AF2AE5" w:rsidRPr="00882905">
        <w:rPr>
          <w:noProof/>
        </w:rPr>
        <w:t xml:space="preserve"> o</w:t>
      </w:r>
      <w:r w:rsidR="00AF2AE5">
        <w:rPr>
          <w:noProof/>
        </w:rPr>
        <w:t> </w:t>
      </w:r>
      <w:r w:rsidR="00AF2AE5" w:rsidRPr="00882905">
        <w:rPr>
          <w:noProof/>
        </w:rPr>
        <w:t>któ</w:t>
      </w:r>
      <w:r w:rsidR="002848D8" w:rsidRPr="00882905">
        <w:rPr>
          <w:noProof/>
        </w:rPr>
        <w:t>rej mowa</w:t>
      </w:r>
      <w:r w:rsidR="00AF2AE5" w:rsidRPr="00882905">
        <w:rPr>
          <w:noProof/>
        </w:rPr>
        <w:t xml:space="preserve"> w</w:t>
      </w:r>
      <w:r w:rsidR="00AF2AE5">
        <w:rPr>
          <w:noProof/>
        </w:rPr>
        <w:t> </w:t>
      </w:r>
      <w:r w:rsidR="00AF2AE5" w:rsidRPr="00882905">
        <w:rPr>
          <w:noProof/>
        </w:rPr>
        <w:t>art</w:t>
      </w:r>
      <w:r w:rsidR="002848D8" w:rsidRPr="00882905">
        <w:rPr>
          <w:noProof/>
        </w:rPr>
        <w:t>. 6 ust. 1 rozporządzenia Parlamentu Europejskiego</w:t>
      </w:r>
      <w:r w:rsidR="00AF2AE5" w:rsidRPr="00882905">
        <w:rPr>
          <w:noProof/>
        </w:rPr>
        <w:t xml:space="preserve"> i</w:t>
      </w:r>
      <w:r w:rsidR="00AF2AE5">
        <w:rPr>
          <w:noProof/>
        </w:rPr>
        <w:t> </w:t>
      </w:r>
      <w:r w:rsidR="00AF2AE5" w:rsidRPr="00882905">
        <w:rPr>
          <w:noProof/>
        </w:rPr>
        <w:t>Rad</w:t>
      </w:r>
      <w:r w:rsidR="002848D8" w:rsidRPr="00882905">
        <w:rPr>
          <w:noProof/>
        </w:rPr>
        <w:t>y (UE) 2018/842</w:t>
      </w:r>
      <w:r w:rsidR="00704957" w:rsidRPr="00882905">
        <w:rPr>
          <w:rStyle w:val="FootnoteReference"/>
          <w:noProof/>
        </w:rPr>
        <w:footnoteReference w:id="17"/>
      </w:r>
      <w:r w:rsidR="002848D8" w:rsidRPr="00882905">
        <w:rPr>
          <w:noProof/>
        </w:rPr>
        <w:t xml:space="preserve">; </w:t>
      </w:r>
    </w:p>
    <w:p w14:paraId="6987C235" w14:textId="6A32608F" w:rsidR="00704957" w:rsidRPr="00882905" w:rsidRDefault="00EB3FA5" w:rsidP="00EB3FA5">
      <w:pPr>
        <w:pStyle w:val="Point3"/>
        <w:rPr>
          <w:noProof/>
        </w:rPr>
      </w:pPr>
      <w:r w:rsidRPr="00882905">
        <w:rPr>
          <w:noProof/>
        </w:rPr>
        <w:t>b)</w:t>
      </w:r>
      <w:r w:rsidRPr="00882905">
        <w:rPr>
          <w:noProof/>
        </w:rPr>
        <w:tab/>
      </w:r>
      <w:r w:rsidR="00704957" w:rsidRPr="00882905">
        <w:rPr>
          <w:noProof/>
        </w:rPr>
        <w:t>wykorzystanie uprawnień,</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882905">
        <w:rPr>
          <w:noProof/>
        </w:rPr>
        <w:t>art</w:t>
      </w:r>
      <w:r w:rsidR="00704957" w:rsidRPr="00882905">
        <w:rPr>
          <w:noProof/>
        </w:rPr>
        <w:t>. 10d ust. 4 dyrektywy 2003/87/WE, do sprzedaży na aukcji na potrzeby funduszu modernizacyjnego,</w:t>
      </w:r>
      <w:r w:rsidR="00AF2AE5" w:rsidRPr="00882905">
        <w:rPr>
          <w:noProof/>
        </w:rPr>
        <w:t xml:space="preserve"> o</w:t>
      </w:r>
      <w:r w:rsidR="00AF2AE5">
        <w:rPr>
          <w:noProof/>
        </w:rPr>
        <w:t> </w:t>
      </w:r>
      <w:r w:rsidR="00AF2AE5" w:rsidRPr="00882905">
        <w:rPr>
          <w:noProof/>
        </w:rPr>
        <w:t>któ</w:t>
      </w:r>
      <w:r w:rsidR="00704957" w:rsidRPr="00882905">
        <w:rPr>
          <w:noProof/>
        </w:rPr>
        <w:t>rym mowa</w:t>
      </w:r>
      <w:r w:rsidR="00AF2AE5" w:rsidRPr="00882905">
        <w:rPr>
          <w:noProof/>
        </w:rPr>
        <w:t xml:space="preserve"> w</w:t>
      </w:r>
      <w:r w:rsidR="00AF2AE5">
        <w:rPr>
          <w:noProof/>
        </w:rPr>
        <w:t> </w:t>
      </w:r>
      <w:r w:rsidR="00AF2AE5" w:rsidRPr="00882905">
        <w:rPr>
          <w:noProof/>
        </w:rPr>
        <w:t>art</w:t>
      </w:r>
      <w:r w:rsidR="00704957" w:rsidRPr="00882905">
        <w:rPr>
          <w:noProof/>
        </w:rPr>
        <w:t xml:space="preserve">. 10d ust. 3 tej dyrektywy; </w:t>
      </w:r>
    </w:p>
    <w:p w14:paraId="18324F5C" w14:textId="4F14190A" w:rsidR="00704957" w:rsidRPr="00882905" w:rsidRDefault="00704957" w:rsidP="002848D8">
      <w:pPr>
        <w:pStyle w:val="Text3"/>
        <w:rPr>
          <w:rFonts w:eastAsia="Calibri"/>
          <w:strike/>
          <w:noProof/>
        </w:rPr>
      </w:pPr>
      <w:r w:rsidRPr="00882905">
        <w:rPr>
          <w:noProof/>
        </w:rPr>
        <w:t>przez średnią cenę ważoną uprawnień sprzedawanych na wspólnej platformie aukcyjnej przez państwa członkowskie na podstawie art. 3d</w:t>
      </w:r>
      <w:r w:rsidR="00AF2AE5" w:rsidRPr="00882905">
        <w:rPr>
          <w:noProof/>
        </w:rPr>
        <w:t xml:space="preserve"> i</w:t>
      </w:r>
      <w:r w:rsidR="00AF2AE5">
        <w:rPr>
          <w:noProof/>
        </w:rPr>
        <w:t> </w:t>
      </w:r>
      <w:r w:rsidR="00AF2AE5" w:rsidRPr="00882905">
        <w:rPr>
          <w:noProof/>
        </w:rPr>
        <w:t>1</w:t>
      </w:r>
      <w:r w:rsidRPr="00882905">
        <w:rPr>
          <w:noProof/>
        </w:rPr>
        <w:t>0 dyrektywy 2003/87/WE</w:t>
      </w:r>
      <w:r w:rsidR="00AF2AE5" w:rsidRPr="00882905">
        <w:rPr>
          <w:noProof/>
        </w:rPr>
        <w:t xml:space="preserve"> w</w:t>
      </w:r>
      <w:r w:rsidR="00AF2AE5">
        <w:rPr>
          <w:noProof/>
        </w:rPr>
        <w:t> </w:t>
      </w:r>
      <w:r w:rsidR="00AF2AE5" w:rsidRPr="00882905">
        <w:rPr>
          <w:noProof/>
        </w:rPr>
        <w:t>rok</w:t>
      </w:r>
      <w:r w:rsidRPr="00882905">
        <w:rPr>
          <w:noProof/>
        </w:rPr>
        <w:t>u,</w:t>
      </w:r>
      <w:r w:rsidR="00AF2AE5" w:rsidRPr="00882905">
        <w:rPr>
          <w:noProof/>
        </w:rPr>
        <w:t xml:space="preserve"> w</w:t>
      </w:r>
      <w:r w:rsidR="00AF2AE5">
        <w:rPr>
          <w:noProof/>
        </w:rPr>
        <w:t> </w:t>
      </w:r>
      <w:r w:rsidR="00AF2AE5" w:rsidRPr="00882905">
        <w:rPr>
          <w:noProof/>
        </w:rPr>
        <w:t>któ</w:t>
      </w:r>
      <w:r w:rsidRPr="00882905">
        <w:rPr>
          <w:noProof/>
        </w:rPr>
        <w:t xml:space="preserve">rym uprawnienia te zostałyby sprzedane na aukcji; </w:t>
      </w:r>
    </w:p>
    <w:p w14:paraId="5D1B49AC" w14:textId="1E9FF83F" w:rsidR="00704957" w:rsidRPr="00882905" w:rsidRDefault="00EB3FA5" w:rsidP="00EB3FA5">
      <w:pPr>
        <w:pStyle w:val="Point0"/>
        <w:rPr>
          <w:noProof/>
        </w:rPr>
      </w:pPr>
      <w:r w:rsidRPr="00882905">
        <w:rPr>
          <w:noProof/>
        </w:rPr>
        <w:t>h)</w:t>
      </w:r>
      <w:r w:rsidRPr="00882905">
        <w:rPr>
          <w:noProof/>
        </w:rPr>
        <w:tab/>
      </w:r>
      <w:r w:rsidR="00704957" w:rsidRPr="00882905">
        <w:rPr>
          <w:noProof/>
        </w:rPr>
        <w:t>zastosowanie jednolitej stawki poboru</w:t>
      </w:r>
      <w:r w:rsidR="00AF2AE5" w:rsidRPr="00882905">
        <w:rPr>
          <w:noProof/>
        </w:rPr>
        <w:t xml:space="preserve"> w</w:t>
      </w:r>
      <w:r w:rsidR="00AF2AE5">
        <w:rPr>
          <w:noProof/>
        </w:rPr>
        <w:t> </w:t>
      </w:r>
      <w:r w:rsidR="00AF2AE5" w:rsidRPr="00882905">
        <w:rPr>
          <w:noProof/>
        </w:rPr>
        <w:t>wys</w:t>
      </w:r>
      <w:r w:rsidR="00704957" w:rsidRPr="00882905">
        <w:rPr>
          <w:noProof/>
        </w:rPr>
        <w:t>okości 75 % dochodów ze sprzedaży certyfikatów</w:t>
      </w:r>
      <w:r w:rsidR="00AF2AE5" w:rsidRPr="00882905">
        <w:rPr>
          <w:noProof/>
        </w:rPr>
        <w:t xml:space="preserve"> w</w:t>
      </w:r>
      <w:r w:rsidR="00AF2AE5">
        <w:rPr>
          <w:noProof/>
        </w:rPr>
        <w:t> </w:t>
      </w:r>
      <w:r w:rsidR="00AF2AE5" w:rsidRPr="00882905">
        <w:rPr>
          <w:noProof/>
        </w:rPr>
        <w:t>ram</w:t>
      </w:r>
      <w:r w:rsidR="00704957" w:rsidRPr="00882905">
        <w:rPr>
          <w:noProof/>
        </w:rPr>
        <w:t>ach mechanizmu dostosowywania cen na granicach</w:t>
      </w:r>
      <w:r w:rsidR="00AF2AE5" w:rsidRPr="00882905">
        <w:rPr>
          <w:noProof/>
        </w:rPr>
        <w:t xml:space="preserve"> z</w:t>
      </w:r>
      <w:r w:rsidR="00AF2AE5">
        <w:rPr>
          <w:noProof/>
        </w:rPr>
        <w:t> </w:t>
      </w:r>
      <w:r w:rsidR="00AF2AE5" w:rsidRPr="00882905">
        <w:rPr>
          <w:noProof/>
        </w:rPr>
        <w:t>uwz</w:t>
      </w:r>
      <w:r w:rsidR="00704957" w:rsidRPr="00882905">
        <w:rPr>
          <w:noProof/>
        </w:rPr>
        <w:t>ględnieniem emisji CO2 ustanowionego rozporządzeniem (UE) 2023/956</w:t>
      </w:r>
      <w:r w:rsidR="00704957" w:rsidRPr="00882905">
        <w:rPr>
          <w:rStyle w:val="FootnoteReference"/>
          <w:rFonts w:eastAsia="Calibri"/>
          <w:noProof/>
        </w:rPr>
        <w:footnoteReference w:id="18"/>
      </w:r>
      <w:r w:rsidR="00704957" w:rsidRPr="00882905">
        <w:rPr>
          <w:noProof/>
        </w:rPr>
        <w:t>;</w:t>
      </w:r>
    </w:p>
    <w:p w14:paraId="7AE62FBC" w14:textId="159B4B4D" w:rsidR="00704957" w:rsidRPr="00882905" w:rsidRDefault="00EB3FA5" w:rsidP="00EB3FA5">
      <w:pPr>
        <w:pStyle w:val="Point0"/>
        <w:rPr>
          <w:noProof/>
        </w:rPr>
      </w:pPr>
      <w:r w:rsidRPr="00882905">
        <w:rPr>
          <w:noProof/>
        </w:rPr>
        <w:t>i)</w:t>
      </w:r>
      <w:r w:rsidRPr="00882905">
        <w:rPr>
          <w:noProof/>
        </w:rPr>
        <w:tab/>
      </w:r>
      <w:r w:rsidR="00704957" w:rsidRPr="00882905">
        <w:rPr>
          <w:noProof/>
        </w:rPr>
        <w:t>zastosowanie jednolitej stawki poboru, którą należy określić zgodnie</w:t>
      </w:r>
      <w:r w:rsidR="00AF2AE5" w:rsidRPr="00882905">
        <w:rPr>
          <w:noProof/>
        </w:rPr>
        <w:t xml:space="preserve"> z</w:t>
      </w:r>
      <w:r w:rsidR="00AF2AE5">
        <w:rPr>
          <w:noProof/>
        </w:rPr>
        <w:t> </w:t>
      </w:r>
      <w:r w:rsidR="00AF2AE5" w:rsidRPr="00882905">
        <w:rPr>
          <w:noProof/>
        </w:rPr>
        <w:t>pro</w:t>
      </w:r>
      <w:r w:rsidR="00704957" w:rsidRPr="00882905">
        <w:rPr>
          <w:noProof/>
        </w:rPr>
        <w:t>cedurą budżetową</w:t>
      </w:r>
      <w:r w:rsidR="00AF2AE5" w:rsidRPr="00882905">
        <w:rPr>
          <w:noProof/>
        </w:rPr>
        <w:t xml:space="preserve"> z</w:t>
      </w:r>
      <w:r w:rsidR="00AF2AE5">
        <w:rPr>
          <w:noProof/>
        </w:rPr>
        <w:t> </w:t>
      </w:r>
      <w:r w:rsidR="00AF2AE5" w:rsidRPr="00882905">
        <w:rPr>
          <w:noProof/>
        </w:rPr>
        <w:t>uwz</w:t>
      </w:r>
      <w:r w:rsidR="00704957" w:rsidRPr="00882905">
        <w:rPr>
          <w:noProof/>
        </w:rPr>
        <w:t>ględnieniem łącznej kwoty wszystkich innych dochodów, do sumy DNB wszystkich państw członkowskich.</w:t>
      </w:r>
    </w:p>
    <w:p w14:paraId="6BC240D8" w14:textId="4CFCC3AC" w:rsidR="00704957" w:rsidRPr="00882905" w:rsidRDefault="00EE785B" w:rsidP="00EE785B">
      <w:pPr>
        <w:pStyle w:val="ManualNumPar1"/>
        <w:rPr>
          <w:noProof/>
        </w:rPr>
      </w:pPr>
      <w:r w:rsidRPr="00EE785B">
        <w:rPr>
          <w:noProof/>
        </w:rPr>
        <w:t>2.</w:t>
      </w:r>
      <w:r w:rsidRPr="00EE785B">
        <w:rPr>
          <w:noProof/>
        </w:rPr>
        <w:tab/>
      </w:r>
      <w:r w:rsidR="00704957" w:rsidRPr="00882905">
        <w:rPr>
          <w:noProof/>
        </w:rPr>
        <w:t xml:space="preserve">Do celów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e)</w:t>
      </w:r>
      <w:r w:rsidR="00704957" w:rsidRPr="00882905">
        <w:rPr>
          <w:noProof/>
        </w:rPr>
        <w:t xml:space="preserve"> i f) odnośne stawki poboru są mierzone</w:t>
      </w:r>
      <w:r w:rsidR="00AF2AE5" w:rsidRPr="00882905">
        <w:rPr>
          <w:noProof/>
        </w:rPr>
        <w:t xml:space="preserve"> w</w:t>
      </w:r>
      <w:r w:rsidR="00AF2AE5">
        <w:rPr>
          <w:noProof/>
        </w:rPr>
        <w:t> </w:t>
      </w:r>
      <w:r w:rsidR="00AF2AE5" w:rsidRPr="00882905">
        <w:rPr>
          <w:noProof/>
        </w:rPr>
        <w:t>cen</w:t>
      </w:r>
      <w:r w:rsidR="00704957" w:rsidRPr="00882905">
        <w:rPr>
          <w:noProof/>
        </w:rPr>
        <w:t>ach</w:t>
      </w:r>
      <w:r w:rsidR="00AF2AE5" w:rsidRPr="00882905">
        <w:rPr>
          <w:noProof/>
        </w:rPr>
        <w:t xml:space="preserve"> z</w:t>
      </w:r>
      <w:r w:rsidR="00AF2AE5">
        <w:rPr>
          <w:noProof/>
        </w:rPr>
        <w:t> </w:t>
      </w:r>
      <w:r w:rsidR="00AF2AE5" w:rsidRPr="00882905">
        <w:rPr>
          <w:noProof/>
        </w:rPr>
        <w:t>2</w:t>
      </w:r>
      <w:r w:rsidR="00704957" w:rsidRPr="00882905">
        <w:rPr>
          <w:noProof/>
        </w:rPr>
        <w:t>0</w:t>
      </w:r>
      <w:r w:rsidR="00704957" w:rsidRPr="00AF2AE5">
        <w:rPr>
          <w:noProof/>
        </w:rPr>
        <w:t>28</w:t>
      </w:r>
      <w:r w:rsidR="00AF2AE5" w:rsidRPr="00AF2AE5">
        <w:rPr>
          <w:noProof/>
        </w:rPr>
        <w:t> </w:t>
      </w:r>
      <w:r w:rsidR="00704957" w:rsidRPr="00AF2AE5">
        <w:rPr>
          <w:noProof/>
        </w:rPr>
        <w:t>r.</w:t>
      </w:r>
      <w:r w:rsidR="00AF2AE5" w:rsidRPr="00882905">
        <w:rPr>
          <w:noProof/>
        </w:rPr>
        <w:t xml:space="preserve"> i</w:t>
      </w:r>
      <w:r w:rsidR="00AF2AE5">
        <w:rPr>
          <w:noProof/>
        </w:rPr>
        <w:t> </w:t>
      </w:r>
      <w:r w:rsidR="00AF2AE5" w:rsidRPr="00882905">
        <w:rPr>
          <w:noProof/>
        </w:rPr>
        <w:t>dos</w:t>
      </w:r>
      <w:r w:rsidR="00704957" w:rsidRPr="00882905">
        <w:rPr>
          <w:noProof/>
        </w:rPr>
        <w:t>tosowywane do cen bieżących przez zastosowanie najbardziej aktualnego deflatora produktu krajowego brutto dla Unii wyrażonego</w:t>
      </w:r>
      <w:r w:rsidR="00AF2AE5" w:rsidRPr="00882905">
        <w:rPr>
          <w:noProof/>
        </w:rPr>
        <w:t xml:space="preserve"> w</w:t>
      </w:r>
      <w:r w:rsidR="00AF2AE5">
        <w:rPr>
          <w:noProof/>
        </w:rPr>
        <w:t> </w:t>
      </w:r>
      <w:r w:rsidR="00AF2AE5" w:rsidRPr="00882905">
        <w:rPr>
          <w:noProof/>
        </w:rPr>
        <w:t>eur</w:t>
      </w:r>
      <w:r w:rsidR="00704957" w:rsidRPr="00882905">
        <w:rPr>
          <w:noProof/>
        </w:rPr>
        <w:t>o, podanego przez Komisję, dostępnego</w:t>
      </w:r>
      <w:r w:rsidR="00AF2AE5" w:rsidRPr="00882905">
        <w:rPr>
          <w:noProof/>
        </w:rPr>
        <w:t xml:space="preserve"> w</w:t>
      </w:r>
      <w:r w:rsidR="00AF2AE5">
        <w:rPr>
          <w:noProof/>
        </w:rPr>
        <w:t> </w:t>
      </w:r>
      <w:r w:rsidR="00AF2AE5" w:rsidRPr="00882905">
        <w:rPr>
          <w:noProof/>
        </w:rPr>
        <w:t>chw</w:t>
      </w:r>
      <w:r w:rsidR="00704957" w:rsidRPr="00882905">
        <w:rPr>
          <w:noProof/>
        </w:rPr>
        <w:t>ili opracowywania projektu budżetu.</w:t>
      </w:r>
    </w:p>
    <w:p w14:paraId="163EA0EC" w14:textId="208C9A00" w:rsidR="00704957" w:rsidRPr="00882905" w:rsidRDefault="00EE785B" w:rsidP="00EE785B">
      <w:pPr>
        <w:pStyle w:val="ManualNumPar1"/>
        <w:rPr>
          <w:noProof/>
        </w:rPr>
      </w:pPr>
      <w:r w:rsidRPr="00EE785B">
        <w:rPr>
          <w:noProof/>
        </w:rPr>
        <w:t>3.</w:t>
      </w:r>
      <w:r w:rsidRPr="00EE785B">
        <w:rPr>
          <w:noProof/>
        </w:rPr>
        <w:tab/>
      </w:r>
      <w:r w:rsidR="00704957" w:rsidRPr="00882905">
        <w:rPr>
          <w:noProof/>
        </w:rPr>
        <w:t xml:space="preserve">Do celów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i)</w:t>
      </w:r>
      <w:r w:rsidR="00704957" w:rsidRPr="00882905">
        <w:rPr>
          <w:noProof/>
        </w:rPr>
        <w:t xml:space="preserve"> jednolita stawka poboru ma zastosowanie do DNB każdego państwa członkowskiego.</w:t>
      </w:r>
    </w:p>
    <w:p w14:paraId="7BB03A59" w14:textId="29476D82" w:rsidR="00704957" w:rsidRPr="00882905" w:rsidRDefault="00704957" w:rsidP="00856654">
      <w:pPr>
        <w:pStyle w:val="Text1"/>
        <w:rPr>
          <w:noProof/>
        </w:rPr>
      </w:pPr>
      <w:r w:rsidRPr="00882905">
        <w:rPr>
          <w:noProof/>
        </w:rPr>
        <w:t>DNB,</w:t>
      </w:r>
      <w:r w:rsidR="00AF2AE5" w:rsidRPr="00882905">
        <w:rPr>
          <w:noProof/>
        </w:rPr>
        <w:t xml:space="preserve"> o</w:t>
      </w:r>
      <w:r w:rsidR="00AF2AE5">
        <w:rPr>
          <w:noProof/>
        </w:rPr>
        <w:t> </w:t>
      </w:r>
      <w:r w:rsidR="00AF2AE5" w:rsidRPr="00882905">
        <w:rPr>
          <w:noProof/>
        </w:rPr>
        <w:t>któ</w:t>
      </w:r>
      <w:r w:rsidRPr="00882905">
        <w:rPr>
          <w:noProof/>
        </w:rPr>
        <w:t>rym mowa</w:t>
      </w:r>
      <w:r w:rsidR="00AF2AE5" w:rsidRPr="00882905">
        <w:rPr>
          <w:noProof/>
        </w:rPr>
        <w:t xml:space="preserve"> w</w:t>
      </w:r>
      <w:r w:rsidR="00AF2AE5">
        <w:rPr>
          <w:noProof/>
        </w:rPr>
        <w:t> </w:t>
      </w:r>
      <w:r w:rsidR="00AF2AE5" w:rsidRPr="00AF2AE5">
        <w:rPr>
          <w:noProof/>
        </w:rPr>
        <w:t>ust</w:t>
      </w:r>
      <w:r w:rsidRPr="00AF2AE5">
        <w:rPr>
          <w:noProof/>
        </w:rPr>
        <w:t>.</w:t>
      </w:r>
      <w:r w:rsidR="00AF2AE5" w:rsidRPr="00AF2AE5">
        <w:rPr>
          <w:noProof/>
        </w:rPr>
        <w:t> </w:t>
      </w:r>
      <w:r w:rsidRPr="00AF2AE5">
        <w:rPr>
          <w:noProof/>
        </w:rPr>
        <w:t>1</w:t>
      </w:r>
      <w:r w:rsidRPr="00882905">
        <w:rPr>
          <w:noProof/>
        </w:rPr>
        <w:t xml:space="preserve"> </w:t>
      </w:r>
      <w:r w:rsidRPr="00AF2AE5">
        <w:rPr>
          <w:noProof/>
        </w:rPr>
        <w:t>lit.</w:t>
      </w:r>
      <w:r w:rsidR="00AF2AE5" w:rsidRPr="00AF2AE5">
        <w:rPr>
          <w:noProof/>
        </w:rPr>
        <w:t> </w:t>
      </w:r>
      <w:r w:rsidRPr="00AF2AE5">
        <w:rPr>
          <w:noProof/>
        </w:rPr>
        <w:t>i)</w:t>
      </w:r>
      <w:r w:rsidRPr="00882905">
        <w:rPr>
          <w:noProof/>
        </w:rPr>
        <w:t>, oznacza DNB za dany rok</w:t>
      </w:r>
      <w:r w:rsidR="00AF2AE5" w:rsidRPr="00882905">
        <w:rPr>
          <w:noProof/>
        </w:rPr>
        <w:t xml:space="preserve"> w</w:t>
      </w:r>
      <w:r w:rsidR="00AF2AE5">
        <w:rPr>
          <w:noProof/>
        </w:rPr>
        <w:t> </w:t>
      </w:r>
      <w:r w:rsidR="00AF2AE5" w:rsidRPr="00882905">
        <w:rPr>
          <w:noProof/>
        </w:rPr>
        <w:t>cen</w:t>
      </w:r>
      <w:r w:rsidRPr="00882905">
        <w:rPr>
          <w:noProof/>
        </w:rPr>
        <w:t>ach rynkowych, podany przez Komisję</w:t>
      </w:r>
      <w:r w:rsidR="00AF2AE5" w:rsidRPr="00882905">
        <w:rPr>
          <w:noProof/>
        </w:rPr>
        <w:t xml:space="preserve"> w</w:t>
      </w:r>
      <w:r w:rsidR="00AF2AE5">
        <w:rPr>
          <w:noProof/>
        </w:rPr>
        <w:t> </w:t>
      </w:r>
      <w:r w:rsidR="00AF2AE5" w:rsidRPr="00882905">
        <w:rPr>
          <w:noProof/>
        </w:rPr>
        <w:t>ram</w:t>
      </w:r>
      <w:r w:rsidRPr="00882905">
        <w:rPr>
          <w:noProof/>
        </w:rPr>
        <w:t xml:space="preserve">ach stosowania rozporządzenia (UE) </w:t>
      </w:r>
      <w:r w:rsidRPr="00AF2AE5">
        <w:rPr>
          <w:noProof/>
        </w:rPr>
        <w:t>nr</w:t>
      </w:r>
      <w:r w:rsidR="00AF2AE5" w:rsidRPr="00AF2AE5">
        <w:rPr>
          <w:noProof/>
        </w:rPr>
        <w:t> </w:t>
      </w:r>
      <w:r w:rsidRPr="00AF2AE5">
        <w:rPr>
          <w:noProof/>
        </w:rPr>
        <w:t>5</w:t>
      </w:r>
      <w:r w:rsidRPr="00882905">
        <w:rPr>
          <w:noProof/>
        </w:rPr>
        <w:t>49/2013</w:t>
      </w:r>
      <w:r w:rsidRPr="00882905">
        <w:rPr>
          <w:rStyle w:val="FootnoteReference"/>
          <w:noProof/>
        </w:rPr>
        <w:footnoteReference w:id="19"/>
      </w:r>
      <w:r w:rsidRPr="00882905">
        <w:rPr>
          <w:noProof/>
        </w:rPr>
        <w:t>, zmienionego rozporządzeniem (UE) 2023/734</w:t>
      </w:r>
      <w:r w:rsidRPr="00882905">
        <w:rPr>
          <w:rStyle w:val="FootnoteReference"/>
          <w:noProof/>
        </w:rPr>
        <w:footnoteReference w:id="20"/>
      </w:r>
      <w:r w:rsidRPr="00882905">
        <w:rPr>
          <w:noProof/>
        </w:rPr>
        <w:t>, do czasu rozpoczęcia stosowania zmienionej ESA</w:t>
      </w:r>
      <w:r w:rsidR="00AF2AE5" w:rsidRPr="00882905">
        <w:rPr>
          <w:noProof/>
        </w:rPr>
        <w:t>. W</w:t>
      </w:r>
      <w:r w:rsidR="00AF2AE5">
        <w:rPr>
          <w:noProof/>
        </w:rPr>
        <w:t> </w:t>
      </w:r>
      <w:r w:rsidR="00AF2AE5" w:rsidRPr="00882905">
        <w:rPr>
          <w:noProof/>
        </w:rPr>
        <w:t>prz</w:t>
      </w:r>
      <w:r w:rsidRPr="00882905">
        <w:rPr>
          <w:noProof/>
        </w:rPr>
        <w:t xml:space="preserve">ypadku gdy DNB został ustalony dla danego roku po raz pierwszy zgodnie z ESA 2010, do celów niniejszego ustępu nadal stosuje się ESA 2010. </w:t>
      </w:r>
    </w:p>
    <w:p w14:paraId="32BB6683" w14:textId="3B2F4C3D" w:rsidR="00704957" w:rsidRPr="00882905" w:rsidRDefault="00EE785B" w:rsidP="00EE785B">
      <w:pPr>
        <w:pStyle w:val="ManualNumPar1"/>
        <w:rPr>
          <w:noProof/>
        </w:rPr>
      </w:pPr>
      <w:r w:rsidRPr="00EE785B">
        <w:rPr>
          <w:noProof/>
        </w:rPr>
        <w:t>4.</w:t>
      </w:r>
      <w:r w:rsidRPr="00EE785B">
        <w:rPr>
          <w:noProof/>
        </w:rPr>
        <w:tab/>
      </w:r>
      <w:r w:rsidR="00704957" w:rsidRPr="00882905">
        <w:rPr>
          <w:noProof/>
        </w:rPr>
        <w:t>Jeżeli na początku roku budżetowego budżet Unii nie został jeszcze przyjęty, do czasu wejścia</w:t>
      </w:r>
      <w:r w:rsidR="00AF2AE5" w:rsidRPr="00882905">
        <w:rPr>
          <w:noProof/>
        </w:rPr>
        <w:t xml:space="preserve"> w</w:t>
      </w:r>
      <w:r w:rsidR="00AF2AE5">
        <w:rPr>
          <w:noProof/>
        </w:rPr>
        <w:t> </w:t>
      </w:r>
      <w:r w:rsidR="00AF2AE5" w:rsidRPr="00882905">
        <w:rPr>
          <w:noProof/>
        </w:rPr>
        <w:t>życ</w:t>
      </w:r>
      <w:r w:rsidR="00704957" w:rsidRPr="00882905">
        <w:rPr>
          <w:noProof/>
        </w:rPr>
        <w:t>ie nowych stawek nadal stosuje się poprzednie jednolite stawki poboru zasobów opartych na DNB.</w:t>
      </w:r>
    </w:p>
    <w:p w14:paraId="5A5884EF" w14:textId="77777777" w:rsidR="00704957" w:rsidRPr="00882905" w:rsidRDefault="00704957" w:rsidP="00704957">
      <w:pPr>
        <w:pStyle w:val="Titrearticle"/>
        <w:rPr>
          <w:b/>
          <w:bCs/>
          <w:noProof/>
        </w:rPr>
      </w:pPr>
      <w:r w:rsidRPr="00882905">
        <w:rPr>
          <w:noProof/>
        </w:rPr>
        <w:t>Artykuł 4</w:t>
      </w:r>
      <w:r w:rsidRPr="00882905">
        <w:rPr>
          <w:noProof/>
        </w:rPr>
        <w:br/>
      </w:r>
      <w:r w:rsidRPr="00882905">
        <w:rPr>
          <w:b/>
          <w:noProof/>
        </w:rPr>
        <w:t>Pułapy zasobów własnych</w:t>
      </w:r>
    </w:p>
    <w:p w14:paraId="10F09A65" w14:textId="143B1F5F" w:rsidR="00704957" w:rsidRPr="00882905" w:rsidRDefault="00EE785B" w:rsidP="00EE785B">
      <w:pPr>
        <w:pStyle w:val="ManualNumPar1"/>
        <w:rPr>
          <w:noProof/>
        </w:rPr>
      </w:pPr>
      <w:r w:rsidRPr="00EE785B">
        <w:rPr>
          <w:noProof/>
        </w:rPr>
        <w:t>1.</w:t>
      </w:r>
      <w:r w:rsidRPr="00EE785B">
        <w:rPr>
          <w:noProof/>
        </w:rPr>
        <w:tab/>
      </w:r>
      <w:r w:rsidR="00704957" w:rsidRPr="00882905">
        <w:rPr>
          <w:noProof/>
        </w:rPr>
        <w:t>Łączna kwota zasobów własnych przydzielonych Unii na pokrycie rocznych środków na płatności nie może przekroczyć 1,75 % sumy DNB wszystkich państw członkowskich.</w:t>
      </w:r>
    </w:p>
    <w:p w14:paraId="795FD8CC" w14:textId="0F06D58C" w:rsidR="00704957" w:rsidRPr="00882905" w:rsidRDefault="00EE785B" w:rsidP="00EE785B">
      <w:pPr>
        <w:pStyle w:val="ManualNumPar1"/>
        <w:rPr>
          <w:noProof/>
        </w:rPr>
      </w:pPr>
      <w:r w:rsidRPr="00EE785B">
        <w:rPr>
          <w:noProof/>
        </w:rPr>
        <w:t>2.</w:t>
      </w:r>
      <w:r w:rsidRPr="00EE785B">
        <w:rPr>
          <w:noProof/>
        </w:rPr>
        <w:tab/>
      </w:r>
      <w:r w:rsidR="00704957" w:rsidRPr="00882905">
        <w:rPr>
          <w:noProof/>
        </w:rPr>
        <w:t>Łączna roczna kwota zapisanych</w:t>
      </w:r>
      <w:r w:rsidR="00AF2AE5" w:rsidRPr="00882905">
        <w:rPr>
          <w:noProof/>
        </w:rPr>
        <w:t xml:space="preserve"> w</w:t>
      </w:r>
      <w:r w:rsidR="00AF2AE5">
        <w:rPr>
          <w:noProof/>
        </w:rPr>
        <w:t> </w:t>
      </w:r>
      <w:r w:rsidR="00AF2AE5" w:rsidRPr="00882905">
        <w:rPr>
          <w:noProof/>
        </w:rPr>
        <w:t>bud</w:t>
      </w:r>
      <w:r w:rsidR="00704957" w:rsidRPr="00882905">
        <w:rPr>
          <w:noProof/>
        </w:rPr>
        <w:t>żecie Unii środków na zobowiązania nie może przekroczyć 1,81 % sumy DNB wszystkich państw członkowskich.</w:t>
      </w:r>
    </w:p>
    <w:p w14:paraId="6D0D0E95" w14:textId="3FA744CA" w:rsidR="00704957" w:rsidRPr="00882905" w:rsidRDefault="00EE785B" w:rsidP="00EE785B">
      <w:pPr>
        <w:pStyle w:val="ManualNumPar1"/>
        <w:rPr>
          <w:noProof/>
        </w:rPr>
      </w:pPr>
      <w:r w:rsidRPr="00EE785B">
        <w:rPr>
          <w:noProof/>
        </w:rPr>
        <w:t>3.</w:t>
      </w:r>
      <w:r w:rsidRPr="00EE785B">
        <w:rPr>
          <w:noProof/>
        </w:rPr>
        <w:tab/>
      </w:r>
      <w:r w:rsidR="00704957" w:rsidRPr="00882905">
        <w:rPr>
          <w:noProof/>
        </w:rPr>
        <w:t>Zachowuje się odpowiedni stosunek środków na zobowiązania do środków na płatności dla zagwarantowania ich kompatybilności</w:t>
      </w:r>
      <w:r w:rsidR="00AF2AE5" w:rsidRPr="00882905">
        <w:rPr>
          <w:noProof/>
        </w:rPr>
        <w:t xml:space="preserve"> i</w:t>
      </w:r>
      <w:r w:rsidR="00AF2AE5">
        <w:rPr>
          <w:noProof/>
        </w:rPr>
        <w:t> </w:t>
      </w:r>
      <w:r w:rsidR="00AF2AE5" w:rsidRPr="00882905">
        <w:rPr>
          <w:noProof/>
        </w:rPr>
        <w:t>umo</w:t>
      </w:r>
      <w:r w:rsidR="00704957" w:rsidRPr="00882905">
        <w:rPr>
          <w:noProof/>
        </w:rPr>
        <w:t>żliwienia przestrzegania</w:t>
      </w:r>
      <w:r w:rsidR="00AF2AE5" w:rsidRPr="00882905">
        <w:rPr>
          <w:noProof/>
        </w:rPr>
        <w:t xml:space="preserve"> w</w:t>
      </w:r>
      <w:r w:rsidR="00AF2AE5">
        <w:rPr>
          <w:noProof/>
        </w:rPr>
        <w:t> </w:t>
      </w:r>
      <w:r w:rsidR="00AF2AE5" w:rsidRPr="00882905">
        <w:rPr>
          <w:noProof/>
        </w:rPr>
        <w:t>kol</w:t>
      </w:r>
      <w:r w:rsidR="00704957" w:rsidRPr="00882905">
        <w:rPr>
          <w:noProof/>
        </w:rPr>
        <w:t>ejnych latach pułapu określonego</w:t>
      </w:r>
      <w:r w:rsidR="00AF2AE5" w:rsidRPr="00882905">
        <w:rPr>
          <w:noProof/>
        </w:rPr>
        <w:t xml:space="preserve"> w</w:t>
      </w:r>
      <w:r w:rsidR="00AF2AE5">
        <w:rPr>
          <w:noProof/>
        </w:rPr>
        <w:t> </w:t>
      </w:r>
      <w:r w:rsidR="00AF2AE5" w:rsidRPr="00AF2AE5">
        <w:rPr>
          <w:noProof/>
        </w:rPr>
        <w:t>ust</w:t>
      </w:r>
      <w:r w:rsidR="00704957" w:rsidRPr="00AF2AE5">
        <w:rPr>
          <w:noProof/>
        </w:rPr>
        <w:t>.</w:t>
      </w:r>
      <w:r w:rsidR="00AF2AE5" w:rsidRPr="00AF2AE5">
        <w:rPr>
          <w:noProof/>
        </w:rPr>
        <w:t> </w:t>
      </w:r>
      <w:r w:rsidR="00704957" w:rsidRPr="00AF2AE5">
        <w:rPr>
          <w:noProof/>
        </w:rPr>
        <w:t>1</w:t>
      </w:r>
      <w:r w:rsidR="00704957" w:rsidRPr="00882905">
        <w:rPr>
          <w:noProof/>
        </w:rPr>
        <w:t>.</w:t>
      </w:r>
    </w:p>
    <w:p w14:paraId="28F5495D" w14:textId="599EE440" w:rsidR="00704957" w:rsidRPr="00882905" w:rsidRDefault="00EE785B" w:rsidP="00EE785B">
      <w:pPr>
        <w:pStyle w:val="ManualNumPar1"/>
        <w:rPr>
          <w:noProof/>
        </w:rPr>
      </w:pPr>
      <w:r w:rsidRPr="00EE785B">
        <w:rPr>
          <w:noProof/>
        </w:rPr>
        <w:t>4.</w:t>
      </w:r>
      <w:r w:rsidRPr="00EE785B">
        <w:rPr>
          <w:noProof/>
        </w:rPr>
        <w:tab/>
      </w:r>
      <w:r w:rsidR="000E20DA" w:rsidRPr="00882905">
        <w:rPr>
          <w:noProof/>
        </w:rPr>
        <w:t xml:space="preserve">W przypadku gdy zmiany do rozporządzenia (UE) </w:t>
      </w:r>
      <w:r w:rsidR="000E20DA" w:rsidRPr="00AF2AE5">
        <w:rPr>
          <w:noProof/>
        </w:rPr>
        <w:t>nr</w:t>
      </w:r>
      <w:r w:rsidR="00AF2AE5" w:rsidRPr="00AF2AE5">
        <w:rPr>
          <w:noProof/>
        </w:rPr>
        <w:t> </w:t>
      </w:r>
      <w:r w:rsidR="000E20DA" w:rsidRPr="00AF2AE5">
        <w:rPr>
          <w:noProof/>
        </w:rPr>
        <w:t>5</w:t>
      </w:r>
      <w:r w:rsidR="000E20DA" w:rsidRPr="00882905">
        <w:rPr>
          <w:noProof/>
        </w:rPr>
        <w:t>49/2013,</w:t>
      </w:r>
      <w:r w:rsidR="00AF2AE5" w:rsidRPr="00882905">
        <w:rPr>
          <w:noProof/>
        </w:rPr>
        <w:t xml:space="preserve"> w</w:t>
      </w:r>
      <w:r w:rsidR="00AF2AE5">
        <w:rPr>
          <w:noProof/>
        </w:rPr>
        <w:t> </w:t>
      </w:r>
      <w:r w:rsidR="00AF2AE5" w:rsidRPr="00882905">
        <w:rPr>
          <w:noProof/>
        </w:rPr>
        <w:t>szc</w:t>
      </w:r>
      <w:r w:rsidR="000E20DA" w:rsidRPr="00882905">
        <w:rPr>
          <w:noProof/>
        </w:rPr>
        <w:t>zególności zmiany wprowadzające zmienioną ESA, powodują znaczne zmiany poziomu DNB, Komisja ponownie oblicza pułapy określone</w:t>
      </w:r>
      <w:r w:rsidR="00AF2AE5" w:rsidRPr="00882905">
        <w:rPr>
          <w:noProof/>
        </w:rPr>
        <w:t xml:space="preserve"> w</w:t>
      </w:r>
      <w:r w:rsidR="00AF2AE5">
        <w:rPr>
          <w:noProof/>
        </w:rPr>
        <w:t> </w:t>
      </w:r>
      <w:r w:rsidR="00AF2AE5" w:rsidRPr="00AF2AE5">
        <w:rPr>
          <w:noProof/>
        </w:rPr>
        <w:t>ust</w:t>
      </w:r>
      <w:r w:rsidR="000E20DA" w:rsidRPr="00AF2AE5">
        <w:rPr>
          <w:noProof/>
        </w:rPr>
        <w:t>.</w:t>
      </w:r>
      <w:r w:rsidR="00AF2AE5" w:rsidRPr="00AF2AE5">
        <w:rPr>
          <w:noProof/>
        </w:rPr>
        <w:t> </w:t>
      </w:r>
      <w:r w:rsidR="000E20DA" w:rsidRPr="00AF2AE5">
        <w:rPr>
          <w:noProof/>
        </w:rPr>
        <w:t>1</w:t>
      </w:r>
      <w:r w:rsidR="00AF2AE5" w:rsidRPr="00882905">
        <w:rPr>
          <w:noProof/>
        </w:rPr>
        <w:t xml:space="preserve"> i</w:t>
      </w:r>
      <w:r w:rsidR="00AF2AE5">
        <w:rPr>
          <w:noProof/>
        </w:rPr>
        <w:t> </w:t>
      </w:r>
      <w:r w:rsidR="00AF2AE5" w:rsidRPr="00882905">
        <w:rPr>
          <w:noProof/>
        </w:rPr>
        <w:t>2</w:t>
      </w:r>
      <w:r w:rsidR="000E20DA" w:rsidRPr="00882905">
        <w:rPr>
          <w:noProof/>
        </w:rPr>
        <w:t xml:space="preserve"> na podstawie następującego wzoru:</w:t>
      </w:r>
    </w:p>
    <w:p w14:paraId="0B6C244B" w14:textId="4961D014" w:rsidR="007078F3" w:rsidRPr="00882905" w:rsidRDefault="007078F3">
      <w:pPr>
        <w:spacing w:before="0" w:after="200" w:line="276" w:lineRule="auto"/>
        <w:jc w:val="left"/>
        <w:rPr>
          <w:noProof/>
          <w:lang w:eastAsia="en-IE"/>
        </w:rPr>
      </w:pPr>
    </w:p>
    <w:p w14:paraId="1F1C54FE" w14:textId="1ECA13AF" w:rsidR="00704957" w:rsidRPr="00882905" w:rsidRDefault="007078F3" w:rsidP="005674C9">
      <w:pPr>
        <w:pStyle w:val="Text1"/>
        <w:rPr>
          <w:noProof/>
          <w:lang w:eastAsia="en-IE"/>
        </w:rPr>
      </w:pPr>
      <w:r w:rsidRPr="00882905">
        <w:rPr>
          <w:noProof/>
          <w:lang w:val="en-GB" w:eastAsia="en-GB"/>
        </w:rPr>
        <w:drawing>
          <wp:inline distT="0" distB="0" distL="0" distR="0" wp14:anchorId="6F0811B4" wp14:editId="2B2AAA0A">
            <wp:extent cx="5734050" cy="504825"/>
            <wp:effectExtent l="0" t="0" r="0" b="0"/>
            <wp:docPr id="923279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504825"/>
                    </a:xfrm>
                    <a:prstGeom prst="rect">
                      <a:avLst/>
                    </a:prstGeom>
                    <a:noFill/>
                    <a:ln>
                      <a:noFill/>
                    </a:ln>
                  </pic:spPr>
                </pic:pic>
              </a:graphicData>
            </a:graphic>
          </wp:inline>
        </w:drawing>
      </w:r>
    </w:p>
    <w:p w14:paraId="236DAA98" w14:textId="77777777" w:rsidR="00704957" w:rsidRPr="00882905" w:rsidRDefault="00704957" w:rsidP="00DE10AE">
      <w:pPr>
        <w:pStyle w:val="Text1"/>
        <w:rPr>
          <w:noProof/>
        </w:rPr>
      </w:pPr>
      <w:r w:rsidRPr="00882905">
        <w:rPr>
          <w:noProof/>
        </w:rPr>
        <w:t>gdzie:</w:t>
      </w:r>
    </w:p>
    <w:tbl>
      <w:tblPr>
        <w:tblW w:w="5000" w:type="pct"/>
        <w:shd w:val="clear" w:color="auto" w:fill="FFFFFF"/>
        <w:tblCellMar>
          <w:left w:w="0" w:type="dxa"/>
          <w:right w:w="0" w:type="dxa"/>
        </w:tblCellMar>
        <w:tblLook w:val="04A0" w:firstRow="1" w:lastRow="0" w:firstColumn="1" w:lastColumn="0" w:noHBand="0" w:noVBand="1"/>
      </w:tblPr>
      <w:tblGrid>
        <w:gridCol w:w="1090"/>
        <w:gridCol w:w="6"/>
        <w:gridCol w:w="7975"/>
      </w:tblGrid>
      <w:tr w:rsidR="00DE10AE" w:rsidRPr="00882905" w14:paraId="4914797E" w14:textId="77777777" w:rsidTr="00DE10AE">
        <w:tc>
          <w:tcPr>
            <w:tcW w:w="0" w:type="auto"/>
            <w:shd w:val="clear" w:color="auto" w:fill="FFFFFF"/>
            <w:hideMark/>
          </w:tcPr>
          <w:p w14:paraId="413647EF" w14:textId="77777777" w:rsidR="00DE10AE" w:rsidRPr="00882905" w:rsidRDefault="00DE10AE" w:rsidP="000C3970">
            <w:pPr>
              <w:pStyle w:val="Text1"/>
              <w:rPr>
                <w:noProof/>
              </w:rPr>
            </w:pPr>
            <w:r w:rsidRPr="00882905">
              <w:rPr>
                <w:noProof/>
              </w:rPr>
              <w:t>—</w:t>
            </w:r>
          </w:p>
        </w:tc>
        <w:tc>
          <w:tcPr>
            <w:tcW w:w="0" w:type="auto"/>
            <w:shd w:val="clear" w:color="auto" w:fill="FFFFFF"/>
          </w:tcPr>
          <w:p w14:paraId="5A7276F0" w14:textId="77777777" w:rsidR="00DE10AE" w:rsidRPr="00882905" w:rsidRDefault="00DE10AE" w:rsidP="000C3970">
            <w:pPr>
              <w:pStyle w:val="Text1"/>
              <w:rPr>
                <w:noProof/>
                <w:lang w:eastAsia="en-IE"/>
              </w:rPr>
            </w:pPr>
          </w:p>
        </w:tc>
        <w:tc>
          <w:tcPr>
            <w:tcW w:w="0" w:type="auto"/>
            <w:shd w:val="clear" w:color="auto" w:fill="FFFFFF"/>
            <w:hideMark/>
          </w:tcPr>
          <w:p w14:paraId="7449AA3A" w14:textId="77777777" w:rsidR="00DE10AE" w:rsidRPr="00882905" w:rsidRDefault="00DE10AE" w:rsidP="000C3970">
            <w:pPr>
              <w:pStyle w:val="Text1"/>
              <w:rPr>
                <w:noProof/>
              </w:rPr>
            </w:pPr>
            <w:r w:rsidRPr="00882905">
              <w:rPr>
                <w:noProof/>
              </w:rPr>
              <w:t>„x” oznacza pułap zasobów własnych na środki na płatności;</w:t>
            </w:r>
          </w:p>
        </w:tc>
      </w:tr>
      <w:tr w:rsidR="00DE10AE" w:rsidRPr="00882905" w14:paraId="4CE608F4" w14:textId="77777777" w:rsidTr="00DE10AE">
        <w:tc>
          <w:tcPr>
            <w:tcW w:w="0" w:type="auto"/>
            <w:shd w:val="clear" w:color="auto" w:fill="FFFFFF"/>
            <w:hideMark/>
          </w:tcPr>
          <w:p w14:paraId="3185AB85" w14:textId="77777777" w:rsidR="00DE10AE" w:rsidRPr="00882905" w:rsidRDefault="00DE10AE" w:rsidP="000C3970">
            <w:pPr>
              <w:pStyle w:val="Text1"/>
              <w:rPr>
                <w:noProof/>
              </w:rPr>
            </w:pPr>
            <w:r w:rsidRPr="00882905">
              <w:rPr>
                <w:noProof/>
              </w:rPr>
              <w:t>—</w:t>
            </w:r>
          </w:p>
        </w:tc>
        <w:tc>
          <w:tcPr>
            <w:tcW w:w="0" w:type="auto"/>
            <w:shd w:val="clear" w:color="auto" w:fill="FFFFFF"/>
          </w:tcPr>
          <w:p w14:paraId="7011D180" w14:textId="77777777" w:rsidR="00DE10AE" w:rsidRPr="00882905" w:rsidRDefault="00DE10AE" w:rsidP="000C3970">
            <w:pPr>
              <w:pStyle w:val="Text1"/>
              <w:rPr>
                <w:noProof/>
                <w:lang w:eastAsia="en-IE"/>
              </w:rPr>
            </w:pPr>
          </w:p>
        </w:tc>
        <w:tc>
          <w:tcPr>
            <w:tcW w:w="0" w:type="auto"/>
            <w:shd w:val="clear" w:color="auto" w:fill="FFFFFF"/>
            <w:hideMark/>
          </w:tcPr>
          <w:p w14:paraId="769F0093" w14:textId="77777777" w:rsidR="00DE10AE" w:rsidRPr="00882905" w:rsidRDefault="00DE10AE" w:rsidP="000C3970">
            <w:pPr>
              <w:pStyle w:val="Text1"/>
              <w:rPr>
                <w:noProof/>
              </w:rPr>
            </w:pPr>
            <w:r w:rsidRPr="00882905">
              <w:rPr>
                <w:noProof/>
              </w:rPr>
              <w:t>„y” – pułap zasobów własnych na środki na zobowiązania;</w:t>
            </w:r>
          </w:p>
        </w:tc>
      </w:tr>
      <w:tr w:rsidR="00DE10AE" w:rsidRPr="00882905" w14:paraId="38AB5629" w14:textId="77777777" w:rsidTr="00DE10AE">
        <w:tc>
          <w:tcPr>
            <w:tcW w:w="0" w:type="auto"/>
            <w:shd w:val="clear" w:color="auto" w:fill="FFFFFF"/>
            <w:hideMark/>
          </w:tcPr>
          <w:p w14:paraId="2FF254BB" w14:textId="77777777" w:rsidR="00DE10AE" w:rsidRPr="00882905" w:rsidRDefault="00DE10AE" w:rsidP="000C3970">
            <w:pPr>
              <w:pStyle w:val="Text1"/>
              <w:rPr>
                <w:noProof/>
              </w:rPr>
            </w:pPr>
            <w:r w:rsidRPr="00882905">
              <w:rPr>
                <w:noProof/>
              </w:rPr>
              <w:t>—</w:t>
            </w:r>
          </w:p>
        </w:tc>
        <w:tc>
          <w:tcPr>
            <w:tcW w:w="0" w:type="auto"/>
            <w:shd w:val="clear" w:color="auto" w:fill="FFFFFF"/>
          </w:tcPr>
          <w:p w14:paraId="7EA94679" w14:textId="77777777" w:rsidR="00DE10AE" w:rsidRPr="00882905" w:rsidRDefault="00DE10AE" w:rsidP="000C3970">
            <w:pPr>
              <w:pStyle w:val="Text1"/>
              <w:rPr>
                <w:noProof/>
                <w:lang w:eastAsia="en-IE"/>
              </w:rPr>
            </w:pPr>
          </w:p>
        </w:tc>
        <w:tc>
          <w:tcPr>
            <w:tcW w:w="0" w:type="auto"/>
            <w:shd w:val="clear" w:color="auto" w:fill="FFFFFF"/>
            <w:hideMark/>
          </w:tcPr>
          <w:p w14:paraId="3F01872B" w14:textId="722659D6" w:rsidR="00DE10AE" w:rsidRPr="00882905" w:rsidRDefault="00DE10AE" w:rsidP="000C3970">
            <w:pPr>
              <w:pStyle w:val="Text1"/>
              <w:rPr>
                <w:noProof/>
              </w:rPr>
            </w:pPr>
            <w:r w:rsidRPr="00882905">
              <w:rPr>
                <w:noProof/>
              </w:rPr>
              <w:t>„t” oznacza ostatni pełny rok, za który dostępne są dane określone</w:t>
            </w:r>
            <w:r w:rsidR="00AF2AE5" w:rsidRPr="00882905">
              <w:rPr>
                <w:noProof/>
              </w:rPr>
              <w:t xml:space="preserve"> w</w:t>
            </w:r>
            <w:r w:rsidR="00AF2AE5">
              <w:rPr>
                <w:noProof/>
              </w:rPr>
              <w:t> </w:t>
            </w:r>
            <w:r w:rsidR="00AF2AE5" w:rsidRPr="00882905">
              <w:rPr>
                <w:noProof/>
              </w:rPr>
              <w:t>roz</w:t>
            </w:r>
            <w:r w:rsidRPr="00882905">
              <w:rPr>
                <w:noProof/>
              </w:rPr>
              <w:t>porządzeniu Parlamentu Europejskiego</w:t>
            </w:r>
            <w:r w:rsidR="00AF2AE5" w:rsidRPr="00882905">
              <w:rPr>
                <w:noProof/>
              </w:rPr>
              <w:t xml:space="preserve"> i</w:t>
            </w:r>
            <w:r w:rsidR="00AF2AE5">
              <w:rPr>
                <w:noProof/>
              </w:rPr>
              <w:t> </w:t>
            </w:r>
            <w:r w:rsidR="00AF2AE5" w:rsidRPr="00882905">
              <w:rPr>
                <w:noProof/>
              </w:rPr>
              <w:t>Rad</w:t>
            </w:r>
            <w:r w:rsidRPr="00882905">
              <w:rPr>
                <w:noProof/>
              </w:rPr>
              <w:t>y (UE) 2019/516;</w:t>
            </w:r>
          </w:p>
        </w:tc>
      </w:tr>
      <w:tr w:rsidR="00DE10AE" w:rsidRPr="00882905" w14:paraId="533C018F" w14:textId="77777777" w:rsidTr="00DE10AE">
        <w:tc>
          <w:tcPr>
            <w:tcW w:w="0" w:type="auto"/>
            <w:shd w:val="clear" w:color="auto" w:fill="FFFFFF"/>
            <w:hideMark/>
          </w:tcPr>
          <w:p w14:paraId="20153F0F" w14:textId="77777777" w:rsidR="00DE10AE" w:rsidRPr="00882905" w:rsidRDefault="00DE10AE" w:rsidP="000C3970">
            <w:pPr>
              <w:pStyle w:val="Text1"/>
              <w:rPr>
                <w:noProof/>
              </w:rPr>
            </w:pPr>
            <w:r w:rsidRPr="00882905">
              <w:rPr>
                <w:noProof/>
              </w:rPr>
              <w:t>—</w:t>
            </w:r>
          </w:p>
        </w:tc>
        <w:tc>
          <w:tcPr>
            <w:tcW w:w="0" w:type="auto"/>
            <w:shd w:val="clear" w:color="auto" w:fill="FFFFFF"/>
          </w:tcPr>
          <w:p w14:paraId="6A20E5F5" w14:textId="77777777" w:rsidR="00DE10AE" w:rsidRPr="00882905" w:rsidRDefault="00DE10AE" w:rsidP="000C3970">
            <w:pPr>
              <w:pStyle w:val="Text1"/>
              <w:rPr>
                <w:noProof/>
                <w:lang w:eastAsia="en-IE"/>
              </w:rPr>
            </w:pPr>
          </w:p>
        </w:tc>
        <w:tc>
          <w:tcPr>
            <w:tcW w:w="0" w:type="auto"/>
            <w:shd w:val="clear" w:color="auto" w:fill="FFFFFF"/>
            <w:hideMark/>
          </w:tcPr>
          <w:p w14:paraId="0B22DB19" w14:textId="0DC91238" w:rsidR="00DE10AE" w:rsidRPr="00882905" w:rsidRDefault="00DE10AE" w:rsidP="000C3970">
            <w:pPr>
              <w:pStyle w:val="Text1"/>
              <w:rPr>
                <w:noProof/>
              </w:rPr>
            </w:pPr>
            <w:r w:rsidRPr="00882905">
              <w:rPr>
                <w:noProof/>
              </w:rPr>
              <w:t>„ESA” oznacza europejski system rachunków narodowych</w:t>
            </w:r>
            <w:r w:rsidR="00AF2AE5" w:rsidRPr="00882905">
              <w:rPr>
                <w:noProof/>
              </w:rPr>
              <w:t xml:space="preserve"> i</w:t>
            </w:r>
            <w:r w:rsidR="00AF2AE5">
              <w:rPr>
                <w:noProof/>
              </w:rPr>
              <w:t> </w:t>
            </w:r>
            <w:r w:rsidR="00AF2AE5" w:rsidRPr="00882905">
              <w:rPr>
                <w:noProof/>
              </w:rPr>
              <w:t>reg</w:t>
            </w:r>
            <w:r w:rsidRPr="00882905">
              <w:rPr>
                <w:noProof/>
              </w:rPr>
              <w:t>ionalnych</w:t>
            </w:r>
            <w:r w:rsidR="00AF2AE5" w:rsidRPr="00882905">
              <w:rPr>
                <w:noProof/>
              </w:rPr>
              <w:t xml:space="preserve"> w</w:t>
            </w:r>
            <w:r w:rsidR="00AF2AE5">
              <w:rPr>
                <w:noProof/>
              </w:rPr>
              <w:t> </w:t>
            </w:r>
            <w:r w:rsidR="00AF2AE5" w:rsidRPr="00882905">
              <w:rPr>
                <w:noProof/>
              </w:rPr>
              <w:t>Uni</w:t>
            </w:r>
            <w:r w:rsidRPr="00882905">
              <w:rPr>
                <w:noProof/>
              </w:rPr>
              <w:t>i.</w:t>
            </w:r>
          </w:p>
        </w:tc>
      </w:tr>
    </w:tbl>
    <w:p w14:paraId="40149C9F" w14:textId="07172672" w:rsidR="00704957" w:rsidRPr="00882905" w:rsidRDefault="00704957" w:rsidP="006E44DF">
      <w:pPr>
        <w:pStyle w:val="Text1"/>
        <w:rPr>
          <w:noProof/>
        </w:rPr>
      </w:pPr>
      <w:r w:rsidRPr="00882905">
        <w:rPr>
          <w:noProof/>
        </w:rPr>
        <w:t>Korekty stosuje się od roku,</w:t>
      </w:r>
      <w:r w:rsidR="00AF2AE5" w:rsidRPr="00882905">
        <w:rPr>
          <w:noProof/>
        </w:rPr>
        <w:t xml:space="preserve"> w</w:t>
      </w:r>
      <w:r w:rsidR="00AF2AE5">
        <w:rPr>
          <w:noProof/>
        </w:rPr>
        <w:t> </w:t>
      </w:r>
      <w:r w:rsidR="00AF2AE5" w:rsidRPr="00882905">
        <w:rPr>
          <w:noProof/>
        </w:rPr>
        <w:t>odn</w:t>
      </w:r>
      <w:r w:rsidRPr="00882905">
        <w:rPr>
          <w:noProof/>
        </w:rPr>
        <w:t>iesieniu do którego DNB ma zostać ustalony po raz pierwszy zgodnie ze zmienioną ESA</w:t>
      </w:r>
      <w:r w:rsidR="00AF2AE5" w:rsidRPr="00882905">
        <w:rPr>
          <w:noProof/>
        </w:rPr>
        <w:t>. W</w:t>
      </w:r>
      <w:r w:rsidR="00AF2AE5">
        <w:rPr>
          <w:noProof/>
        </w:rPr>
        <w:t> </w:t>
      </w:r>
      <w:r w:rsidR="00AF2AE5" w:rsidRPr="00882905">
        <w:rPr>
          <w:noProof/>
        </w:rPr>
        <w:t>prz</w:t>
      </w:r>
      <w:r w:rsidRPr="00882905">
        <w:rPr>
          <w:noProof/>
        </w:rPr>
        <w:t>ypadku gdy DNB został ustalony dla danego roku po raz pierwszy zgodnie z ESA 2010, do celów niniejszego ustępu nadal stosuje się ESA 2010.</w:t>
      </w:r>
    </w:p>
    <w:p w14:paraId="71C95926" w14:textId="4839D357" w:rsidR="00704957" w:rsidRPr="00882905" w:rsidRDefault="45CBBDCF" w:rsidP="006E44DF">
      <w:pPr>
        <w:pStyle w:val="Text1"/>
        <w:rPr>
          <w:noProof/>
        </w:rPr>
      </w:pPr>
      <w:r w:rsidRPr="00882905">
        <w:rPr>
          <w:noProof/>
        </w:rPr>
        <w:t>W przypadku gdy takie ponowne obliczenie pułapów określonych</w:t>
      </w:r>
      <w:r w:rsidR="00AF2AE5" w:rsidRPr="00882905">
        <w:rPr>
          <w:noProof/>
        </w:rPr>
        <w:t xml:space="preserve"> w</w:t>
      </w:r>
      <w:r w:rsidR="00AF2AE5">
        <w:rPr>
          <w:noProof/>
        </w:rPr>
        <w:t> </w:t>
      </w:r>
      <w:r w:rsidR="00AF2AE5" w:rsidRPr="00AF2AE5">
        <w:rPr>
          <w:noProof/>
        </w:rPr>
        <w:t>ust</w:t>
      </w:r>
      <w:r w:rsidRPr="00AF2AE5">
        <w:rPr>
          <w:noProof/>
        </w:rPr>
        <w:t>.</w:t>
      </w:r>
      <w:r w:rsidR="00AF2AE5" w:rsidRPr="00AF2AE5">
        <w:rPr>
          <w:noProof/>
        </w:rPr>
        <w:t> </w:t>
      </w:r>
      <w:r w:rsidRPr="00AF2AE5">
        <w:rPr>
          <w:noProof/>
        </w:rPr>
        <w:t>1</w:t>
      </w:r>
      <w:r w:rsidR="00AF2AE5" w:rsidRPr="00882905">
        <w:rPr>
          <w:noProof/>
        </w:rPr>
        <w:t xml:space="preserve"> i</w:t>
      </w:r>
      <w:r w:rsidR="00AF2AE5">
        <w:rPr>
          <w:noProof/>
        </w:rPr>
        <w:t> </w:t>
      </w:r>
      <w:r w:rsidR="00AF2AE5" w:rsidRPr="00882905">
        <w:rPr>
          <w:noProof/>
        </w:rPr>
        <w:t>2</w:t>
      </w:r>
      <w:r w:rsidRPr="00882905">
        <w:rPr>
          <w:noProof/>
        </w:rPr>
        <w:t xml:space="preserve"> prowadziłoby do korekty</w:t>
      </w:r>
      <w:r w:rsidR="00AF2AE5" w:rsidRPr="00882905">
        <w:rPr>
          <w:noProof/>
        </w:rPr>
        <w:t xml:space="preserve"> w</w:t>
      </w:r>
      <w:r w:rsidR="00AF2AE5">
        <w:rPr>
          <w:noProof/>
        </w:rPr>
        <w:t> </w:t>
      </w:r>
      <w:r w:rsidR="00AF2AE5" w:rsidRPr="00882905">
        <w:rPr>
          <w:noProof/>
        </w:rPr>
        <w:t>dół w</w:t>
      </w:r>
      <w:r w:rsidR="00AF2AE5">
        <w:rPr>
          <w:noProof/>
        </w:rPr>
        <w:t> </w:t>
      </w:r>
      <w:r w:rsidR="00AF2AE5" w:rsidRPr="00882905">
        <w:rPr>
          <w:noProof/>
        </w:rPr>
        <w:t>eur</w:t>
      </w:r>
      <w:r w:rsidRPr="00882905">
        <w:rPr>
          <w:noProof/>
        </w:rPr>
        <w:t xml:space="preserve">o, wyników tego ponownego obliczenia nie uwzględnia się do celów niniejszego ustępu. </w:t>
      </w:r>
    </w:p>
    <w:p w14:paraId="546DFB64" w14:textId="77777777" w:rsidR="00704957" w:rsidRPr="00882905" w:rsidRDefault="00704957" w:rsidP="00704957">
      <w:pPr>
        <w:pStyle w:val="Titrearticle"/>
        <w:rPr>
          <w:b/>
          <w:bCs/>
          <w:noProof/>
        </w:rPr>
      </w:pPr>
      <w:r w:rsidRPr="00882905">
        <w:rPr>
          <w:noProof/>
        </w:rPr>
        <w:t>Artykuł 5</w:t>
      </w:r>
      <w:r w:rsidRPr="00882905">
        <w:rPr>
          <w:noProof/>
        </w:rPr>
        <w:br/>
      </w:r>
      <w:r w:rsidRPr="00882905">
        <w:rPr>
          <w:b/>
          <w:noProof/>
        </w:rPr>
        <w:t>Wykorzystanie środków finansowych pożyczonych na rynkach kapitałowych</w:t>
      </w:r>
    </w:p>
    <w:p w14:paraId="1A521D72" w14:textId="77777777" w:rsidR="00704957" w:rsidRPr="00882905" w:rsidRDefault="00704957" w:rsidP="00DE10AE">
      <w:pPr>
        <w:rPr>
          <w:noProof/>
        </w:rPr>
      </w:pPr>
      <w:r w:rsidRPr="00882905">
        <w:rPr>
          <w:noProof/>
        </w:rPr>
        <w:t>Unia nie wykorzystuje środków finansowych pożyczonych na rynkach kapitałowych do finansowania wydatków operacyjnych.</w:t>
      </w:r>
    </w:p>
    <w:p w14:paraId="5B406A64" w14:textId="7D86A9FE" w:rsidR="0029658F" w:rsidRPr="00882905" w:rsidRDefault="0029658F" w:rsidP="0029658F">
      <w:pPr>
        <w:pStyle w:val="Titrearticle"/>
        <w:rPr>
          <w:b/>
          <w:bCs/>
          <w:i w:val="0"/>
          <w:noProof/>
        </w:rPr>
      </w:pPr>
      <w:r w:rsidRPr="00882905">
        <w:rPr>
          <w:noProof/>
        </w:rPr>
        <w:t>Artykuł 6</w:t>
      </w:r>
      <w:r w:rsidRPr="00882905">
        <w:rPr>
          <w:noProof/>
        </w:rPr>
        <w:br/>
      </w:r>
      <w:r w:rsidRPr="00882905">
        <w:rPr>
          <w:b/>
          <w:noProof/>
        </w:rPr>
        <w:t>Pożyczki nadzwyczajne</w:t>
      </w:r>
      <w:r w:rsidR="00AF2AE5" w:rsidRPr="00882905">
        <w:rPr>
          <w:b/>
          <w:noProof/>
        </w:rPr>
        <w:t xml:space="preserve"> w</w:t>
      </w:r>
      <w:r w:rsidR="00AF2AE5">
        <w:rPr>
          <w:b/>
          <w:noProof/>
        </w:rPr>
        <w:t> </w:t>
      </w:r>
      <w:r w:rsidR="00AF2AE5" w:rsidRPr="00882905">
        <w:rPr>
          <w:b/>
          <w:noProof/>
        </w:rPr>
        <w:t>cel</w:t>
      </w:r>
      <w:r w:rsidRPr="00882905">
        <w:rPr>
          <w:b/>
          <w:noProof/>
        </w:rPr>
        <w:t>u zaradzenia skutkom poważnych kryzysów, poważnych trudności lub poważnego zagrożenia nimi</w:t>
      </w:r>
      <w:r w:rsidR="00AF2AE5" w:rsidRPr="00882905">
        <w:rPr>
          <w:b/>
          <w:noProof/>
        </w:rPr>
        <w:t xml:space="preserve"> w</w:t>
      </w:r>
      <w:r w:rsidR="00AF2AE5">
        <w:rPr>
          <w:b/>
          <w:noProof/>
        </w:rPr>
        <w:t> </w:t>
      </w:r>
      <w:r w:rsidR="00AF2AE5" w:rsidRPr="00882905">
        <w:rPr>
          <w:b/>
          <w:noProof/>
        </w:rPr>
        <w:t>lat</w:t>
      </w:r>
      <w:r w:rsidRPr="00882905">
        <w:rPr>
          <w:b/>
          <w:noProof/>
        </w:rPr>
        <w:t>ach 2028–2034</w:t>
      </w:r>
    </w:p>
    <w:p w14:paraId="513E5F36" w14:textId="123D6D83" w:rsidR="003F7783" w:rsidRPr="00882905" w:rsidRDefault="00EE785B" w:rsidP="00EE785B">
      <w:pPr>
        <w:pStyle w:val="ManualNumPar1"/>
        <w:rPr>
          <w:noProof/>
        </w:rPr>
      </w:pPr>
      <w:r w:rsidRPr="00EE785B">
        <w:rPr>
          <w:noProof/>
        </w:rPr>
        <w:t>1.</w:t>
      </w:r>
      <w:r w:rsidRPr="00EE785B">
        <w:rPr>
          <w:noProof/>
        </w:rPr>
        <w:tab/>
      </w:r>
      <w:r w:rsidR="003F7783" w:rsidRPr="00882905">
        <w:rPr>
          <w:noProof/>
        </w:rPr>
        <w:t>W przypadku poważnego kryzysu, poważnych trudności lub poważnego zagrożenia kryzysem lub trudnościami, które dotykają Unię lub jej państwa członkowskie, Rada może uruchomić,</w:t>
      </w:r>
      <w:r w:rsidR="00AF2AE5" w:rsidRPr="00882905">
        <w:rPr>
          <w:noProof/>
        </w:rPr>
        <w:t xml:space="preserve"> w</w:t>
      </w:r>
      <w:r w:rsidR="00AF2AE5">
        <w:rPr>
          <w:noProof/>
        </w:rPr>
        <w:t> </w:t>
      </w:r>
      <w:r w:rsidR="00AF2AE5" w:rsidRPr="00882905">
        <w:rPr>
          <w:noProof/>
        </w:rPr>
        <w:t>dro</w:t>
      </w:r>
      <w:r w:rsidR="003F7783" w:rsidRPr="00882905">
        <w:rPr>
          <w:noProof/>
        </w:rPr>
        <w:t>dze rozporządzenia przyjętego zgodnie</w:t>
      </w:r>
      <w:r w:rsidR="00AF2AE5" w:rsidRPr="00882905">
        <w:rPr>
          <w:noProof/>
        </w:rPr>
        <w:t xml:space="preserve"> z</w:t>
      </w:r>
      <w:r w:rsidR="00AF2AE5">
        <w:rPr>
          <w:noProof/>
        </w:rPr>
        <w:t> </w:t>
      </w:r>
      <w:r w:rsidR="00AF2AE5" w:rsidRPr="00882905">
        <w:rPr>
          <w:noProof/>
        </w:rPr>
        <w:t>pro</w:t>
      </w:r>
      <w:r w:rsidR="003F7783" w:rsidRPr="00882905">
        <w:rPr>
          <w:noProof/>
        </w:rPr>
        <w:t>cedurą określoną</w:t>
      </w:r>
      <w:r w:rsidR="00AF2AE5" w:rsidRPr="00882905">
        <w:rPr>
          <w:noProof/>
        </w:rPr>
        <w:t xml:space="preserve"> w</w:t>
      </w:r>
      <w:r w:rsidR="00AF2AE5">
        <w:rPr>
          <w:noProof/>
        </w:rPr>
        <w:t> </w:t>
      </w:r>
      <w:r w:rsidR="00AF2AE5" w:rsidRPr="00AF2AE5">
        <w:rPr>
          <w:noProof/>
        </w:rPr>
        <w:t>art</w:t>
      </w:r>
      <w:r w:rsidR="003F7783" w:rsidRPr="00AF2AE5">
        <w:rPr>
          <w:noProof/>
        </w:rPr>
        <w:t>.</w:t>
      </w:r>
      <w:r w:rsidR="00AF2AE5" w:rsidRPr="00AF2AE5">
        <w:rPr>
          <w:noProof/>
        </w:rPr>
        <w:t> </w:t>
      </w:r>
      <w:r w:rsidR="003F7783" w:rsidRPr="00AF2AE5">
        <w:rPr>
          <w:noProof/>
        </w:rPr>
        <w:t>3</w:t>
      </w:r>
      <w:r w:rsidR="003F7783" w:rsidRPr="00882905">
        <w:rPr>
          <w:noProof/>
        </w:rPr>
        <w:t>11 akapit czwarty TFUE, nadzwyczajne pożyczki</w:t>
      </w:r>
      <w:r w:rsidR="00AF2AE5" w:rsidRPr="00882905">
        <w:rPr>
          <w:noProof/>
        </w:rPr>
        <w:t xml:space="preserve"> w</w:t>
      </w:r>
      <w:r w:rsidR="00AF2AE5">
        <w:rPr>
          <w:noProof/>
        </w:rPr>
        <w:t> </w:t>
      </w:r>
      <w:r w:rsidR="00AF2AE5" w:rsidRPr="00882905">
        <w:rPr>
          <w:noProof/>
        </w:rPr>
        <w:t>wył</w:t>
      </w:r>
      <w:r w:rsidR="003F7783" w:rsidRPr="00882905">
        <w:rPr>
          <w:noProof/>
        </w:rPr>
        <w:t>ącznym celu zaradzenia skutkom takiej sytuacji.</w:t>
      </w:r>
    </w:p>
    <w:p w14:paraId="60D76F22" w14:textId="35A83D1E" w:rsidR="003F7783" w:rsidRPr="00882905" w:rsidRDefault="00EE785B" w:rsidP="00EE785B">
      <w:pPr>
        <w:pStyle w:val="ManualNumPar1"/>
        <w:rPr>
          <w:noProof/>
        </w:rPr>
      </w:pPr>
      <w:r w:rsidRPr="00EE785B">
        <w:rPr>
          <w:noProof/>
        </w:rPr>
        <w:t>2.</w:t>
      </w:r>
      <w:r w:rsidRPr="00EE785B">
        <w:rPr>
          <w:noProof/>
        </w:rPr>
        <w:tab/>
      </w:r>
      <w:r w:rsidR="003F7783" w:rsidRPr="00882905">
        <w:rPr>
          <w:noProof/>
        </w:rPr>
        <w:t>W ramach ogólnego limitu kwot,</w:t>
      </w:r>
      <w:r w:rsidR="00AF2AE5" w:rsidRPr="00882905">
        <w:rPr>
          <w:noProof/>
        </w:rPr>
        <w:t xml:space="preserve"> o</w:t>
      </w:r>
      <w:r w:rsidR="00AF2AE5">
        <w:rPr>
          <w:noProof/>
        </w:rPr>
        <w:t> </w:t>
      </w:r>
      <w:r w:rsidR="00AF2AE5" w:rsidRPr="00882905">
        <w:rPr>
          <w:noProof/>
        </w:rPr>
        <w:t>któ</w:t>
      </w:r>
      <w:r w:rsidR="003F7783" w:rsidRPr="00882905">
        <w:rPr>
          <w:noProof/>
        </w:rPr>
        <w:t>rym mowa</w:t>
      </w:r>
      <w:r w:rsidR="00AF2AE5" w:rsidRPr="00882905">
        <w:rPr>
          <w:noProof/>
        </w:rPr>
        <w:t xml:space="preserve"> w</w:t>
      </w:r>
      <w:r w:rsidR="00AF2AE5">
        <w:rPr>
          <w:noProof/>
        </w:rPr>
        <w:t> </w:t>
      </w:r>
      <w:r w:rsidR="00AF2AE5" w:rsidRPr="00AF2AE5">
        <w:rPr>
          <w:noProof/>
        </w:rPr>
        <w:t>art</w:t>
      </w:r>
      <w:r w:rsidR="003F7783" w:rsidRPr="00AF2AE5">
        <w:rPr>
          <w:noProof/>
        </w:rPr>
        <w:t>.</w:t>
      </w:r>
      <w:r w:rsidR="00AF2AE5" w:rsidRPr="00AF2AE5">
        <w:rPr>
          <w:noProof/>
        </w:rPr>
        <w:t> </w:t>
      </w:r>
      <w:r w:rsidR="003F7783" w:rsidRPr="00AF2AE5">
        <w:rPr>
          <w:noProof/>
        </w:rPr>
        <w:t>7</w:t>
      </w:r>
      <w:r w:rsidR="003F7783" w:rsidRPr="00882905">
        <w:rPr>
          <w:noProof/>
        </w:rPr>
        <w:t>, rozporządzeniem Rady można zezwolić na pożyczanie środków finansowych na pożyczki dla państw członkowskich, pod warunkiem że odpowiednie umowy pożyczki wejdą</w:t>
      </w:r>
      <w:r w:rsidR="00AF2AE5" w:rsidRPr="00882905">
        <w:rPr>
          <w:noProof/>
        </w:rPr>
        <w:t xml:space="preserve"> w</w:t>
      </w:r>
      <w:r w:rsidR="00AF2AE5">
        <w:rPr>
          <w:noProof/>
        </w:rPr>
        <w:t> </w:t>
      </w:r>
      <w:r w:rsidR="00AF2AE5" w:rsidRPr="00882905">
        <w:rPr>
          <w:noProof/>
        </w:rPr>
        <w:t>życ</w:t>
      </w:r>
      <w:r w:rsidR="003F7783" w:rsidRPr="00882905">
        <w:rPr>
          <w:noProof/>
        </w:rPr>
        <w:t>ie między 1 stycznia 20</w:t>
      </w:r>
      <w:r w:rsidR="003F7783" w:rsidRPr="00AF2AE5">
        <w:rPr>
          <w:noProof/>
        </w:rPr>
        <w:t>28</w:t>
      </w:r>
      <w:r w:rsidR="00AF2AE5" w:rsidRPr="00AF2AE5">
        <w:rPr>
          <w:noProof/>
        </w:rPr>
        <w:t> </w:t>
      </w:r>
      <w:r w:rsidR="003F7783" w:rsidRPr="00AF2AE5">
        <w:rPr>
          <w:noProof/>
        </w:rPr>
        <w:t>r.</w:t>
      </w:r>
      <w:r w:rsidR="00AF2AE5" w:rsidRPr="00882905">
        <w:rPr>
          <w:noProof/>
        </w:rPr>
        <w:t xml:space="preserve"> a</w:t>
      </w:r>
      <w:r w:rsidR="00AF2AE5">
        <w:rPr>
          <w:noProof/>
        </w:rPr>
        <w:t> </w:t>
      </w:r>
      <w:r w:rsidR="00AF2AE5" w:rsidRPr="00882905">
        <w:rPr>
          <w:noProof/>
        </w:rPr>
        <w:t>3</w:t>
      </w:r>
      <w:r w:rsidR="003F7783" w:rsidRPr="00882905">
        <w:rPr>
          <w:noProof/>
        </w:rPr>
        <w:t>1 grudnia 20</w:t>
      </w:r>
      <w:r w:rsidR="003F7783" w:rsidRPr="00AF2AE5">
        <w:rPr>
          <w:noProof/>
        </w:rPr>
        <w:t>34</w:t>
      </w:r>
      <w:r w:rsidR="00AF2AE5" w:rsidRPr="00AF2AE5">
        <w:rPr>
          <w:noProof/>
        </w:rPr>
        <w:t> </w:t>
      </w:r>
      <w:r w:rsidR="003F7783" w:rsidRPr="00AF2AE5">
        <w:rPr>
          <w:noProof/>
        </w:rPr>
        <w:t>r.</w:t>
      </w:r>
    </w:p>
    <w:p w14:paraId="43CF675C" w14:textId="4470C7A7" w:rsidR="641E316D" w:rsidRPr="00882905" w:rsidRDefault="00EE785B" w:rsidP="00EE785B">
      <w:pPr>
        <w:pStyle w:val="ManualNumPar1"/>
        <w:rPr>
          <w:noProof/>
        </w:rPr>
      </w:pPr>
      <w:r w:rsidRPr="00EE785B">
        <w:rPr>
          <w:noProof/>
        </w:rPr>
        <w:t>3.</w:t>
      </w:r>
      <w:r w:rsidRPr="00EE785B">
        <w:rPr>
          <w:noProof/>
        </w:rPr>
        <w:tab/>
      </w:r>
      <w:r w:rsidR="00E35532" w:rsidRPr="00882905">
        <w:rPr>
          <w:noProof/>
        </w:rPr>
        <w:t>Procedury ustanowionej</w:t>
      </w:r>
      <w:r w:rsidR="00AF2AE5" w:rsidRPr="00882905">
        <w:rPr>
          <w:noProof/>
        </w:rPr>
        <w:t xml:space="preserve"> w</w:t>
      </w:r>
      <w:r w:rsidR="00AF2AE5">
        <w:rPr>
          <w:noProof/>
        </w:rPr>
        <w:t> </w:t>
      </w:r>
      <w:r w:rsidR="00AF2AE5" w:rsidRPr="00AF2AE5">
        <w:rPr>
          <w:noProof/>
        </w:rPr>
        <w:t>ust</w:t>
      </w:r>
      <w:r w:rsidR="00E35532" w:rsidRPr="00AF2AE5">
        <w:rPr>
          <w:noProof/>
        </w:rPr>
        <w:t>.</w:t>
      </w:r>
      <w:r w:rsidR="00AF2AE5" w:rsidRPr="00AF2AE5">
        <w:rPr>
          <w:noProof/>
        </w:rPr>
        <w:t> </w:t>
      </w:r>
      <w:r w:rsidR="00E35532" w:rsidRPr="00AF2AE5">
        <w:rPr>
          <w:noProof/>
        </w:rPr>
        <w:t>1</w:t>
      </w:r>
      <w:r w:rsidR="00E35532" w:rsidRPr="00882905">
        <w:rPr>
          <w:noProof/>
        </w:rPr>
        <w:t xml:space="preserve"> nie należy uruchamiać,</w:t>
      </w:r>
      <w:r w:rsidR="00AF2AE5" w:rsidRPr="00882905">
        <w:rPr>
          <w:noProof/>
        </w:rPr>
        <w:t xml:space="preserve"> w</w:t>
      </w:r>
      <w:r w:rsidR="00AF2AE5">
        <w:rPr>
          <w:noProof/>
        </w:rPr>
        <w:t> </w:t>
      </w:r>
      <w:r w:rsidR="00AF2AE5" w:rsidRPr="00882905">
        <w:rPr>
          <w:noProof/>
        </w:rPr>
        <w:t>prz</w:t>
      </w:r>
      <w:r w:rsidR="00E35532" w:rsidRPr="00882905">
        <w:rPr>
          <w:noProof/>
        </w:rPr>
        <w:t>ypadku gdy programy unijne już odpowiednio przeciwdziałają skutkom danej sytuacji.</w:t>
      </w:r>
    </w:p>
    <w:p w14:paraId="06BCFF81" w14:textId="0983E698" w:rsidR="009E3684" w:rsidRPr="00882905" w:rsidRDefault="009E3684" w:rsidP="009E3684">
      <w:pPr>
        <w:pStyle w:val="Titrearticle"/>
        <w:rPr>
          <w:b/>
          <w:bCs/>
          <w:noProof/>
        </w:rPr>
      </w:pPr>
      <w:r w:rsidRPr="00882905">
        <w:rPr>
          <w:noProof/>
        </w:rPr>
        <w:t>Artykuł 7</w:t>
      </w:r>
      <w:r w:rsidRPr="00882905">
        <w:rPr>
          <w:noProof/>
        </w:rPr>
        <w:br/>
      </w:r>
      <w:r w:rsidRPr="00882905">
        <w:rPr>
          <w:b/>
          <w:noProof/>
        </w:rPr>
        <w:t>Maksymalna kwota pożyczek nadzwyczajnych</w:t>
      </w:r>
      <w:r w:rsidR="00AF2AE5" w:rsidRPr="00882905">
        <w:rPr>
          <w:b/>
          <w:noProof/>
        </w:rPr>
        <w:t xml:space="preserve"> w</w:t>
      </w:r>
      <w:r w:rsidR="00AF2AE5">
        <w:rPr>
          <w:b/>
          <w:noProof/>
        </w:rPr>
        <w:t> </w:t>
      </w:r>
      <w:r w:rsidR="00AF2AE5" w:rsidRPr="00882905">
        <w:rPr>
          <w:b/>
          <w:noProof/>
        </w:rPr>
        <w:t>cel</w:t>
      </w:r>
      <w:r w:rsidRPr="00882905">
        <w:rPr>
          <w:b/>
          <w:noProof/>
        </w:rPr>
        <w:t>u zaradzenia skutkom poważnych kryzysów, poważnych trudności lub poważnego zagrożenia nimi</w:t>
      </w:r>
      <w:r w:rsidR="00AF2AE5" w:rsidRPr="00882905">
        <w:rPr>
          <w:b/>
          <w:noProof/>
        </w:rPr>
        <w:t xml:space="preserve"> w</w:t>
      </w:r>
      <w:r w:rsidR="00AF2AE5">
        <w:rPr>
          <w:b/>
          <w:noProof/>
        </w:rPr>
        <w:t> </w:t>
      </w:r>
      <w:r w:rsidR="00AF2AE5" w:rsidRPr="00882905">
        <w:rPr>
          <w:b/>
          <w:noProof/>
        </w:rPr>
        <w:t>lat</w:t>
      </w:r>
      <w:r w:rsidRPr="00882905">
        <w:rPr>
          <w:b/>
          <w:noProof/>
        </w:rPr>
        <w:t>ach 2028–2034</w:t>
      </w:r>
    </w:p>
    <w:p w14:paraId="1BA2AB7E" w14:textId="151AE931" w:rsidR="00A03EA4" w:rsidRPr="00882905" w:rsidRDefault="00EE785B" w:rsidP="00EE785B">
      <w:pPr>
        <w:pStyle w:val="ManualNumPar1"/>
        <w:rPr>
          <w:noProof/>
        </w:rPr>
      </w:pPr>
      <w:r w:rsidRPr="00EE785B">
        <w:rPr>
          <w:noProof/>
        </w:rPr>
        <w:t>1.</w:t>
      </w:r>
      <w:r w:rsidRPr="00EE785B">
        <w:rPr>
          <w:noProof/>
        </w:rPr>
        <w:tab/>
      </w:r>
      <w:r w:rsidR="00A03EA4" w:rsidRPr="00882905">
        <w:rPr>
          <w:noProof/>
        </w:rPr>
        <w:t>Komisja jest uprawniona do pożyczania środków finansowych na rynkach kapitałowych</w:t>
      </w:r>
      <w:r w:rsidR="00AF2AE5" w:rsidRPr="00882905">
        <w:rPr>
          <w:noProof/>
        </w:rPr>
        <w:t xml:space="preserve"> w</w:t>
      </w:r>
      <w:r w:rsidR="00AF2AE5">
        <w:rPr>
          <w:noProof/>
        </w:rPr>
        <w:t> </w:t>
      </w:r>
      <w:r w:rsidR="00AF2AE5" w:rsidRPr="00882905">
        <w:rPr>
          <w:noProof/>
        </w:rPr>
        <w:t>imi</w:t>
      </w:r>
      <w:r w:rsidR="00A03EA4" w:rsidRPr="00882905">
        <w:rPr>
          <w:noProof/>
        </w:rPr>
        <w:t>eniu Unii, pod warunkiem że spełnione są warunki,</w:t>
      </w:r>
      <w:r w:rsidR="00AF2AE5" w:rsidRPr="00882905">
        <w:rPr>
          <w:noProof/>
        </w:rPr>
        <w:t xml:space="preserve"> o</w:t>
      </w:r>
      <w:r w:rsidR="00AF2AE5">
        <w:rPr>
          <w:noProof/>
        </w:rPr>
        <w:t> </w:t>
      </w:r>
      <w:r w:rsidR="00AF2AE5" w:rsidRPr="00882905">
        <w:rPr>
          <w:noProof/>
        </w:rPr>
        <w:t>któ</w:t>
      </w:r>
      <w:r w:rsidR="00A03EA4" w:rsidRPr="00882905">
        <w:rPr>
          <w:noProof/>
        </w:rPr>
        <w:t>rych mowa</w:t>
      </w:r>
      <w:r w:rsidR="00AF2AE5" w:rsidRPr="00882905">
        <w:rPr>
          <w:noProof/>
        </w:rPr>
        <w:t xml:space="preserve"> w</w:t>
      </w:r>
      <w:r w:rsidR="00AF2AE5">
        <w:rPr>
          <w:noProof/>
        </w:rPr>
        <w:t> </w:t>
      </w:r>
      <w:r w:rsidR="00AF2AE5" w:rsidRPr="00AF2AE5">
        <w:rPr>
          <w:noProof/>
        </w:rPr>
        <w:t>art</w:t>
      </w:r>
      <w:r w:rsidR="00A03EA4" w:rsidRPr="00AF2AE5">
        <w:rPr>
          <w:noProof/>
        </w:rPr>
        <w:t>.</w:t>
      </w:r>
      <w:r w:rsidR="00AF2AE5" w:rsidRPr="00AF2AE5">
        <w:rPr>
          <w:noProof/>
        </w:rPr>
        <w:t> </w:t>
      </w:r>
      <w:r w:rsidR="00A03EA4" w:rsidRPr="00AF2AE5">
        <w:rPr>
          <w:noProof/>
        </w:rPr>
        <w:t>6</w:t>
      </w:r>
      <w:r w:rsidR="00A03EA4" w:rsidRPr="00882905">
        <w:rPr>
          <w:noProof/>
        </w:rPr>
        <w:t>,</w:t>
      </w:r>
      <w:r w:rsidR="00AF2AE5" w:rsidRPr="00882905">
        <w:rPr>
          <w:noProof/>
        </w:rPr>
        <w:t xml:space="preserve"> i</w:t>
      </w:r>
      <w:r w:rsidR="00AF2AE5">
        <w:rPr>
          <w:noProof/>
        </w:rPr>
        <w:t> </w:t>
      </w:r>
      <w:r w:rsidR="00AF2AE5" w:rsidRPr="00882905">
        <w:rPr>
          <w:noProof/>
        </w:rPr>
        <w:t>w</w:t>
      </w:r>
      <w:r w:rsidR="00AF2AE5">
        <w:rPr>
          <w:noProof/>
        </w:rPr>
        <w:t> </w:t>
      </w:r>
      <w:r w:rsidR="00AF2AE5" w:rsidRPr="00882905">
        <w:rPr>
          <w:noProof/>
        </w:rPr>
        <w:t>gra</w:t>
      </w:r>
      <w:r w:rsidR="00A03EA4" w:rsidRPr="00882905">
        <w:rPr>
          <w:noProof/>
        </w:rPr>
        <w:t>nicach określonych</w:t>
      </w:r>
      <w:r w:rsidR="00AF2AE5" w:rsidRPr="00882905">
        <w:rPr>
          <w:noProof/>
        </w:rPr>
        <w:t xml:space="preserve"> w</w:t>
      </w:r>
      <w:r w:rsidR="00AF2AE5">
        <w:rPr>
          <w:noProof/>
        </w:rPr>
        <w:t> </w:t>
      </w:r>
      <w:r w:rsidR="00AF2AE5" w:rsidRPr="00AF2AE5">
        <w:rPr>
          <w:noProof/>
        </w:rPr>
        <w:t>ust</w:t>
      </w:r>
      <w:r w:rsidR="00A03EA4" w:rsidRPr="00AF2AE5">
        <w:rPr>
          <w:noProof/>
        </w:rPr>
        <w:t>.</w:t>
      </w:r>
      <w:r w:rsidR="00AF2AE5" w:rsidRPr="00AF2AE5">
        <w:rPr>
          <w:noProof/>
        </w:rPr>
        <w:t> </w:t>
      </w:r>
      <w:r w:rsidR="00A03EA4" w:rsidRPr="00AF2AE5">
        <w:rPr>
          <w:noProof/>
        </w:rPr>
        <w:t>2</w:t>
      </w:r>
      <w:r w:rsidR="00A03EA4" w:rsidRPr="00882905">
        <w:rPr>
          <w:noProof/>
        </w:rPr>
        <w:t xml:space="preserve"> niniejszego artykułu. Operacje zaciągania pożyczek przeprowadza się zgodnie</w:t>
      </w:r>
      <w:r w:rsidR="00AF2AE5" w:rsidRPr="00882905">
        <w:rPr>
          <w:noProof/>
        </w:rPr>
        <w:t xml:space="preserve"> z</w:t>
      </w:r>
      <w:r w:rsidR="00AF2AE5">
        <w:rPr>
          <w:noProof/>
        </w:rPr>
        <w:t> </w:t>
      </w:r>
      <w:r w:rsidR="00AF2AE5" w:rsidRPr="00AF2AE5">
        <w:rPr>
          <w:noProof/>
        </w:rPr>
        <w:t>art</w:t>
      </w:r>
      <w:r w:rsidR="00A03EA4" w:rsidRPr="00AF2AE5">
        <w:rPr>
          <w:noProof/>
        </w:rPr>
        <w:t>.</w:t>
      </w:r>
      <w:r w:rsidR="00AF2AE5" w:rsidRPr="00AF2AE5">
        <w:rPr>
          <w:noProof/>
        </w:rPr>
        <w:t> </w:t>
      </w:r>
      <w:r w:rsidR="00A03EA4" w:rsidRPr="00AF2AE5">
        <w:rPr>
          <w:noProof/>
        </w:rPr>
        <w:t>2</w:t>
      </w:r>
      <w:r w:rsidR="00A03EA4" w:rsidRPr="00882905">
        <w:rPr>
          <w:noProof/>
        </w:rPr>
        <w:t>24 rozporządzenia (UE, Euratom) 2024/2509</w:t>
      </w:r>
      <w:r w:rsidR="00AF2AE5" w:rsidRPr="00882905">
        <w:rPr>
          <w:noProof/>
        </w:rPr>
        <w:t xml:space="preserve"> i</w:t>
      </w:r>
      <w:r w:rsidR="00AF2AE5">
        <w:rPr>
          <w:noProof/>
        </w:rPr>
        <w:t> </w:t>
      </w:r>
      <w:r w:rsidR="00AF2AE5" w:rsidRPr="00882905">
        <w:rPr>
          <w:noProof/>
        </w:rPr>
        <w:t>w</w:t>
      </w:r>
      <w:r w:rsidR="00AF2AE5">
        <w:rPr>
          <w:noProof/>
        </w:rPr>
        <w:t> </w:t>
      </w:r>
      <w:r w:rsidR="00AF2AE5" w:rsidRPr="00882905">
        <w:rPr>
          <w:noProof/>
        </w:rPr>
        <w:t>eur</w:t>
      </w:r>
      <w:r w:rsidR="00A03EA4" w:rsidRPr="00882905">
        <w:rPr>
          <w:noProof/>
        </w:rPr>
        <w:t>o.</w:t>
      </w:r>
    </w:p>
    <w:p w14:paraId="068222F8" w14:textId="7BBCCD3F" w:rsidR="0029658F" w:rsidRPr="00882905" w:rsidRDefault="00EE785B" w:rsidP="00EE785B">
      <w:pPr>
        <w:pStyle w:val="ManualNumPar1"/>
        <w:rPr>
          <w:noProof/>
        </w:rPr>
      </w:pPr>
      <w:r w:rsidRPr="00EE785B">
        <w:rPr>
          <w:noProof/>
        </w:rPr>
        <w:t>2.</w:t>
      </w:r>
      <w:r w:rsidRPr="00EE785B">
        <w:rPr>
          <w:noProof/>
        </w:rPr>
        <w:tab/>
      </w:r>
      <w:r w:rsidR="00A03EA4" w:rsidRPr="00882905">
        <w:rPr>
          <w:noProof/>
        </w:rPr>
        <w:t>Suma pozostających do spłaty kwot głównych, do których pożyczania na rynkach kapitałowych może być upoważniona Komisja na potrzeby takiego finansowania, jest ograniczona do kwoty, która</w:t>
      </w:r>
      <w:r w:rsidR="00AF2AE5" w:rsidRPr="00882905">
        <w:rPr>
          <w:noProof/>
        </w:rPr>
        <w:t xml:space="preserve"> w</w:t>
      </w:r>
      <w:r w:rsidR="00AF2AE5">
        <w:rPr>
          <w:noProof/>
        </w:rPr>
        <w:t> </w:t>
      </w:r>
      <w:r w:rsidR="00AF2AE5" w:rsidRPr="00882905">
        <w:rPr>
          <w:noProof/>
        </w:rPr>
        <w:t>świ</w:t>
      </w:r>
      <w:r w:rsidR="00A03EA4" w:rsidRPr="00882905">
        <w:rPr>
          <w:noProof/>
        </w:rPr>
        <w:t>etle prognozowanej wieloletniej ewolucji zobowiązań warunkowych wynikających</w:t>
      </w:r>
      <w:r w:rsidR="00AF2AE5" w:rsidRPr="00882905">
        <w:rPr>
          <w:noProof/>
        </w:rPr>
        <w:t xml:space="preserve"> z</w:t>
      </w:r>
      <w:r w:rsidR="00AF2AE5">
        <w:rPr>
          <w:noProof/>
        </w:rPr>
        <w:t> </w:t>
      </w:r>
      <w:r w:rsidR="00AF2AE5" w:rsidRPr="00882905">
        <w:rPr>
          <w:noProof/>
        </w:rPr>
        <w:t>poż</w:t>
      </w:r>
      <w:r w:rsidR="00A03EA4" w:rsidRPr="00882905">
        <w:rPr>
          <w:noProof/>
        </w:rPr>
        <w:t>yczek zaciągniętych przez Komisję</w:t>
      </w:r>
      <w:r w:rsidR="00AF2AE5" w:rsidRPr="00882905">
        <w:rPr>
          <w:noProof/>
        </w:rPr>
        <w:t xml:space="preserve"> w</w:t>
      </w:r>
      <w:r w:rsidR="00AF2AE5">
        <w:rPr>
          <w:noProof/>
        </w:rPr>
        <w:t> </w:t>
      </w:r>
      <w:r w:rsidR="00AF2AE5" w:rsidRPr="00882905">
        <w:rPr>
          <w:noProof/>
        </w:rPr>
        <w:t>imi</w:t>
      </w:r>
      <w:r w:rsidR="00A03EA4" w:rsidRPr="00882905">
        <w:rPr>
          <w:noProof/>
        </w:rPr>
        <w:t>eniu Unii jest zgodna</w:t>
      </w:r>
      <w:r w:rsidR="00AF2AE5" w:rsidRPr="00882905">
        <w:rPr>
          <w:noProof/>
        </w:rPr>
        <w:t xml:space="preserve"> z</w:t>
      </w:r>
      <w:r w:rsidR="00AF2AE5">
        <w:rPr>
          <w:noProof/>
        </w:rPr>
        <w:t> </w:t>
      </w:r>
      <w:r w:rsidR="00AF2AE5" w:rsidRPr="00882905">
        <w:rPr>
          <w:noProof/>
        </w:rPr>
        <w:t>puł</w:t>
      </w:r>
      <w:r w:rsidR="00A03EA4" w:rsidRPr="00882905">
        <w:rPr>
          <w:noProof/>
        </w:rPr>
        <w:t>apem określonym</w:t>
      </w:r>
      <w:r w:rsidR="00AF2AE5" w:rsidRPr="00882905">
        <w:rPr>
          <w:noProof/>
        </w:rPr>
        <w:t xml:space="preserve"> w</w:t>
      </w:r>
      <w:r w:rsidR="00AF2AE5">
        <w:rPr>
          <w:noProof/>
        </w:rPr>
        <w:t> </w:t>
      </w:r>
      <w:r w:rsidR="00AF2AE5" w:rsidRPr="00AF2AE5">
        <w:rPr>
          <w:noProof/>
        </w:rPr>
        <w:t>art</w:t>
      </w:r>
      <w:r w:rsidR="00A03EA4" w:rsidRPr="00AF2AE5">
        <w:rPr>
          <w:noProof/>
        </w:rPr>
        <w:t>.</w:t>
      </w:r>
      <w:r w:rsidR="00AF2AE5" w:rsidRPr="00AF2AE5">
        <w:rPr>
          <w:noProof/>
        </w:rPr>
        <w:t> </w:t>
      </w:r>
      <w:r w:rsidR="00A03EA4" w:rsidRPr="00AF2AE5">
        <w:rPr>
          <w:noProof/>
        </w:rPr>
        <w:t>8</w:t>
      </w:r>
      <w:r w:rsidR="00A03EA4" w:rsidRPr="00882905">
        <w:rPr>
          <w:noProof/>
        </w:rPr>
        <w:t>.</w:t>
      </w:r>
    </w:p>
    <w:p w14:paraId="49842CB4" w14:textId="4A9840AB" w:rsidR="00D41E20" w:rsidRPr="00882905" w:rsidRDefault="00D41E20" w:rsidP="00D41E20">
      <w:pPr>
        <w:pStyle w:val="Titrearticle"/>
        <w:rPr>
          <w:i w:val="0"/>
          <w:iCs/>
          <w:noProof/>
        </w:rPr>
      </w:pPr>
      <w:r w:rsidRPr="00882905">
        <w:rPr>
          <w:noProof/>
        </w:rPr>
        <w:t>Artykuł 8</w:t>
      </w:r>
      <w:r w:rsidRPr="00882905">
        <w:rPr>
          <w:noProof/>
        </w:rPr>
        <w:br/>
      </w:r>
      <w:r w:rsidRPr="00882905">
        <w:rPr>
          <w:b/>
          <w:noProof/>
        </w:rPr>
        <w:t>Nadzwyczajne</w:t>
      </w:r>
      <w:r w:rsidR="00AF2AE5" w:rsidRPr="00882905">
        <w:rPr>
          <w:b/>
          <w:noProof/>
        </w:rPr>
        <w:t xml:space="preserve"> i</w:t>
      </w:r>
      <w:r w:rsidR="00AF2AE5">
        <w:rPr>
          <w:b/>
          <w:noProof/>
        </w:rPr>
        <w:t> </w:t>
      </w:r>
      <w:r w:rsidR="00AF2AE5" w:rsidRPr="00882905">
        <w:rPr>
          <w:b/>
          <w:noProof/>
        </w:rPr>
        <w:t>tym</w:t>
      </w:r>
      <w:r w:rsidRPr="00882905">
        <w:rPr>
          <w:b/>
          <w:noProof/>
        </w:rPr>
        <w:t>czasowe podwyższenie pułapów zasobów własnych</w:t>
      </w:r>
    </w:p>
    <w:p w14:paraId="6EB3E076" w14:textId="3EA30818" w:rsidR="00784620" w:rsidRPr="00882905" w:rsidRDefault="7E92D280" w:rsidP="00784620">
      <w:pPr>
        <w:rPr>
          <w:noProof/>
        </w:rPr>
      </w:pPr>
      <w:r w:rsidRPr="00882905">
        <w:rPr>
          <w:noProof/>
        </w:rPr>
        <w:t>Każdy</w:t>
      </w:r>
      <w:r w:rsidR="00AF2AE5" w:rsidRPr="00882905">
        <w:rPr>
          <w:noProof/>
        </w:rPr>
        <w:t xml:space="preserve"> z</w:t>
      </w:r>
      <w:r w:rsidR="00AF2AE5">
        <w:rPr>
          <w:noProof/>
        </w:rPr>
        <w:t> </w:t>
      </w:r>
      <w:r w:rsidR="00AF2AE5" w:rsidRPr="00882905">
        <w:rPr>
          <w:noProof/>
        </w:rPr>
        <w:t>puł</w:t>
      </w:r>
      <w:r w:rsidRPr="00882905">
        <w:rPr>
          <w:noProof/>
        </w:rPr>
        <w:t>apów określonych</w:t>
      </w:r>
      <w:r w:rsidR="00AF2AE5" w:rsidRPr="00882905">
        <w:rPr>
          <w:noProof/>
        </w:rPr>
        <w:t xml:space="preserve"> w</w:t>
      </w:r>
      <w:r w:rsidR="00AF2AE5">
        <w:rPr>
          <w:noProof/>
        </w:rPr>
        <w:t> </w:t>
      </w:r>
      <w:r w:rsidR="00AF2AE5" w:rsidRPr="00AF2AE5">
        <w:rPr>
          <w:noProof/>
        </w:rPr>
        <w:t>art</w:t>
      </w:r>
      <w:r w:rsidRPr="00AF2AE5">
        <w:rPr>
          <w:noProof/>
        </w:rPr>
        <w:t>.</w:t>
      </w:r>
      <w:r w:rsidR="00AF2AE5" w:rsidRPr="00AF2AE5">
        <w:rPr>
          <w:noProof/>
        </w:rPr>
        <w:t> </w:t>
      </w:r>
      <w:r w:rsidRPr="00AF2AE5">
        <w:rPr>
          <w:noProof/>
        </w:rPr>
        <w:t>4</w:t>
      </w:r>
      <w:r w:rsidRPr="00882905">
        <w:rPr>
          <w:noProof/>
        </w:rPr>
        <w:t xml:space="preserve"> </w:t>
      </w:r>
      <w:r w:rsidRPr="00AF2AE5">
        <w:rPr>
          <w:noProof/>
        </w:rPr>
        <w:t>ust.</w:t>
      </w:r>
      <w:r w:rsidR="00AF2AE5" w:rsidRPr="00AF2AE5">
        <w:rPr>
          <w:noProof/>
        </w:rPr>
        <w:t> </w:t>
      </w:r>
      <w:r w:rsidRPr="00AF2AE5">
        <w:rPr>
          <w:noProof/>
        </w:rPr>
        <w:t>1</w:t>
      </w:r>
      <w:r w:rsidR="00AF2AE5" w:rsidRPr="00882905">
        <w:rPr>
          <w:noProof/>
        </w:rPr>
        <w:t xml:space="preserve"> i</w:t>
      </w:r>
      <w:r w:rsidR="00AF2AE5">
        <w:rPr>
          <w:noProof/>
        </w:rPr>
        <w:t> </w:t>
      </w:r>
      <w:r w:rsidR="00AF2AE5" w:rsidRPr="00882905">
        <w:rPr>
          <w:noProof/>
        </w:rPr>
        <w:t>2</w:t>
      </w:r>
      <w:r w:rsidRPr="00882905">
        <w:rPr>
          <w:noProof/>
        </w:rPr>
        <w:t xml:space="preserve"> zostaje tymczasowo podwyższony</w:t>
      </w:r>
      <w:r w:rsidR="00AF2AE5" w:rsidRPr="00882905">
        <w:rPr>
          <w:noProof/>
        </w:rPr>
        <w:t xml:space="preserve"> o</w:t>
      </w:r>
      <w:r w:rsidR="00AF2AE5">
        <w:rPr>
          <w:noProof/>
        </w:rPr>
        <w:t> </w:t>
      </w:r>
      <w:r w:rsidR="00AF2AE5" w:rsidRPr="00882905">
        <w:rPr>
          <w:noProof/>
        </w:rPr>
        <w:t>0</w:t>
      </w:r>
      <w:r w:rsidRPr="00882905">
        <w:rPr>
          <w:noProof/>
        </w:rPr>
        <w:t>,25 punktu procentowego</w:t>
      </w:r>
      <w:r w:rsidR="00AF2AE5" w:rsidRPr="00882905">
        <w:rPr>
          <w:noProof/>
        </w:rPr>
        <w:t xml:space="preserve"> w</w:t>
      </w:r>
      <w:r w:rsidR="00AF2AE5">
        <w:rPr>
          <w:noProof/>
        </w:rPr>
        <w:t> </w:t>
      </w:r>
      <w:r w:rsidR="00AF2AE5" w:rsidRPr="00882905">
        <w:rPr>
          <w:noProof/>
        </w:rPr>
        <w:t>wył</w:t>
      </w:r>
      <w:r w:rsidRPr="00882905">
        <w:rPr>
          <w:noProof/>
        </w:rPr>
        <w:t>ącznym celu pokrycia wszystkich zobowiązań Unii wynikających</w:t>
      </w:r>
      <w:r w:rsidR="00AF2AE5" w:rsidRPr="00882905">
        <w:rPr>
          <w:noProof/>
        </w:rPr>
        <w:t xml:space="preserve"> z</w:t>
      </w:r>
      <w:r w:rsidR="00AF2AE5">
        <w:rPr>
          <w:noProof/>
        </w:rPr>
        <w:t> </w:t>
      </w:r>
      <w:r w:rsidR="00AF2AE5" w:rsidRPr="00882905">
        <w:rPr>
          <w:noProof/>
        </w:rPr>
        <w:t>poż</w:t>
      </w:r>
      <w:r w:rsidRPr="00882905">
        <w:rPr>
          <w:noProof/>
        </w:rPr>
        <w:t>yczania środków finansowych na pożyczki,</w:t>
      </w:r>
      <w:r w:rsidR="00AF2AE5" w:rsidRPr="00882905">
        <w:rPr>
          <w:noProof/>
        </w:rPr>
        <w:t xml:space="preserve"> o</w:t>
      </w:r>
      <w:r w:rsidR="00AF2AE5">
        <w:rPr>
          <w:noProof/>
        </w:rPr>
        <w:t> </w:t>
      </w:r>
      <w:r w:rsidR="00AF2AE5" w:rsidRPr="00882905">
        <w:rPr>
          <w:noProof/>
        </w:rPr>
        <w:t>któ</w:t>
      </w:r>
      <w:r w:rsidRPr="00882905">
        <w:rPr>
          <w:noProof/>
        </w:rPr>
        <w:t>rym mowa</w:t>
      </w:r>
      <w:r w:rsidR="00AF2AE5" w:rsidRPr="00882905">
        <w:rPr>
          <w:noProof/>
        </w:rPr>
        <w:t xml:space="preserve"> w</w:t>
      </w:r>
      <w:r w:rsidR="00AF2AE5">
        <w:rPr>
          <w:noProof/>
        </w:rPr>
        <w:t> </w:t>
      </w:r>
      <w:r w:rsidR="00AF2AE5" w:rsidRPr="00AF2AE5">
        <w:rPr>
          <w:noProof/>
        </w:rPr>
        <w:t>art</w:t>
      </w:r>
      <w:r w:rsidRPr="00AF2AE5">
        <w:rPr>
          <w:noProof/>
        </w:rPr>
        <w:t>.</w:t>
      </w:r>
      <w:r w:rsidR="00AF2AE5" w:rsidRPr="00AF2AE5">
        <w:rPr>
          <w:noProof/>
        </w:rPr>
        <w:t> </w:t>
      </w:r>
      <w:r w:rsidRPr="00AF2AE5">
        <w:rPr>
          <w:noProof/>
        </w:rPr>
        <w:t>7</w:t>
      </w:r>
      <w:r w:rsidRPr="00882905">
        <w:rPr>
          <w:noProof/>
        </w:rPr>
        <w:t>, aż do czasu wygaśnięcia wszystkich takich zobowiązań.</w:t>
      </w:r>
    </w:p>
    <w:p w14:paraId="5848F40D" w14:textId="5434C139" w:rsidR="00D41E20" w:rsidRPr="00882905" w:rsidRDefault="00784620" w:rsidP="641E316D">
      <w:pPr>
        <w:rPr>
          <w:noProof/>
        </w:rPr>
      </w:pPr>
      <w:r w:rsidRPr="00882905">
        <w:rPr>
          <w:noProof/>
        </w:rPr>
        <w:t>Zwiększenie pułapów zasobów własnych nie może być wykorzystywane do pokrycia żadnych innych zobowiązań Unii.</w:t>
      </w:r>
    </w:p>
    <w:p w14:paraId="01C76E65" w14:textId="77777777" w:rsidR="00704957" w:rsidRPr="00882905" w:rsidRDefault="00704957" w:rsidP="00704957">
      <w:pPr>
        <w:pStyle w:val="Titrearticle"/>
        <w:rPr>
          <w:b/>
          <w:bCs/>
          <w:noProof/>
        </w:rPr>
      </w:pPr>
      <w:r w:rsidRPr="00882905">
        <w:rPr>
          <w:noProof/>
        </w:rPr>
        <w:t>Artykuł 9</w:t>
      </w:r>
      <w:r w:rsidRPr="00882905">
        <w:rPr>
          <w:noProof/>
        </w:rPr>
        <w:br/>
      </w:r>
      <w:r w:rsidRPr="00882905">
        <w:rPr>
          <w:b/>
          <w:noProof/>
        </w:rPr>
        <w:t>Zasada uniwersalności</w:t>
      </w:r>
    </w:p>
    <w:p w14:paraId="5AE2B9BC" w14:textId="6912330A" w:rsidR="00704957" w:rsidRPr="00882905" w:rsidRDefault="00704957" w:rsidP="00704957">
      <w:pPr>
        <w:rPr>
          <w:noProof/>
        </w:rPr>
      </w:pPr>
      <w:r w:rsidRPr="00882905">
        <w:rPr>
          <w:noProof/>
        </w:rPr>
        <w:t>Dochody,</w:t>
      </w:r>
      <w:r w:rsidR="00AF2AE5" w:rsidRPr="00882905">
        <w:rPr>
          <w:noProof/>
        </w:rPr>
        <w:t xml:space="preserve"> o</w:t>
      </w:r>
      <w:r w:rsidR="00AF2AE5">
        <w:rPr>
          <w:noProof/>
        </w:rPr>
        <w:t> </w:t>
      </w:r>
      <w:r w:rsidR="00AF2AE5" w:rsidRPr="00882905">
        <w:rPr>
          <w:noProof/>
        </w:rPr>
        <w:t>któ</w:t>
      </w:r>
      <w:r w:rsidRPr="00882905">
        <w:rPr>
          <w:noProof/>
        </w:rPr>
        <w:t>rych mowa</w:t>
      </w:r>
      <w:r w:rsidR="00AF2AE5" w:rsidRPr="00882905">
        <w:rPr>
          <w:noProof/>
        </w:rPr>
        <w:t xml:space="preserve"> w</w:t>
      </w:r>
      <w:r w:rsidR="00AF2AE5">
        <w:rPr>
          <w:noProof/>
        </w:rPr>
        <w:t> </w:t>
      </w:r>
      <w:r w:rsidR="00AF2AE5" w:rsidRPr="00AF2AE5">
        <w:rPr>
          <w:noProof/>
        </w:rPr>
        <w:t>art</w:t>
      </w:r>
      <w:r w:rsidRPr="00AF2AE5">
        <w:rPr>
          <w:noProof/>
        </w:rPr>
        <w:t>.</w:t>
      </w:r>
      <w:r w:rsidR="00AF2AE5" w:rsidRPr="00AF2AE5">
        <w:rPr>
          <w:noProof/>
        </w:rPr>
        <w:t> </w:t>
      </w:r>
      <w:r w:rsidRPr="00AF2AE5">
        <w:rPr>
          <w:noProof/>
        </w:rPr>
        <w:t>3</w:t>
      </w:r>
      <w:r w:rsidRPr="00882905">
        <w:rPr>
          <w:noProof/>
        </w:rPr>
        <w:t>, wykorzystywane są, bez rozróżniania, na finansowanie wszystkich wydatków zapisanych</w:t>
      </w:r>
      <w:r w:rsidR="00AF2AE5" w:rsidRPr="00882905">
        <w:rPr>
          <w:noProof/>
        </w:rPr>
        <w:t xml:space="preserve"> w</w:t>
      </w:r>
      <w:r w:rsidR="00AF2AE5">
        <w:rPr>
          <w:noProof/>
        </w:rPr>
        <w:t> </w:t>
      </w:r>
      <w:r w:rsidR="00AF2AE5" w:rsidRPr="00882905">
        <w:rPr>
          <w:noProof/>
        </w:rPr>
        <w:t>roc</w:t>
      </w:r>
      <w:r w:rsidRPr="00882905">
        <w:rPr>
          <w:noProof/>
        </w:rPr>
        <w:t>znym budżecie Unii.</w:t>
      </w:r>
    </w:p>
    <w:p w14:paraId="46FC3F1C" w14:textId="77777777" w:rsidR="00704957" w:rsidRPr="00882905" w:rsidRDefault="00704957" w:rsidP="00704957">
      <w:pPr>
        <w:pStyle w:val="Titrearticle"/>
        <w:rPr>
          <w:b/>
          <w:bCs/>
          <w:noProof/>
        </w:rPr>
      </w:pPr>
      <w:r w:rsidRPr="00882905">
        <w:rPr>
          <w:noProof/>
        </w:rPr>
        <w:t>Artykuł 10</w:t>
      </w:r>
      <w:r w:rsidRPr="00882905">
        <w:rPr>
          <w:noProof/>
        </w:rPr>
        <w:br/>
      </w:r>
      <w:r w:rsidRPr="00882905">
        <w:rPr>
          <w:b/>
          <w:noProof/>
        </w:rPr>
        <w:t>Przenoszenie nadwyżki</w:t>
      </w:r>
    </w:p>
    <w:p w14:paraId="560DEF89" w14:textId="55E139D4" w:rsidR="00704957" w:rsidRPr="00882905" w:rsidRDefault="00704957" w:rsidP="00704957">
      <w:pPr>
        <w:rPr>
          <w:noProof/>
        </w:rPr>
      </w:pPr>
      <w:r w:rsidRPr="00882905">
        <w:rPr>
          <w:noProof/>
        </w:rPr>
        <w:t>Wszelkie nadwyżki dochodów Unii</w:t>
      </w:r>
      <w:r w:rsidR="00AF2AE5" w:rsidRPr="00882905">
        <w:rPr>
          <w:noProof/>
        </w:rPr>
        <w:t xml:space="preserve"> w</w:t>
      </w:r>
      <w:r w:rsidR="00AF2AE5">
        <w:rPr>
          <w:noProof/>
        </w:rPr>
        <w:t> </w:t>
      </w:r>
      <w:r w:rsidR="00AF2AE5" w:rsidRPr="00882905">
        <w:rPr>
          <w:noProof/>
        </w:rPr>
        <w:t>sto</w:t>
      </w:r>
      <w:r w:rsidRPr="00882905">
        <w:rPr>
          <w:noProof/>
        </w:rPr>
        <w:t>sunku do całkowitych rzeczywistych wydatków podczas roku budżetowego przenosi się na kolejny rok budżetowy.</w:t>
      </w:r>
    </w:p>
    <w:p w14:paraId="6FAB36DB" w14:textId="5B942A3A" w:rsidR="00704957" w:rsidRPr="00882905" w:rsidRDefault="00704957" w:rsidP="00704957">
      <w:pPr>
        <w:pStyle w:val="Titrearticle"/>
        <w:rPr>
          <w:b/>
          <w:bCs/>
          <w:noProof/>
        </w:rPr>
      </w:pPr>
      <w:r w:rsidRPr="00882905">
        <w:rPr>
          <w:noProof/>
        </w:rPr>
        <w:t>Artykuł 11</w:t>
      </w:r>
      <w:r w:rsidRPr="00882905">
        <w:rPr>
          <w:noProof/>
        </w:rPr>
        <w:br/>
      </w:r>
      <w:r w:rsidRPr="00882905">
        <w:rPr>
          <w:b/>
          <w:noProof/>
        </w:rPr>
        <w:t>Pobór zasobów własnych</w:t>
      </w:r>
      <w:r w:rsidR="00AF2AE5" w:rsidRPr="00882905">
        <w:rPr>
          <w:b/>
          <w:noProof/>
        </w:rPr>
        <w:t xml:space="preserve"> i</w:t>
      </w:r>
      <w:r w:rsidR="00AF2AE5">
        <w:rPr>
          <w:b/>
          <w:noProof/>
        </w:rPr>
        <w:t> </w:t>
      </w:r>
      <w:r w:rsidR="00AF2AE5" w:rsidRPr="00882905">
        <w:rPr>
          <w:b/>
          <w:noProof/>
        </w:rPr>
        <w:t>udo</w:t>
      </w:r>
      <w:r w:rsidRPr="00882905">
        <w:rPr>
          <w:b/>
          <w:noProof/>
        </w:rPr>
        <w:t>stępnianie ich Komisji</w:t>
      </w:r>
    </w:p>
    <w:p w14:paraId="16645278" w14:textId="3AB2E30A" w:rsidR="00704957" w:rsidRPr="00882905" w:rsidRDefault="00EE785B" w:rsidP="00EE785B">
      <w:pPr>
        <w:pStyle w:val="ManualNumPar1"/>
        <w:rPr>
          <w:noProof/>
        </w:rPr>
      </w:pPr>
      <w:r w:rsidRPr="00EE785B">
        <w:rPr>
          <w:noProof/>
        </w:rPr>
        <w:t>1.</w:t>
      </w:r>
      <w:r w:rsidRPr="00EE785B">
        <w:rPr>
          <w:noProof/>
        </w:rPr>
        <w:tab/>
      </w:r>
      <w:r w:rsidR="00704957" w:rsidRPr="00882905">
        <w:rPr>
          <w:noProof/>
        </w:rPr>
        <w:t>Zasoby własne,</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b)</w:t>
      </w:r>
      <w:r w:rsidR="00704957" w:rsidRPr="00882905">
        <w:rPr>
          <w:noProof/>
        </w:rPr>
        <w:t xml:space="preserve">, są należne od każdego przedsiębiorstwa. </w:t>
      </w:r>
    </w:p>
    <w:p w14:paraId="21BC7015" w14:textId="4F7AF26B" w:rsidR="00704957" w:rsidRPr="00882905" w:rsidRDefault="00EE785B" w:rsidP="00EE785B">
      <w:pPr>
        <w:pStyle w:val="ManualNumPar1"/>
        <w:rPr>
          <w:noProof/>
        </w:rPr>
      </w:pPr>
      <w:r w:rsidRPr="00EE785B">
        <w:rPr>
          <w:noProof/>
        </w:rPr>
        <w:t>2.</w:t>
      </w:r>
      <w:r w:rsidRPr="00EE785B">
        <w:rPr>
          <w:noProof/>
        </w:rPr>
        <w:tab/>
      </w:r>
      <w:r w:rsidR="00704957" w:rsidRPr="00882905">
        <w:rPr>
          <w:noProof/>
        </w:rPr>
        <w:t>Państwa członkowskie pobierają zasoby własne,</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704957" w:rsidRPr="00882905">
        <w:rPr>
          <w:noProof/>
        </w:rPr>
        <w:t xml:space="preserve"> i b), zgodnie</w:t>
      </w:r>
      <w:r w:rsidR="00AF2AE5" w:rsidRPr="00882905">
        <w:rPr>
          <w:noProof/>
        </w:rPr>
        <w:t xml:space="preserve"> z</w:t>
      </w:r>
      <w:r w:rsidR="00AF2AE5">
        <w:rPr>
          <w:noProof/>
        </w:rPr>
        <w:t> </w:t>
      </w:r>
      <w:r w:rsidR="00AF2AE5" w:rsidRPr="00882905">
        <w:rPr>
          <w:noProof/>
        </w:rPr>
        <w:t>odp</w:t>
      </w:r>
      <w:r w:rsidR="00704957" w:rsidRPr="00882905">
        <w:rPr>
          <w:noProof/>
        </w:rPr>
        <w:t xml:space="preserve">owiednimi przepisami Unii, przepisami przyjętymi na podstawie </w:t>
      </w:r>
      <w:r w:rsidR="00704957" w:rsidRPr="00AF2AE5">
        <w:rPr>
          <w:noProof/>
        </w:rPr>
        <w:t>art.</w:t>
      </w:r>
      <w:r w:rsidR="00AF2AE5" w:rsidRPr="00AF2AE5">
        <w:rPr>
          <w:noProof/>
        </w:rPr>
        <w:t> </w:t>
      </w:r>
      <w:r w:rsidR="00704957" w:rsidRPr="00AF2AE5">
        <w:rPr>
          <w:noProof/>
        </w:rPr>
        <w:t>1</w:t>
      </w:r>
      <w:r w:rsidR="00704957" w:rsidRPr="00882905">
        <w:rPr>
          <w:noProof/>
        </w:rPr>
        <w:t>2 oraz krajowymi przepisami ustawowymi, wykonawczymi</w:t>
      </w:r>
      <w:r w:rsidR="00AF2AE5" w:rsidRPr="00882905">
        <w:rPr>
          <w:noProof/>
        </w:rPr>
        <w:t xml:space="preserve"> i</w:t>
      </w:r>
      <w:r w:rsidR="00AF2AE5">
        <w:rPr>
          <w:noProof/>
        </w:rPr>
        <w:t> </w:t>
      </w:r>
      <w:r w:rsidR="00AF2AE5" w:rsidRPr="00882905">
        <w:rPr>
          <w:noProof/>
        </w:rPr>
        <w:t>adm</w:t>
      </w:r>
      <w:r w:rsidR="00704957" w:rsidRPr="00882905">
        <w:rPr>
          <w:noProof/>
        </w:rPr>
        <w:t>inistracyjnymi niezbędnymi do zapewnienia poboru zasobów własnych,</w:t>
      </w:r>
      <w:r w:rsidR="00AF2AE5" w:rsidRPr="00882905">
        <w:rPr>
          <w:noProof/>
        </w:rPr>
        <w:t xml:space="preserve"> w</w:t>
      </w:r>
      <w:r w:rsidR="00AF2AE5">
        <w:rPr>
          <w:noProof/>
        </w:rPr>
        <w:t> </w:t>
      </w:r>
      <w:r w:rsidR="00AF2AE5" w:rsidRPr="00882905">
        <w:rPr>
          <w:noProof/>
        </w:rPr>
        <w:t>tym</w:t>
      </w:r>
      <w:r w:rsidR="00704957" w:rsidRPr="00882905">
        <w:rPr>
          <w:noProof/>
        </w:rPr>
        <w:t xml:space="preserve"> ich odzyskania, środków egzekucyjnych, kar oraz kar administracyjnych</w:t>
      </w:r>
      <w:r w:rsidR="00AF2AE5" w:rsidRPr="00882905">
        <w:rPr>
          <w:noProof/>
        </w:rPr>
        <w:t xml:space="preserve"> w</w:t>
      </w:r>
      <w:r w:rsidR="00AF2AE5">
        <w:rPr>
          <w:noProof/>
        </w:rPr>
        <w:t> </w:t>
      </w:r>
      <w:r w:rsidR="00AF2AE5" w:rsidRPr="00882905">
        <w:rPr>
          <w:noProof/>
        </w:rPr>
        <w:t>prz</w:t>
      </w:r>
      <w:r w:rsidR="00704957" w:rsidRPr="00882905">
        <w:rPr>
          <w:noProof/>
        </w:rPr>
        <w:t>ypadku nieprzestrzegania przepisów. Państwa członkowskie przyjmują lub dostosowują te przepisy</w:t>
      </w:r>
      <w:r w:rsidR="00AF2AE5" w:rsidRPr="00882905">
        <w:rPr>
          <w:noProof/>
        </w:rPr>
        <w:t xml:space="preserve"> w</w:t>
      </w:r>
      <w:r w:rsidR="00AF2AE5">
        <w:rPr>
          <w:noProof/>
        </w:rPr>
        <w:t> </w:t>
      </w:r>
      <w:r w:rsidR="00AF2AE5" w:rsidRPr="00882905">
        <w:rPr>
          <w:noProof/>
        </w:rPr>
        <w:t>cel</w:t>
      </w:r>
      <w:r w:rsidR="00704957" w:rsidRPr="00882905">
        <w:rPr>
          <w:noProof/>
        </w:rPr>
        <w:t>u spełnienia wymogów zawartych</w:t>
      </w:r>
      <w:r w:rsidR="00AF2AE5" w:rsidRPr="00882905">
        <w:rPr>
          <w:noProof/>
        </w:rPr>
        <w:t xml:space="preserve"> w</w:t>
      </w:r>
      <w:r w:rsidR="00AF2AE5">
        <w:rPr>
          <w:noProof/>
        </w:rPr>
        <w:t> </w:t>
      </w:r>
      <w:r w:rsidR="00AF2AE5" w:rsidRPr="00882905">
        <w:rPr>
          <w:noProof/>
        </w:rPr>
        <w:t>prz</w:t>
      </w:r>
      <w:r w:rsidR="00704957" w:rsidRPr="00882905">
        <w:rPr>
          <w:noProof/>
        </w:rPr>
        <w:t>episach unijnych,</w:t>
      </w:r>
      <w:r w:rsidR="00AF2AE5" w:rsidRPr="00882905">
        <w:rPr>
          <w:noProof/>
        </w:rPr>
        <w:t xml:space="preserve"> z</w:t>
      </w:r>
      <w:r w:rsidR="00AF2AE5">
        <w:rPr>
          <w:noProof/>
        </w:rPr>
        <w:t> </w:t>
      </w:r>
      <w:r w:rsidR="00AF2AE5" w:rsidRPr="00882905">
        <w:rPr>
          <w:noProof/>
        </w:rPr>
        <w:t>nal</w:t>
      </w:r>
      <w:r w:rsidR="00704957" w:rsidRPr="00882905">
        <w:rPr>
          <w:noProof/>
        </w:rPr>
        <w:t>eżytym uwzględnieniem zasad należytego zarządzania finansami</w:t>
      </w:r>
      <w:r w:rsidR="00AF2AE5" w:rsidRPr="00882905">
        <w:rPr>
          <w:noProof/>
        </w:rPr>
        <w:t xml:space="preserve"> i</w:t>
      </w:r>
      <w:r w:rsidR="00AF2AE5">
        <w:rPr>
          <w:noProof/>
        </w:rPr>
        <w:t> </w:t>
      </w:r>
      <w:r w:rsidR="00AF2AE5" w:rsidRPr="00882905">
        <w:rPr>
          <w:noProof/>
        </w:rPr>
        <w:t>och</w:t>
      </w:r>
      <w:r w:rsidR="00704957" w:rsidRPr="00882905">
        <w:rPr>
          <w:noProof/>
        </w:rPr>
        <w:t>rony interesów finansowych Unii.</w:t>
      </w:r>
    </w:p>
    <w:p w14:paraId="552488BB" w14:textId="021BDF02" w:rsidR="00704957" w:rsidRPr="00882905" w:rsidRDefault="00704957" w:rsidP="00B035F6">
      <w:pPr>
        <w:pStyle w:val="Text1"/>
        <w:rPr>
          <w:noProof/>
        </w:rPr>
      </w:pPr>
      <w:r w:rsidRPr="00882905">
        <w:rPr>
          <w:noProof/>
        </w:rPr>
        <w:t>Komisja analizuje odpowiednie przepisy krajowe przekazywane jej przez państwa członkowskie, przekazuje państwom członkowskim dostosowania, które uważa za niezbędne</w:t>
      </w:r>
      <w:r w:rsidR="00AF2AE5" w:rsidRPr="00882905">
        <w:rPr>
          <w:noProof/>
        </w:rPr>
        <w:t xml:space="preserve"> w</w:t>
      </w:r>
      <w:r w:rsidR="00AF2AE5">
        <w:rPr>
          <w:noProof/>
        </w:rPr>
        <w:t> </w:t>
      </w:r>
      <w:r w:rsidR="00AF2AE5" w:rsidRPr="00882905">
        <w:rPr>
          <w:noProof/>
        </w:rPr>
        <w:t>cel</w:t>
      </w:r>
      <w:r w:rsidRPr="00882905">
        <w:rPr>
          <w:noProof/>
        </w:rPr>
        <w:t>u zapewnienia zgodności tych przepisów</w:t>
      </w:r>
      <w:r w:rsidR="00AF2AE5" w:rsidRPr="00882905">
        <w:rPr>
          <w:noProof/>
        </w:rPr>
        <w:t xml:space="preserve"> z</w:t>
      </w:r>
      <w:r w:rsidR="00AF2AE5">
        <w:rPr>
          <w:noProof/>
        </w:rPr>
        <w:t> </w:t>
      </w:r>
      <w:r w:rsidR="00AF2AE5" w:rsidRPr="00882905">
        <w:rPr>
          <w:noProof/>
        </w:rPr>
        <w:t>prz</w:t>
      </w:r>
      <w:r w:rsidRPr="00882905">
        <w:rPr>
          <w:noProof/>
        </w:rPr>
        <w:t>episami unijnymi, oraz –</w:t>
      </w:r>
      <w:r w:rsidR="00AF2AE5" w:rsidRPr="00882905">
        <w:rPr>
          <w:noProof/>
        </w:rPr>
        <w:t xml:space="preserve"> w</w:t>
      </w:r>
      <w:r w:rsidR="00AF2AE5">
        <w:rPr>
          <w:noProof/>
        </w:rPr>
        <w:t> </w:t>
      </w:r>
      <w:r w:rsidR="00AF2AE5" w:rsidRPr="00882905">
        <w:rPr>
          <w:noProof/>
        </w:rPr>
        <w:t>raz</w:t>
      </w:r>
      <w:r w:rsidRPr="00882905">
        <w:rPr>
          <w:noProof/>
        </w:rPr>
        <w:t>ie potrzeby – składa sprawozdania Parlamentowi Europejskiemu</w:t>
      </w:r>
      <w:r w:rsidR="00AF2AE5" w:rsidRPr="00882905">
        <w:rPr>
          <w:noProof/>
        </w:rPr>
        <w:t xml:space="preserve"> i</w:t>
      </w:r>
      <w:r w:rsidR="00AF2AE5">
        <w:rPr>
          <w:noProof/>
        </w:rPr>
        <w:t> </w:t>
      </w:r>
      <w:r w:rsidR="00AF2AE5" w:rsidRPr="00882905">
        <w:rPr>
          <w:noProof/>
        </w:rPr>
        <w:t>Rad</w:t>
      </w:r>
      <w:r w:rsidRPr="00882905">
        <w:rPr>
          <w:noProof/>
        </w:rPr>
        <w:t>zie.</w:t>
      </w:r>
    </w:p>
    <w:p w14:paraId="759E4320" w14:textId="36575594" w:rsidR="00704957" w:rsidRPr="00882905" w:rsidRDefault="00EE785B" w:rsidP="00EE785B">
      <w:pPr>
        <w:pStyle w:val="ManualNumPar1"/>
        <w:rPr>
          <w:noProof/>
        </w:rPr>
      </w:pPr>
      <w:r w:rsidRPr="00EE785B">
        <w:rPr>
          <w:noProof/>
        </w:rPr>
        <w:t>3.</w:t>
      </w:r>
      <w:r w:rsidRPr="00EE785B">
        <w:rPr>
          <w:noProof/>
        </w:rPr>
        <w:tab/>
      </w:r>
      <w:r w:rsidR="00704957" w:rsidRPr="00882905">
        <w:rPr>
          <w:noProof/>
        </w:rPr>
        <w:t>Państwa członkowskie zatrzymują, na poczet kosztów poboru, 10 % kwot,</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704957" w:rsidRPr="00882905">
        <w:rPr>
          <w:noProof/>
        </w:rPr>
        <w:t>.</w:t>
      </w:r>
    </w:p>
    <w:p w14:paraId="5382109E" w14:textId="6A8974EB" w:rsidR="00704957" w:rsidRPr="00882905" w:rsidRDefault="00EE785B" w:rsidP="00EE785B">
      <w:pPr>
        <w:pStyle w:val="ManualNumPar1"/>
        <w:rPr>
          <w:noProof/>
        </w:rPr>
      </w:pPr>
      <w:r w:rsidRPr="00EE785B">
        <w:rPr>
          <w:noProof/>
        </w:rPr>
        <w:t>4.</w:t>
      </w:r>
      <w:r w:rsidRPr="00EE785B">
        <w:rPr>
          <w:noProof/>
        </w:rPr>
        <w:tab/>
      </w:r>
      <w:r w:rsidR="00704957" w:rsidRPr="00882905">
        <w:rPr>
          <w:noProof/>
        </w:rPr>
        <w:t>Państwa członkowskie udostępniają Komisji zasoby własne przewidziane</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niniejszej decyzji zgodnie</w:t>
      </w:r>
      <w:r w:rsidR="00AF2AE5" w:rsidRPr="00882905">
        <w:rPr>
          <w:noProof/>
        </w:rPr>
        <w:t xml:space="preserve"> z</w:t>
      </w:r>
      <w:r w:rsidR="00AF2AE5">
        <w:rPr>
          <w:noProof/>
        </w:rPr>
        <w:t> </w:t>
      </w:r>
      <w:r w:rsidR="00AF2AE5" w:rsidRPr="00882905">
        <w:rPr>
          <w:noProof/>
        </w:rPr>
        <w:t>roz</w:t>
      </w:r>
      <w:r w:rsidR="00704957" w:rsidRPr="00882905">
        <w:rPr>
          <w:noProof/>
        </w:rPr>
        <w:t xml:space="preserve">porządzeniami przyjętymi na mocy </w:t>
      </w:r>
      <w:r w:rsidR="00704957" w:rsidRPr="00AF2AE5">
        <w:rPr>
          <w:noProof/>
        </w:rPr>
        <w:t>art.</w:t>
      </w:r>
      <w:r w:rsidR="00AF2AE5" w:rsidRPr="00AF2AE5">
        <w:rPr>
          <w:noProof/>
        </w:rPr>
        <w:t> </w:t>
      </w:r>
      <w:r w:rsidR="00704957" w:rsidRPr="00AF2AE5">
        <w:rPr>
          <w:noProof/>
        </w:rPr>
        <w:t>3</w:t>
      </w:r>
      <w:r w:rsidR="00704957" w:rsidRPr="00882905">
        <w:rPr>
          <w:noProof/>
        </w:rPr>
        <w:t xml:space="preserve">22 </w:t>
      </w:r>
      <w:r w:rsidR="00704957" w:rsidRPr="00AF2AE5">
        <w:rPr>
          <w:noProof/>
        </w:rPr>
        <w:t>ust.</w:t>
      </w:r>
      <w:r w:rsidR="00AF2AE5" w:rsidRPr="00AF2AE5">
        <w:rPr>
          <w:noProof/>
        </w:rPr>
        <w:t> </w:t>
      </w:r>
      <w:r w:rsidR="00704957" w:rsidRPr="00AF2AE5">
        <w:rPr>
          <w:noProof/>
        </w:rPr>
        <w:t>2</w:t>
      </w:r>
      <w:r w:rsidR="00704957" w:rsidRPr="00882905">
        <w:rPr>
          <w:noProof/>
        </w:rPr>
        <w:t xml:space="preserve"> TFUE</w:t>
      </w:r>
      <w:r w:rsidR="00AF2AE5" w:rsidRPr="00882905">
        <w:rPr>
          <w:noProof/>
        </w:rPr>
        <w:t>. W</w:t>
      </w:r>
      <w:r w:rsidR="00AF2AE5">
        <w:rPr>
          <w:noProof/>
        </w:rPr>
        <w:t> </w:t>
      </w:r>
      <w:r w:rsidR="00AF2AE5" w:rsidRPr="00882905">
        <w:rPr>
          <w:noProof/>
        </w:rPr>
        <w:t>roz</w:t>
      </w:r>
      <w:r w:rsidR="00704957" w:rsidRPr="00882905">
        <w:rPr>
          <w:noProof/>
        </w:rPr>
        <w:t>porządzeniach tych ustanawia się również przepisy dotyczące odpowiedzialności państw członkowskich wobec Unii</w:t>
      </w:r>
      <w:r w:rsidR="00AF2AE5" w:rsidRPr="00882905">
        <w:rPr>
          <w:noProof/>
        </w:rPr>
        <w:t xml:space="preserve"> w</w:t>
      </w:r>
      <w:r w:rsidR="00AF2AE5">
        <w:rPr>
          <w:noProof/>
        </w:rPr>
        <w:t> </w:t>
      </w:r>
      <w:r w:rsidR="00AF2AE5" w:rsidRPr="00882905">
        <w:rPr>
          <w:noProof/>
        </w:rPr>
        <w:t>odn</w:t>
      </w:r>
      <w:r w:rsidR="00704957" w:rsidRPr="00882905">
        <w:rPr>
          <w:noProof/>
        </w:rPr>
        <w:t>iesieniu do poboru</w:t>
      </w:r>
      <w:r w:rsidR="00AF2AE5" w:rsidRPr="00882905">
        <w:rPr>
          <w:noProof/>
        </w:rPr>
        <w:t xml:space="preserve"> i</w:t>
      </w:r>
      <w:r w:rsidR="00AF2AE5">
        <w:rPr>
          <w:noProof/>
        </w:rPr>
        <w:t> </w:t>
      </w:r>
      <w:r w:rsidR="00AF2AE5" w:rsidRPr="00882905">
        <w:rPr>
          <w:noProof/>
        </w:rPr>
        <w:t>odz</w:t>
      </w:r>
      <w:r w:rsidR="00704957" w:rsidRPr="00882905">
        <w:rPr>
          <w:noProof/>
        </w:rPr>
        <w:t>yskania zasobów własnych,</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704957" w:rsidRPr="00882905">
        <w:rPr>
          <w:noProof/>
        </w:rPr>
        <w:t xml:space="preserve"> i b), od dłużników</w:t>
      </w:r>
      <w:r w:rsidR="00AF2AE5" w:rsidRPr="00882905">
        <w:rPr>
          <w:noProof/>
        </w:rPr>
        <w:t xml:space="preserve"> i</w:t>
      </w:r>
      <w:r w:rsidR="00AF2AE5">
        <w:rPr>
          <w:noProof/>
        </w:rPr>
        <w:t> </w:t>
      </w:r>
      <w:r w:rsidR="00AF2AE5" w:rsidRPr="00882905">
        <w:rPr>
          <w:noProof/>
        </w:rPr>
        <w:t>prz</w:t>
      </w:r>
      <w:r w:rsidR="00704957" w:rsidRPr="00882905">
        <w:rPr>
          <w:noProof/>
        </w:rPr>
        <w:t xml:space="preserve">edsiębiorstw. </w:t>
      </w:r>
    </w:p>
    <w:p w14:paraId="3FC4701D" w14:textId="77777777" w:rsidR="00704957" w:rsidRPr="00882905" w:rsidRDefault="00704957" w:rsidP="00704957">
      <w:pPr>
        <w:pStyle w:val="Titrearticle"/>
        <w:rPr>
          <w:b/>
          <w:bCs/>
          <w:noProof/>
        </w:rPr>
      </w:pPr>
      <w:r w:rsidRPr="00882905">
        <w:rPr>
          <w:noProof/>
        </w:rPr>
        <w:t>Artykuł 12</w:t>
      </w:r>
      <w:r w:rsidRPr="00882905">
        <w:rPr>
          <w:noProof/>
        </w:rPr>
        <w:br/>
      </w:r>
      <w:r w:rsidRPr="00882905">
        <w:rPr>
          <w:b/>
          <w:noProof/>
        </w:rPr>
        <w:t>Środki wykonawcze</w:t>
      </w:r>
    </w:p>
    <w:p w14:paraId="6E0DE5E5" w14:textId="50A9BDCC" w:rsidR="00704957" w:rsidRPr="00882905" w:rsidRDefault="00704957" w:rsidP="00DE10AE">
      <w:pPr>
        <w:rPr>
          <w:noProof/>
        </w:rPr>
      </w:pPr>
      <w:r w:rsidRPr="00882905">
        <w:rPr>
          <w:noProof/>
        </w:rPr>
        <w:t>Rada może ustanowić, zgodnie</w:t>
      </w:r>
      <w:r w:rsidR="00AF2AE5" w:rsidRPr="00882905">
        <w:rPr>
          <w:noProof/>
        </w:rPr>
        <w:t xml:space="preserve"> z</w:t>
      </w:r>
      <w:r w:rsidR="00AF2AE5">
        <w:rPr>
          <w:noProof/>
        </w:rPr>
        <w:t> </w:t>
      </w:r>
      <w:r w:rsidR="00AF2AE5" w:rsidRPr="00882905">
        <w:rPr>
          <w:noProof/>
        </w:rPr>
        <w:t>pro</w:t>
      </w:r>
      <w:r w:rsidRPr="00882905">
        <w:rPr>
          <w:noProof/>
        </w:rPr>
        <w:t>cedurą określoną</w:t>
      </w:r>
      <w:r w:rsidR="00AF2AE5" w:rsidRPr="00882905">
        <w:rPr>
          <w:noProof/>
        </w:rPr>
        <w:t xml:space="preserve"> w</w:t>
      </w:r>
      <w:r w:rsidR="00AF2AE5">
        <w:rPr>
          <w:noProof/>
        </w:rPr>
        <w:t> </w:t>
      </w:r>
      <w:r w:rsidR="00AF2AE5" w:rsidRPr="00AF2AE5">
        <w:rPr>
          <w:noProof/>
        </w:rPr>
        <w:t>art</w:t>
      </w:r>
      <w:r w:rsidRPr="00AF2AE5">
        <w:rPr>
          <w:noProof/>
        </w:rPr>
        <w:t>.</w:t>
      </w:r>
      <w:r w:rsidR="00AF2AE5" w:rsidRPr="00AF2AE5">
        <w:rPr>
          <w:noProof/>
        </w:rPr>
        <w:t> </w:t>
      </w:r>
      <w:r w:rsidRPr="00AF2AE5">
        <w:rPr>
          <w:noProof/>
        </w:rPr>
        <w:t>3</w:t>
      </w:r>
      <w:r w:rsidRPr="00882905">
        <w:rPr>
          <w:noProof/>
        </w:rPr>
        <w:t>11 akapit czwarty TFUE, środki wykonawcze dotyczące następujących elementów systemu zasobów własnych Unii:</w:t>
      </w:r>
    </w:p>
    <w:p w14:paraId="26396878" w14:textId="54B9C531" w:rsidR="00704957" w:rsidRPr="00882905" w:rsidRDefault="00EB3FA5" w:rsidP="00EB3FA5">
      <w:pPr>
        <w:pStyle w:val="Point0"/>
        <w:rPr>
          <w:noProof/>
        </w:rPr>
      </w:pPr>
      <w:r w:rsidRPr="00882905">
        <w:rPr>
          <w:noProof/>
        </w:rPr>
        <w:t>a)</w:t>
      </w:r>
      <w:r w:rsidRPr="00882905">
        <w:rPr>
          <w:noProof/>
        </w:rPr>
        <w:tab/>
      </w:r>
      <w:r w:rsidR="00704957" w:rsidRPr="00882905">
        <w:rPr>
          <w:noProof/>
        </w:rPr>
        <w:t>procedury obliczania rocznego salda budżetowego zgodnie</w:t>
      </w:r>
      <w:r w:rsidR="00AF2AE5" w:rsidRPr="00882905">
        <w:rPr>
          <w:noProof/>
        </w:rPr>
        <w:t xml:space="preserve"> z</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1</w:t>
      </w:r>
      <w:r w:rsidR="00704957" w:rsidRPr="00882905">
        <w:rPr>
          <w:noProof/>
        </w:rPr>
        <w:t>0;</w:t>
      </w:r>
    </w:p>
    <w:p w14:paraId="03699B30" w14:textId="07AF3400" w:rsidR="00704957" w:rsidRPr="00882905" w:rsidRDefault="00EB3FA5" w:rsidP="00EB3FA5">
      <w:pPr>
        <w:pStyle w:val="Point0"/>
        <w:rPr>
          <w:noProof/>
        </w:rPr>
      </w:pPr>
      <w:r w:rsidRPr="00882905">
        <w:rPr>
          <w:noProof/>
        </w:rPr>
        <w:t>b)</w:t>
      </w:r>
      <w:r w:rsidRPr="00882905">
        <w:rPr>
          <w:noProof/>
        </w:rPr>
        <w:tab/>
      </w:r>
      <w:r w:rsidR="00704957" w:rsidRPr="00882905">
        <w:rPr>
          <w:noProof/>
        </w:rPr>
        <w:t>przepisów</w:t>
      </w:r>
      <w:r w:rsidR="00AF2AE5" w:rsidRPr="00882905">
        <w:rPr>
          <w:noProof/>
        </w:rPr>
        <w:t xml:space="preserve"> i</w:t>
      </w:r>
      <w:r w:rsidR="00AF2AE5">
        <w:rPr>
          <w:noProof/>
        </w:rPr>
        <w:t> </w:t>
      </w:r>
      <w:r w:rsidR="00AF2AE5" w:rsidRPr="00882905">
        <w:rPr>
          <w:noProof/>
        </w:rPr>
        <w:t>ust</w:t>
      </w:r>
      <w:r w:rsidR="00704957" w:rsidRPr="00882905">
        <w:rPr>
          <w:noProof/>
        </w:rPr>
        <w:t>aleń koniecznych do kontrolowania</w:t>
      </w:r>
      <w:r w:rsidR="00AF2AE5" w:rsidRPr="00882905">
        <w:rPr>
          <w:noProof/>
        </w:rPr>
        <w:t xml:space="preserve"> i</w:t>
      </w:r>
      <w:r w:rsidR="00AF2AE5">
        <w:rPr>
          <w:noProof/>
        </w:rPr>
        <w:t> </w:t>
      </w:r>
      <w:r w:rsidR="00AF2AE5" w:rsidRPr="00882905">
        <w:rPr>
          <w:noProof/>
        </w:rPr>
        <w:t>nad</w:t>
      </w:r>
      <w:r w:rsidR="00704957" w:rsidRPr="00882905">
        <w:rPr>
          <w:noProof/>
        </w:rPr>
        <w:t>zorowania poboru zasobów własnych,</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oraz wszelkich odpowiednich wymogów sprawozdawczych;</w:t>
      </w:r>
    </w:p>
    <w:p w14:paraId="057340E1" w14:textId="4F8FF87E" w:rsidR="00704957" w:rsidRPr="00882905" w:rsidRDefault="00EB3FA5" w:rsidP="00EB3FA5">
      <w:pPr>
        <w:pStyle w:val="Point0"/>
        <w:rPr>
          <w:noProof/>
        </w:rPr>
      </w:pPr>
      <w:r w:rsidRPr="00882905">
        <w:rPr>
          <w:noProof/>
        </w:rPr>
        <w:t>c)</w:t>
      </w:r>
      <w:r w:rsidRPr="00882905">
        <w:rPr>
          <w:noProof/>
        </w:rPr>
        <w:tab/>
      </w:r>
      <w:r w:rsidR="00704957" w:rsidRPr="00882905">
        <w:rPr>
          <w:noProof/>
        </w:rPr>
        <w:t>w odniesieniu do zasobów własnych,</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b)</w:t>
      </w:r>
      <w:r w:rsidR="00704957" w:rsidRPr="00882905">
        <w:rPr>
          <w:noProof/>
        </w:rPr>
        <w:t xml:space="preserve"> – </w:t>
      </w:r>
    </w:p>
    <w:p w14:paraId="318CB34F" w14:textId="1FA5F300" w:rsidR="00704957" w:rsidRPr="00882905" w:rsidRDefault="00704957" w:rsidP="00394C6D">
      <w:pPr>
        <w:pStyle w:val="LegalNumPar3"/>
        <w:numPr>
          <w:ilvl w:val="2"/>
          <w:numId w:val="25"/>
        </w:numPr>
        <w:rPr>
          <w:noProof/>
        </w:rPr>
      </w:pPr>
      <w:r w:rsidRPr="00882905">
        <w:rPr>
          <w:noProof/>
        </w:rPr>
        <w:t>przepisów dotyczących zobowiązań przedsiębiorstw</w:t>
      </w:r>
      <w:r w:rsidR="00AF2AE5" w:rsidRPr="00882905">
        <w:rPr>
          <w:noProof/>
        </w:rPr>
        <w:t xml:space="preserve"> w</w:t>
      </w:r>
      <w:r w:rsidR="00AF2AE5">
        <w:rPr>
          <w:noProof/>
        </w:rPr>
        <w:t> </w:t>
      </w:r>
      <w:r w:rsidR="00AF2AE5" w:rsidRPr="00882905">
        <w:rPr>
          <w:noProof/>
        </w:rPr>
        <w:t>zak</w:t>
      </w:r>
      <w:r w:rsidRPr="00882905">
        <w:rPr>
          <w:noProof/>
        </w:rPr>
        <w:t>resie wkładu;</w:t>
      </w:r>
    </w:p>
    <w:p w14:paraId="7DC7A0AF" w14:textId="20CBAF6A" w:rsidR="00704957" w:rsidRPr="00882905" w:rsidRDefault="00704957" w:rsidP="00E11CD8">
      <w:pPr>
        <w:pStyle w:val="LegalNumPar3"/>
        <w:rPr>
          <w:noProof/>
        </w:rPr>
      </w:pPr>
      <w:r w:rsidRPr="00882905">
        <w:rPr>
          <w:noProof/>
        </w:rPr>
        <w:t>wszelkich przepisów niezbędnych do praktycznego funkcjonowania poboru przez państwa członkowskie wkładu od przedsiębiorstw,</w:t>
      </w:r>
      <w:r w:rsidR="00AF2AE5" w:rsidRPr="00882905">
        <w:rPr>
          <w:noProof/>
        </w:rPr>
        <w:t xml:space="preserve"> w</w:t>
      </w:r>
      <w:r w:rsidR="00AF2AE5">
        <w:rPr>
          <w:noProof/>
        </w:rPr>
        <w:t> </w:t>
      </w:r>
      <w:r w:rsidR="00AF2AE5" w:rsidRPr="00882905">
        <w:rPr>
          <w:noProof/>
        </w:rPr>
        <w:t>tym</w:t>
      </w:r>
      <w:r w:rsidRPr="00882905">
        <w:rPr>
          <w:noProof/>
        </w:rPr>
        <w:t xml:space="preserve"> przepisów dotyczących procedur administracyjnych, formularzy, odsetek za zwłokę, środków kontroli</w:t>
      </w:r>
      <w:r w:rsidR="00AF2AE5" w:rsidRPr="00882905">
        <w:rPr>
          <w:noProof/>
        </w:rPr>
        <w:t xml:space="preserve"> i</w:t>
      </w:r>
      <w:r w:rsidR="00AF2AE5">
        <w:rPr>
          <w:noProof/>
        </w:rPr>
        <w:t> </w:t>
      </w:r>
      <w:r w:rsidR="00AF2AE5" w:rsidRPr="00882905">
        <w:rPr>
          <w:noProof/>
        </w:rPr>
        <w:t>wsz</w:t>
      </w:r>
      <w:r w:rsidRPr="00882905">
        <w:rPr>
          <w:noProof/>
        </w:rPr>
        <w:t>elkich odpowiednich środków dotyczących odzyskania należności oraz kar</w:t>
      </w:r>
      <w:r w:rsidR="00AF2AE5" w:rsidRPr="00882905">
        <w:rPr>
          <w:noProof/>
        </w:rPr>
        <w:t xml:space="preserve"> i</w:t>
      </w:r>
      <w:r w:rsidR="00AF2AE5">
        <w:rPr>
          <w:noProof/>
        </w:rPr>
        <w:t> </w:t>
      </w:r>
      <w:r w:rsidR="00AF2AE5" w:rsidRPr="00882905">
        <w:rPr>
          <w:noProof/>
        </w:rPr>
        <w:t>kar</w:t>
      </w:r>
      <w:r w:rsidRPr="00882905">
        <w:rPr>
          <w:noProof/>
        </w:rPr>
        <w:t xml:space="preserve"> administracyjnych</w:t>
      </w:r>
      <w:r w:rsidR="00AF2AE5" w:rsidRPr="00882905">
        <w:rPr>
          <w:noProof/>
        </w:rPr>
        <w:t xml:space="preserve"> w</w:t>
      </w:r>
      <w:r w:rsidR="00AF2AE5">
        <w:rPr>
          <w:noProof/>
        </w:rPr>
        <w:t> </w:t>
      </w:r>
      <w:r w:rsidR="00AF2AE5" w:rsidRPr="00882905">
        <w:rPr>
          <w:noProof/>
        </w:rPr>
        <w:t>prz</w:t>
      </w:r>
      <w:r w:rsidRPr="00882905">
        <w:rPr>
          <w:noProof/>
        </w:rPr>
        <w:t>ypadku nieprzestrzegania przepisów przez przedsiębiorstwa;</w:t>
      </w:r>
    </w:p>
    <w:p w14:paraId="6E6C423F" w14:textId="367898A8" w:rsidR="00704957" w:rsidRPr="00882905" w:rsidRDefault="00704957" w:rsidP="00E11CD8">
      <w:pPr>
        <w:pStyle w:val="LegalNumPar3"/>
        <w:rPr>
          <w:noProof/>
        </w:rPr>
      </w:pPr>
      <w:r w:rsidRPr="00882905">
        <w:rPr>
          <w:noProof/>
        </w:rPr>
        <w:t>zasad przeliczania progów</w:t>
      </w:r>
      <w:r w:rsidR="00AF2AE5" w:rsidRPr="00882905">
        <w:rPr>
          <w:noProof/>
        </w:rPr>
        <w:t xml:space="preserve"> i</w:t>
      </w:r>
      <w:r w:rsidR="00AF2AE5">
        <w:rPr>
          <w:noProof/>
        </w:rPr>
        <w:t> </w:t>
      </w:r>
      <w:r w:rsidR="00AF2AE5" w:rsidRPr="00882905">
        <w:rPr>
          <w:noProof/>
        </w:rPr>
        <w:t>kwo</w:t>
      </w:r>
      <w:r w:rsidRPr="00882905">
        <w:rPr>
          <w:noProof/>
        </w:rPr>
        <w:t>t wkładu na waluty krajowe</w:t>
      </w:r>
      <w:r w:rsidR="00AF2AE5" w:rsidRPr="00882905">
        <w:rPr>
          <w:noProof/>
        </w:rPr>
        <w:t xml:space="preserve"> w</w:t>
      </w:r>
      <w:r w:rsidR="00AF2AE5">
        <w:rPr>
          <w:noProof/>
        </w:rPr>
        <w:t> </w:t>
      </w:r>
      <w:r w:rsidR="00AF2AE5" w:rsidRPr="00882905">
        <w:rPr>
          <w:noProof/>
        </w:rPr>
        <w:t>prz</w:t>
      </w:r>
      <w:r w:rsidRPr="00882905">
        <w:rPr>
          <w:noProof/>
        </w:rPr>
        <w:t>ypadku państw członkowskich, których walutą nie jest euro;</w:t>
      </w:r>
    </w:p>
    <w:p w14:paraId="4A3661A6" w14:textId="24A3AD4F" w:rsidR="00704957" w:rsidRPr="00882905" w:rsidRDefault="00EB3FA5" w:rsidP="00EB3FA5">
      <w:pPr>
        <w:pStyle w:val="Point0"/>
        <w:rPr>
          <w:noProof/>
        </w:rPr>
      </w:pPr>
      <w:r w:rsidRPr="00882905">
        <w:rPr>
          <w:noProof/>
        </w:rPr>
        <w:t>d)</w:t>
      </w:r>
      <w:r w:rsidRPr="00882905">
        <w:rPr>
          <w:noProof/>
        </w:rPr>
        <w:tab/>
      </w:r>
      <w:r w:rsidR="00704957" w:rsidRPr="00882905">
        <w:rPr>
          <w:noProof/>
        </w:rPr>
        <w:t>w odniesieniu do zasobów własnych,</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e)</w:t>
      </w:r>
      <w:r w:rsidR="00704957" w:rsidRPr="00882905">
        <w:rPr>
          <w:noProof/>
        </w:rPr>
        <w:t xml:space="preserve"> – przepisów dotyczących dostosowań</w:t>
      </w:r>
      <w:r w:rsidR="00AF2AE5" w:rsidRPr="00882905">
        <w:rPr>
          <w:noProof/>
        </w:rPr>
        <w:t xml:space="preserve"> w</w:t>
      </w:r>
      <w:r w:rsidR="00AF2AE5">
        <w:rPr>
          <w:noProof/>
        </w:rPr>
        <w:t> </w:t>
      </w:r>
      <w:r w:rsidR="00AF2AE5" w:rsidRPr="00882905">
        <w:rPr>
          <w:noProof/>
        </w:rPr>
        <w:t>cel</w:t>
      </w:r>
      <w:r w:rsidR="00704957" w:rsidRPr="00882905">
        <w:rPr>
          <w:noProof/>
        </w:rPr>
        <w:t>u zapewnienia porównywalności, wiarygodności</w:t>
      </w:r>
      <w:r w:rsidR="00AF2AE5" w:rsidRPr="00882905">
        <w:rPr>
          <w:noProof/>
        </w:rPr>
        <w:t xml:space="preserve"> i</w:t>
      </w:r>
      <w:r w:rsidR="00AF2AE5">
        <w:rPr>
          <w:noProof/>
        </w:rPr>
        <w:t> </w:t>
      </w:r>
      <w:r w:rsidR="00AF2AE5" w:rsidRPr="00882905">
        <w:rPr>
          <w:noProof/>
        </w:rPr>
        <w:t>kom</w:t>
      </w:r>
      <w:r w:rsidR="00704957" w:rsidRPr="00882905">
        <w:rPr>
          <w:noProof/>
        </w:rPr>
        <w:t>pletności wyników dotyczących masy wytworzonych odpadów opakowaniowych</w:t>
      </w:r>
      <w:r w:rsidR="00AF2AE5" w:rsidRPr="00882905">
        <w:rPr>
          <w:noProof/>
        </w:rPr>
        <w:t xml:space="preserve"> z</w:t>
      </w:r>
      <w:r w:rsidR="00AF2AE5">
        <w:rPr>
          <w:noProof/>
        </w:rPr>
        <w:t> </w:t>
      </w:r>
      <w:r w:rsidR="00AF2AE5" w:rsidRPr="00882905">
        <w:rPr>
          <w:noProof/>
        </w:rPr>
        <w:t>two</w:t>
      </w:r>
      <w:r w:rsidR="00704957" w:rsidRPr="00882905">
        <w:rPr>
          <w:noProof/>
        </w:rPr>
        <w:t xml:space="preserve">rzyw sztucznych. </w:t>
      </w:r>
    </w:p>
    <w:p w14:paraId="234CF366" w14:textId="6F6FBC18" w:rsidR="00704957" w:rsidRPr="00882905" w:rsidRDefault="00704957" w:rsidP="00704957">
      <w:pPr>
        <w:pStyle w:val="Titrearticle"/>
        <w:rPr>
          <w:noProof/>
        </w:rPr>
      </w:pPr>
      <w:r w:rsidRPr="00882905">
        <w:rPr>
          <w:noProof/>
        </w:rPr>
        <w:t>Artykuł 13</w:t>
      </w:r>
      <w:r w:rsidRPr="00882905">
        <w:rPr>
          <w:noProof/>
        </w:rPr>
        <w:br/>
      </w:r>
      <w:r w:rsidRPr="00882905">
        <w:rPr>
          <w:b/>
          <w:noProof/>
        </w:rPr>
        <w:t>Przepisy końcowe</w:t>
      </w:r>
      <w:r w:rsidR="00AF2AE5" w:rsidRPr="00882905">
        <w:rPr>
          <w:b/>
          <w:noProof/>
        </w:rPr>
        <w:t xml:space="preserve"> i</w:t>
      </w:r>
      <w:r w:rsidR="00AF2AE5">
        <w:rPr>
          <w:b/>
          <w:noProof/>
        </w:rPr>
        <w:t> </w:t>
      </w:r>
      <w:r w:rsidR="00AF2AE5" w:rsidRPr="00882905">
        <w:rPr>
          <w:b/>
          <w:noProof/>
        </w:rPr>
        <w:t>prz</w:t>
      </w:r>
      <w:r w:rsidRPr="00882905">
        <w:rPr>
          <w:b/>
          <w:noProof/>
        </w:rPr>
        <w:t>ejściowe</w:t>
      </w:r>
    </w:p>
    <w:p w14:paraId="5A225E94" w14:textId="3C56D72C" w:rsidR="00704957" w:rsidRPr="00882905" w:rsidRDefault="00EE785B" w:rsidP="00EE785B">
      <w:pPr>
        <w:pStyle w:val="ManualNumPar1"/>
        <w:rPr>
          <w:noProof/>
        </w:rPr>
      </w:pPr>
      <w:r w:rsidRPr="00EE785B">
        <w:rPr>
          <w:noProof/>
        </w:rPr>
        <w:t>1.</w:t>
      </w:r>
      <w:r w:rsidRPr="00EE785B">
        <w:rPr>
          <w:noProof/>
        </w:rPr>
        <w:tab/>
      </w:r>
      <w:r w:rsidR="00704957" w:rsidRPr="00882905">
        <w:rPr>
          <w:noProof/>
        </w:rPr>
        <w:t xml:space="preserve">Z zastrzeżeniem </w:t>
      </w:r>
      <w:r w:rsidR="00704957" w:rsidRPr="00AF2AE5">
        <w:rPr>
          <w:noProof/>
        </w:rPr>
        <w:t>ust.</w:t>
      </w:r>
      <w:r w:rsidR="00AF2AE5" w:rsidRPr="00AF2AE5">
        <w:rPr>
          <w:noProof/>
        </w:rPr>
        <w:t> </w:t>
      </w:r>
      <w:r w:rsidR="00704957" w:rsidRPr="00AF2AE5">
        <w:rPr>
          <w:noProof/>
        </w:rPr>
        <w:t>2</w:t>
      </w:r>
      <w:r w:rsidR="00704957" w:rsidRPr="00882905">
        <w:rPr>
          <w:noProof/>
        </w:rPr>
        <w:t>, 3</w:t>
      </w:r>
      <w:r w:rsidR="00AF2AE5" w:rsidRPr="00882905">
        <w:rPr>
          <w:noProof/>
        </w:rPr>
        <w:t xml:space="preserve"> i</w:t>
      </w:r>
      <w:r w:rsidR="00AF2AE5">
        <w:rPr>
          <w:noProof/>
        </w:rPr>
        <w:t> </w:t>
      </w:r>
      <w:r w:rsidR="00AF2AE5" w:rsidRPr="00882905">
        <w:rPr>
          <w:noProof/>
        </w:rPr>
        <w:t>4</w:t>
      </w:r>
      <w:r w:rsidR="00704957" w:rsidRPr="00882905">
        <w:rPr>
          <w:noProof/>
        </w:rPr>
        <w:t xml:space="preserve"> decyzja Rady (UE, Euratom) 2020/2053 traci moc. </w:t>
      </w:r>
    </w:p>
    <w:p w14:paraId="73933B63" w14:textId="039A17CD" w:rsidR="00704957" w:rsidRPr="00882905" w:rsidRDefault="00704957" w:rsidP="000222A1">
      <w:pPr>
        <w:pStyle w:val="Text1"/>
        <w:rPr>
          <w:noProof/>
        </w:rPr>
      </w:pPr>
      <w:r w:rsidRPr="00882905">
        <w:rPr>
          <w:noProof/>
        </w:rPr>
        <w:t>Wszelkie odesłania do decyzji Rady 70/243/EWWiS, EWG, Euratom</w:t>
      </w:r>
      <w:r w:rsidRPr="00882905">
        <w:rPr>
          <w:rStyle w:val="FootnoteReference"/>
          <w:noProof/>
        </w:rPr>
        <w:footnoteReference w:id="21"/>
      </w:r>
      <w:r w:rsidRPr="00882905">
        <w:rPr>
          <w:noProof/>
        </w:rPr>
        <w:t>, decyzji Rady 85/257/EWG, Euratom</w:t>
      </w:r>
      <w:r w:rsidRPr="00882905">
        <w:rPr>
          <w:rStyle w:val="FootnoteReference"/>
          <w:noProof/>
        </w:rPr>
        <w:footnoteReference w:id="22"/>
      </w:r>
      <w:r w:rsidRPr="00882905">
        <w:rPr>
          <w:noProof/>
        </w:rPr>
        <w:t>, decyzji Rady 88/376/EWG, Euratom</w:t>
      </w:r>
      <w:r w:rsidRPr="00882905">
        <w:rPr>
          <w:rStyle w:val="FootnoteReference"/>
          <w:noProof/>
        </w:rPr>
        <w:footnoteReference w:id="23"/>
      </w:r>
      <w:r w:rsidRPr="00882905">
        <w:rPr>
          <w:noProof/>
        </w:rPr>
        <w:t>, decyzji Rady 94/728/WE, Euratom</w:t>
      </w:r>
      <w:r w:rsidRPr="00882905">
        <w:rPr>
          <w:rStyle w:val="FootnoteReference"/>
          <w:noProof/>
        </w:rPr>
        <w:footnoteReference w:id="24"/>
      </w:r>
      <w:r w:rsidRPr="00882905">
        <w:rPr>
          <w:noProof/>
        </w:rPr>
        <w:t>, decyzji Rady 2000/597/WE, Euratom</w:t>
      </w:r>
      <w:r w:rsidRPr="00882905">
        <w:rPr>
          <w:rStyle w:val="FootnoteReference"/>
          <w:noProof/>
        </w:rPr>
        <w:footnoteReference w:id="25"/>
      </w:r>
      <w:r w:rsidRPr="00882905">
        <w:rPr>
          <w:noProof/>
        </w:rPr>
        <w:t>, decyzji Rady 2007/436/WE, Euratom</w:t>
      </w:r>
      <w:r w:rsidRPr="00882905">
        <w:rPr>
          <w:rStyle w:val="FootnoteReference"/>
          <w:noProof/>
        </w:rPr>
        <w:footnoteReference w:id="26"/>
      </w:r>
      <w:r w:rsidRPr="00882905">
        <w:rPr>
          <w:noProof/>
        </w:rPr>
        <w:t>, decyzji Rady 2014/335/UE, Euratom</w:t>
      </w:r>
      <w:r w:rsidRPr="00882905">
        <w:rPr>
          <w:rStyle w:val="FootnoteReference"/>
          <w:noProof/>
        </w:rPr>
        <w:footnoteReference w:id="27"/>
      </w:r>
      <w:r w:rsidRPr="00882905">
        <w:rPr>
          <w:noProof/>
        </w:rPr>
        <w:t xml:space="preserve"> lub decyzji Rady (UE, Euratom) 2020/2053</w:t>
      </w:r>
      <w:r w:rsidRPr="00882905">
        <w:rPr>
          <w:rStyle w:val="FootnoteReference"/>
          <w:noProof/>
        </w:rPr>
        <w:footnoteReference w:id="28"/>
      </w:r>
      <w:r w:rsidRPr="00882905">
        <w:rPr>
          <w:noProof/>
        </w:rPr>
        <w:t xml:space="preserve"> uznaje się za odesłania do niniejszej decyzji; odesłania do uchylonej decyzji odczytuje się zgodnie</w:t>
      </w:r>
      <w:r w:rsidR="00AF2AE5" w:rsidRPr="00882905">
        <w:rPr>
          <w:noProof/>
        </w:rPr>
        <w:t xml:space="preserve"> z</w:t>
      </w:r>
      <w:r w:rsidR="00AF2AE5">
        <w:rPr>
          <w:noProof/>
        </w:rPr>
        <w:t> </w:t>
      </w:r>
      <w:r w:rsidR="00AF2AE5" w:rsidRPr="00882905">
        <w:rPr>
          <w:noProof/>
        </w:rPr>
        <w:t>tab</w:t>
      </w:r>
      <w:r w:rsidRPr="00882905">
        <w:rPr>
          <w:noProof/>
        </w:rPr>
        <w:t>elą korelacji zawartą</w:t>
      </w:r>
      <w:r w:rsidR="00AF2AE5" w:rsidRPr="00882905">
        <w:rPr>
          <w:noProof/>
        </w:rPr>
        <w:t xml:space="preserve"> w</w:t>
      </w:r>
      <w:r w:rsidR="00AF2AE5">
        <w:rPr>
          <w:noProof/>
        </w:rPr>
        <w:t> </w:t>
      </w:r>
      <w:r w:rsidR="00AF2AE5" w:rsidRPr="00882905">
        <w:rPr>
          <w:noProof/>
        </w:rPr>
        <w:t>zał</w:t>
      </w:r>
      <w:r w:rsidRPr="00882905">
        <w:rPr>
          <w:noProof/>
        </w:rPr>
        <w:t>ączniku do niniejszej decyzji.</w:t>
      </w:r>
    </w:p>
    <w:p w14:paraId="725A4D2F" w14:textId="19CF2F50" w:rsidR="00704957" w:rsidRPr="00882905" w:rsidRDefault="00EE785B" w:rsidP="00EE785B">
      <w:pPr>
        <w:pStyle w:val="ManualNumPar1"/>
        <w:rPr>
          <w:noProof/>
        </w:rPr>
      </w:pPr>
      <w:r w:rsidRPr="00EE785B">
        <w:rPr>
          <w:noProof/>
        </w:rPr>
        <w:t>2.</w:t>
      </w:r>
      <w:r w:rsidRPr="00EE785B">
        <w:rPr>
          <w:noProof/>
        </w:rPr>
        <w:tab/>
      </w:r>
      <w:r w:rsidR="00704957" w:rsidRPr="00882905">
        <w:rPr>
          <w:noProof/>
        </w:rPr>
        <w:t>Art. 2, 4</w:t>
      </w:r>
      <w:r w:rsidR="00AF2AE5" w:rsidRPr="00882905">
        <w:rPr>
          <w:noProof/>
        </w:rPr>
        <w:t xml:space="preserve"> i</w:t>
      </w:r>
      <w:r w:rsidR="00AF2AE5">
        <w:rPr>
          <w:noProof/>
        </w:rPr>
        <w:t> </w:t>
      </w:r>
      <w:r w:rsidR="00AF2AE5" w:rsidRPr="00882905">
        <w:rPr>
          <w:noProof/>
        </w:rPr>
        <w:t>5</w:t>
      </w:r>
      <w:r w:rsidR="00704957" w:rsidRPr="00882905">
        <w:rPr>
          <w:noProof/>
        </w:rPr>
        <w:t xml:space="preserve"> decyzji 94/728/WE, Euratom, </w:t>
      </w:r>
      <w:r w:rsidR="00704957" w:rsidRPr="00AF2AE5">
        <w:rPr>
          <w:noProof/>
        </w:rPr>
        <w:t>art.</w:t>
      </w:r>
      <w:r w:rsidR="00AF2AE5" w:rsidRPr="00AF2AE5">
        <w:rPr>
          <w:noProof/>
        </w:rPr>
        <w:t> </w:t>
      </w:r>
      <w:r w:rsidR="00704957" w:rsidRPr="00AF2AE5">
        <w:rPr>
          <w:noProof/>
        </w:rPr>
        <w:t>2</w:t>
      </w:r>
      <w:r w:rsidR="00704957" w:rsidRPr="00882905">
        <w:rPr>
          <w:noProof/>
        </w:rPr>
        <w:t>, 4</w:t>
      </w:r>
      <w:r w:rsidR="00AF2AE5" w:rsidRPr="00882905">
        <w:rPr>
          <w:noProof/>
        </w:rPr>
        <w:t xml:space="preserve"> i</w:t>
      </w:r>
      <w:r w:rsidR="00AF2AE5">
        <w:rPr>
          <w:noProof/>
        </w:rPr>
        <w:t> </w:t>
      </w:r>
      <w:r w:rsidR="00AF2AE5" w:rsidRPr="00882905">
        <w:rPr>
          <w:noProof/>
        </w:rPr>
        <w:t>5</w:t>
      </w:r>
      <w:r w:rsidR="00704957" w:rsidRPr="00882905">
        <w:rPr>
          <w:noProof/>
        </w:rPr>
        <w:t xml:space="preserve"> decyzji 2000/597/WE, Euratom, </w:t>
      </w:r>
      <w:r w:rsidR="00704957" w:rsidRPr="00AF2AE5">
        <w:rPr>
          <w:noProof/>
        </w:rPr>
        <w:t>art.</w:t>
      </w:r>
      <w:r w:rsidR="00AF2AE5" w:rsidRPr="00AF2AE5">
        <w:rPr>
          <w:noProof/>
        </w:rPr>
        <w:t> </w:t>
      </w:r>
      <w:r w:rsidR="00704957" w:rsidRPr="00AF2AE5">
        <w:rPr>
          <w:noProof/>
        </w:rPr>
        <w:t>2</w:t>
      </w:r>
      <w:r w:rsidR="00704957" w:rsidRPr="00882905">
        <w:rPr>
          <w:noProof/>
        </w:rPr>
        <w:t>, 4</w:t>
      </w:r>
      <w:r w:rsidR="00AF2AE5" w:rsidRPr="00882905">
        <w:rPr>
          <w:noProof/>
        </w:rPr>
        <w:t xml:space="preserve"> i</w:t>
      </w:r>
      <w:r w:rsidR="00AF2AE5">
        <w:rPr>
          <w:noProof/>
        </w:rPr>
        <w:t> </w:t>
      </w:r>
      <w:r w:rsidR="00AF2AE5" w:rsidRPr="00882905">
        <w:rPr>
          <w:noProof/>
        </w:rPr>
        <w:t>5</w:t>
      </w:r>
      <w:r w:rsidR="00704957" w:rsidRPr="00882905">
        <w:rPr>
          <w:noProof/>
        </w:rPr>
        <w:t xml:space="preserve"> decyzji 2007/436/WE, Euratom, </w:t>
      </w:r>
      <w:r w:rsidR="00704957" w:rsidRPr="00AF2AE5">
        <w:rPr>
          <w:noProof/>
        </w:rPr>
        <w:t>art.</w:t>
      </w:r>
      <w:r w:rsidR="00AF2AE5" w:rsidRPr="00AF2AE5">
        <w:rPr>
          <w:noProof/>
        </w:rPr>
        <w:t> </w:t>
      </w:r>
      <w:r w:rsidR="00704957" w:rsidRPr="00AF2AE5">
        <w:rPr>
          <w:noProof/>
        </w:rPr>
        <w:t>2</w:t>
      </w:r>
      <w:r w:rsidR="00704957" w:rsidRPr="00882905">
        <w:rPr>
          <w:noProof/>
        </w:rPr>
        <w:t>, 4</w:t>
      </w:r>
      <w:r w:rsidR="00AF2AE5" w:rsidRPr="00882905">
        <w:rPr>
          <w:noProof/>
        </w:rPr>
        <w:t xml:space="preserve"> i</w:t>
      </w:r>
      <w:r w:rsidR="00AF2AE5">
        <w:rPr>
          <w:noProof/>
        </w:rPr>
        <w:t> </w:t>
      </w:r>
      <w:r w:rsidR="00AF2AE5" w:rsidRPr="00882905">
        <w:rPr>
          <w:noProof/>
        </w:rPr>
        <w:t>5</w:t>
      </w:r>
      <w:r w:rsidR="00704957" w:rsidRPr="00882905">
        <w:rPr>
          <w:noProof/>
        </w:rPr>
        <w:t xml:space="preserve"> decyzji 2014/335/UE, Euratom oraz </w:t>
      </w:r>
      <w:r w:rsidR="00704957" w:rsidRPr="00AF2AE5">
        <w:rPr>
          <w:noProof/>
        </w:rPr>
        <w:t>art.</w:t>
      </w:r>
      <w:r w:rsidR="00AF2AE5" w:rsidRPr="00AF2AE5">
        <w:rPr>
          <w:noProof/>
        </w:rPr>
        <w:t> </w:t>
      </w:r>
      <w:r w:rsidR="00704957" w:rsidRPr="00AF2AE5">
        <w:rPr>
          <w:noProof/>
        </w:rPr>
        <w:t>2</w:t>
      </w:r>
      <w:r w:rsidR="00704957" w:rsidRPr="00882905">
        <w:rPr>
          <w:noProof/>
        </w:rPr>
        <w:t xml:space="preserve"> decyzji Rady (UE, Euratom) 2020/2053 stosuje się nadal do obliczania</w:t>
      </w:r>
      <w:r w:rsidR="00AF2AE5" w:rsidRPr="00882905">
        <w:rPr>
          <w:noProof/>
        </w:rPr>
        <w:t xml:space="preserve"> i</w:t>
      </w:r>
      <w:r w:rsidR="00AF2AE5">
        <w:rPr>
          <w:noProof/>
        </w:rPr>
        <w:t> </w:t>
      </w:r>
      <w:r w:rsidR="00AF2AE5" w:rsidRPr="00882905">
        <w:rPr>
          <w:noProof/>
        </w:rPr>
        <w:t>dos</w:t>
      </w:r>
      <w:r w:rsidR="00704957" w:rsidRPr="00882905">
        <w:rPr>
          <w:noProof/>
        </w:rPr>
        <w:t>tosowywania dochodów pochodzących ze stosowania stawki poboru do podstawy VAT określanej</w:t>
      </w:r>
      <w:r w:rsidR="00AF2AE5" w:rsidRPr="00882905">
        <w:rPr>
          <w:noProof/>
        </w:rPr>
        <w:t xml:space="preserve"> w</w:t>
      </w:r>
      <w:r w:rsidR="00AF2AE5">
        <w:rPr>
          <w:noProof/>
        </w:rPr>
        <w:t> </w:t>
      </w:r>
      <w:r w:rsidR="00AF2AE5" w:rsidRPr="00882905">
        <w:rPr>
          <w:noProof/>
        </w:rPr>
        <w:t>spo</w:t>
      </w:r>
      <w:r w:rsidR="00704957" w:rsidRPr="00882905">
        <w:rPr>
          <w:noProof/>
        </w:rPr>
        <w:t>sób jednolity</w:t>
      </w:r>
      <w:r w:rsidR="00AF2AE5" w:rsidRPr="00882905">
        <w:rPr>
          <w:noProof/>
        </w:rPr>
        <w:t xml:space="preserve"> i</w:t>
      </w:r>
      <w:r w:rsidR="00AF2AE5">
        <w:rPr>
          <w:noProof/>
        </w:rPr>
        <w:t> </w:t>
      </w:r>
      <w:r w:rsidR="00AF2AE5" w:rsidRPr="00882905">
        <w:rPr>
          <w:noProof/>
        </w:rPr>
        <w:t>mie</w:t>
      </w:r>
      <w:r w:rsidR="00704957" w:rsidRPr="00882905">
        <w:rPr>
          <w:noProof/>
        </w:rPr>
        <w:t>szczącej się</w:t>
      </w:r>
      <w:r w:rsidR="00AF2AE5" w:rsidRPr="00882905">
        <w:rPr>
          <w:noProof/>
        </w:rPr>
        <w:t xml:space="preserve"> w</w:t>
      </w:r>
      <w:r w:rsidR="00AF2AE5">
        <w:rPr>
          <w:noProof/>
        </w:rPr>
        <w:t> </w:t>
      </w:r>
      <w:r w:rsidR="00AF2AE5" w:rsidRPr="00882905">
        <w:rPr>
          <w:noProof/>
        </w:rPr>
        <w:t>prz</w:t>
      </w:r>
      <w:r w:rsidR="00704957" w:rsidRPr="00882905">
        <w:rPr>
          <w:noProof/>
        </w:rPr>
        <w:t xml:space="preserve">edziale </w:t>
      </w:r>
      <w:r w:rsidR="00704957" w:rsidRPr="00AF2AE5">
        <w:rPr>
          <w:noProof/>
        </w:rPr>
        <w:t>od</w:t>
      </w:r>
      <w:r w:rsidR="00AF2AE5" w:rsidRPr="00AF2AE5">
        <w:rPr>
          <w:noProof/>
        </w:rPr>
        <w:t> </w:t>
      </w:r>
      <w:r w:rsidR="00704957" w:rsidRPr="00AF2AE5">
        <w:rPr>
          <w:noProof/>
        </w:rPr>
        <w:t>50</w:t>
      </w:r>
      <w:r w:rsidR="00AF2AE5" w:rsidRPr="00AF2AE5">
        <w:rPr>
          <w:noProof/>
        </w:rPr>
        <w:t> </w:t>
      </w:r>
      <w:r w:rsidR="00704957" w:rsidRPr="00AF2AE5">
        <w:rPr>
          <w:noProof/>
        </w:rPr>
        <w:t>%</w:t>
      </w:r>
      <w:r w:rsidR="00704957" w:rsidRPr="00882905">
        <w:rPr>
          <w:noProof/>
        </w:rPr>
        <w:t xml:space="preserve"> </w:t>
      </w:r>
      <w:r w:rsidR="00704957" w:rsidRPr="00AF2AE5">
        <w:rPr>
          <w:noProof/>
        </w:rPr>
        <w:t>do</w:t>
      </w:r>
      <w:r w:rsidR="00AF2AE5" w:rsidRPr="00AF2AE5">
        <w:rPr>
          <w:noProof/>
        </w:rPr>
        <w:t> </w:t>
      </w:r>
      <w:r w:rsidR="00704957" w:rsidRPr="00AF2AE5">
        <w:rPr>
          <w:noProof/>
        </w:rPr>
        <w:t>55</w:t>
      </w:r>
      <w:r w:rsidR="00AF2AE5" w:rsidRPr="00AF2AE5">
        <w:rPr>
          <w:noProof/>
        </w:rPr>
        <w:t> </w:t>
      </w:r>
      <w:r w:rsidR="00704957" w:rsidRPr="00AF2AE5">
        <w:rPr>
          <w:noProof/>
        </w:rPr>
        <w:t>%</w:t>
      </w:r>
      <w:r w:rsidR="00704957" w:rsidRPr="00882905">
        <w:rPr>
          <w:noProof/>
        </w:rPr>
        <w:t xml:space="preserve"> PNB lub DNB każdego państwa członkowskiego, zależnie od danego roku. </w:t>
      </w:r>
    </w:p>
    <w:p w14:paraId="0D4FE69C" w14:textId="6CDA9D3D" w:rsidR="00704957" w:rsidRPr="00882905" w:rsidRDefault="00EE785B" w:rsidP="00EE785B">
      <w:pPr>
        <w:pStyle w:val="ManualNumPar1"/>
        <w:rPr>
          <w:noProof/>
        </w:rPr>
      </w:pPr>
      <w:r w:rsidRPr="00EE785B">
        <w:rPr>
          <w:noProof/>
        </w:rPr>
        <w:t>3.</w:t>
      </w:r>
      <w:r w:rsidRPr="00EE785B">
        <w:rPr>
          <w:noProof/>
        </w:rPr>
        <w:tab/>
      </w:r>
      <w:r w:rsidR="00704957" w:rsidRPr="00882905">
        <w:rPr>
          <w:noProof/>
        </w:rPr>
        <w:t>Art. 5, 6</w:t>
      </w:r>
      <w:r w:rsidR="00AF2AE5" w:rsidRPr="00882905">
        <w:rPr>
          <w:noProof/>
        </w:rPr>
        <w:t xml:space="preserve"> i</w:t>
      </w:r>
      <w:r w:rsidR="00AF2AE5">
        <w:rPr>
          <w:noProof/>
        </w:rPr>
        <w:t> </w:t>
      </w:r>
      <w:r w:rsidR="00AF2AE5" w:rsidRPr="00882905">
        <w:rPr>
          <w:noProof/>
        </w:rPr>
        <w:t>9</w:t>
      </w:r>
      <w:r w:rsidR="00704957" w:rsidRPr="00882905">
        <w:rPr>
          <w:noProof/>
        </w:rPr>
        <w:t xml:space="preserve"> </w:t>
      </w:r>
      <w:r w:rsidR="00704957" w:rsidRPr="00AF2AE5">
        <w:rPr>
          <w:noProof/>
        </w:rPr>
        <w:t>ust.</w:t>
      </w:r>
      <w:r w:rsidR="00AF2AE5" w:rsidRPr="00AF2AE5">
        <w:rPr>
          <w:noProof/>
        </w:rPr>
        <w:t> </w:t>
      </w:r>
      <w:r w:rsidR="00704957" w:rsidRPr="00AF2AE5">
        <w:rPr>
          <w:noProof/>
        </w:rPr>
        <w:t>4</w:t>
      </w:r>
      <w:r w:rsidR="00704957" w:rsidRPr="00882905">
        <w:rPr>
          <w:noProof/>
        </w:rPr>
        <w:t>–9 decyzji Rady (UE, Euratom) 2020/2053 mają nadal zastosowanie do celów nadzwyczajnych</w:t>
      </w:r>
      <w:r w:rsidR="00AF2AE5" w:rsidRPr="00882905">
        <w:rPr>
          <w:noProof/>
        </w:rPr>
        <w:t xml:space="preserve"> i</w:t>
      </w:r>
      <w:r w:rsidR="00AF2AE5">
        <w:rPr>
          <w:noProof/>
        </w:rPr>
        <w:t> </w:t>
      </w:r>
      <w:r w:rsidR="00AF2AE5" w:rsidRPr="00882905">
        <w:rPr>
          <w:noProof/>
        </w:rPr>
        <w:t>tym</w:t>
      </w:r>
      <w:r w:rsidR="00704957" w:rsidRPr="00882905">
        <w:rPr>
          <w:noProof/>
        </w:rPr>
        <w:t xml:space="preserve">czasowych dodatkowych środków służących zaradzeniu skutkom kryzysu związanego z COVID-19. </w:t>
      </w:r>
    </w:p>
    <w:p w14:paraId="4D4E9CC1" w14:textId="761709A9" w:rsidR="00704957" w:rsidRPr="00882905" w:rsidRDefault="00EE785B" w:rsidP="00EE785B">
      <w:pPr>
        <w:pStyle w:val="ManualNumPar1"/>
        <w:rPr>
          <w:noProof/>
        </w:rPr>
      </w:pPr>
      <w:r w:rsidRPr="00EE785B">
        <w:rPr>
          <w:noProof/>
        </w:rPr>
        <w:t>4.</w:t>
      </w:r>
      <w:r w:rsidRPr="00EE785B">
        <w:rPr>
          <w:noProof/>
        </w:rPr>
        <w:tab/>
      </w:r>
      <w:r w:rsidR="00704957" w:rsidRPr="00882905">
        <w:rPr>
          <w:noProof/>
        </w:rPr>
        <w:t>Europejskim systemem rachunków,</w:t>
      </w:r>
      <w:r w:rsidR="00AF2AE5" w:rsidRPr="00882905">
        <w:rPr>
          <w:noProof/>
        </w:rPr>
        <w:t xml:space="preserve"> o</w:t>
      </w:r>
      <w:r w:rsidR="00AF2AE5">
        <w:rPr>
          <w:noProof/>
        </w:rPr>
        <w:t> </w:t>
      </w:r>
      <w:r w:rsidR="00AF2AE5" w:rsidRPr="00882905">
        <w:rPr>
          <w:noProof/>
        </w:rPr>
        <w:t>któ</w:t>
      </w:r>
      <w:r w:rsidR="00704957" w:rsidRPr="00882905">
        <w:rPr>
          <w:noProof/>
        </w:rPr>
        <w:t>rym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2</w:t>
      </w:r>
      <w:r w:rsidR="00704957" w:rsidRPr="00882905">
        <w:rPr>
          <w:noProof/>
        </w:rPr>
        <w:t xml:space="preserve"> </w:t>
      </w:r>
      <w:r w:rsidR="00704957" w:rsidRPr="00AF2AE5">
        <w:rPr>
          <w:noProof/>
        </w:rPr>
        <w:t>ust.</w:t>
      </w:r>
      <w:r w:rsidR="00AF2AE5" w:rsidRPr="00AF2AE5">
        <w:rPr>
          <w:noProof/>
        </w:rPr>
        <w:t> </w:t>
      </w:r>
      <w:r w:rsidR="00704957" w:rsidRPr="00AF2AE5">
        <w:rPr>
          <w:noProof/>
        </w:rPr>
        <w:t>3</w:t>
      </w:r>
      <w:r w:rsidR="00704957" w:rsidRPr="00882905">
        <w:rPr>
          <w:noProof/>
        </w:rPr>
        <w:t xml:space="preserve"> decyzji Rady 2020/2053, nadal jest ESA 2010.</w:t>
      </w:r>
    </w:p>
    <w:p w14:paraId="5BE066C9" w14:textId="5A7FDB90" w:rsidR="00704957" w:rsidRPr="00882905" w:rsidRDefault="00EE785B" w:rsidP="00EE785B">
      <w:pPr>
        <w:pStyle w:val="ManualNumPar1"/>
        <w:rPr>
          <w:noProof/>
        </w:rPr>
      </w:pPr>
      <w:r w:rsidRPr="00EE785B">
        <w:rPr>
          <w:noProof/>
        </w:rPr>
        <w:t>5.</w:t>
      </w:r>
      <w:r w:rsidRPr="00EE785B">
        <w:rPr>
          <w:noProof/>
        </w:rPr>
        <w:tab/>
      </w:r>
      <w:r w:rsidR="00704957" w:rsidRPr="00882905">
        <w:rPr>
          <w:noProof/>
        </w:rPr>
        <w:t>Państwa członkowskie zatrzymują nadal na poczet kosztów poboru 1</w:t>
      </w:r>
      <w:r w:rsidR="00704957" w:rsidRPr="00AF2AE5">
        <w:rPr>
          <w:noProof/>
        </w:rPr>
        <w:t>0</w:t>
      </w:r>
      <w:r w:rsidR="00AF2AE5" w:rsidRPr="00AF2AE5">
        <w:rPr>
          <w:noProof/>
        </w:rPr>
        <w:t> </w:t>
      </w:r>
      <w:r w:rsidR="00704957" w:rsidRPr="00AF2AE5">
        <w:rPr>
          <w:noProof/>
        </w:rPr>
        <w:t>%</w:t>
      </w:r>
      <w:r w:rsidR="00704957" w:rsidRPr="00882905">
        <w:rPr>
          <w:noProof/>
        </w:rPr>
        <w:t xml:space="preserve"> kwot,</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AF2AE5" w:rsidRPr="00882905">
        <w:rPr>
          <w:noProof/>
        </w:rPr>
        <w:t xml:space="preserve"> i</w:t>
      </w:r>
      <w:r w:rsidR="00AF2AE5">
        <w:rPr>
          <w:noProof/>
        </w:rPr>
        <w:t> </w:t>
      </w:r>
      <w:r w:rsidR="00AF2AE5" w:rsidRPr="00882905">
        <w:rPr>
          <w:noProof/>
        </w:rPr>
        <w:t>któ</w:t>
      </w:r>
      <w:r w:rsidR="00704957" w:rsidRPr="00882905">
        <w:rPr>
          <w:noProof/>
        </w:rPr>
        <w:t>re powinny były zostać udostępnione przez państwa członkowskie przed dniem 28 lutego 20</w:t>
      </w:r>
      <w:r w:rsidR="00704957" w:rsidRPr="00AF2AE5">
        <w:rPr>
          <w:noProof/>
        </w:rPr>
        <w:t>01</w:t>
      </w:r>
      <w:r w:rsidR="00AF2AE5" w:rsidRPr="00AF2AE5">
        <w:rPr>
          <w:noProof/>
        </w:rPr>
        <w:t> </w:t>
      </w:r>
      <w:r w:rsidR="00704957" w:rsidRPr="00AF2AE5">
        <w:rPr>
          <w:noProof/>
        </w:rPr>
        <w:t>r.</w:t>
      </w:r>
      <w:r w:rsidR="00704957" w:rsidRPr="00882905">
        <w:rPr>
          <w:noProof/>
        </w:rPr>
        <w:t>, zgodnie</w:t>
      </w:r>
      <w:r w:rsidR="00AF2AE5" w:rsidRPr="00882905">
        <w:rPr>
          <w:noProof/>
        </w:rPr>
        <w:t xml:space="preserve"> z</w:t>
      </w:r>
      <w:r w:rsidR="00AF2AE5">
        <w:rPr>
          <w:noProof/>
        </w:rPr>
        <w:t> </w:t>
      </w:r>
      <w:r w:rsidR="00AF2AE5" w:rsidRPr="00882905">
        <w:rPr>
          <w:noProof/>
        </w:rPr>
        <w:t>maj</w:t>
      </w:r>
      <w:r w:rsidR="00704957" w:rsidRPr="00882905">
        <w:rPr>
          <w:noProof/>
        </w:rPr>
        <w:t>ącymi zastosowanie przepisami unijnymi.</w:t>
      </w:r>
    </w:p>
    <w:p w14:paraId="4AD42295" w14:textId="695E1CB3" w:rsidR="00704957" w:rsidRPr="00882905" w:rsidRDefault="00EE785B" w:rsidP="00EE785B">
      <w:pPr>
        <w:pStyle w:val="ManualNumPar1"/>
        <w:rPr>
          <w:noProof/>
        </w:rPr>
      </w:pPr>
      <w:r w:rsidRPr="00EE785B">
        <w:rPr>
          <w:noProof/>
        </w:rPr>
        <w:t>6.</w:t>
      </w:r>
      <w:r w:rsidRPr="00EE785B">
        <w:rPr>
          <w:noProof/>
        </w:rPr>
        <w:tab/>
      </w:r>
      <w:r w:rsidR="00704957" w:rsidRPr="00882905">
        <w:rPr>
          <w:noProof/>
        </w:rPr>
        <w:t>Państwa członkowskie zatrzymują nadal na poczet kosztów poboru 2</w:t>
      </w:r>
      <w:r w:rsidR="00704957" w:rsidRPr="00AF2AE5">
        <w:rPr>
          <w:noProof/>
        </w:rPr>
        <w:t>5</w:t>
      </w:r>
      <w:r w:rsidR="00AF2AE5" w:rsidRPr="00AF2AE5">
        <w:rPr>
          <w:noProof/>
        </w:rPr>
        <w:t> </w:t>
      </w:r>
      <w:r w:rsidR="00704957" w:rsidRPr="00AF2AE5">
        <w:rPr>
          <w:noProof/>
        </w:rPr>
        <w:t>%</w:t>
      </w:r>
      <w:r w:rsidR="00704957" w:rsidRPr="00882905">
        <w:rPr>
          <w:noProof/>
        </w:rPr>
        <w:t xml:space="preserve"> kwot,</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AF2AE5" w:rsidRPr="00882905">
        <w:rPr>
          <w:noProof/>
        </w:rPr>
        <w:t xml:space="preserve"> i</w:t>
      </w:r>
      <w:r w:rsidR="00AF2AE5">
        <w:rPr>
          <w:noProof/>
        </w:rPr>
        <w:t> </w:t>
      </w:r>
      <w:r w:rsidR="00AF2AE5" w:rsidRPr="00882905">
        <w:rPr>
          <w:noProof/>
        </w:rPr>
        <w:t>któ</w:t>
      </w:r>
      <w:r w:rsidR="00704957" w:rsidRPr="00882905">
        <w:rPr>
          <w:noProof/>
        </w:rPr>
        <w:t>re powinny były zostać udostępnione przez państwa członkowskie między dniem 1 marca 20</w:t>
      </w:r>
      <w:r w:rsidR="00704957" w:rsidRPr="00AF2AE5">
        <w:rPr>
          <w:noProof/>
        </w:rPr>
        <w:t>01</w:t>
      </w:r>
      <w:r w:rsidR="00AF2AE5" w:rsidRPr="00AF2AE5">
        <w:rPr>
          <w:noProof/>
        </w:rPr>
        <w:t> </w:t>
      </w:r>
      <w:r w:rsidR="00704957" w:rsidRPr="00AF2AE5">
        <w:rPr>
          <w:noProof/>
        </w:rPr>
        <w:t>r.</w:t>
      </w:r>
      <w:r w:rsidR="00AF2AE5" w:rsidRPr="00882905">
        <w:rPr>
          <w:noProof/>
        </w:rPr>
        <w:t xml:space="preserve"> a</w:t>
      </w:r>
      <w:r w:rsidR="00AF2AE5">
        <w:rPr>
          <w:noProof/>
        </w:rPr>
        <w:t> </w:t>
      </w:r>
      <w:r w:rsidR="00AF2AE5" w:rsidRPr="00882905">
        <w:rPr>
          <w:noProof/>
        </w:rPr>
        <w:t>dni</w:t>
      </w:r>
      <w:r w:rsidR="00704957" w:rsidRPr="00882905">
        <w:rPr>
          <w:noProof/>
        </w:rPr>
        <w:t>em 28 lutego 20</w:t>
      </w:r>
      <w:r w:rsidR="00704957" w:rsidRPr="00AF2AE5">
        <w:rPr>
          <w:noProof/>
        </w:rPr>
        <w:t>14</w:t>
      </w:r>
      <w:r w:rsidR="00AF2AE5" w:rsidRPr="00AF2AE5">
        <w:rPr>
          <w:noProof/>
        </w:rPr>
        <w:t> </w:t>
      </w:r>
      <w:r w:rsidR="00704957" w:rsidRPr="00AF2AE5">
        <w:rPr>
          <w:noProof/>
        </w:rPr>
        <w:t>r.</w:t>
      </w:r>
      <w:r w:rsidR="00704957" w:rsidRPr="00882905">
        <w:rPr>
          <w:noProof/>
        </w:rPr>
        <w:t>, zgodnie</w:t>
      </w:r>
      <w:r w:rsidR="00AF2AE5" w:rsidRPr="00882905">
        <w:rPr>
          <w:noProof/>
        </w:rPr>
        <w:t xml:space="preserve"> z</w:t>
      </w:r>
      <w:r w:rsidR="00AF2AE5">
        <w:rPr>
          <w:noProof/>
        </w:rPr>
        <w:t> </w:t>
      </w:r>
      <w:r w:rsidR="00AF2AE5" w:rsidRPr="00882905">
        <w:rPr>
          <w:noProof/>
        </w:rPr>
        <w:t>maj</w:t>
      </w:r>
      <w:r w:rsidR="00704957" w:rsidRPr="00882905">
        <w:rPr>
          <w:noProof/>
        </w:rPr>
        <w:t>ącymi zastosowanie przepisami unijnymi.</w:t>
      </w:r>
    </w:p>
    <w:p w14:paraId="473F87BE" w14:textId="79706EF8" w:rsidR="00704957" w:rsidRPr="00882905" w:rsidRDefault="00EE785B" w:rsidP="00EE785B">
      <w:pPr>
        <w:pStyle w:val="ManualNumPar1"/>
        <w:rPr>
          <w:noProof/>
        </w:rPr>
      </w:pPr>
      <w:r w:rsidRPr="00EE785B">
        <w:rPr>
          <w:noProof/>
        </w:rPr>
        <w:t>7.</w:t>
      </w:r>
      <w:r w:rsidRPr="00EE785B">
        <w:rPr>
          <w:noProof/>
        </w:rPr>
        <w:tab/>
      </w:r>
      <w:r w:rsidR="00704957" w:rsidRPr="00882905">
        <w:rPr>
          <w:noProof/>
        </w:rPr>
        <w:t>Państwa członkowskie zatrzymują nadal na poczet kosztów poboru 2</w:t>
      </w:r>
      <w:r w:rsidR="00704957" w:rsidRPr="00AF2AE5">
        <w:rPr>
          <w:noProof/>
        </w:rPr>
        <w:t>0</w:t>
      </w:r>
      <w:r w:rsidR="00AF2AE5" w:rsidRPr="00AF2AE5">
        <w:rPr>
          <w:noProof/>
        </w:rPr>
        <w:t> </w:t>
      </w:r>
      <w:r w:rsidR="00704957" w:rsidRPr="00AF2AE5">
        <w:rPr>
          <w:noProof/>
        </w:rPr>
        <w:t>%</w:t>
      </w:r>
      <w:r w:rsidR="00704957" w:rsidRPr="00882905">
        <w:rPr>
          <w:noProof/>
        </w:rPr>
        <w:t xml:space="preserve"> kwot,</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AF2AE5" w:rsidRPr="00882905">
        <w:rPr>
          <w:noProof/>
        </w:rPr>
        <w:t xml:space="preserve"> i</w:t>
      </w:r>
      <w:r w:rsidR="00AF2AE5">
        <w:rPr>
          <w:noProof/>
        </w:rPr>
        <w:t> </w:t>
      </w:r>
      <w:r w:rsidR="00AF2AE5" w:rsidRPr="00882905">
        <w:rPr>
          <w:noProof/>
        </w:rPr>
        <w:t>któ</w:t>
      </w:r>
      <w:r w:rsidR="00704957" w:rsidRPr="00882905">
        <w:rPr>
          <w:noProof/>
        </w:rPr>
        <w:t>re powinny były zostać udostępnione przez państwa członkowskie między dniem 1 marca 20</w:t>
      </w:r>
      <w:r w:rsidR="00704957" w:rsidRPr="00AF2AE5">
        <w:rPr>
          <w:noProof/>
        </w:rPr>
        <w:t>14</w:t>
      </w:r>
      <w:r w:rsidR="00AF2AE5" w:rsidRPr="00AF2AE5">
        <w:rPr>
          <w:noProof/>
        </w:rPr>
        <w:t> </w:t>
      </w:r>
      <w:r w:rsidR="00704957" w:rsidRPr="00AF2AE5">
        <w:rPr>
          <w:noProof/>
        </w:rPr>
        <w:t>r.</w:t>
      </w:r>
      <w:r w:rsidR="00AF2AE5" w:rsidRPr="00882905">
        <w:rPr>
          <w:noProof/>
        </w:rPr>
        <w:t xml:space="preserve"> a</w:t>
      </w:r>
      <w:r w:rsidR="00AF2AE5">
        <w:rPr>
          <w:noProof/>
        </w:rPr>
        <w:t> </w:t>
      </w:r>
      <w:r w:rsidR="00AF2AE5" w:rsidRPr="00882905">
        <w:rPr>
          <w:noProof/>
        </w:rPr>
        <w:t>dni</w:t>
      </w:r>
      <w:r w:rsidR="00704957" w:rsidRPr="00882905">
        <w:rPr>
          <w:noProof/>
        </w:rPr>
        <w:t>em 28 lutego 20</w:t>
      </w:r>
      <w:r w:rsidR="00704957" w:rsidRPr="00AF2AE5">
        <w:rPr>
          <w:noProof/>
        </w:rPr>
        <w:t>21</w:t>
      </w:r>
      <w:r w:rsidR="00AF2AE5" w:rsidRPr="00AF2AE5">
        <w:rPr>
          <w:noProof/>
        </w:rPr>
        <w:t> </w:t>
      </w:r>
      <w:r w:rsidR="00704957" w:rsidRPr="00AF2AE5">
        <w:rPr>
          <w:noProof/>
        </w:rPr>
        <w:t>r.</w:t>
      </w:r>
      <w:r w:rsidR="00704957" w:rsidRPr="00882905">
        <w:rPr>
          <w:noProof/>
        </w:rPr>
        <w:t>, zgodnie</w:t>
      </w:r>
      <w:r w:rsidR="00AF2AE5" w:rsidRPr="00882905">
        <w:rPr>
          <w:noProof/>
        </w:rPr>
        <w:t xml:space="preserve"> z</w:t>
      </w:r>
      <w:r w:rsidR="00AF2AE5">
        <w:rPr>
          <w:noProof/>
        </w:rPr>
        <w:t> </w:t>
      </w:r>
      <w:r w:rsidR="00AF2AE5" w:rsidRPr="00882905">
        <w:rPr>
          <w:noProof/>
        </w:rPr>
        <w:t>maj</w:t>
      </w:r>
      <w:r w:rsidR="00704957" w:rsidRPr="00882905">
        <w:rPr>
          <w:noProof/>
        </w:rPr>
        <w:t>ącymi zastosowanie przepisami unijnymi.</w:t>
      </w:r>
    </w:p>
    <w:p w14:paraId="6B476727" w14:textId="46EC7C7C" w:rsidR="00704957" w:rsidRPr="00882905" w:rsidRDefault="00EE785B" w:rsidP="00EE785B">
      <w:pPr>
        <w:pStyle w:val="ManualNumPar1"/>
        <w:rPr>
          <w:noProof/>
        </w:rPr>
      </w:pPr>
      <w:r w:rsidRPr="00EE785B">
        <w:rPr>
          <w:noProof/>
        </w:rPr>
        <w:t>8.</w:t>
      </w:r>
      <w:r w:rsidRPr="00EE785B">
        <w:rPr>
          <w:noProof/>
        </w:rPr>
        <w:tab/>
      </w:r>
      <w:r w:rsidR="00704957" w:rsidRPr="00882905">
        <w:rPr>
          <w:noProof/>
        </w:rPr>
        <w:t>Państwa członkowskie zatrzymują nadal na poczet kosztów poboru 2</w:t>
      </w:r>
      <w:r w:rsidR="00704957" w:rsidRPr="00AF2AE5">
        <w:rPr>
          <w:noProof/>
        </w:rPr>
        <w:t>5</w:t>
      </w:r>
      <w:r w:rsidR="00AF2AE5" w:rsidRPr="00AF2AE5">
        <w:rPr>
          <w:noProof/>
        </w:rPr>
        <w:t> </w:t>
      </w:r>
      <w:r w:rsidR="00704957" w:rsidRPr="00AF2AE5">
        <w:rPr>
          <w:noProof/>
        </w:rPr>
        <w:t>%</w:t>
      </w:r>
      <w:r w:rsidR="00704957" w:rsidRPr="00882905">
        <w:rPr>
          <w:noProof/>
        </w:rPr>
        <w:t xml:space="preserve"> kwot,</w:t>
      </w:r>
      <w:r w:rsidR="00AF2AE5" w:rsidRPr="00882905">
        <w:rPr>
          <w:noProof/>
        </w:rPr>
        <w:t xml:space="preserve"> o</w:t>
      </w:r>
      <w:r w:rsidR="00AF2AE5">
        <w:rPr>
          <w:noProof/>
        </w:rPr>
        <w:t> </w:t>
      </w:r>
      <w:r w:rsidR="00AF2AE5" w:rsidRPr="00882905">
        <w:rPr>
          <w:noProof/>
        </w:rPr>
        <w:t>któ</w:t>
      </w:r>
      <w:r w:rsidR="00704957" w:rsidRPr="00882905">
        <w:rPr>
          <w:noProof/>
        </w:rPr>
        <w:t>rych mowa</w:t>
      </w:r>
      <w:r w:rsidR="00AF2AE5" w:rsidRPr="00882905">
        <w:rPr>
          <w:noProof/>
        </w:rPr>
        <w:t xml:space="preserve"> w</w:t>
      </w:r>
      <w:r w:rsidR="00AF2AE5">
        <w:rPr>
          <w:noProof/>
        </w:rPr>
        <w:t> </w:t>
      </w:r>
      <w:r w:rsidR="00AF2AE5" w:rsidRPr="00AF2AE5">
        <w:rPr>
          <w:noProof/>
        </w:rPr>
        <w:t>art</w:t>
      </w:r>
      <w:r w:rsidR="00704957" w:rsidRPr="00AF2AE5">
        <w:rPr>
          <w:noProof/>
        </w:rPr>
        <w:t>.</w:t>
      </w:r>
      <w:r w:rsidR="00AF2AE5" w:rsidRPr="00AF2AE5">
        <w:rPr>
          <w:noProof/>
        </w:rPr>
        <w:t> </w:t>
      </w:r>
      <w:r w:rsidR="00704957" w:rsidRPr="00AF2AE5">
        <w:rPr>
          <w:noProof/>
        </w:rPr>
        <w:t>3</w:t>
      </w:r>
      <w:r w:rsidR="00704957" w:rsidRPr="00882905">
        <w:rPr>
          <w:noProof/>
        </w:rPr>
        <w:t xml:space="preserve"> </w:t>
      </w:r>
      <w:r w:rsidR="00704957" w:rsidRPr="00AF2AE5">
        <w:rPr>
          <w:noProof/>
        </w:rPr>
        <w:t>ust.</w:t>
      </w:r>
      <w:r w:rsidR="00AF2AE5" w:rsidRPr="00AF2AE5">
        <w:rPr>
          <w:noProof/>
        </w:rPr>
        <w:t> </w:t>
      </w:r>
      <w:r w:rsidR="00704957" w:rsidRPr="00AF2AE5">
        <w:rPr>
          <w:noProof/>
        </w:rPr>
        <w:t>1</w:t>
      </w:r>
      <w:r w:rsidR="00704957" w:rsidRPr="00882905">
        <w:rPr>
          <w:noProof/>
        </w:rPr>
        <w:t xml:space="preserve"> </w:t>
      </w:r>
      <w:r w:rsidR="00704957" w:rsidRPr="00AF2AE5">
        <w:rPr>
          <w:noProof/>
        </w:rPr>
        <w:t>lit.</w:t>
      </w:r>
      <w:r w:rsidR="00AF2AE5" w:rsidRPr="00AF2AE5">
        <w:rPr>
          <w:noProof/>
        </w:rPr>
        <w:t> </w:t>
      </w:r>
      <w:r w:rsidR="00704957" w:rsidRPr="00AF2AE5">
        <w:rPr>
          <w:noProof/>
        </w:rPr>
        <w:t>a)</w:t>
      </w:r>
      <w:r w:rsidR="00AF2AE5" w:rsidRPr="00882905">
        <w:rPr>
          <w:noProof/>
        </w:rPr>
        <w:t xml:space="preserve"> i</w:t>
      </w:r>
      <w:r w:rsidR="00AF2AE5">
        <w:rPr>
          <w:noProof/>
        </w:rPr>
        <w:t> </w:t>
      </w:r>
      <w:r w:rsidR="00AF2AE5" w:rsidRPr="00882905">
        <w:rPr>
          <w:noProof/>
        </w:rPr>
        <w:t>któ</w:t>
      </w:r>
      <w:r w:rsidR="00704957" w:rsidRPr="00882905">
        <w:rPr>
          <w:noProof/>
        </w:rPr>
        <w:t>re powinny były zostać udostępnione przez państwa członkowskie między dniem 1 marca 20</w:t>
      </w:r>
      <w:r w:rsidR="00704957" w:rsidRPr="00AF2AE5">
        <w:rPr>
          <w:noProof/>
        </w:rPr>
        <w:t>21</w:t>
      </w:r>
      <w:r w:rsidR="00AF2AE5" w:rsidRPr="00AF2AE5">
        <w:rPr>
          <w:noProof/>
        </w:rPr>
        <w:t> </w:t>
      </w:r>
      <w:r w:rsidR="00704957" w:rsidRPr="00AF2AE5">
        <w:rPr>
          <w:noProof/>
        </w:rPr>
        <w:t>r.</w:t>
      </w:r>
      <w:r w:rsidR="00AF2AE5" w:rsidRPr="00882905">
        <w:rPr>
          <w:noProof/>
        </w:rPr>
        <w:t xml:space="preserve"> a</w:t>
      </w:r>
      <w:r w:rsidR="00AF2AE5">
        <w:rPr>
          <w:noProof/>
        </w:rPr>
        <w:t> </w:t>
      </w:r>
      <w:r w:rsidR="00AF2AE5" w:rsidRPr="00882905">
        <w:rPr>
          <w:noProof/>
        </w:rPr>
        <w:t>dni</w:t>
      </w:r>
      <w:r w:rsidR="00704957" w:rsidRPr="00882905">
        <w:rPr>
          <w:noProof/>
        </w:rPr>
        <w:t>em 29 lutego 20</w:t>
      </w:r>
      <w:r w:rsidR="00704957" w:rsidRPr="00AF2AE5">
        <w:rPr>
          <w:noProof/>
        </w:rPr>
        <w:t>28</w:t>
      </w:r>
      <w:r w:rsidR="00AF2AE5" w:rsidRPr="00AF2AE5">
        <w:rPr>
          <w:noProof/>
        </w:rPr>
        <w:t> </w:t>
      </w:r>
      <w:r w:rsidR="00704957" w:rsidRPr="00AF2AE5">
        <w:rPr>
          <w:noProof/>
        </w:rPr>
        <w:t>r.</w:t>
      </w:r>
      <w:r w:rsidR="00704957" w:rsidRPr="00882905">
        <w:rPr>
          <w:noProof/>
        </w:rPr>
        <w:t>, zgodnie</w:t>
      </w:r>
      <w:r w:rsidR="00AF2AE5" w:rsidRPr="00882905">
        <w:rPr>
          <w:noProof/>
        </w:rPr>
        <w:t xml:space="preserve"> z</w:t>
      </w:r>
      <w:r w:rsidR="00AF2AE5">
        <w:rPr>
          <w:noProof/>
        </w:rPr>
        <w:t> </w:t>
      </w:r>
      <w:r w:rsidR="00AF2AE5" w:rsidRPr="00882905">
        <w:rPr>
          <w:noProof/>
        </w:rPr>
        <w:t>maj</w:t>
      </w:r>
      <w:r w:rsidR="00704957" w:rsidRPr="00882905">
        <w:rPr>
          <w:noProof/>
        </w:rPr>
        <w:t>ącymi zastosowanie przepisami unijnymi.</w:t>
      </w:r>
    </w:p>
    <w:p w14:paraId="2D4D28EC" w14:textId="20430A3D" w:rsidR="001C756A" w:rsidRPr="00882905" w:rsidRDefault="00EE785B" w:rsidP="00EE785B">
      <w:pPr>
        <w:pStyle w:val="ManualNumPar1"/>
        <w:rPr>
          <w:noProof/>
        </w:rPr>
      </w:pPr>
      <w:r w:rsidRPr="00EE785B">
        <w:rPr>
          <w:noProof/>
        </w:rPr>
        <w:t>9.</w:t>
      </w:r>
      <w:r w:rsidRPr="00EE785B">
        <w:rPr>
          <w:noProof/>
        </w:rPr>
        <w:tab/>
      </w:r>
      <w:r w:rsidR="00766E4F" w:rsidRPr="00882905">
        <w:rPr>
          <w:noProof/>
        </w:rPr>
        <w:t>W okresie od dnia [1 listopada 20</w:t>
      </w:r>
      <w:r w:rsidR="00766E4F" w:rsidRPr="00AF2AE5">
        <w:rPr>
          <w:noProof/>
        </w:rPr>
        <w:t>26</w:t>
      </w:r>
      <w:r w:rsidR="00AF2AE5" w:rsidRPr="00AF2AE5">
        <w:rPr>
          <w:noProof/>
        </w:rPr>
        <w:t> </w:t>
      </w:r>
      <w:r w:rsidR="00766E4F" w:rsidRPr="00AF2AE5">
        <w:rPr>
          <w:noProof/>
        </w:rPr>
        <w:t>r.</w:t>
      </w:r>
      <w:r w:rsidR="00766E4F" w:rsidRPr="00882905">
        <w:rPr>
          <w:noProof/>
        </w:rPr>
        <w:t>] do dnia 31 grudnia 20</w:t>
      </w:r>
      <w:r w:rsidR="00766E4F" w:rsidRPr="00AF2AE5">
        <w:rPr>
          <w:noProof/>
        </w:rPr>
        <w:t>27</w:t>
      </w:r>
      <w:r w:rsidR="00AF2AE5" w:rsidRPr="00AF2AE5">
        <w:rPr>
          <w:noProof/>
        </w:rPr>
        <w:t> </w:t>
      </w:r>
      <w:r w:rsidR="00766E4F" w:rsidRPr="00AF2AE5">
        <w:rPr>
          <w:noProof/>
        </w:rPr>
        <w:t>r.</w:t>
      </w:r>
      <w:r w:rsidR="00766E4F" w:rsidRPr="00882905">
        <w:rPr>
          <w:noProof/>
        </w:rPr>
        <w:t xml:space="preserve">, na zasadzie odstępstwa od </w:t>
      </w:r>
      <w:r w:rsidR="00766E4F" w:rsidRPr="00AF2AE5">
        <w:rPr>
          <w:noProof/>
        </w:rPr>
        <w:t>art.</w:t>
      </w:r>
      <w:r w:rsidR="00AF2AE5" w:rsidRPr="00AF2AE5">
        <w:rPr>
          <w:noProof/>
        </w:rPr>
        <w:t> </w:t>
      </w:r>
      <w:r w:rsidR="00766E4F" w:rsidRPr="00AF2AE5">
        <w:rPr>
          <w:noProof/>
        </w:rPr>
        <w:t>9</w:t>
      </w:r>
      <w:r w:rsidR="00766E4F" w:rsidRPr="00882905">
        <w:rPr>
          <w:noProof/>
        </w:rPr>
        <w:t xml:space="preserve"> </w:t>
      </w:r>
      <w:r w:rsidR="00766E4F" w:rsidRPr="00AF2AE5">
        <w:rPr>
          <w:noProof/>
        </w:rPr>
        <w:t>ust.</w:t>
      </w:r>
      <w:r w:rsidR="00AF2AE5" w:rsidRPr="00AF2AE5">
        <w:rPr>
          <w:noProof/>
        </w:rPr>
        <w:t> </w:t>
      </w:r>
      <w:r w:rsidR="00766E4F" w:rsidRPr="00AF2AE5">
        <w:rPr>
          <w:noProof/>
        </w:rPr>
        <w:t>3</w:t>
      </w:r>
      <w:r w:rsidR="00AF2AE5" w:rsidRPr="00882905">
        <w:rPr>
          <w:noProof/>
        </w:rPr>
        <w:t xml:space="preserve"> i</w:t>
      </w:r>
      <w:r w:rsidR="00AF2AE5">
        <w:rPr>
          <w:noProof/>
        </w:rPr>
        <w:t> </w:t>
      </w:r>
      <w:r w:rsidR="00AF2AE5" w:rsidRPr="00882905">
        <w:rPr>
          <w:noProof/>
        </w:rPr>
        <w:t>prz</w:t>
      </w:r>
      <w:r w:rsidR="00766E4F" w:rsidRPr="00882905">
        <w:rPr>
          <w:noProof/>
        </w:rPr>
        <w:t xml:space="preserve">episów przyjętych na podstawie </w:t>
      </w:r>
      <w:r w:rsidR="00766E4F" w:rsidRPr="00AF2AE5">
        <w:rPr>
          <w:noProof/>
        </w:rPr>
        <w:t>art.</w:t>
      </w:r>
      <w:r w:rsidR="00AF2AE5" w:rsidRPr="00AF2AE5">
        <w:rPr>
          <w:noProof/>
        </w:rPr>
        <w:t> </w:t>
      </w:r>
      <w:r w:rsidR="00766E4F" w:rsidRPr="00AF2AE5">
        <w:rPr>
          <w:noProof/>
        </w:rPr>
        <w:t>1</w:t>
      </w:r>
      <w:r w:rsidR="00766E4F" w:rsidRPr="00882905">
        <w:rPr>
          <w:noProof/>
        </w:rPr>
        <w:t xml:space="preserve">0 </w:t>
      </w:r>
      <w:r w:rsidR="00766E4F" w:rsidRPr="00AF2AE5">
        <w:rPr>
          <w:noProof/>
        </w:rPr>
        <w:t>lit.</w:t>
      </w:r>
      <w:r w:rsidR="00AF2AE5" w:rsidRPr="00AF2AE5">
        <w:rPr>
          <w:noProof/>
        </w:rPr>
        <w:t> </w:t>
      </w:r>
      <w:r w:rsidR="00766E4F" w:rsidRPr="00AF2AE5">
        <w:rPr>
          <w:noProof/>
        </w:rPr>
        <w:t>b)</w:t>
      </w:r>
      <w:r w:rsidR="00766E4F" w:rsidRPr="00882905">
        <w:rPr>
          <w:noProof/>
        </w:rPr>
        <w:t xml:space="preserve"> decyzji (UE, Euratom) 2020/2053, nie udostępnia się kwot tradycyjnych zasobów własnych związanych</w:t>
      </w:r>
      <w:r w:rsidR="00AF2AE5" w:rsidRPr="00882905">
        <w:rPr>
          <w:noProof/>
        </w:rPr>
        <w:t xml:space="preserve"> z</w:t>
      </w:r>
      <w:r w:rsidR="00AF2AE5">
        <w:rPr>
          <w:noProof/>
        </w:rPr>
        <w:t> </w:t>
      </w:r>
      <w:r w:rsidR="00AF2AE5" w:rsidRPr="00882905">
        <w:rPr>
          <w:noProof/>
        </w:rPr>
        <w:t>obs</w:t>
      </w:r>
      <w:r w:rsidR="00766E4F" w:rsidRPr="00882905">
        <w:rPr>
          <w:noProof/>
        </w:rPr>
        <w:t>ługą dopuszczenia do obrotu towarów sprzedawanych</w:t>
      </w:r>
      <w:r w:rsidR="00AF2AE5" w:rsidRPr="00882905">
        <w:rPr>
          <w:noProof/>
        </w:rPr>
        <w:t xml:space="preserve"> w</w:t>
      </w:r>
      <w:r w:rsidR="00AF2AE5">
        <w:rPr>
          <w:noProof/>
        </w:rPr>
        <w:t> </w:t>
      </w:r>
      <w:r w:rsidR="00AF2AE5" w:rsidRPr="00882905">
        <w:rPr>
          <w:noProof/>
        </w:rPr>
        <w:t>ram</w:t>
      </w:r>
      <w:r w:rsidR="00766E4F" w:rsidRPr="00882905">
        <w:rPr>
          <w:noProof/>
        </w:rPr>
        <w:t>ach sprzedaży na odległość i do tych kwot nie mają zastosowania przepisy dotyczące kontroli, nadzoru</w:t>
      </w:r>
      <w:r w:rsidR="00AF2AE5" w:rsidRPr="00882905">
        <w:rPr>
          <w:noProof/>
        </w:rPr>
        <w:t xml:space="preserve"> i</w:t>
      </w:r>
      <w:r w:rsidR="00AF2AE5">
        <w:rPr>
          <w:noProof/>
        </w:rPr>
        <w:t> </w:t>
      </w:r>
      <w:r w:rsidR="00AF2AE5" w:rsidRPr="00882905">
        <w:rPr>
          <w:noProof/>
        </w:rPr>
        <w:t>spr</w:t>
      </w:r>
      <w:r w:rsidR="00766E4F" w:rsidRPr="00882905">
        <w:rPr>
          <w:noProof/>
        </w:rPr>
        <w:t>awozdawczości.</w:t>
      </w:r>
    </w:p>
    <w:p w14:paraId="0427B2FD" w14:textId="7FE9C0BE" w:rsidR="00704957" w:rsidRPr="00882905" w:rsidRDefault="00EE785B" w:rsidP="00EE785B">
      <w:pPr>
        <w:pStyle w:val="ManualNumPar1"/>
        <w:rPr>
          <w:noProof/>
        </w:rPr>
      </w:pPr>
      <w:r w:rsidRPr="00EE785B">
        <w:rPr>
          <w:noProof/>
        </w:rPr>
        <w:t>10.</w:t>
      </w:r>
      <w:r w:rsidRPr="00EE785B">
        <w:rPr>
          <w:noProof/>
        </w:rPr>
        <w:tab/>
      </w:r>
      <w:r w:rsidR="00704957" w:rsidRPr="00882905">
        <w:rPr>
          <w:noProof/>
        </w:rPr>
        <w:t>Na potrzeby niniejszej decyzji wszystkie kwoty pieniężne muszą być wyrażone</w:t>
      </w:r>
      <w:r w:rsidR="00AF2AE5" w:rsidRPr="00882905">
        <w:rPr>
          <w:noProof/>
        </w:rPr>
        <w:t xml:space="preserve"> w</w:t>
      </w:r>
      <w:r w:rsidR="00AF2AE5">
        <w:rPr>
          <w:noProof/>
        </w:rPr>
        <w:t> </w:t>
      </w:r>
      <w:r w:rsidR="00AF2AE5" w:rsidRPr="00882905">
        <w:rPr>
          <w:noProof/>
        </w:rPr>
        <w:t>eur</w:t>
      </w:r>
      <w:r w:rsidR="00704957" w:rsidRPr="00882905">
        <w:rPr>
          <w:noProof/>
        </w:rPr>
        <w:t>o.</w:t>
      </w:r>
    </w:p>
    <w:p w14:paraId="020A51CE" w14:textId="73F2229D" w:rsidR="00704957" w:rsidRPr="00882905" w:rsidRDefault="00704957" w:rsidP="00704957">
      <w:pPr>
        <w:pStyle w:val="Titrearticle"/>
        <w:keepNext w:val="0"/>
        <w:rPr>
          <w:noProof/>
        </w:rPr>
      </w:pPr>
      <w:r w:rsidRPr="00882905">
        <w:rPr>
          <w:noProof/>
        </w:rPr>
        <w:t xml:space="preserve">Artykuł </w:t>
      </w:r>
      <w:bookmarkStart w:id="1" w:name="_Hlk126129799"/>
      <w:r w:rsidRPr="00882905">
        <w:rPr>
          <w:noProof/>
        </w:rPr>
        <w:t>14</w:t>
      </w:r>
      <w:r w:rsidRPr="00882905">
        <w:rPr>
          <w:i w:val="0"/>
          <w:noProof/>
        </w:rPr>
        <w:br/>
      </w:r>
      <w:bookmarkEnd w:id="1"/>
      <w:r w:rsidRPr="00882905">
        <w:rPr>
          <w:b/>
          <w:noProof/>
        </w:rPr>
        <w:t>Wejście</w:t>
      </w:r>
      <w:r w:rsidR="00AF2AE5" w:rsidRPr="00882905">
        <w:rPr>
          <w:b/>
          <w:noProof/>
        </w:rPr>
        <w:t xml:space="preserve"> w</w:t>
      </w:r>
      <w:r w:rsidR="00AF2AE5">
        <w:rPr>
          <w:b/>
          <w:noProof/>
        </w:rPr>
        <w:t> </w:t>
      </w:r>
      <w:r w:rsidR="00AF2AE5" w:rsidRPr="00882905">
        <w:rPr>
          <w:b/>
          <w:noProof/>
        </w:rPr>
        <w:t>życ</w:t>
      </w:r>
      <w:r w:rsidRPr="00882905">
        <w:rPr>
          <w:b/>
          <w:noProof/>
        </w:rPr>
        <w:t>ie</w:t>
      </w:r>
    </w:p>
    <w:p w14:paraId="60F100A9" w14:textId="12CEAD32" w:rsidR="00704957" w:rsidRPr="00882905" w:rsidRDefault="00704957" w:rsidP="008F575B">
      <w:pPr>
        <w:rPr>
          <w:noProof/>
        </w:rPr>
      </w:pPr>
      <w:r w:rsidRPr="00882905">
        <w:rPr>
          <w:noProof/>
        </w:rPr>
        <w:t>Sekretarz Generalny Rady powiadamia</w:t>
      </w:r>
      <w:r w:rsidR="00AF2AE5" w:rsidRPr="00882905">
        <w:rPr>
          <w:noProof/>
        </w:rPr>
        <w:t xml:space="preserve"> o</w:t>
      </w:r>
      <w:r w:rsidR="00AF2AE5">
        <w:rPr>
          <w:noProof/>
        </w:rPr>
        <w:t> </w:t>
      </w:r>
      <w:r w:rsidR="00AF2AE5" w:rsidRPr="00882905">
        <w:rPr>
          <w:noProof/>
        </w:rPr>
        <w:t>nin</w:t>
      </w:r>
      <w:r w:rsidRPr="00882905">
        <w:rPr>
          <w:noProof/>
        </w:rPr>
        <w:t>iejszej decyzji państwa członkowskie.</w:t>
      </w:r>
    </w:p>
    <w:p w14:paraId="18B32F69" w14:textId="390C76F3" w:rsidR="00704957" w:rsidRPr="00882905" w:rsidRDefault="00704957" w:rsidP="008F575B">
      <w:pPr>
        <w:rPr>
          <w:noProof/>
        </w:rPr>
      </w:pPr>
      <w:r w:rsidRPr="00882905">
        <w:rPr>
          <w:noProof/>
        </w:rPr>
        <w:t>Państwa członkowskie bezzwłocznie powiadamiają Sekretarza Generalnego Rady</w:t>
      </w:r>
      <w:r w:rsidR="00AF2AE5" w:rsidRPr="00882905">
        <w:rPr>
          <w:noProof/>
        </w:rPr>
        <w:t xml:space="preserve"> o</w:t>
      </w:r>
      <w:r w:rsidR="00AF2AE5">
        <w:rPr>
          <w:noProof/>
        </w:rPr>
        <w:t> </w:t>
      </w:r>
      <w:r w:rsidR="00AF2AE5" w:rsidRPr="00882905">
        <w:rPr>
          <w:noProof/>
        </w:rPr>
        <w:t>zak</w:t>
      </w:r>
      <w:r w:rsidRPr="00882905">
        <w:rPr>
          <w:noProof/>
        </w:rPr>
        <w:t>ończeniu procedur związanych</w:t>
      </w:r>
      <w:r w:rsidR="00AF2AE5" w:rsidRPr="00882905">
        <w:rPr>
          <w:noProof/>
        </w:rPr>
        <w:t xml:space="preserve"> z</w:t>
      </w:r>
      <w:r w:rsidR="00AF2AE5">
        <w:rPr>
          <w:noProof/>
        </w:rPr>
        <w:t> </w:t>
      </w:r>
      <w:r w:rsidR="00AF2AE5" w:rsidRPr="00882905">
        <w:rPr>
          <w:noProof/>
        </w:rPr>
        <w:t>prz</w:t>
      </w:r>
      <w:r w:rsidRPr="00882905">
        <w:rPr>
          <w:noProof/>
        </w:rPr>
        <w:t>yjęciem niniejszej decyzji zgodnie</w:t>
      </w:r>
      <w:r w:rsidR="00AF2AE5" w:rsidRPr="00882905">
        <w:rPr>
          <w:noProof/>
        </w:rPr>
        <w:t xml:space="preserve"> z</w:t>
      </w:r>
      <w:r w:rsidR="00AF2AE5">
        <w:rPr>
          <w:noProof/>
        </w:rPr>
        <w:t> </w:t>
      </w:r>
      <w:r w:rsidR="00AF2AE5" w:rsidRPr="00882905">
        <w:rPr>
          <w:noProof/>
        </w:rPr>
        <w:t>ich</w:t>
      </w:r>
      <w:r w:rsidRPr="00882905">
        <w:rPr>
          <w:noProof/>
        </w:rPr>
        <w:t xml:space="preserve"> odpowiednimi wymogami konstytucyjnymi.</w:t>
      </w:r>
    </w:p>
    <w:p w14:paraId="2D2E9BB9" w14:textId="29578111" w:rsidR="00704957" w:rsidRPr="00882905" w:rsidRDefault="00704957" w:rsidP="008F575B">
      <w:pPr>
        <w:rPr>
          <w:noProof/>
        </w:rPr>
      </w:pPr>
      <w:r w:rsidRPr="00882905">
        <w:rPr>
          <w:noProof/>
        </w:rPr>
        <w:t>Niniejsza decyzja wchodzi</w:t>
      </w:r>
      <w:r w:rsidR="00AF2AE5" w:rsidRPr="00882905">
        <w:rPr>
          <w:noProof/>
        </w:rPr>
        <w:t xml:space="preserve"> w</w:t>
      </w:r>
      <w:r w:rsidR="00AF2AE5">
        <w:rPr>
          <w:noProof/>
        </w:rPr>
        <w:t> </w:t>
      </w:r>
      <w:r w:rsidR="00AF2AE5" w:rsidRPr="00882905">
        <w:rPr>
          <w:noProof/>
        </w:rPr>
        <w:t>życ</w:t>
      </w:r>
      <w:r w:rsidRPr="00882905">
        <w:rPr>
          <w:noProof/>
        </w:rPr>
        <w:t>ie pierwszego dnia pierwszego miesiąca następującego po otrzymaniu ostatniego</w:t>
      </w:r>
      <w:r w:rsidR="00AF2AE5" w:rsidRPr="00882905">
        <w:rPr>
          <w:noProof/>
        </w:rPr>
        <w:t xml:space="preserve"> z</w:t>
      </w:r>
      <w:r w:rsidR="00AF2AE5">
        <w:rPr>
          <w:noProof/>
        </w:rPr>
        <w:t> </w:t>
      </w:r>
      <w:r w:rsidR="00AF2AE5" w:rsidRPr="00882905">
        <w:rPr>
          <w:noProof/>
        </w:rPr>
        <w:t>pow</w:t>
      </w:r>
      <w:r w:rsidRPr="00882905">
        <w:rPr>
          <w:noProof/>
        </w:rPr>
        <w:t>iadomień,</w:t>
      </w:r>
      <w:r w:rsidR="00AF2AE5" w:rsidRPr="00882905">
        <w:rPr>
          <w:noProof/>
        </w:rPr>
        <w:t xml:space="preserve"> o</w:t>
      </w:r>
      <w:r w:rsidR="00AF2AE5">
        <w:rPr>
          <w:noProof/>
        </w:rPr>
        <w:t> </w:t>
      </w:r>
      <w:r w:rsidR="00AF2AE5" w:rsidRPr="00882905">
        <w:rPr>
          <w:noProof/>
        </w:rPr>
        <w:t>któ</w:t>
      </w:r>
      <w:r w:rsidRPr="00882905">
        <w:rPr>
          <w:noProof/>
        </w:rPr>
        <w:t>rych mowa</w:t>
      </w:r>
      <w:r w:rsidR="00AF2AE5" w:rsidRPr="00882905">
        <w:rPr>
          <w:noProof/>
        </w:rPr>
        <w:t xml:space="preserve"> w</w:t>
      </w:r>
      <w:r w:rsidR="00AF2AE5">
        <w:rPr>
          <w:noProof/>
        </w:rPr>
        <w:t> </w:t>
      </w:r>
      <w:r w:rsidR="00AF2AE5" w:rsidRPr="00882905">
        <w:rPr>
          <w:noProof/>
        </w:rPr>
        <w:t>aka</w:t>
      </w:r>
      <w:r w:rsidRPr="00882905">
        <w:rPr>
          <w:noProof/>
        </w:rPr>
        <w:t>picie drugim.</w:t>
      </w:r>
    </w:p>
    <w:p w14:paraId="7018D41B" w14:textId="57309D80" w:rsidR="00704957" w:rsidRPr="00882905" w:rsidRDefault="00704957" w:rsidP="008F575B">
      <w:pPr>
        <w:rPr>
          <w:noProof/>
        </w:rPr>
      </w:pPr>
      <w:r w:rsidRPr="00882905">
        <w:rPr>
          <w:noProof/>
        </w:rPr>
        <w:t xml:space="preserve">Niniejszą decyzję stosuje się od dnia </w:t>
      </w:r>
      <w:r w:rsidRPr="00882905">
        <w:rPr>
          <w:i/>
          <w:noProof/>
        </w:rPr>
        <w:t>[1 stycznia 20</w:t>
      </w:r>
      <w:r w:rsidRPr="00AF2AE5">
        <w:rPr>
          <w:i/>
          <w:noProof/>
        </w:rPr>
        <w:t>28</w:t>
      </w:r>
      <w:r w:rsidR="00AF2AE5" w:rsidRPr="00AF2AE5">
        <w:rPr>
          <w:i/>
          <w:noProof/>
        </w:rPr>
        <w:t> </w:t>
      </w:r>
      <w:r w:rsidRPr="00AF2AE5">
        <w:rPr>
          <w:i/>
          <w:noProof/>
        </w:rPr>
        <w:t>r.</w:t>
      </w:r>
      <w:r w:rsidRPr="00882905">
        <w:rPr>
          <w:i/>
          <w:noProof/>
        </w:rPr>
        <w:t>]</w:t>
      </w:r>
    </w:p>
    <w:p w14:paraId="038E1017" w14:textId="6A818343" w:rsidR="00704957" w:rsidRPr="00882905" w:rsidRDefault="00704957" w:rsidP="008F575B">
      <w:pPr>
        <w:rPr>
          <w:noProof/>
        </w:rPr>
      </w:pPr>
      <w:r w:rsidRPr="00882905">
        <w:rPr>
          <w:noProof/>
        </w:rPr>
        <w:t xml:space="preserve">Art. 3 </w:t>
      </w:r>
      <w:r w:rsidRPr="00AF2AE5">
        <w:rPr>
          <w:noProof/>
        </w:rPr>
        <w:t>ust.</w:t>
      </w:r>
      <w:r w:rsidR="00AF2AE5" w:rsidRPr="00AF2AE5">
        <w:rPr>
          <w:noProof/>
        </w:rPr>
        <w:t> </w:t>
      </w:r>
      <w:r w:rsidRPr="00AF2AE5">
        <w:rPr>
          <w:noProof/>
        </w:rPr>
        <w:t>1</w:t>
      </w:r>
      <w:r w:rsidRPr="00882905">
        <w:rPr>
          <w:noProof/>
        </w:rPr>
        <w:t xml:space="preserve"> </w:t>
      </w:r>
      <w:r w:rsidRPr="00AF2AE5">
        <w:rPr>
          <w:noProof/>
        </w:rPr>
        <w:t>lit.</w:t>
      </w:r>
      <w:r w:rsidR="00AF2AE5" w:rsidRPr="00AF2AE5">
        <w:rPr>
          <w:noProof/>
        </w:rPr>
        <w:t> </w:t>
      </w:r>
      <w:r w:rsidRPr="00AF2AE5">
        <w:rPr>
          <w:noProof/>
        </w:rPr>
        <w:t>b)</w:t>
      </w:r>
      <w:r w:rsidRPr="00882905">
        <w:rPr>
          <w:noProof/>
        </w:rPr>
        <w:t xml:space="preserve"> stosuje się jednak od dnia 1 stycznia pierwszego roku kalendarzowego następującego po roku,</w:t>
      </w:r>
      <w:r w:rsidR="00AF2AE5" w:rsidRPr="00882905">
        <w:rPr>
          <w:noProof/>
        </w:rPr>
        <w:t xml:space="preserve"> w</w:t>
      </w:r>
      <w:r w:rsidR="00AF2AE5">
        <w:rPr>
          <w:noProof/>
        </w:rPr>
        <w:t> </w:t>
      </w:r>
      <w:r w:rsidR="00AF2AE5" w:rsidRPr="00882905">
        <w:rPr>
          <w:noProof/>
        </w:rPr>
        <w:t>któ</w:t>
      </w:r>
      <w:r w:rsidRPr="00882905">
        <w:rPr>
          <w:noProof/>
        </w:rPr>
        <w:t>rym niniejsza decyzja weszła</w:t>
      </w:r>
      <w:r w:rsidR="00AF2AE5" w:rsidRPr="00882905">
        <w:rPr>
          <w:noProof/>
        </w:rPr>
        <w:t xml:space="preserve"> w</w:t>
      </w:r>
      <w:r w:rsidR="00AF2AE5">
        <w:rPr>
          <w:noProof/>
        </w:rPr>
        <w:t> </w:t>
      </w:r>
      <w:r w:rsidR="00AF2AE5" w:rsidRPr="00882905">
        <w:rPr>
          <w:noProof/>
        </w:rPr>
        <w:t>życ</w:t>
      </w:r>
      <w:r w:rsidRPr="00882905">
        <w:rPr>
          <w:noProof/>
        </w:rPr>
        <w:t xml:space="preserve">ie. </w:t>
      </w:r>
    </w:p>
    <w:p w14:paraId="7C0BF4A1" w14:textId="77777777" w:rsidR="00704957" w:rsidRPr="00882905" w:rsidRDefault="00704957" w:rsidP="008E6F9A">
      <w:pPr>
        <w:pStyle w:val="Titrearticle"/>
        <w:rPr>
          <w:noProof/>
        </w:rPr>
      </w:pPr>
      <w:r w:rsidRPr="00882905">
        <w:rPr>
          <w:noProof/>
        </w:rPr>
        <w:t>Artykuł 15</w:t>
      </w:r>
      <w:r w:rsidRPr="00882905">
        <w:rPr>
          <w:i w:val="0"/>
          <w:noProof/>
        </w:rPr>
        <w:br/>
      </w:r>
      <w:r w:rsidRPr="00882905">
        <w:rPr>
          <w:b/>
          <w:noProof/>
        </w:rPr>
        <w:t>Adresaci</w:t>
      </w:r>
    </w:p>
    <w:p w14:paraId="71B4C01E" w14:textId="77777777" w:rsidR="00704957" w:rsidRPr="00882905" w:rsidRDefault="00704957" w:rsidP="00704957">
      <w:pPr>
        <w:rPr>
          <w:noProof/>
        </w:rPr>
      </w:pPr>
      <w:r w:rsidRPr="00882905">
        <w:rPr>
          <w:noProof/>
        </w:rPr>
        <w:t>Niniejsza decyzja skierowana jest do państw członkowskich.</w:t>
      </w:r>
    </w:p>
    <w:p w14:paraId="3E3B3403" w14:textId="0BEC0C14" w:rsidR="00704957" w:rsidRPr="00882905" w:rsidRDefault="00AF2AE5" w:rsidP="008E6F9A">
      <w:pPr>
        <w:pStyle w:val="Fait"/>
        <w:rPr>
          <w:noProof/>
        </w:rPr>
      </w:pPr>
      <w:r>
        <w:rPr>
          <w:noProof/>
        </w:rPr>
        <w:t>Sporządzono w Brukseli dnia  r.</w:t>
      </w:r>
    </w:p>
    <w:p w14:paraId="00472D56" w14:textId="2AB5424A" w:rsidR="00704957" w:rsidRPr="00882905" w:rsidRDefault="00704957" w:rsidP="008E6F9A">
      <w:pPr>
        <w:pStyle w:val="Institutionquisigne"/>
        <w:rPr>
          <w:noProof/>
        </w:rPr>
      </w:pPr>
      <w:r w:rsidRPr="00882905">
        <w:rPr>
          <w:noProof/>
        </w:rPr>
        <w:tab/>
        <w:t>W imieniu Rady</w:t>
      </w:r>
    </w:p>
    <w:p w14:paraId="45A2F257" w14:textId="77777777" w:rsidR="00704957" w:rsidRPr="00882905" w:rsidRDefault="00704957" w:rsidP="00704957">
      <w:pPr>
        <w:pStyle w:val="Personnequisigne"/>
        <w:rPr>
          <w:noProof/>
        </w:rPr>
      </w:pPr>
      <w:r w:rsidRPr="00882905">
        <w:rPr>
          <w:noProof/>
        </w:rPr>
        <w:tab/>
        <w:t>Przewodniczący</w:t>
      </w:r>
    </w:p>
    <w:sectPr w:rsidR="00704957" w:rsidRPr="00882905" w:rsidSect="006D6E16">
      <w:pgSz w:w="11907" w:h="16840" w:code="9"/>
      <w:pgMar w:top="1134"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CDEB" w14:textId="77777777" w:rsidR="00F952F9" w:rsidRPr="00882905" w:rsidRDefault="00F952F9" w:rsidP="004655CA">
      <w:pPr>
        <w:spacing w:before="0" w:after="0"/>
      </w:pPr>
      <w:r w:rsidRPr="00882905">
        <w:separator/>
      </w:r>
    </w:p>
  </w:endnote>
  <w:endnote w:type="continuationSeparator" w:id="0">
    <w:p w14:paraId="1E44E3DD" w14:textId="77777777" w:rsidR="00F952F9" w:rsidRPr="00882905" w:rsidRDefault="00F952F9" w:rsidP="004655CA">
      <w:pPr>
        <w:spacing w:before="0" w:after="0"/>
      </w:pPr>
      <w:r w:rsidRPr="00882905">
        <w:continuationSeparator/>
      </w:r>
    </w:p>
  </w:endnote>
  <w:endnote w:type="continuationNotice" w:id="1">
    <w:p w14:paraId="46CC9821" w14:textId="77777777" w:rsidR="00F952F9" w:rsidRPr="00882905" w:rsidRDefault="00F952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CA92" w14:textId="00AF1DD1" w:rsidR="006D6E16" w:rsidRPr="006D6E16" w:rsidRDefault="006D6E16" w:rsidP="006D6E16">
    <w:pPr>
      <w:pStyle w:val="Footer"/>
      <w:rPr>
        <w:rFonts w:ascii="Arial" w:hAnsi="Arial" w:cs="Arial"/>
        <w:b/>
        <w:sz w:val="48"/>
      </w:rPr>
    </w:pPr>
    <w:r w:rsidRPr="006D6E16">
      <w:rPr>
        <w:rFonts w:ascii="Arial" w:hAnsi="Arial" w:cs="Arial"/>
        <w:b/>
        <w:sz w:val="48"/>
      </w:rPr>
      <w:t>PL</w:t>
    </w:r>
    <w:r w:rsidRPr="006D6E16">
      <w:rPr>
        <w:rFonts w:ascii="Arial" w:hAnsi="Arial" w:cs="Arial"/>
        <w:b/>
        <w:sz w:val="48"/>
      </w:rPr>
      <w:tab/>
    </w:r>
    <w:r w:rsidRPr="006D6E16">
      <w:rPr>
        <w:rFonts w:ascii="Arial" w:hAnsi="Arial" w:cs="Arial"/>
        <w:b/>
        <w:sz w:val="48"/>
      </w:rPr>
      <w:tab/>
    </w:r>
    <w:r w:rsidRPr="006D6E16">
      <w:tab/>
    </w:r>
    <w:r w:rsidRPr="006D6E16">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903D" w14:textId="182FF12C" w:rsidR="006D6E16" w:rsidRPr="006D6E16" w:rsidRDefault="006D6E16" w:rsidP="006D6E16">
    <w:pPr>
      <w:pStyle w:val="Footer"/>
      <w:rPr>
        <w:rFonts w:ascii="Arial" w:hAnsi="Arial" w:cs="Arial"/>
        <w:b/>
        <w:sz w:val="48"/>
      </w:rPr>
    </w:pPr>
    <w:r w:rsidRPr="006D6E16">
      <w:rPr>
        <w:rFonts w:ascii="Arial" w:hAnsi="Arial" w:cs="Arial"/>
        <w:b/>
        <w:sz w:val="48"/>
      </w:rPr>
      <w:t>PL</w:t>
    </w:r>
    <w:r w:rsidRPr="006D6E16">
      <w:rPr>
        <w:rFonts w:ascii="Arial" w:hAnsi="Arial" w:cs="Arial"/>
        <w:b/>
        <w:sz w:val="48"/>
      </w:rPr>
      <w:tab/>
    </w:r>
    <w:r w:rsidRPr="006D6E16">
      <w:rPr>
        <w:rFonts w:ascii="Arial" w:hAnsi="Arial" w:cs="Arial"/>
        <w:b/>
        <w:sz w:val="48"/>
      </w:rPr>
      <w:tab/>
    </w:r>
    <w:r w:rsidRPr="006D6E16">
      <w:tab/>
    </w:r>
    <w:r w:rsidRPr="006D6E16">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57FD" w14:textId="77777777" w:rsidR="006D6E16" w:rsidRDefault="006D6E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977E" w14:textId="2F918CE6" w:rsidR="006D6E16" w:rsidRPr="006D6E16" w:rsidRDefault="006D6E16" w:rsidP="006D6E16">
    <w:pPr>
      <w:pStyle w:val="Footer"/>
      <w:rPr>
        <w:rFonts w:ascii="Arial" w:hAnsi="Arial" w:cs="Arial"/>
        <w:b/>
        <w:sz w:val="48"/>
      </w:rPr>
    </w:pPr>
    <w:r w:rsidRPr="006D6E16">
      <w:rPr>
        <w:rFonts w:ascii="Arial" w:hAnsi="Arial" w:cs="Arial"/>
        <w:b/>
        <w:sz w:val="48"/>
      </w:rPr>
      <w:t>PL</w:t>
    </w:r>
    <w:r w:rsidRPr="006D6E16">
      <w:rPr>
        <w:rFonts w:ascii="Arial" w:hAnsi="Arial" w:cs="Arial"/>
        <w:b/>
        <w:sz w:val="48"/>
      </w:rPr>
      <w:tab/>
    </w:r>
    <w:r>
      <w:fldChar w:fldCharType="begin"/>
    </w:r>
    <w:r>
      <w:instrText xml:space="preserve"> PAGE  \* MERGEFORMAT </w:instrText>
    </w:r>
    <w:r>
      <w:fldChar w:fldCharType="separate"/>
    </w:r>
    <w:r w:rsidR="008E6F9A">
      <w:rPr>
        <w:noProof/>
      </w:rPr>
      <w:t>15</w:t>
    </w:r>
    <w:r>
      <w:fldChar w:fldCharType="end"/>
    </w:r>
    <w:r>
      <w:tab/>
    </w:r>
    <w:r w:rsidRPr="006D6E16">
      <w:tab/>
    </w:r>
    <w:r w:rsidRPr="006D6E16">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AC0" w14:textId="77777777" w:rsidR="006D6E16" w:rsidRDefault="006D6E16" w:rsidP="006D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F27B2" w14:textId="77777777" w:rsidR="00F952F9" w:rsidRPr="00882905" w:rsidRDefault="00F952F9" w:rsidP="004655CA">
      <w:pPr>
        <w:spacing w:before="0" w:after="0"/>
      </w:pPr>
      <w:r w:rsidRPr="00882905">
        <w:separator/>
      </w:r>
    </w:p>
  </w:footnote>
  <w:footnote w:type="continuationSeparator" w:id="0">
    <w:p w14:paraId="7CA607C3" w14:textId="77777777" w:rsidR="00F952F9" w:rsidRPr="00882905" w:rsidRDefault="00F952F9" w:rsidP="004655CA">
      <w:pPr>
        <w:spacing w:before="0" w:after="0"/>
      </w:pPr>
      <w:r w:rsidRPr="00882905">
        <w:continuationSeparator/>
      </w:r>
    </w:p>
  </w:footnote>
  <w:footnote w:type="continuationNotice" w:id="1">
    <w:p w14:paraId="699AFD92" w14:textId="77777777" w:rsidR="00F952F9" w:rsidRPr="00882905" w:rsidRDefault="00F952F9">
      <w:pPr>
        <w:spacing w:before="0" w:after="0"/>
      </w:pPr>
    </w:p>
  </w:footnote>
  <w:footnote w:id="2">
    <w:p w14:paraId="099774F5" w14:textId="1F473921" w:rsidR="00704957" w:rsidRPr="00882905" w:rsidRDefault="00704957" w:rsidP="00704957">
      <w:pPr>
        <w:pStyle w:val="FootnoteText"/>
      </w:pPr>
      <w:r w:rsidRPr="00882905">
        <w:rPr>
          <w:rStyle w:val="FootnoteReference"/>
        </w:rPr>
        <w:footnoteRef/>
      </w:r>
      <w:r w:rsidRPr="00882905">
        <w:tab/>
        <w:t>Porozumienie międzyinstytucjonalne między Parlamentem Europejskim, Radą Unii Europejskiej</w:t>
      </w:r>
      <w:r w:rsidR="00AF2AE5" w:rsidRPr="00882905">
        <w:t xml:space="preserve"> i</w:t>
      </w:r>
      <w:r w:rsidR="00AF2AE5">
        <w:t> </w:t>
      </w:r>
      <w:r w:rsidR="00AF2AE5" w:rsidRPr="00882905">
        <w:t>Kom</w:t>
      </w:r>
      <w:r w:rsidRPr="00882905">
        <w:t>isją Europejską</w:t>
      </w:r>
      <w:r w:rsidR="00AF2AE5" w:rsidRPr="00882905">
        <w:t xml:space="preserve"> w</w:t>
      </w:r>
      <w:r w:rsidR="00AF2AE5">
        <w:t> </w:t>
      </w:r>
      <w:r w:rsidR="00AF2AE5" w:rsidRPr="00882905">
        <w:t>spr</w:t>
      </w:r>
      <w:r w:rsidRPr="00882905">
        <w:t>awie dyscypliny budżetowej, współpracy</w:t>
      </w:r>
      <w:r w:rsidR="00AF2AE5" w:rsidRPr="00882905">
        <w:t xml:space="preserve"> w</w:t>
      </w:r>
      <w:r w:rsidR="00AF2AE5">
        <w:t> </w:t>
      </w:r>
      <w:r w:rsidR="00AF2AE5" w:rsidRPr="00882905">
        <w:t>kwe</w:t>
      </w:r>
      <w:r w:rsidRPr="00882905">
        <w:t>stiach budżetowych</w:t>
      </w:r>
      <w:r w:rsidR="00AF2AE5" w:rsidRPr="00882905">
        <w:t xml:space="preserve"> i</w:t>
      </w:r>
      <w:r w:rsidR="00AF2AE5">
        <w:t> </w:t>
      </w:r>
      <w:r w:rsidR="00AF2AE5" w:rsidRPr="00882905">
        <w:t>nal</w:t>
      </w:r>
      <w:r w:rsidRPr="00882905">
        <w:t>eżytego zarządzania finansami oraz</w:t>
      </w:r>
      <w:r w:rsidR="00AF2AE5" w:rsidRPr="00882905">
        <w:t xml:space="preserve"> w</w:t>
      </w:r>
      <w:r w:rsidR="00AF2AE5">
        <w:t> </w:t>
      </w:r>
      <w:r w:rsidR="00AF2AE5" w:rsidRPr="00882905">
        <w:t>spr</w:t>
      </w:r>
      <w:r w:rsidRPr="00882905">
        <w:t>awie nowych zasobów własnych,</w:t>
      </w:r>
      <w:r w:rsidR="00AF2AE5" w:rsidRPr="00882905">
        <w:t xml:space="preserve"> w</w:t>
      </w:r>
      <w:r w:rsidR="00AF2AE5">
        <w:t> </w:t>
      </w:r>
      <w:r w:rsidR="00AF2AE5" w:rsidRPr="00882905">
        <w:t>tym</w:t>
      </w:r>
      <w:r w:rsidRPr="00882905">
        <w:t xml:space="preserve"> również harmonogramu wprowadzania nowych zasobów własnych (Dz.U. L 433I</w:t>
      </w:r>
      <w:r w:rsidR="00AF2AE5" w:rsidRPr="00882905">
        <w:t xml:space="preserve"> z</w:t>
      </w:r>
      <w:r w:rsidR="00AF2AE5">
        <w:t> </w:t>
      </w:r>
      <w:r w:rsidR="00AF2AE5" w:rsidRPr="00882905">
        <w:t>2</w:t>
      </w:r>
      <w:r w:rsidRPr="00882905">
        <w:t>2.12.20</w:t>
      </w:r>
      <w:r w:rsidRPr="00AF2AE5">
        <w:t>20</w:t>
      </w:r>
      <w:r w:rsidR="00AF2AE5" w:rsidRPr="00AF2AE5">
        <w:t> </w:t>
      </w:r>
      <w:r w:rsidRPr="00AF2AE5">
        <w:t>r.</w:t>
      </w:r>
      <w:r w:rsidRPr="00882905">
        <w:t>, s. 28).</w:t>
      </w:r>
    </w:p>
  </w:footnote>
  <w:footnote w:id="3">
    <w:p w14:paraId="126E8AF6" w14:textId="77777777" w:rsidR="00704957" w:rsidRPr="00882905" w:rsidRDefault="00704957" w:rsidP="00704957">
      <w:pPr>
        <w:pStyle w:val="FootnoteText"/>
      </w:pPr>
      <w:r w:rsidRPr="00882905">
        <w:rPr>
          <w:rStyle w:val="FootnoteReference"/>
        </w:rPr>
        <w:footnoteRef/>
      </w:r>
      <w:r w:rsidRPr="00882905">
        <w:tab/>
        <w:t>Dz.U. C , , s. .</w:t>
      </w:r>
    </w:p>
  </w:footnote>
  <w:footnote w:id="4">
    <w:p w14:paraId="35D5BC6F" w14:textId="3A9B69C6" w:rsidR="00704957" w:rsidRPr="00882905" w:rsidRDefault="00704957" w:rsidP="00704957">
      <w:pPr>
        <w:pStyle w:val="FootnoteText"/>
      </w:pPr>
      <w:r w:rsidRPr="00882905">
        <w:rPr>
          <w:rStyle w:val="FootnoteReference"/>
        </w:rPr>
        <w:footnoteRef/>
      </w:r>
      <w:r w:rsidRPr="00882905">
        <w:tab/>
        <w:t>Porozumienie międzyinstytucjonalne</w:t>
      </w:r>
      <w:r w:rsidR="00AF2AE5" w:rsidRPr="00882905">
        <w:t xml:space="preserve"> z</w:t>
      </w:r>
      <w:r w:rsidR="00AF2AE5">
        <w:t> </w:t>
      </w:r>
      <w:r w:rsidR="00AF2AE5" w:rsidRPr="00882905">
        <w:t>dni</w:t>
      </w:r>
      <w:r w:rsidRPr="00882905">
        <w:t>a 16 grudnia 20</w:t>
      </w:r>
      <w:r w:rsidRPr="00AF2AE5">
        <w:t>20</w:t>
      </w:r>
      <w:r w:rsidR="00AF2AE5" w:rsidRPr="00AF2AE5">
        <w:t> </w:t>
      </w:r>
      <w:r w:rsidRPr="00AF2AE5">
        <w:t>r.</w:t>
      </w:r>
      <w:r w:rsidRPr="00882905">
        <w:t xml:space="preserve"> między Parlamentem Europejskim, Radą Unii Europejskiej</w:t>
      </w:r>
      <w:r w:rsidR="00AF2AE5" w:rsidRPr="00882905">
        <w:t xml:space="preserve"> i</w:t>
      </w:r>
      <w:r w:rsidR="00AF2AE5">
        <w:t> </w:t>
      </w:r>
      <w:r w:rsidR="00AF2AE5" w:rsidRPr="00882905">
        <w:t>Kom</w:t>
      </w:r>
      <w:r w:rsidRPr="00882905">
        <w:t xml:space="preserve">isją Europejską </w:t>
      </w:r>
    </w:p>
    <w:p w14:paraId="63AAC996" w14:textId="7CA259B9" w:rsidR="00704957" w:rsidRPr="00882905" w:rsidRDefault="00704957" w:rsidP="00704957">
      <w:pPr>
        <w:pStyle w:val="FootnoteText"/>
      </w:pPr>
      <w:r w:rsidRPr="00882905">
        <w:t>w sprawie dyscypliny budżetowej, współpracy</w:t>
      </w:r>
      <w:r w:rsidR="00AF2AE5" w:rsidRPr="00882905">
        <w:t xml:space="preserve"> w</w:t>
      </w:r>
      <w:r w:rsidR="00AF2AE5">
        <w:t> </w:t>
      </w:r>
      <w:r w:rsidR="00AF2AE5" w:rsidRPr="00882905">
        <w:t>kwe</w:t>
      </w:r>
      <w:r w:rsidRPr="00882905">
        <w:t xml:space="preserve">stiach budżetowych i </w:t>
      </w:r>
    </w:p>
    <w:p w14:paraId="2A046279" w14:textId="79B8D1C4" w:rsidR="00704957" w:rsidRPr="00882905" w:rsidRDefault="00704957" w:rsidP="00704957">
      <w:pPr>
        <w:pStyle w:val="FootnoteText"/>
      </w:pPr>
      <w:r w:rsidRPr="00882905">
        <w:t>należytego zarządzania finansami oraz</w:t>
      </w:r>
      <w:r w:rsidR="00AF2AE5" w:rsidRPr="00882905">
        <w:t xml:space="preserve"> w</w:t>
      </w:r>
      <w:r w:rsidR="00AF2AE5">
        <w:t> </w:t>
      </w:r>
      <w:r w:rsidR="00AF2AE5" w:rsidRPr="00882905">
        <w:t>spr</w:t>
      </w:r>
      <w:r w:rsidRPr="00882905">
        <w:t>awie nowych zasobów własnych,</w:t>
      </w:r>
      <w:r w:rsidR="00AF2AE5" w:rsidRPr="00882905">
        <w:t xml:space="preserve"> w</w:t>
      </w:r>
      <w:r w:rsidR="00AF2AE5">
        <w:t> </w:t>
      </w:r>
      <w:r w:rsidR="00AF2AE5" w:rsidRPr="00882905">
        <w:t>tym</w:t>
      </w:r>
      <w:r w:rsidRPr="00882905">
        <w:t xml:space="preserve"> również harmonogramu </w:t>
      </w:r>
    </w:p>
    <w:p w14:paraId="054293C7" w14:textId="60DA1BB4" w:rsidR="00704957" w:rsidRPr="00882905" w:rsidRDefault="00704957" w:rsidP="00704957">
      <w:pPr>
        <w:pStyle w:val="FootnoteText"/>
      </w:pPr>
      <w:r w:rsidRPr="00882905">
        <w:t>wprowadzania nowych zasobów własnych (Dz.U. L 433I</w:t>
      </w:r>
      <w:r w:rsidR="00AF2AE5" w:rsidRPr="00882905">
        <w:t xml:space="preserve"> z</w:t>
      </w:r>
      <w:r w:rsidR="00AF2AE5">
        <w:t> </w:t>
      </w:r>
      <w:r w:rsidR="00AF2AE5" w:rsidRPr="00882905">
        <w:t>2</w:t>
      </w:r>
      <w:r w:rsidRPr="00882905">
        <w:t>2.12.2020, s. 28).</w:t>
      </w:r>
    </w:p>
  </w:footnote>
  <w:footnote w:id="5">
    <w:p w14:paraId="662BE845" w14:textId="2D9DCD76" w:rsidR="00704957" w:rsidRPr="00882905" w:rsidRDefault="00704957" w:rsidP="00704957">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2018/842</w:t>
      </w:r>
      <w:r w:rsidR="00AF2AE5" w:rsidRPr="00882905">
        <w:t xml:space="preserve"> z</w:t>
      </w:r>
      <w:r w:rsidR="00AF2AE5">
        <w:t> </w:t>
      </w:r>
      <w:r w:rsidR="00AF2AE5" w:rsidRPr="00882905">
        <w:t>dni</w:t>
      </w:r>
      <w:r w:rsidRPr="00882905">
        <w:t>a 30 maja 2018 r.</w:t>
      </w:r>
      <w:r w:rsidR="00AF2AE5" w:rsidRPr="00882905">
        <w:t xml:space="preserve"> w</w:t>
      </w:r>
      <w:r w:rsidR="00AF2AE5">
        <w:t> </w:t>
      </w:r>
      <w:r w:rsidR="00AF2AE5" w:rsidRPr="00882905">
        <w:t>spr</w:t>
      </w:r>
      <w:r w:rsidRPr="00882905">
        <w:t>awie wiążących rocznych redukcji emisji gazów cieplarnianych przez państwa członkowskie od 2021 r. do 2030 r. przyczyniających się do działań na rzecz klimatu</w:t>
      </w:r>
      <w:r w:rsidR="00AF2AE5" w:rsidRPr="00882905">
        <w:t xml:space="preserve"> w</w:t>
      </w:r>
      <w:r w:rsidR="00AF2AE5">
        <w:t> </w:t>
      </w:r>
      <w:r w:rsidR="00AF2AE5" w:rsidRPr="00882905">
        <w:t>cel</w:t>
      </w:r>
      <w:r w:rsidRPr="00882905">
        <w:t>u wywiązania się</w:t>
      </w:r>
      <w:r w:rsidR="00AF2AE5" w:rsidRPr="00882905">
        <w:t xml:space="preserve"> z</w:t>
      </w:r>
      <w:r w:rsidR="00AF2AE5">
        <w:t> </w:t>
      </w:r>
      <w:r w:rsidR="00AF2AE5" w:rsidRPr="00882905">
        <w:t>zob</w:t>
      </w:r>
      <w:r w:rsidRPr="00882905">
        <w:t>owiązań wynikających</w:t>
      </w:r>
      <w:r w:rsidR="00AF2AE5" w:rsidRPr="00882905">
        <w:t xml:space="preserve"> z</w:t>
      </w:r>
      <w:r w:rsidR="00AF2AE5">
        <w:t> </w:t>
      </w:r>
      <w:r w:rsidR="00AF2AE5" w:rsidRPr="00882905">
        <w:t>Por</w:t>
      </w:r>
      <w:r w:rsidRPr="00882905">
        <w:t>ozumienia paryskiego oraz zmieniające rozporządzenie (UE) nr 525/2013 (Dz.U. L 156</w:t>
      </w:r>
      <w:r w:rsidR="00AF2AE5" w:rsidRPr="00882905">
        <w:t xml:space="preserve"> z</w:t>
      </w:r>
      <w:r w:rsidR="00AF2AE5">
        <w:t> </w:t>
      </w:r>
      <w:r w:rsidR="00AF2AE5" w:rsidRPr="00882905">
        <w:t>1</w:t>
      </w:r>
      <w:r w:rsidRPr="00882905">
        <w:t>9.6.2018, s. 26).</w:t>
      </w:r>
    </w:p>
  </w:footnote>
  <w:footnote w:id="6">
    <w:p w14:paraId="3D7A9B00" w14:textId="28567058" w:rsidR="00704957" w:rsidRPr="00882905" w:rsidRDefault="00704957" w:rsidP="00704957">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2023/956 ustanawiające mechanizm dostosowywania cen na granicach</w:t>
      </w:r>
      <w:r w:rsidR="00AF2AE5" w:rsidRPr="00882905">
        <w:t xml:space="preserve"> z</w:t>
      </w:r>
      <w:r w:rsidR="00AF2AE5">
        <w:t> </w:t>
      </w:r>
      <w:r w:rsidR="00AF2AE5" w:rsidRPr="00882905">
        <w:t>uwz</w:t>
      </w:r>
      <w:r w:rsidRPr="00882905">
        <w:t>ględnieniem emisji CO2 (Dz.U. L 130</w:t>
      </w:r>
      <w:r w:rsidR="00AF2AE5" w:rsidRPr="00882905">
        <w:t xml:space="preserve"> z</w:t>
      </w:r>
      <w:r w:rsidR="00AF2AE5">
        <w:t> </w:t>
      </w:r>
      <w:r w:rsidR="00AF2AE5" w:rsidRPr="00882905">
        <w:t>1</w:t>
      </w:r>
      <w:r w:rsidRPr="00882905">
        <w:t>6.5.2023, s. 52).</w:t>
      </w:r>
    </w:p>
  </w:footnote>
  <w:footnote w:id="7">
    <w:p w14:paraId="2399131D" w14:textId="22962D14" w:rsidR="00704957" w:rsidRPr="00882905" w:rsidRDefault="00704957" w:rsidP="00704957">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nr 549/2013</w:t>
      </w:r>
      <w:r w:rsidR="00AF2AE5" w:rsidRPr="00882905">
        <w:t xml:space="preserve"> z</w:t>
      </w:r>
      <w:r w:rsidR="00AF2AE5">
        <w:t> </w:t>
      </w:r>
      <w:r w:rsidR="00AF2AE5" w:rsidRPr="00882905">
        <w:t>dni</w:t>
      </w:r>
      <w:r w:rsidRPr="00882905">
        <w:t>a 21 maja 2013 r.</w:t>
      </w:r>
      <w:r w:rsidR="00AF2AE5" w:rsidRPr="00882905">
        <w:t xml:space="preserve"> w</w:t>
      </w:r>
      <w:r w:rsidR="00AF2AE5">
        <w:t> </w:t>
      </w:r>
      <w:r w:rsidR="00AF2AE5" w:rsidRPr="00882905">
        <w:t>spr</w:t>
      </w:r>
      <w:r w:rsidRPr="00882905">
        <w:t>awie europejskiego systemu rachunków narodowych</w:t>
      </w:r>
      <w:r w:rsidR="00AF2AE5" w:rsidRPr="00882905">
        <w:t xml:space="preserve"> i</w:t>
      </w:r>
      <w:r w:rsidR="00AF2AE5">
        <w:t> </w:t>
      </w:r>
      <w:r w:rsidR="00AF2AE5" w:rsidRPr="00882905">
        <w:t>reg</w:t>
      </w:r>
      <w:r w:rsidRPr="00882905">
        <w:t>ionalnych</w:t>
      </w:r>
      <w:r w:rsidR="00AF2AE5" w:rsidRPr="00882905">
        <w:t xml:space="preserve"> w</w:t>
      </w:r>
      <w:r w:rsidR="00AF2AE5">
        <w:t> </w:t>
      </w:r>
      <w:r w:rsidR="00AF2AE5" w:rsidRPr="00882905">
        <w:t>Uni</w:t>
      </w:r>
      <w:r w:rsidRPr="00882905">
        <w:t>i Europejskiej (Dz.U. L 174</w:t>
      </w:r>
      <w:r w:rsidR="00AF2AE5" w:rsidRPr="00882905">
        <w:t xml:space="preserve"> z</w:t>
      </w:r>
      <w:r w:rsidR="00AF2AE5">
        <w:t> </w:t>
      </w:r>
      <w:r w:rsidR="00AF2AE5" w:rsidRPr="00882905">
        <w:t>2</w:t>
      </w:r>
      <w:r w:rsidRPr="00882905">
        <w:t>6.6.2013, s. 1).</w:t>
      </w:r>
    </w:p>
  </w:footnote>
  <w:footnote w:id="8">
    <w:p w14:paraId="043B2F11" w14:textId="146E0717" w:rsidR="0039368E" w:rsidRPr="00882905" w:rsidRDefault="0039368E">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Euratom) 2024/2509</w:t>
      </w:r>
      <w:r w:rsidR="00AF2AE5" w:rsidRPr="00882905">
        <w:t xml:space="preserve"> z</w:t>
      </w:r>
      <w:r w:rsidR="00AF2AE5">
        <w:t> </w:t>
      </w:r>
      <w:r w:rsidR="00AF2AE5" w:rsidRPr="00882905">
        <w:t>dni</w:t>
      </w:r>
      <w:r w:rsidRPr="00882905">
        <w:t>a 23 września 20</w:t>
      </w:r>
      <w:r w:rsidRPr="00AF2AE5">
        <w:t>24</w:t>
      </w:r>
      <w:r w:rsidR="00AF2AE5" w:rsidRPr="00AF2AE5">
        <w:t> </w:t>
      </w:r>
      <w:r w:rsidRPr="00AF2AE5">
        <w:t>r.</w:t>
      </w:r>
      <w:r w:rsidR="00AF2AE5" w:rsidRPr="00882905">
        <w:t xml:space="preserve"> w</w:t>
      </w:r>
      <w:r w:rsidR="00AF2AE5">
        <w:t> </w:t>
      </w:r>
      <w:r w:rsidR="00AF2AE5" w:rsidRPr="00882905">
        <w:t>spr</w:t>
      </w:r>
      <w:r w:rsidRPr="00882905">
        <w:t>awie zasad finansowych mających zastosowanie do budżetu ogólnego Unii (wersja przekształcona), Dz.U. L, 2024/2509, 26.9.2024.</w:t>
      </w:r>
    </w:p>
  </w:footnote>
  <w:footnote w:id="9">
    <w:p w14:paraId="427EF748" w14:textId="6842ECAF" w:rsidR="00704957" w:rsidRPr="00882905" w:rsidRDefault="00704957" w:rsidP="00704957">
      <w:pPr>
        <w:pStyle w:val="FootnoteText"/>
      </w:pPr>
      <w:r w:rsidRPr="00882905">
        <w:rPr>
          <w:rStyle w:val="FootnoteReference"/>
        </w:rPr>
        <w:footnoteRef/>
      </w:r>
      <w:r w:rsidRPr="00882905">
        <w:tab/>
        <w:t>Dyrektywa Parlamentu Europejskiego</w:t>
      </w:r>
      <w:r w:rsidR="00AF2AE5" w:rsidRPr="00882905">
        <w:t xml:space="preserve"> i</w:t>
      </w:r>
      <w:r w:rsidR="00AF2AE5">
        <w:t> </w:t>
      </w:r>
      <w:r w:rsidR="00AF2AE5" w:rsidRPr="00882905">
        <w:t>Rad</w:t>
      </w:r>
      <w:r w:rsidRPr="00882905">
        <w:t>y 2013/34/UE</w:t>
      </w:r>
      <w:r w:rsidR="00AF2AE5" w:rsidRPr="00882905">
        <w:t xml:space="preserve"> z</w:t>
      </w:r>
      <w:r w:rsidR="00AF2AE5">
        <w:t> </w:t>
      </w:r>
      <w:r w:rsidR="00AF2AE5" w:rsidRPr="00882905">
        <w:t>dni</w:t>
      </w:r>
      <w:r w:rsidRPr="00882905">
        <w:t>a 26 czerwca 20</w:t>
      </w:r>
      <w:r w:rsidRPr="00AF2AE5">
        <w:t>13</w:t>
      </w:r>
      <w:r w:rsidR="00AF2AE5" w:rsidRPr="00AF2AE5">
        <w:t> </w:t>
      </w:r>
      <w:r w:rsidRPr="00AF2AE5">
        <w:t>r.</w:t>
      </w:r>
      <w:r w:rsidR="00AF2AE5" w:rsidRPr="00882905">
        <w:t xml:space="preserve"> w</w:t>
      </w:r>
      <w:r w:rsidR="00AF2AE5">
        <w:t> </w:t>
      </w:r>
      <w:r w:rsidR="00AF2AE5" w:rsidRPr="00882905">
        <w:t>spr</w:t>
      </w:r>
      <w:r w:rsidRPr="00882905">
        <w:t>awie rocznych sprawozdań finansowych, skonsolidowanych sprawozdań finansowych</w:t>
      </w:r>
      <w:r w:rsidR="00AF2AE5" w:rsidRPr="00882905">
        <w:t xml:space="preserve"> i</w:t>
      </w:r>
      <w:r w:rsidR="00AF2AE5">
        <w:t> </w:t>
      </w:r>
      <w:r w:rsidR="00AF2AE5" w:rsidRPr="00882905">
        <w:t>pow</w:t>
      </w:r>
      <w:r w:rsidRPr="00882905">
        <w:t>iązanych sprawozdań niektórych rodzajów jednostek, zmieniająca dyrektywę Parlamentu Europejskiego</w:t>
      </w:r>
      <w:r w:rsidR="00AF2AE5" w:rsidRPr="00882905">
        <w:t xml:space="preserve"> i</w:t>
      </w:r>
      <w:r w:rsidR="00AF2AE5">
        <w:t> </w:t>
      </w:r>
      <w:r w:rsidR="00AF2AE5" w:rsidRPr="00882905">
        <w:t>Rad</w:t>
      </w:r>
      <w:r w:rsidRPr="00882905">
        <w:t>y 2006/43/WE oraz uchylająca dyrektywy Rady 78/660/EWG</w:t>
      </w:r>
      <w:r w:rsidR="00AF2AE5" w:rsidRPr="00882905">
        <w:t xml:space="preserve"> i</w:t>
      </w:r>
      <w:r w:rsidR="00AF2AE5">
        <w:t> </w:t>
      </w:r>
      <w:r w:rsidR="00AF2AE5" w:rsidRPr="00882905">
        <w:t>8</w:t>
      </w:r>
      <w:r w:rsidRPr="00882905">
        <w:t>3/349/EWG (Dz.U. L 182</w:t>
      </w:r>
      <w:r w:rsidR="00AF2AE5" w:rsidRPr="00882905">
        <w:t xml:space="preserve"> z</w:t>
      </w:r>
      <w:r w:rsidR="00AF2AE5">
        <w:t> </w:t>
      </w:r>
      <w:r w:rsidR="00AF2AE5" w:rsidRPr="00882905">
        <w:t>2</w:t>
      </w:r>
      <w:r w:rsidRPr="00882905">
        <w:t>9.6.2013, s. 19).</w:t>
      </w:r>
    </w:p>
  </w:footnote>
  <w:footnote w:id="10">
    <w:p w14:paraId="1BE16465" w14:textId="029FE8ED" w:rsidR="00704957" w:rsidRPr="00882905" w:rsidRDefault="00704957" w:rsidP="00704957">
      <w:pPr>
        <w:pStyle w:val="FootnoteText"/>
      </w:pPr>
      <w:r w:rsidRPr="00882905">
        <w:rPr>
          <w:rStyle w:val="FootnoteReference"/>
        </w:rPr>
        <w:footnoteRef/>
      </w:r>
      <w:r w:rsidRPr="00882905">
        <w:tab/>
        <w:t>Dyrektywa Rady 2011/64/UE</w:t>
      </w:r>
      <w:r w:rsidR="00AF2AE5" w:rsidRPr="00882905">
        <w:t xml:space="preserve"> z</w:t>
      </w:r>
      <w:r w:rsidR="00AF2AE5">
        <w:t> </w:t>
      </w:r>
      <w:r w:rsidR="00AF2AE5" w:rsidRPr="00882905">
        <w:t>dni</w:t>
      </w:r>
      <w:r w:rsidRPr="00882905">
        <w:t>a 21 czerwca 20</w:t>
      </w:r>
      <w:r w:rsidRPr="00AF2AE5">
        <w:t>11</w:t>
      </w:r>
      <w:r w:rsidR="00AF2AE5" w:rsidRPr="00AF2AE5">
        <w:t> </w:t>
      </w:r>
      <w:r w:rsidRPr="00AF2AE5">
        <w:t>r.</w:t>
      </w:r>
      <w:r w:rsidR="00AF2AE5" w:rsidRPr="00882905">
        <w:t xml:space="preserve"> w</w:t>
      </w:r>
      <w:r w:rsidR="00AF2AE5">
        <w:t> </w:t>
      </w:r>
      <w:r w:rsidR="00AF2AE5" w:rsidRPr="00882905">
        <w:t>spr</w:t>
      </w:r>
      <w:r w:rsidRPr="00882905">
        <w:t>awie struktury oraz stawek akcyzy stosowanych do wyrobów tytoniowych (Dz.U. L 176</w:t>
      </w:r>
      <w:r w:rsidR="00AF2AE5" w:rsidRPr="00882905">
        <w:t xml:space="preserve"> z</w:t>
      </w:r>
      <w:r w:rsidR="00AF2AE5">
        <w:t> </w:t>
      </w:r>
      <w:r w:rsidR="00AF2AE5" w:rsidRPr="00882905">
        <w:t>5</w:t>
      </w:r>
      <w:r w:rsidRPr="00882905">
        <w:t>.7.2011, s. 24).</w:t>
      </w:r>
    </w:p>
  </w:footnote>
  <w:footnote w:id="11">
    <w:p w14:paraId="30D52500" w14:textId="3AE6705B" w:rsidR="00704957" w:rsidRPr="00882905" w:rsidRDefault="00704957" w:rsidP="00704957">
      <w:pPr>
        <w:pStyle w:val="FootnoteText"/>
      </w:pPr>
      <w:r w:rsidRPr="00882905">
        <w:rPr>
          <w:rStyle w:val="FootnoteReference"/>
        </w:rPr>
        <w:footnoteRef/>
      </w:r>
      <w:r w:rsidRPr="00882905">
        <w:tab/>
        <w:t>Dyrektywa Rady [XX]</w:t>
      </w:r>
      <w:r w:rsidR="00AF2AE5" w:rsidRPr="00882905">
        <w:t xml:space="preserve"> w</w:t>
      </w:r>
      <w:r w:rsidR="00AF2AE5">
        <w:t> </w:t>
      </w:r>
      <w:r w:rsidR="00AF2AE5" w:rsidRPr="00882905">
        <w:t>spr</w:t>
      </w:r>
      <w:r w:rsidRPr="00882905">
        <w:t>awie struktury oraz stawek akcyzy stosowanych do wyrobów tytoniowych</w:t>
      </w:r>
      <w:r w:rsidR="00AF2AE5" w:rsidRPr="00882905">
        <w:t xml:space="preserve"> i</w:t>
      </w:r>
      <w:r w:rsidR="00AF2AE5">
        <w:t> </w:t>
      </w:r>
      <w:r w:rsidR="00AF2AE5" w:rsidRPr="00882905">
        <w:t>sub</w:t>
      </w:r>
      <w:r w:rsidRPr="00882905">
        <w:t>stytucyjnych wyrobów tytoniowych (wersja przekształcona).</w:t>
      </w:r>
    </w:p>
  </w:footnote>
  <w:footnote w:id="12">
    <w:p w14:paraId="7BF92E37" w14:textId="1882321D" w:rsidR="00704957" w:rsidRPr="00882905" w:rsidRDefault="00704957" w:rsidP="00704957">
      <w:pPr>
        <w:pStyle w:val="FootnoteText"/>
      </w:pPr>
      <w:r w:rsidRPr="00882905">
        <w:rPr>
          <w:rStyle w:val="FootnoteReference"/>
        </w:rPr>
        <w:footnoteRef/>
      </w:r>
      <w:r w:rsidRPr="00882905">
        <w:tab/>
        <w:t>Dyrektywa Rady (UE) 2020/262</w:t>
      </w:r>
      <w:r w:rsidR="00AF2AE5" w:rsidRPr="00882905">
        <w:t xml:space="preserve"> z</w:t>
      </w:r>
      <w:r w:rsidR="00AF2AE5">
        <w:t> </w:t>
      </w:r>
      <w:r w:rsidR="00AF2AE5" w:rsidRPr="00882905">
        <w:t>dni</w:t>
      </w:r>
      <w:r w:rsidRPr="00882905">
        <w:t>a 19 grudnia 2019 r. ustanawiająca ogólne zasady dotyczące podatku akcyzowego (wersja przekształcona) (Dz.U. L 58</w:t>
      </w:r>
      <w:r w:rsidR="00AF2AE5" w:rsidRPr="00882905">
        <w:t xml:space="preserve"> z</w:t>
      </w:r>
      <w:r w:rsidR="00AF2AE5">
        <w:t> </w:t>
      </w:r>
      <w:r w:rsidR="00AF2AE5" w:rsidRPr="00882905">
        <w:t>2</w:t>
      </w:r>
      <w:r w:rsidRPr="00882905">
        <w:t>7.2.2020, s. 4).</w:t>
      </w:r>
    </w:p>
  </w:footnote>
  <w:footnote w:id="13">
    <w:p w14:paraId="216EDD2F" w14:textId="3F1D47B0" w:rsidR="00704957" w:rsidRPr="00882905" w:rsidRDefault="00704957" w:rsidP="00704957">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2025/40</w:t>
      </w:r>
      <w:r w:rsidR="00AF2AE5" w:rsidRPr="00882905">
        <w:t xml:space="preserve"> z</w:t>
      </w:r>
      <w:r w:rsidR="00AF2AE5">
        <w:t> </w:t>
      </w:r>
      <w:r w:rsidR="00AF2AE5" w:rsidRPr="00882905">
        <w:t>dni</w:t>
      </w:r>
      <w:r w:rsidRPr="00882905">
        <w:t>a 19 grudnia 20</w:t>
      </w:r>
      <w:r w:rsidRPr="00AF2AE5">
        <w:t>24</w:t>
      </w:r>
      <w:r w:rsidR="00AF2AE5" w:rsidRPr="00AF2AE5">
        <w:t> </w:t>
      </w:r>
      <w:r w:rsidRPr="00AF2AE5">
        <w:t>r.</w:t>
      </w:r>
      <w:r w:rsidR="00AF2AE5" w:rsidRPr="00882905">
        <w:t xml:space="preserve"> w</w:t>
      </w:r>
      <w:r w:rsidR="00AF2AE5">
        <w:t> </w:t>
      </w:r>
      <w:r w:rsidR="00AF2AE5" w:rsidRPr="00882905">
        <w:t>spr</w:t>
      </w:r>
      <w:r w:rsidRPr="00882905">
        <w:t>awie opakowań</w:t>
      </w:r>
      <w:r w:rsidR="00AF2AE5" w:rsidRPr="00882905">
        <w:t xml:space="preserve"> i</w:t>
      </w:r>
      <w:r w:rsidR="00AF2AE5">
        <w:t> </w:t>
      </w:r>
      <w:r w:rsidR="00AF2AE5" w:rsidRPr="00882905">
        <w:t>odp</w:t>
      </w:r>
      <w:r w:rsidRPr="00882905">
        <w:t>adów opakowaniowych, zmiany rozporządzenia (UE) 2019/1020</w:t>
      </w:r>
      <w:r w:rsidR="00AF2AE5" w:rsidRPr="00882905">
        <w:t xml:space="preserve"> i</w:t>
      </w:r>
      <w:r w:rsidR="00AF2AE5">
        <w:t> </w:t>
      </w:r>
      <w:r w:rsidR="00AF2AE5" w:rsidRPr="00882905">
        <w:t>dyr</w:t>
      </w:r>
      <w:r w:rsidRPr="00882905">
        <w:t>ektywy (UE) 2019/904 oraz uchylenia dyrektywy 94/62/WE (Dz.U. L, 2025/40, 22.1.2025).</w:t>
      </w:r>
    </w:p>
  </w:footnote>
  <w:footnote w:id="14">
    <w:p w14:paraId="35280873" w14:textId="4A7531EE" w:rsidR="00704957" w:rsidRPr="00882905" w:rsidRDefault="00704957" w:rsidP="00704957">
      <w:pPr>
        <w:pStyle w:val="FootnoteText"/>
      </w:pPr>
      <w:r w:rsidRPr="00882905">
        <w:rPr>
          <w:rStyle w:val="FootnoteReference"/>
        </w:rPr>
        <w:footnoteRef/>
      </w:r>
      <w:r w:rsidRPr="00882905">
        <w:tab/>
        <w:t>Dyrektywa Parlamentu Europejskiego</w:t>
      </w:r>
      <w:r w:rsidR="00AF2AE5" w:rsidRPr="00882905">
        <w:t xml:space="preserve"> i</w:t>
      </w:r>
      <w:r w:rsidR="00AF2AE5">
        <w:t> </w:t>
      </w:r>
      <w:r w:rsidR="00AF2AE5" w:rsidRPr="00882905">
        <w:t>Rad</w:t>
      </w:r>
      <w:r w:rsidRPr="00882905">
        <w:t>y 2012/19/UE</w:t>
      </w:r>
      <w:r w:rsidR="00AF2AE5" w:rsidRPr="00882905">
        <w:t xml:space="preserve"> z</w:t>
      </w:r>
      <w:r w:rsidR="00AF2AE5">
        <w:t> </w:t>
      </w:r>
      <w:r w:rsidR="00AF2AE5" w:rsidRPr="00882905">
        <w:t>dni</w:t>
      </w:r>
      <w:r w:rsidRPr="00882905">
        <w:t>a 4 lipca 20</w:t>
      </w:r>
      <w:r w:rsidRPr="00AF2AE5">
        <w:t>12</w:t>
      </w:r>
      <w:r w:rsidR="00AF2AE5" w:rsidRPr="00AF2AE5">
        <w:t> </w:t>
      </w:r>
      <w:r w:rsidRPr="00AF2AE5">
        <w:t>r.</w:t>
      </w:r>
      <w:r w:rsidR="00AF2AE5" w:rsidRPr="00882905">
        <w:t xml:space="preserve"> w</w:t>
      </w:r>
      <w:r w:rsidR="00AF2AE5">
        <w:t> </w:t>
      </w:r>
      <w:r w:rsidR="00AF2AE5" w:rsidRPr="00882905">
        <w:t>spr</w:t>
      </w:r>
      <w:r w:rsidRPr="00882905">
        <w:t>awie zużytego sprzętu elektrycznego</w:t>
      </w:r>
      <w:r w:rsidR="00AF2AE5" w:rsidRPr="00882905">
        <w:t xml:space="preserve"> i</w:t>
      </w:r>
      <w:r w:rsidR="00AF2AE5">
        <w:t> </w:t>
      </w:r>
      <w:r w:rsidR="00AF2AE5" w:rsidRPr="00882905">
        <w:t>ele</w:t>
      </w:r>
      <w:r w:rsidRPr="00882905">
        <w:t>ktronicznego (WEEE) (wersja przekształcona) (Dz.U. L 197</w:t>
      </w:r>
      <w:r w:rsidR="00AF2AE5" w:rsidRPr="00882905">
        <w:t xml:space="preserve"> z</w:t>
      </w:r>
      <w:r w:rsidR="00AF2AE5">
        <w:t> </w:t>
      </w:r>
      <w:r w:rsidR="00AF2AE5" w:rsidRPr="00882905">
        <w:t>2</w:t>
      </w:r>
      <w:r w:rsidRPr="00882905">
        <w:t>4.7.2012, s. 38).</w:t>
      </w:r>
    </w:p>
  </w:footnote>
  <w:footnote w:id="15">
    <w:p w14:paraId="5BD8FC57" w14:textId="111A5C09" w:rsidR="00704957" w:rsidRPr="00882905" w:rsidRDefault="00704957" w:rsidP="00704957">
      <w:pPr>
        <w:pStyle w:val="FootnoteText"/>
      </w:pPr>
      <w:r w:rsidRPr="00882905">
        <w:rPr>
          <w:rStyle w:val="FootnoteReference"/>
        </w:rPr>
        <w:footnoteRef/>
      </w:r>
      <w:r w:rsidRPr="00882905">
        <w:tab/>
        <w:t xml:space="preserve">Rozporządzenie Rady (EWG, Euratom) </w:t>
      </w:r>
      <w:r w:rsidRPr="00AF2AE5">
        <w:t>nr</w:t>
      </w:r>
      <w:r w:rsidR="00AF2AE5" w:rsidRPr="00AF2AE5">
        <w:t> </w:t>
      </w:r>
      <w:r w:rsidRPr="00AF2AE5">
        <w:t>1</w:t>
      </w:r>
      <w:r w:rsidRPr="00882905">
        <w:t>553/89</w:t>
      </w:r>
      <w:r w:rsidR="00AF2AE5" w:rsidRPr="00882905">
        <w:t xml:space="preserve"> z</w:t>
      </w:r>
      <w:r w:rsidR="00AF2AE5">
        <w:t> </w:t>
      </w:r>
      <w:r w:rsidR="00AF2AE5" w:rsidRPr="00882905">
        <w:t>dni</w:t>
      </w:r>
      <w:r w:rsidRPr="00882905">
        <w:t>a 29 maja 19</w:t>
      </w:r>
      <w:r w:rsidRPr="00AF2AE5">
        <w:t>89</w:t>
      </w:r>
      <w:r w:rsidR="00AF2AE5" w:rsidRPr="00AF2AE5">
        <w:t> </w:t>
      </w:r>
      <w:r w:rsidRPr="00AF2AE5">
        <w:t>r.</w:t>
      </w:r>
      <w:r w:rsidRPr="00882905">
        <w:t xml:space="preserve"> sprawie ostatecznych jednolitych warunków poboru środków własnych pochodzących</w:t>
      </w:r>
      <w:r w:rsidR="00AF2AE5" w:rsidRPr="00882905">
        <w:t xml:space="preserve"> z</w:t>
      </w:r>
      <w:r w:rsidR="00AF2AE5">
        <w:t> </w:t>
      </w:r>
      <w:r w:rsidR="00AF2AE5" w:rsidRPr="00882905">
        <w:t>pod</w:t>
      </w:r>
      <w:r w:rsidRPr="00882905">
        <w:t>atku od wartości dodanej (Dz.U. L 155</w:t>
      </w:r>
      <w:r w:rsidR="00AF2AE5" w:rsidRPr="00882905">
        <w:t xml:space="preserve"> z</w:t>
      </w:r>
      <w:r w:rsidR="00AF2AE5">
        <w:t> </w:t>
      </w:r>
      <w:r w:rsidR="00AF2AE5" w:rsidRPr="00882905">
        <w:t>7</w:t>
      </w:r>
      <w:r w:rsidRPr="00882905">
        <w:t>.6.1989, s. 9).</w:t>
      </w:r>
    </w:p>
  </w:footnote>
  <w:footnote w:id="16">
    <w:p w14:paraId="2E558A45" w14:textId="2C21E9E1" w:rsidR="00704957" w:rsidRPr="00882905" w:rsidRDefault="00704957" w:rsidP="00704957">
      <w:pPr>
        <w:pStyle w:val="FootnoteText"/>
      </w:pPr>
      <w:r w:rsidRPr="00882905">
        <w:rPr>
          <w:rStyle w:val="FootnoteReference"/>
        </w:rPr>
        <w:footnoteRef/>
      </w:r>
      <w:r w:rsidRPr="00882905">
        <w:tab/>
        <w:t>Dyrektywa 2003/87/WE Parlamentu Europejskiego</w:t>
      </w:r>
      <w:r w:rsidR="00AF2AE5" w:rsidRPr="00882905">
        <w:t xml:space="preserve"> i</w:t>
      </w:r>
      <w:r w:rsidR="00AF2AE5">
        <w:t> </w:t>
      </w:r>
      <w:r w:rsidR="00AF2AE5" w:rsidRPr="00882905">
        <w:t>Rad</w:t>
      </w:r>
      <w:r w:rsidRPr="00882905">
        <w:t>y</w:t>
      </w:r>
      <w:r w:rsidR="00AF2AE5" w:rsidRPr="00882905">
        <w:t xml:space="preserve"> z</w:t>
      </w:r>
      <w:r w:rsidR="00AF2AE5">
        <w:t> </w:t>
      </w:r>
      <w:r w:rsidR="00AF2AE5" w:rsidRPr="00882905">
        <w:t>dni</w:t>
      </w:r>
      <w:r w:rsidRPr="00882905">
        <w:t>a 13 października 2003 r. ustanawiająca system handlu przydziałami emisji gazów cieplarnianych we Wspólnocie oraz zmieniająca dyrektywę Rady 96/61/WE (Dz.U. L 275</w:t>
      </w:r>
      <w:r w:rsidR="00AF2AE5" w:rsidRPr="00882905">
        <w:t xml:space="preserve"> z</w:t>
      </w:r>
      <w:r w:rsidR="00AF2AE5">
        <w:t> </w:t>
      </w:r>
      <w:r w:rsidR="00AF2AE5" w:rsidRPr="00882905">
        <w:t>2</w:t>
      </w:r>
      <w:r w:rsidRPr="00882905">
        <w:t>5.10.2003, s. 32).</w:t>
      </w:r>
    </w:p>
  </w:footnote>
  <w:footnote w:id="17">
    <w:p w14:paraId="22A64BCA" w14:textId="59E2D52D" w:rsidR="00704957" w:rsidRPr="00882905" w:rsidRDefault="00704957" w:rsidP="00704957">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2018/842</w:t>
      </w:r>
      <w:r w:rsidR="00AF2AE5" w:rsidRPr="00882905">
        <w:t xml:space="preserve"> z</w:t>
      </w:r>
      <w:r w:rsidR="00AF2AE5">
        <w:t> </w:t>
      </w:r>
      <w:r w:rsidR="00AF2AE5" w:rsidRPr="00882905">
        <w:t>dni</w:t>
      </w:r>
      <w:r w:rsidRPr="00882905">
        <w:t>a 30 maja 2018 r.</w:t>
      </w:r>
      <w:r w:rsidR="00AF2AE5" w:rsidRPr="00882905">
        <w:t xml:space="preserve"> w</w:t>
      </w:r>
      <w:r w:rsidR="00AF2AE5">
        <w:t> </w:t>
      </w:r>
      <w:r w:rsidR="00AF2AE5" w:rsidRPr="00882905">
        <w:t>spr</w:t>
      </w:r>
      <w:r w:rsidRPr="00882905">
        <w:t>awie wiążących rocznych redukcji emisji gazów cieplarnianych przez państwa członkowskie od 2021 r. do 2030 r. przyczyniających się do działań na rzecz klimatu</w:t>
      </w:r>
      <w:r w:rsidR="00AF2AE5" w:rsidRPr="00882905">
        <w:t xml:space="preserve"> w</w:t>
      </w:r>
      <w:r w:rsidR="00AF2AE5">
        <w:t> </w:t>
      </w:r>
      <w:r w:rsidR="00AF2AE5" w:rsidRPr="00882905">
        <w:t>cel</w:t>
      </w:r>
      <w:r w:rsidRPr="00882905">
        <w:t>u wywiązania się</w:t>
      </w:r>
      <w:r w:rsidR="00AF2AE5" w:rsidRPr="00882905">
        <w:t xml:space="preserve"> z</w:t>
      </w:r>
      <w:r w:rsidR="00AF2AE5">
        <w:t> </w:t>
      </w:r>
      <w:r w:rsidR="00AF2AE5" w:rsidRPr="00882905">
        <w:t>zob</w:t>
      </w:r>
      <w:r w:rsidRPr="00882905">
        <w:t>owiązań wynikających</w:t>
      </w:r>
      <w:r w:rsidR="00AF2AE5" w:rsidRPr="00882905">
        <w:t xml:space="preserve"> z</w:t>
      </w:r>
      <w:r w:rsidR="00AF2AE5">
        <w:t> </w:t>
      </w:r>
      <w:r w:rsidR="00AF2AE5" w:rsidRPr="00882905">
        <w:t>Por</w:t>
      </w:r>
      <w:r w:rsidRPr="00882905">
        <w:t>ozumienia paryskiego oraz zmieniające rozporządzenie (UE) nr 525/2013 (Dz.U. L 156</w:t>
      </w:r>
      <w:r w:rsidR="00AF2AE5" w:rsidRPr="00882905">
        <w:t xml:space="preserve"> z</w:t>
      </w:r>
      <w:r w:rsidR="00AF2AE5">
        <w:t> </w:t>
      </w:r>
      <w:r w:rsidR="00AF2AE5" w:rsidRPr="00882905">
        <w:t>1</w:t>
      </w:r>
      <w:r w:rsidRPr="00882905">
        <w:t>9.6.2018, s. 26).</w:t>
      </w:r>
    </w:p>
  </w:footnote>
  <w:footnote w:id="18">
    <w:p w14:paraId="60B64C3D" w14:textId="4E9F1DD3" w:rsidR="00704957" w:rsidRPr="00882905" w:rsidRDefault="00704957" w:rsidP="00704957">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2023/956 ustanawiające mechanizm dostosowywania cen na granicach</w:t>
      </w:r>
      <w:r w:rsidR="00AF2AE5" w:rsidRPr="00882905">
        <w:t xml:space="preserve"> z</w:t>
      </w:r>
      <w:r w:rsidR="00AF2AE5">
        <w:t> </w:t>
      </w:r>
      <w:r w:rsidR="00AF2AE5" w:rsidRPr="00882905">
        <w:t>uwz</w:t>
      </w:r>
      <w:r w:rsidRPr="00882905">
        <w:t>ględnieniem emisji CO2 (Dz.U. L 130</w:t>
      </w:r>
      <w:r w:rsidR="00AF2AE5" w:rsidRPr="00882905">
        <w:t xml:space="preserve"> z</w:t>
      </w:r>
      <w:r w:rsidR="00AF2AE5">
        <w:t> </w:t>
      </w:r>
      <w:r w:rsidR="00AF2AE5" w:rsidRPr="00882905">
        <w:t>1</w:t>
      </w:r>
      <w:r w:rsidRPr="00882905">
        <w:t>6.5.2023, s. 52).</w:t>
      </w:r>
    </w:p>
  </w:footnote>
  <w:footnote w:id="19">
    <w:p w14:paraId="4C97A16B" w14:textId="235D18AF" w:rsidR="00704957" w:rsidRPr="00882905" w:rsidRDefault="00704957" w:rsidP="00704957">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nr 549/2013</w:t>
      </w:r>
      <w:r w:rsidR="00AF2AE5" w:rsidRPr="00882905">
        <w:t xml:space="preserve"> z</w:t>
      </w:r>
      <w:r w:rsidR="00AF2AE5">
        <w:t> </w:t>
      </w:r>
      <w:r w:rsidR="00AF2AE5" w:rsidRPr="00882905">
        <w:t>dni</w:t>
      </w:r>
      <w:r w:rsidRPr="00882905">
        <w:t>a 21 maja 2013 r.</w:t>
      </w:r>
      <w:r w:rsidR="00AF2AE5" w:rsidRPr="00882905">
        <w:t xml:space="preserve"> w</w:t>
      </w:r>
      <w:r w:rsidR="00AF2AE5">
        <w:t> </w:t>
      </w:r>
      <w:r w:rsidR="00AF2AE5" w:rsidRPr="00882905">
        <w:t>spr</w:t>
      </w:r>
      <w:r w:rsidRPr="00882905">
        <w:t>awie europejskiego systemu rachunków narodowych</w:t>
      </w:r>
      <w:r w:rsidR="00AF2AE5" w:rsidRPr="00882905">
        <w:t xml:space="preserve"> i</w:t>
      </w:r>
      <w:r w:rsidR="00AF2AE5">
        <w:t> </w:t>
      </w:r>
      <w:r w:rsidR="00AF2AE5" w:rsidRPr="00882905">
        <w:t>reg</w:t>
      </w:r>
      <w:r w:rsidRPr="00882905">
        <w:t>ionalnych</w:t>
      </w:r>
      <w:r w:rsidR="00AF2AE5" w:rsidRPr="00882905">
        <w:t xml:space="preserve"> w</w:t>
      </w:r>
      <w:r w:rsidR="00AF2AE5">
        <w:t> </w:t>
      </w:r>
      <w:r w:rsidR="00AF2AE5" w:rsidRPr="00882905">
        <w:t>Uni</w:t>
      </w:r>
      <w:r w:rsidRPr="00882905">
        <w:t>i Europejskiej (Dz.U. L 174</w:t>
      </w:r>
      <w:r w:rsidR="00AF2AE5" w:rsidRPr="00882905">
        <w:t xml:space="preserve"> z</w:t>
      </w:r>
      <w:r w:rsidR="00AF2AE5">
        <w:t> </w:t>
      </w:r>
      <w:r w:rsidR="00AF2AE5" w:rsidRPr="00882905">
        <w:t>2</w:t>
      </w:r>
      <w:r w:rsidRPr="00882905">
        <w:t>6.6.2013, s. 1).</w:t>
      </w:r>
    </w:p>
  </w:footnote>
  <w:footnote w:id="20">
    <w:p w14:paraId="701856DE" w14:textId="3B5D4D6A" w:rsidR="00704957" w:rsidRPr="00882905" w:rsidRDefault="00704957" w:rsidP="00704957">
      <w:pPr>
        <w:pStyle w:val="FootnoteText"/>
      </w:pPr>
      <w:r w:rsidRPr="00882905">
        <w:rPr>
          <w:rStyle w:val="FootnoteReference"/>
        </w:rPr>
        <w:footnoteRef/>
      </w:r>
      <w:r w:rsidRPr="00882905">
        <w:tab/>
        <w:t>Rozporządzenie Parlamentu Europejskiego</w:t>
      </w:r>
      <w:r w:rsidR="00AF2AE5" w:rsidRPr="00882905">
        <w:t xml:space="preserve"> i</w:t>
      </w:r>
      <w:r w:rsidR="00AF2AE5">
        <w:t> </w:t>
      </w:r>
      <w:r w:rsidR="00AF2AE5" w:rsidRPr="00882905">
        <w:t>Rad</w:t>
      </w:r>
      <w:r w:rsidRPr="00882905">
        <w:t>y (UE) 2023/734</w:t>
      </w:r>
      <w:r w:rsidR="00AF2AE5" w:rsidRPr="00882905">
        <w:t xml:space="preserve"> z</w:t>
      </w:r>
      <w:r w:rsidR="00AF2AE5">
        <w:t> </w:t>
      </w:r>
      <w:r w:rsidR="00AF2AE5" w:rsidRPr="00882905">
        <w:t>dni</w:t>
      </w:r>
      <w:r w:rsidRPr="00882905">
        <w:t>a 15 marca 2023 r. zmieniające rozporządzenie (UE) nr 549/2013</w:t>
      </w:r>
      <w:r w:rsidR="00AF2AE5" w:rsidRPr="00882905">
        <w:t xml:space="preserve"> w</w:t>
      </w:r>
      <w:r w:rsidR="00AF2AE5">
        <w:t> </w:t>
      </w:r>
      <w:r w:rsidR="00AF2AE5" w:rsidRPr="00882905">
        <w:t>spr</w:t>
      </w:r>
      <w:r w:rsidRPr="00882905">
        <w:t>awie europejskiego systemu rachunków narodowych</w:t>
      </w:r>
      <w:r w:rsidR="00AF2AE5" w:rsidRPr="00882905">
        <w:t xml:space="preserve"> i</w:t>
      </w:r>
      <w:r w:rsidR="00AF2AE5">
        <w:t> </w:t>
      </w:r>
      <w:r w:rsidR="00AF2AE5" w:rsidRPr="00882905">
        <w:t>reg</w:t>
      </w:r>
      <w:r w:rsidRPr="00882905">
        <w:t>ionalnych</w:t>
      </w:r>
      <w:r w:rsidR="00AF2AE5" w:rsidRPr="00882905">
        <w:t xml:space="preserve"> w</w:t>
      </w:r>
      <w:r w:rsidR="00AF2AE5">
        <w:t> </w:t>
      </w:r>
      <w:r w:rsidR="00AF2AE5" w:rsidRPr="00882905">
        <w:t>Uni</w:t>
      </w:r>
      <w:r w:rsidRPr="00882905">
        <w:t>i Europejskiej oraz uchylające 11 aktów prawnych</w:t>
      </w:r>
      <w:r w:rsidR="00AF2AE5" w:rsidRPr="00882905">
        <w:t xml:space="preserve"> w</w:t>
      </w:r>
      <w:r w:rsidR="00AF2AE5">
        <w:t> </w:t>
      </w:r>
      <w:r w:rsidR="00AF2AE5" w:rsidRPr="00882905">
        <w:t>dzi</w:t>
      </w:r>
      <w:r w:rsidRPr="00882905">
        <w:t>edzinie rachunków narodowych (Dz.U. L 97</w:t>
      </w:r>
      <w:r w:rsidR="00AF2AE5" w:rsidRPr="00882905">
        <w:t xml:space="preserve"> z</w:t>
      </w:r>
      <w:r w:rsidR="00AF2AE5">
        <w:t> </w:t>
      </w:r>
      <w:r w:rsidR="00AF2AE5" w:rsidRPr="00882905">
        <w:t>5</w:t>
      </w:r>
      <w:r w:rsidRPr="00882905">
        <w:t>.4.2023, s. 1).</w:t>
      </w:r>
    </w:p>
  </w:footnote>
  <w:footnote w:id="21">
    <w:p w14:paraId="70C96A0C" w14:textId="56C67124" w:rsidR="00704957" w:rsidRPr="00882905" w:rsidRDefault="00704957" w:rsidP="00704957">
      <w:pPr>
        <w:pStyle w:val="FootnoteText"/>
      </w:pPr>
      <w:r w:rsidRPr="00882905">
        <w:rPr>
          <w:rStyle w:val="FootnoteReference"/>
        </w:rPr>
        <w:footnoteRef/>
      </w:r>
      <w:r w:rsidRPr="00882905">
        <w:tab/>
        <w:t>Decyzja Rady 70/243/EWWiS, EWG, Euratom</w:t>
      </w:r>
      <w:r w:rsidR="00AF2AE5" w:rsidRPr="00882905">
        <w:t xml:space="preserve"> z</w:t>
      </w:r>
      <w:r w:rsidR="00AF2AE5">
        <w:t> </w:t>
      </w:r>
      <w:r w:rsidR="00AF2AE5" w:rsidRPr="00882905">
        <w:t>dni</w:t>
      </w:r>
      <w:r w:rsidRPr="00882905">
        <w:t>a 21 kwietnia 19</w:t>
      </w:r>
      <w:r w:rsidRPr="00AF2AE5">
        <w:t>70</w:t>
      </w:r>
      <w:r w:rsidR="00AF2AE5" w:rsidRPr="00AF2AE5">
        <w:t> </w:t>
      </w:r>
      <w:r w:rsidRPr="00AF2AE5">
        <w:t>r.</w:t>
      </w:r>
      <w:r w:rsidR="00AF2AE5" w:rsidRPr="00882905">
        <w:t xml:space="preserve"> w</w:t>
      </w:r>
      <w:r w:rsidR="00AF2AE5">
        <w:t> </w:t>
      </w:r>
      <w:r w:rsidR="00AF2AE5" w:rsidRPr="00882905">
        <w:t>spr</w:t>
      </w:r>
      <w:r w:rsidRPr="00882905">
        <w:t>awie zastąpienia wkładów finansowych państw członkowskich zasobami własnymi Wspólnot (Dz.U. L 94</w:t>
      </w:r>
      <w:r w:rsidR="00AF2AE5" w:rsidRPr="00882905">
        <w:t xml:space="preserve"> z</w:t>
      </w:r>
      <w:r w:rsidR="00AF2AE5">
        <w:t> </w:t>
      </w:r>
      <w:r w:rsidR="00AF2AE5" w:rsidRPr="00882905">
        <w:t>2</w:t>
      </w:r>
      <w:r w:rsidRPr="00882905">
        <w:t>8.4.1970, s. 19).</w:t>
      </w:r>
    </w:p>
  </w:footnote>
  <w:footnote w:id="22">
    <w:p w14:paraId="79F641AC" w14:textId="2B0370C7" w:rsidR="00704957" w:rsidRPr="00882905" w:rsidRDefault="00704957" w:rsidP="00704957">
      <w:pPr>
        <w:pStyle w:val="FootnoteText"/>
      </w:pPr>
      <w:r w:rsidRPr="00882905">
        <w:rPr>
          <w:rStyle w:val="FootnoteReference"/>
        </w:rPr>
        <w:footnoteRef/>
      </w:r>
      <w:r w:rsidRPr="00882905">
        <w:tab/>
        <w:t>Decyzja Rady 85/257/EWG, Euratom</w:t>
      </w:r>
      <w:r w:rsidR="00AF2AE5" w:rsidRPr="00882905">
        <w:t xml:space="preserve"> z</w:t>
      </w:r>
      <w:r w:rsidR="00AF2AE5">
        <w:t> </w:t>
      </w:r>
      <w:r w:rsidR="00AF2AE5" w:rsidRPr="00882905">
        <w:t>dni</w:t>
      </w:r>
      <w:r w:rsidRPr="00882905">
        <w:t>a 7 maja 19</w:t>
      </w:r>
      <w:r w:rsidRPr="00AF2AE5">
        <w:t>85</w:t>
      </w:r>
      <w:r w:rsidR="00AF2AE5" w:rsidRPr="00AF2AE5">
        <w:t> </w:t>
      </w:r>
      <w:r w:rsidRPr="00AF2AE5">
        <w:t>r.</w:t>
      </w:r>
      <w:r w:rsidR="00AF2AE5" w:rsidRPr="00882905">
        <w:t xml:space="preserve"> w</w:t>
      </w:r>
      <w:r w:rsidR="00AF2AE5">
        <w:t> </w:t>
      </w:r>
      <w:r w:rsidR="00AF2AE5" w:rsidRPr="00882905">
        <w:t>spr</w:t>
      </w:r>
      <w:r w:rsidRPr="00882905">
        <w:t>awie systemu zasobów własnych Wspólnot (Dz.U. L 128</w:t>
      </w:r>
      <w:r w:rsidR="00AF2AE5" w:rsidRPr="00882905">
        <w:t xml:space="preserve"> z</w:t>
      </w:r>
      <w:r w:rsidR="00AF2AE5">
        <w:t> </w:t>
      </w:r>
      <w:r w:rsidR="00AF2AE5" w:rsidRPr="00882905">
        <w:t>1</w:t>
      </w:r>
      <w:r w:rsidRPr="00882905">
        <w:t>4.5.1985, s. 15).</w:t>
      </w:r>
    </w:p>
  </w:footnote>
  <w:footnote w:id="23">
    <w:p w14:paraId="7742524D" w14:textId="69CE6773" w:rsidR="00704957" w:rsidRPr="00882905" w:rsidRDefault="00704957" w:rsidP="00704957">
      <w:pPr>
        <w:pStyle w:val="FootnoteText"/>
      </w:pPr>
      <w:r w:rsidRPr="00882905">
        <w:rPr>
          <w:rStyle w:val="FootnoteReference"/>
        </w:rPr>
        <w:footnoteRef/>
      </w:r>
      <w:r w:rsidRPr="00882905">
        <w:tab/>
        <w:t>Decyzja Rady 88/376/EWG, Euratom</w:t>
      </w:r>
      <w:r w:rsidR="00AF2AE5" w:rsidRPr="00882905">
        <w:t xml:space="preserve"> z</w:t>
      </w:r>
      <w:r w:rsidR="00AF2AE5">
        <w:t> </w:t>
      </w:r>
      <w:r w:rsidR="00AF2AE5" w:rsidRPr="00882905">
        <w:t>dni</w:t>
      </w:r>
      <w:r w:rsidRPr="00882905">
        <w:t>a 24 czerwca 19</w:t>
      </w:r>
      <w:r w:rsidRPr="00AF2AE5">
        <w:t>88</w:t>
      </w:r>
      <w:r w:rsidR="00AF2AE5" w:rsidRPr="00AF2AE5">
        <w:t> </w:t>
      </w:r>
      <w:r w:rsidRPr="00AF2AE5">
        <w:t>r.</w:t>
      </w:r>
      <w:r w:rsidR="00AF2AE5" w:rsidRPr="00882905">
        <w:t xml:space="preserve"> w</w:t>
      </w:r>
      <w:r w:rsidR="00AF2AE5">
        <w:t> </w:t>
      </w:r>
      <w:r w:rsidR="00AF2AE5" w:rsidRPr="00882905">
        <w:t>spr</w:t>
      </w:r>
      <w:r w:rsidRPr="00882905">
        <w:t>awie systemu środków własnych Wspólnot (Dz.U. L 185</w:t>
      </w:r>
      <w:r w:rsidR="00AF2AE5" w:rsidRPr="00882905">
        <w:t xml:space="preserve"> z</w:t>
      </w:r>
      <w:r w:rsidR="00AF2AE5">
        <w:t> </w:t>
      </w:r>
      <w:r w:rsidR="00AF2AE5" w:rsidRPr="00882905">
        <w:t>1</w:t>
      </w:r>
      <w:r w:rsidRPr="00882905">
        <w:t>5.7.1988, s. 24).</w:t>
      </w:r>
    </w:p>
  </w:footnote>
  <w:footnote w:id="24">
    <w:p w14:paraId="465C46B0" w14:textId="2737B781" w:rsidR="00704957" w:rsidRPr="00882905" w:rsidRDefault="00704957" w:rsidP="00704957">
      <w:pPr>
        <w:pStyle w:val="FootnoteText"/>
      </w:pPr>
      <w:r w:rsidRPr="00882905">
        <w:rPr>
          <w:rStyle w:val="FootnoteReference"/>
        </w:rPr>
        <w:footnoteRef/>
      </w:r>
      <w:r w:rsidRPr="00882905">
        <w:tab/>
        <w:t>Decyzja Rady 94/728/WE, Euratom</w:t>
      </w:r>
      <w:r w:rsidR="00AF2AE5" w:rsidRPr="00882905">
        <w:t xml:space="preserve"> z</w:t>
      </w:r>
      <w:r w:rsidR="00AF2AE5">
        <w:t> </w:t>
      </w:r>
      <w:r w:rsidR="00AF2AE5" w:rsidRPr="00882905">
        <w:t>dni</w:t>
      </w:r>
      <w:r w:rsidRPr="00882905">
        <w:t>a 31 października 19</w:t>
      </w:r>
      <w:r w:rsidRPr="00AF2AE5">
        <w:t>94</w:t>
      </w:r>
      <w:r w:rsidR="00AF2AE5" w:rsidRPr="00AF2AE5">
        <w:t> </w:t>
      </w:r>
      <w:r w:rsidRPr="00AF2AE5">
        <w:t>r.</w:t>
      </w:r>
      <w:r w:rsidR="00AF2AE5" w:rsidRPr="00882905">
        <w:t xml:space="preserve"> w</w:t>
      </w:r>
      <w:r w:rsidR="00AF2AE5">
        <w:t> </w:t>
      </w:r>
      <w:r w:rsidR="00AF2AE5" w:rsidRPr="00882905">
        <w:t>spr</w:t>
      </w:r>
      <w:r w:rsidRPr="00882905">
        <w:t>awie systemu zasobów własnych Wspólnot Europejskich (Dz.U. L 293</w:t>
      </w:r>
      <w:r w:rsidR="00AF2AE5" w:rsidRPr="00882905">
        <w:t xml:space="preserve"> z</w:t>
      </w:r>
      <w:r w:rsidR="00AF2AE5">
        <w:t> </w:t>
      </w:r>
      <w:r w:rsidR="00AF2AE5" w:rsidRPr="00882905">
        <w:t>1</w:t>
      </w:r>
      <w:r w:rsidRPr="00882905">
        <w:t>2.11.1994, s. 9).</w:t>
      </w:r>
    </w:p>
  </w:footnote>
  <w:footnote w:id="25">
    <w:p w14:paraId="5D10AB5F" w14:textId="2CAC1E78" w:rsidR="00704957" w:rsidRPr="00882905" w:rsidRDefault="00704957" w:rsidP="00704957">
      <w:pPr>
        <w:pStyle w:val="FootnoteText"/>
      </w:pPr>
      <w:r w:rsidRPr="00882905">
        <w:rPr>
          <w:rStyle w:val="FootnoteReference"/>
        </w:rPr>
        <w:footnoteRef/>
      </w:r>
      <w:r w:rsidRPr="00882905">
        <w:tab/>
        <w:t>Decyzja Rady 2000/597/WE, Euratom</w:t>
      </w:r>
      <w:r w:rsidR="00AF2AE5" w:rsidRPr="00882905">
        <w:t xml:space="preserve"> z</w:t>
      </w:r>
      <w:r w:rsidR="00AF2AE5">
        <w:t> </w:t>
      </w:r>
      <w:r w:rsidR="00AF2AE5" w:rsidRPr="00882905">
        <w:t>dni</w:t>
      </w:r>
      <w:r w:rsidRPr="00882905">
        <w:t>a 29 września 20</w:t>
      </w:r>
      <w:r w:rsidRPr="00AF2AE5">
        <w:t>00</w:t>
      </w:r>
      <w:r w:rsidR="00AF2AE5" w:rsidRPr="00AF2AE5">
        <w:t> </w:t>
      </w:r>
      <w:r w:rsidRPr="00AF2AE5">
        <w:t>r.</w:t>
      </w:r>
      <w:r w:rsidR="00AF2AE5" w:rsidRPr="00882905">
        <w:t xml:space="preserve"> w</w:t>
      </w:r>
      <w:r w:rsidR="00AF2AE5">
        <w:t> </w:t>
      </w:r>
      <w:r w:rsidR="00AF2AE5" w:rsidRPr="00882905">
        <w:t>spr</w:t>
      </w:r>
      <w:r w:rsidRPr="00882905">
        <w:t>awie systemu środków własnych Wspólnot Europejskich (Dz.U. L 253</w:t>
      </w:r>
      <w:r w:rsidR="00AF2AE5" w:rsidRPr="00882905">
        <w:t xml:space="preserve"> z</w:t>
      </w:r>
      <w:r w:rsidR="00AF2AE5">
        <w:t> </w:t>
      </w:r>
      <w:r w:rsidR="00AF2AE5" w:rsidRPr="00882905">
        <w:t>7</w:t>
      </w:r>
      <w:r w:rsidRPr="00882905">
        <w:t>.10.2000, s. 42).</w:t>
      </w:r>
    </w:p>
  </w:footnote>
  <w:footnote w:id="26">
    <w:p w14:paraId="638B48C1" w14:textId="3D5ACACD" w:rsidR="00704957" w:rsidRPr="00882905" w:rsidRDefault="00704957" w:rsidP="00704957">
      <w:pPr>
        <w:pStyle w:val="FootnoteText"/>
      </w:pPr>
      <w:r w:rsidRPr="00882905">
        <w:rPr>
          <w:rStyle w:val="FootnoteReference"/>
        </w:rPr>
        <w:footnoteRef/>
      </w:r>
      <w:r w:rsidRPr="00882905">
        <w:tab/>
        <w:t>Decyzja Rady 2007/436/WE, Euratom</w:t>
      </w:r>
      <w:r w:rsidR="00AF2AE5" w:rsidRPr="00882905">
        <w:t xml:space="preserve"> z</w:t>
      </w:r>
      <w:r w:rsidR="00AF2AE5">
        <w:t> </w:t>
      </w:r>
      <w:r w:rsidR="00AF2AE5" w:rsidRPr="00882905">
        <w:t>dni</w:t>
      </w:r>
      <w:r w:rsidRPr="00882905">
        <w:t>a 7 czerwca 20</w:t>
      </w:r>
      <w:r w:rsidRPr="00AF2AE5">
        <w:t>07</w:t>
      </w:r>
      <w:r w:rsidR="00AF2AE5" w:rsidRPr="00AF2AE5">
        <w:t> </w:t>
      </w:r>
      <w:r w:rsidRPr="00AF2AE5">
        <w:t>r.</w:t>
      </w:r>
      <w:r w:rsidR="00AF2AE5" w:rsidRPr="00882905">
        <w:t xml:space="preserve"> w</w:t>
      </w:r>
      <w:r w:rsidR="00AF2AE5">
        <w:t> </w:t>
      </w:r>
      <w:r w:rsidR="00AF2AE5" w:rsidRPr="00882905">
        <w:t>spr</w:t>
      </w:r>
      <w:r w:rsidRPr="00882905">
        <w:t>awie systemu zasobów własnych Wspólnot Europejskich (Dz.U. L 163</w:t>
      </w:r>
      <w:r w:rsidR="00AF2AE5" w:rsidRPr="00882905">
        <w:t xml:space="preserve"> z</w:t>
      </w:r>
      <w:r w:rsidR="00AF2AE5">
        <w:t> </w:t>
      </w:r>
      <w:r w:rsidR="00AF2AE5" w:rsidRPr="00882905">
        <w:t>2</w:t>
      </w:r>
      <w:r w:rsidRPr="00882905">
        <w:t>3.6.2007, s. 17).</w:t>
      </w:r>
    </w:p>
  </w:footnote>
  <w:footnote w:id="27">
    <w:p w14:paraId="71730DDE" w14:textId="1DC011CE" w:rsidR="00704957" w:rsidRPr="00882905" w:rsidRDefault="00704957" w:rsidP="00704957">
      <w:pPr>
        <w:pStyle w:val="FootnoteText"/>
      </w:pPr>
      <w:r w:rsidRPr="00882905">
        <w:rPr>
          <w:rStyle w:val="FootnoteReference"/>
        </w:rPr>
        <w:footnoteRef/>
      </w:r>
      <w:r w:rsidRPr="00882905">
        <w:tab/>
        <w:t>Decyzja Rady 2014/335/UE, Euratom</w:t>
      </w:r>
      <w:r w:rsidR="00AF2AE5" w:rsidRPr="00882905">
        <w:t xml:space="preserve"> z</w:t>
      </w:r>
      <w:r w:rsidR="00AF2AE5">
        <w:t> </w:t>
      </w:r>
      <w:r w:rsidR="00AF2AE5" w:rsidRPr="00882905">
        <w:t>dni</w:t>
      </w:r>
      <w:r w:rsidRPr="00882905">
        <w:t>a 26 maja 20</w:t>
      </w:r>
      <w:r w:rsidRPr="00AF2AE5">
        <w:t>14</w:t>
      </w:r>
      <w:r w:rsidR="00AF2AE5" w:rsidRPr="00AF2AE5">
        <w:t> </w:t>
      </w:r>
      <w:r w:rsidRPr="00AF2AE5">
        <w:t>r.</w:t>
      </w:r>
      <w:r w:rsidR="00AF2AE5" w:rsidRPr="00882905">
        <w:t xml:space="preserve"> w</w:t>
      </w:r>
      <w:r w:rsidR="00AF2AE5">
        <w:t> </w:t>
      </w:r>
      <w:r w:rsidR="00AF2AE5" w:rsidRPr="00882905">
        <w:t>spr</w:t>
      </w:r>
      <w:r w:rsidRPr="00882905">
        <w:t>awie systemu zasobów własnych Unii Europejskiej (Dz.U. L 168</w:t>
      </w:r>
      <w:r w:rsidR="00AF2AE5" w:rsidRPr="00882905">
        <w:t xml:space="preserve"> z</w:t>
      </w:r>
      <w:r w:rsidR="00AF2AE5">
        <w:t> </w:t>
      </w:r>
      <w:r w:rsidR="00AF2AE5" w:rsidRPr="00882905">
        <w:t>7</w:t>
      </w:r>
      <w:r w:rsidRPr="00882905">
        <w:t>.6.2014, s. 105).</w:t>
      </w:r>
    </w:p>
  </w:footnote>
  <w:footnote w:id="28">
    <w:p w14:paraId="65E80438" w14:textId="49B43412" w:rsidR="00704957" w:rsidRPr="00882905" w:rsidRDefault="00704957" w:rsidP="00704957">
      <w:pPr>
        <w:pStyle w:val="FootnoteText"/>
      </w:pPr>
      <w:r w:rsidRPr="00882905">
        <w:rPr>
          <w:rStyle w:val="FootnoteReference"/>
        </w:rPr>
        <w:footnoteRef/>
      </w:r>
      <w:r w:rsidRPr="00882905">
        <w:tab/>
        <w:t>Decyzja Rady (UE, Euratom) 2020/2053</w:t>
      </w:r>
      <w:r w:rsidR="00AF2AE5" w:rsidRPr="00882905">
        <w:t xml:space="preserve"> z</w:t>
      </w:r>
      <w:r w:rsidR="00AF2AE5">
        <w:t> </w:t>
      </w:r>
      <w:r w:rsidR="00AF2AE5" w:rsidRPr="00882905">
        <w:t>dni</w:t>
      </w:r>
      <w:r w:rsidRPr="00882905">
        <w:t>a 14 grudnia 20</w:t>
      </w:r>
      <w:r w:rsidRPr="00AF2AE5">
        <w:t>20</w:t>
      </w:r>
      <w:r w:rsidR="00AF2AE5" w:rsidRPr="00AF2AE5">
        <w:t> </w:t>
      </w:r>
      <w:r w:rsidRPr="00AF2AE5">
        <w:t>r.</w:t>
      </w:r>
      <w:r w:rsidR="00AF2AE5" w:rsidRPr="00882905">
        <w:t xml:space="preserve"> w</w:t>
      </w:r>
      <w:r w:rsidR="00AF2AE5">
        <w:t> </w:t>
      </w:r>
      <w:r w:rsidR="00AF2AE5" w:rsidRPr="00882905">
        <w:t>spr</w:t>
      </w:r>
      <w:r w:rsidRPr="00882905">
        <w:t>awie systemu zasobów własnych Unii Europejskiej oraz uchylająca decyzję 2014/335/UE, Euratom (Dz.U. L 424</w:t>
      </w:r>
      <w:r w:rsidR="00AF2AE5" w:rsidRPr="00882905">
        <w:t xml:space="preserve"> z</w:t>
      </w:r>
      <w:r w:rsidR="00AF2AE5">
        <w:t> </w:t>
      </w:r>
      <w:r w:rsidR="00AF2AE5" w:rsidRPr="00882905">
        <w:t>1</w:t>
      </w:r>
      <w:r w:rsidRPr="00882905">
        <w:t>5.12.2020,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79E2" w14:textId="77777777" w:rsidR="006D6E16" w:rsidRDefault="006D6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09F1" w14:textId="77777777" w:rsidR="006D6E16" w:rsidRDefault="006D6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hint="default"/>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hint="default"/>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hint="default"/>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hint="default"/>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hint="default"/>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hint="default"/>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hint="default"/>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hint="default"/>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num>
  <w:num w:numId="22">
    <w:abstractNumId w:val="30"/>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2"/>
  </w:num>
  <w:num w:numId="28">
    <w:abstractNumId w:val="26"/>
  </w:num>
  <w:num w:numId="29">
    <w:abstractNumId w:val="6"/>
  </w:num>
  <w:num w:numId="30">
    <w:abstractNumId w:val="13"/>
  </w:num>
  <w:num w:numId="31">
    <w:abstractNumId w:val="14"/>
  </w:num>
  <w:num w:numId="32">
    <w:abstractNumId w:val="4"/>
  </w:num>
  <w:num w:numId="33">
    <w:abstractNumId w:val="25"/>
  </w:num>
  <w:num w:numId="34">
    <w:abstractNumId w:val="3"/>
  </w:num>
  <w:num w:numId="35">
    <w:abstractNumId w:val="15"/>
  </w:num>
  <w:num w:numId="36">
    <w:abstractNumId w:val="21"/>
  </w:num>
  <w:num w:numId="37">
    <w:abstractNumId w:val="22"/>
  </w:num>
  <w:num w:numId="38">
    <w:abstractNumId w:val="5"/>
  </w:num>
  <w:num w:numId="39">
    <w:abstractNumId w:val="19"/>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18 16:30: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350317F-48EA-4481-994C-C514AD9AF747"/>
    <w:docVar w:name="LW_COVERPAGE_TYPE" w:val="1"/>
    <w:docVar w:name="LW_CreatedUtc" w:val="2025-04-10T08:54:26.6567468Z"/>
    <w:docVar w:name="LW_CROSSREFERENCE" w:val="&lt;UNUSED&gt;"/>
    <w:docVar w:name="LW_DocType" w:val="COM"/>
    <w:docVar w:name="LW_EMISSION" w:val="16.7.2025"/>
    <w:docVar w:name="LW_EMISSION_ISODATE" w:val="2025-07-16"/>
    <w:docVar w:name="LW_EMISSION_LOCATION" w:val="BRX"/>
    <w:docVar w:name="LW_EMISSION_PREFIX" w:val="Bruksela, dnia "/>
    <w:docVar w:name="LW_EMISSION_SUFFIX" w:val=" r."/>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PL"/>
    <w:docVar w:name="LW_LEVEL_OF_SENSITIVITY" w:val="Sensitive treatment"/>
    <w:docVar w:name="LW_NOM.INST" w:val="KOMISJA EUROPEJSKA"/>
    <w:docVar w:name="LW_NOM.INST_JOINTDOC" w:val="&lt;EMPTY&gt;"/>
    <w:docVar w:name="LW_PART_NBR" w:val="1"/>
    <w:docVar w:name="LW_PART_NBR_TOTAL" w:val="1"/>
    <w:docVar w:name="LW_REF.II.NEW.CP" w:val="CNS"/>
    <w:docVar w:name="LW_REF.II.NEW.CP_NUMBER" w:val="0574"/>
    <w:docVar w:name="LW_REF.II.NEW.CP_YEAR" w:val="2025"/>
    <w:docVar w:name="LW_REF.INST.NEW" w:val="COM"/>
    <w:docVar w:name="LW_REF.INST.NEW_ADOPTED" w:val="final"/>
    <w:docVar w:name="LW_REF.INST.NEW_TEXT" w:val="(2025) 574"/>
    <w:docVar w:name="LW_REF.INTERNE" w:val="&lt;UNUSED&gt;"/>
    <w:docVar w:name="LW_SENSITIVITY" w:val="&lt;?xml version=&quot;1.0&quot; encoding=&quot;utf-8&quot;?&gt;_x000d__x000a_&lt;SensitivityLevel xmlns:xsd=&quot;http://www.w3.org/2001/XMLSchema&quot; xmlns:xsi=&quot;http://www.w3.org/2001/XMLSchema-instance&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systemu zasobów w\u322?asnych Unii Europejskiej oraz uchylaj\u261?ca decyzj\u281? (UE, Euratom) 2020/2053"/>
    <w:docVar w:name="LW_TYPE.DOC.CP" w:val="DECYZJA RADY"/>
    <w:docVar w:name="LwApiVersions" w:val="LW4CoDe 1.24.5.0; LW 9.0, Build 20240221"/>
  </w:docVars>
  <w:rsids>
    <w:rsidRoot w:val="004655CA"/>
    <w:rsid w:val="000001F0"/>
    <w:rsid w:val="00000704"/>
    <w:rsid w:val="00000E8E"/>
    <w:rsid w:val="0000116A"/>
    <w:rsid w:val="0000153B"/>
    <w:rsid w:val="00001675"/>
    <w:rsid w:val="000016F8"/>
    <w:rsid w:val="00001AE7"/>
    <w:rsid w:val="000024DA"/>
    <w:rsid w:val="00002591"/>
    <w:rsid w:val="00002B1A"/>
    <w:rsid w:val="00002E97"/>
    <w:rsid w:val="000035F5"/>
    <w:rsid w:val="0000381A"/>
    <w:rsid w:val="00003CFF"/>
    <w:rsid w:val="00003D3A"/>
    <w:rsid w:val="00003F60"/>
    <w:rsid w:val="0000417C"/>
    <w:rsid w:val="000046A4"/>
    <w:rsid w:val="00004807"/>
    <w:rsid w:val="000048C9"/>
    <w:rsid w:val="00004A0F"/>
    <w:rsid w:val="00005661"/>
    <w:rsid w:val="0000586F"/>
    <w:rsid w:val="0000610B"/>
    <w:rsid w:val="000064F1"/>
    <w:rsid w:val="0000680B"/>
    <w:rsid w:val="00006969"/>
    <w:rsid w:val="000069BE"/>
    <w:rsid w:val="00006DD2"/>
    <w:rsid w:val="000070A5"/>
    <w:rsid w:val="000079C3"/>
    <w:rsid w:val="000079F6"/>
    <w:rsid w:val="00010124"/>
    <w:rsid w:val="00010571"/>
    <w:rsid w:val="00010B2B"/>
    <w:rsid w:val="00010B41"/>
    <w:rsid w:val="00012002"/>
    <w:rsid w:val="00012797"/>
    <w:rsid w:val="00012DF3"/>
    <w:rsid w:val="00012E42"/>
    <w:rsid w:val="00013604"/>
    <w:rsid w:val="0001363B"/>
    <w:rsid w:val="000142D3"/>
    <w:rsid w:val="0001483B"/>
    <w:rsid w:val="000150A1"/>
    <w:rsid w:val="000152D9"/>
    <w:rsid w:val="00015614"/>
    <w:rsid w:val="000156EF"/>
    <w:rsid w:val="000159EE"/>
    <w:rsid w:val="00015B81"/>
    <w:rsid w:val="00016285"/>
    <w:rsid w:val="000167F9"/>
    <w:rsid w:val="00016B12"/>
    <w:rsid w:val="00016EFF"/>
    <w:rsid w:val="000175D1"/>
    <w:rsid w:val="00017D0F"/>
    <w:rsid w:val="00017E07"/>
    <w:rsid w:val="00017FD2"/>
    <w:rsid w:val="00020308"/>
    <w:rsid w:val="000205E0"/>
    <w:rsid w:val="00020716"/>
    <w:rsid w:val="000214CF"/>
    <w:rsid w:val="000215DF"/>
    <w:rsid w:val="00021680"/>
    <w:rsid w:val="00021D64"/>
    <w:rsid w:val="000222A1"/>
    <w:rsid w:val="000222C6"/>
    <w:rsid w:val="000223A8"/>
    <w:rsid w:val="00023367"/>
    <w:rsid w:val="000233F5"/>
    <w:rsid w:val="0002358F"/>
    <w:rsid w:val="00023D9E"/>
    <w:rsid w:val="00024148"/>
    <w:rsid w:val="00024300"/>
    <w:rsid w:val="000246C2"/>
    <w:rsid w:val="00024759"/>
    <w:rsid w:val="00024ABA"/>
    <w:rsid w:val="00024B89"/>
    <w:rsid w:val="00024C12"/>
    <w:rsid w:val="00024D77"/>
    <w:rsid w:val="00024EA4"/>
    <w:rsid w:val="00024EAA"/>
    <w:rsid w:val="00025585"/>
    <w:rsid w:val="0002559E"/>
    <w:rsid w:val="0002588F"/>
    <w:rsid w:val="000258A9"/>
    <w:rsid w:val="00025DC2"/>
    <w:rsid w:val="00026509"/>
    <w:rsid w:val="000268FE"/>
    <w:rsid w:val="00026D6D"/>
    <w:rsid w:val="000270F4"/>
    <w:rsid w:val="00027A06"/>
    <w:rsid w:val="00027ADA"/>
    <w:rsid w:val="00027E77"/>
    <w:rsid w:val="000305F8"/>
    <w:rsid w:val="000309ED"/>
    <w:rsid w:val="00030E56"/>
    <w:rsid w:val="0003107C"/>
    <w:rsid w:val="00031157"/>
    <w:rsid w:val="0003156B"/>
    <w:rsid w:val="000316D3"/>
    <w:rsid w:val="00031788"/>
    <w:rsid w:val="00031D82"/>
    <w:rsid w:val="00032085"/>
    <w:rsid w:val="00032E40"/>
    <w:rsid w:val="000331A9"/>
    <w:rsid w:val="000332C7"/>
    <w:rsid w:val="00033E91"/>
    <w:rsid w:val="0003407F"/>
    <w:rsid w:val="00034373"/>
    <w:rsid w:val="00034674"/>
    <w:rsid w:val="00034677"/>
    <w:rsid w:val="00034BE3"/>
    <w:rsid w:val="00034FBF"/>
    <w:rsid w:val="0003519E"/>
    <w:rsid w:val="00036453"/>
    <w:rsid w:val="0003653B"/>
    <w:rsid w:val="00037191"/>
    <w:rsid w:val="00037927"/>
    <w:rsid w:val="00037CA0"/>
    <w:rsid w:val="00037D64"/>
    <w:rsid w:val="000400B0"/>
    <w:rsid w:val="00040703"/>
    <w:rsid w:val="00040901"/>
    <w:rsid w:val="0004116E"/>
    <w:rsid w:val="0004135D"/>
    <w:rsid w:val="000414C7"/>
    <w:rsid w:val="000418CC"/>
    <w:rsid w:val="000428FD"/>
    <w:rsid w:val="00042B4C"/>
    <w:rsid w:val="00042D6D"/>
    <w:rsid w:val="00042FA2"/>
    <w:rsid w:val="00043259"/>
    <w:rsid w:val="000440AF"/>
    <w:rsid w:val="0004453B"/>
    <w:rsid w:val="00044A68"/>
    <w:rsid w:val="00045140"/>
    <w:rsid w:val="00045C83"/>
    <w:rsid w:val="00045CFC"/>
    <w:rsid w:val="00046181"/>
    <w:rsid w:val="0004674D"/>
    <w:rsid w:val="00046944"/>
    <w:rsid w:val="0004696B"/>
    <w:rsid w:val="00047D12"/>
    <w:rsid w:val="00047D16"/>
    <w:rsid w:val="00050721"/>
    <w:rsid w:val="00050BA3"/>
    <w:rsid w:val="00050C93"/>
    <w:rsid w:val="0005123C"/>
    <w:rsid w:val="00051548"/>
    <w:rsid w:val="000524DB"/>
    <w:rsid w:val="000524ED"/>
    <w:rsid w:val="00052548"/>
    <w:rsid w:val="00052CC4"/>
    <w:rsid w:val="00052FC1"/>
    <w:rsid w:val="00053389"/>
    <w:rsid w:val="000533BC"/>
    <w:rsid w:val="000534F6"/>
    <w:rsid w:val="000535B9"/>
    <w:rsid w:val="000535F6"/>
    <w:rsid w:val="000539D7"/>
    <w:rsid w:val="0005433F"/>
    <w:rsid w:val="00054515"/>
    <w:rsid w:val="00054992"/>
    <w:rsid w:val="00054C3E"/>
    <w:rsid w:val="00054F15"/>
    <w:rsid w:val="00054F43"/>
    <w:rsid w:val="000552A4"/>
    <w:rsid w:val="000553FE"/>
    <w:rsid w:val="00055AC2"/>
    <w:rsid w:val="0005645D"/>
    <w:rsid w:val="00056461"/>
    <w:rsid w:val="000565B3"/>
    <w:rsid w:val="000565F8"/>
    <w:rsid w:val="00056B10"/>
    <w:rsid w:val="000575EA"/>
    <w:rsid w:val="000576C4"/>
    <w:rsid w:val="00057A4D"/>
    <w:rsid w:val="00057A58"/>
    <w:rsid w:val="00057BD7"/>
    <w:rsid w:val="00057C84"/>
    <w:rsid w:val="00057D52"/>
    <w:rsid w:val="00060015"/>
    <w:rsid w:val="0006025E"/>
    <w:rsid w:val="000604B8"/>
    <w:rsid w:val="00060905"/>
    <w:rsid w:val="00060DFD"/>
    <w:rsid w:val="000610EE"/>
    <w:rsid w:val="0006168E"/>
    <w:rsid w:val="00061768"/>
    <w:rsid w:val="00061D20"/>
    <w:rsid w:val="00061D4C"/>
    <w:rsid w:val="0006221B"/>
    <w:rsid w:val="00062448"/>
    <w:rsid w:val="00062574"/>
    <w:rsid w:val="00062AAB"/>
    <w:rsid w:val="00062AAE"/>
    <w:rsid w:val="00062F94"/>
    <w:rsid w:val="0006349D"/>
    <w:rsid w:val="00063755"/>
    <w:rsid w:val="00063DC2"/>
    <w:rsid w:val="00064839"/>
    <w:rsid w:val="00064F86"/>
    <w:rsid w:val="000650EE"/>
    <w:rsid w:val="0006511C"/>
    <w:rsid w:val="000651F8"/>
    <w:rsid w:val="00065A6F"/>
    <w:rsid w:val="00065C62"/>
    <w:rsid w:val="00065D33"/>
    <w:rsid w:val="00066333"/>
    <w:rsid w:val="00066935"/>
    <w:rsid w:val="00066B5C"/>
    <w:rsid w:val="00067314"/>
    <w:rsid w:val="000677FD"/>
    <w:rsid w:val="00067B24"/>
    <w:rsid w:val="000715F7"/>
    <w:rsid w:val="000718A0"/>
    <w:rsid w:val="00071C23"/>
    <w:rsid w:val="00071E07"/>
    <w:rsid w:val="000722AC"/>
    <w:rsid w:val="000724C0"/>
    <w:rsid w:val="0007281F"/>
    <w:rsid w:val="00072A4B"/>
    <w:rsid w:val="00072CB8"/>
    <w:rsid w:val="00072D02"/>
    <w:rsid w:val="00072FB3"/>
    <w:rsid w:val="00073BF5"/>
    <w:rsid w:val="00073DC7"/>
    <w:rsid w:val="00073E0F"/>
    <w:rsid w:val="000740D1"/>
    <w:rsid w:val="00074650"/>
    <w:rsid w:val="0007492E"/>
    <w:rsid w:val="00074CE8"/>
    <w:rsid w:val="000750EA"/>
    <w:rsid w:val="000756D5"/>
    <w:rsid w:val="00075A3E"/>
    <w:rsid w:val="00075C27"/>
    <w:rsid w:val="00075F1F"/>
    <w:rsid w:val="000761E0"/>
    <w:rsid w:val="000768F1"/>
    <w:rsid w:val="00076936"/>
    <w:rsid w:val="00076B66"/>
    <w:rsid w:val="00076F3B"/>
    <w:rsid w:val="000771AC"/>
    <w:rsid w:val="000775F3"/>
    <w:rsid w:val="00077AD8"/>
    <w:rsid w:val="00077EB5"/>
    <w:rsid w:val="000800CA"/>
    <w:rsid w:val="0008072F"/>
    <w:rsid w:val="00080D6D"/>
    <w:rsid w:val="00080D7C"/>
    <w:rsid w:val="000810A6"/>
    <w:rsid w:val="000812BA"/>
    <w:rsid w:val="0008145F"/>
    <w:rsid w:val="000816E6"/>
    <w:rsid w:val="00081D82"/>
    <w:rsid w:val="00082369"/>
    <w:rsid w:val="000824F0"/>
    <w:rsid w:val="000826DF"/>
    <w:rsid w:val="00082725"/>
    <w:rsid w:val="00082847"/>
    <w:rsid w:val="000830CF"/>
    <w:rsid w:val="00083597"/>
    <w:rsid w:val="000843AA"/>
    <w:rsid w:val="0008480D"/>
    <w:rsid w:val="000848AC"/>
    <w:rsid w:val="00084989"/>
    <w:rsid w:val="00084D23"/>
    <w:rsid w:val="00084FEB"/>
    <w:rsid w:val="0008566A"/>
    <w:rsid w:val="00085D90"/>
    <w:rsid w:val="00086049"/>
    <w:rsid w:val="00086A77"/>
    <w:rsid w:val="00086A94"/>
    <w:rsid w:val="00086C0D"/>
    <w:rsid w:val="00086F1C"/>
    <w:rsid w:val="00087D8D"/>
    <w:rsid w:val="00087E4C"/>
    <w:rsid w:val="000901CB"/>
    <w:rsid w:val="0009059C"/>
    <w:rsid w:val="000906E1"/>
    <w:rsid w:val="00090985"/>
    <w:rsid w:val="00090B3D"/>
    <w:rsid w:val="00090BCF"/>
    <w:rsid w:val="00090CE5"/>
    <w:rsid w:val="00090D89"/>
    <w:rsid w:val="00091B8D"/>
    <w:rsid w:val="00092164"/>
    <w:rsid w:val="00092677"/>
    <w:rsid w:val="00092AB3"/>
    <w:rsid w:val="000931A4"/>
    <w:rsid w:val="00093B46"/>
    <w:rsid w:val="00093CBD"/>
    <w:rsid w:val="00093CE0"/>
    <w:rsid w:val="00094010"/>
    <w:rsid w:val="0009403E"/>
    <w:rsid w:val="00094066"/>
    <w:rsid w:val="00094412"/>
    <w:rsid w:val="000948A7"/>
    <w:rsid w:val="00094AFD"/>
    <w:rsid w:val="00094C20"/>
    <w:rsid w:val="000952E0"/>
    <w:rsid w:val="000952EE"/>
    <w:rsid w:val="00095BAA"/>
    <w:rsid w:val="00095DAF"/>
    <w:rsid w:val="00095EA7"/>
    <w:rsid w:val="000960D4"/>
    <w:rsid w:val="00096315"/>
    <w:rsid w:val="00096409"/>
    <w:rsid w:val="0009645A"/>
    <w:rsid w:val="00096DBF"/>
    <w:rsid w:val="00097476"/>
    <w:rsid w:val="00097520"/>
    <w:rsid w:val="0009755E"/>
    <w:rsid w:val="00097A07"/>
    <w:rsid w:val="00097D98"/>
    <w:rsid w:val="000A018B"/>
    <w:rsid w:val="000A057E"/>
    <w:rsid w:val="000A12C4"/>
    <w:rsid w:val="000A1303"/>
    <w:rsid w:val="000A1472"/>
    <w:rsid w:val="000A168A"/>
    <w:rsid w:val="000A1A40"/>
    <w:rsid w:val="000A1B2D"/>
    <w:rsid w:val="000A1CD9"/>
    <w:rsid w:val="000A20BC"/>
    <w:rsid w:val="000A2273"/>
    <w:rsid w:val="000A261A"/>
    <w:rsid w:val="000A2B44"/>
    <w:rsid w:val="000A3467"/>
    <w:rsid w:val="000A37A0"/>
    <w:rsid w:val="000A397C"/>
    <w:rsid w:val="000A3A89"/>
    <w:rsid w:val="000A4434"/>
    <w:rsid w:val="000A451D"/>
    <w:rsid w:val="000A46F6"/>
    <w:rsid w:val="000A4774"/>
    <w:rsid w:val="000A4CF9"/>
    <w:rsid w:val="000A56C9"/>
    <w:rsid w:val="000A5BF2"/>
    <w:rsid w:val="000A60C6"/>
    <w:rsid w:val="000A6557"/>
    <w:rsid w:val="000A65FE"/>
    <w:rsid w:val="000A6603"/>
    <w:rsid w:val="000A6C28"/>
    <w:rsid w:val="000A6D49"/>
    <w:rsid w:val="000A714E"/>
    <w:rsid w:val="000A71AA"/>
    <w:rsid w:val="000A79E7"/>
    <w:rsid w:val="000A7BFE"/>
    <w:rsid w:val="000A7D70"/>
    <w:rsid w:val="000A7FD1"/>
    <w:rsid w:val="000B01DC"/>
    <w:rsid w:val="000B03F8"/>
    <w:rsid w:val="000B05B3"/>
    <w:rsid w:val="000B0881"/>
    <w:rsid w:val="000B0CAD"/>
    <w:rsid w:val="000B0E69"/>
    <w:rsid w:val="000B0F72"/>
    <w:rsid w:val="000B1075"/>
    <w:rsid w:val="000B1262"/>
    <w:rsid w:val="000B1523"/>
    <w:rsid w:val="000B15EC"/>
    <w:rsid w:val="000B1B74"/>
    <w:rsid w:val="000B1E26"/>
    <w:rsid w:val="000B2186"/>
    <w:rsid w:val="000B2190"/>
    <w:rsid w:val="000B21E3"/>
    <w:rsid w:val="000B224E"/>
    <w:rsid w:val="000B246B"/>
    <w:rsid w:val="000B248A"/>
    <w:rsid w:val="000B2A36"/>
    <w:rsid w:val="000B326B"/>
    <w:rsid w:val="000B34ED"/>
    <w:rsid w:val="000B3893"/>
    <w:rsid w:val="000B39DA"/>
    <w:rsid w:val="000B3DE0"/>
    <w:rsid w:val="000B3F8B"/>
    <w:rsid w:val="000B43E1"/>
    <w:rsid w:val="000B4CE7"/>
    <w:rsid w:val="000B4F74"/>
    <w:rsid w:val="000B5070"/>
    <w:rsid w:val="000B55AC"/>
    <w:rsid w:val="000B5A0A"/>
    <w:rsid w:val="000B5A75"/>
    <w:rsid w:val="000B5AC3"/>
    <w:rsid w:val="000B5C44"/>
    <w:rsid w:val="000B5CF3"/>
    <w:rsid w:val="000B5F6B"/>
    <w:rsid w:val="000B6114"/>
    <w:rsid w:val="000B6156"/>
    <w:rsid w:val="000B63A2"/>
    <w:rsid w:val="000B651A"/>
    <w:rsid w:val="000B6672"/>
    <w:rsid w:val="000B6896"/>
    <w:rsid w:val="000B6BAC"/>
    <w:rsid w:val="000B6D31"/>
    <w:rsid w:val="000B6D5A"/>
    <w:rsid w:val="000B6ECD"/>
    <w:rsid w:val="000B758B"/>
    <w:rsid w:val="000B7740"/>
    <w:rsid w:val="000B7A39"/>
    <w:rsid w:val="000B7D38"/>
    <w:rsid w:val="000B7D5A"/>
    <w:rsid w:val="000B7EC2"/>
    <w:rsid w:val="000B7F98"/>
    <w:rsid w:val="000C02A3"/>
    <w:rsid w:val="000C0330"/>
    <w:rsid w:val="000C04B3"/>
    <w:rsid w:val="000C0933"/>
    <w:rsid w:val="000C0E9D"/>
    <w:rsid w:val="000C106B"/>
    <w:rsid w:val="000C1128"/>
    <w:rsid w:val="000C19D5"/>
    <w:rsid w:val="000C1CAA"/>
    <w:rsid w:val="000C2002"/>
    <w:rsid w:val="000C2096"/>
    <w:rsid w:val="000C2122"/>
    <w:rsid w:val="000C23EC"/>
    <w:rsid w:val="000C24E8"/>
    <w:rsid w:val="000C25E8"/>
    <w:rsid w:val="000C288B"/>
    <w:rsid w:val="000C2B82"/>
    <w:rsid w:val="000C3698"/>
    <w:rsid w:val="000C3970"/>
    <w:rsid w:val="000C39A8"/>
    <w:rsid w:val="000C3B52"/>
    <w:rsid w:val="000C3FEE"/>
    <w:rsid w:val="000C456A"/>
    <w:rsid w:val="000C46AC"/>
    <w:rsid w:val="000C4FF2"/>
    <w:rsid w:val="000C568A"/>
    <w:rsid w:val="000C5D0E"/>
    <w:rsid w:val="000C62A9"/>
    <w:rsid w:val="000C672D"/>
    <w:rsid w:val="000C69DA"/>
    <w:rsid w:val="000C6A44"/>
    <w:rsid w:val="000C6D40"/>
    <w:rsid w:val="000D0319"/>
    <w:rsid w:val="000D0359"/>
    <w:rsid w:val="000D0649"/>
    <w:rsid w:val="000D083C"/>
    <w:rsid w:val="000D0BC0"/>
    <w:rsid w:val="000D0D7D"/>
    <w:rsid w:val="000D0DB4"/>
    <w:rsid w:val="000D1137"/>
    <w:rsid w:val="000D11BC"/>
    <w:rsid w:val="000D1675"/>
    <w:rsid w:val="000D19B0"/>
    <w:rsid w:val="000D19C4"/>
    <w:rsid w:val="000D1B21"/>
    <w:rsid w:val="000D1E57"/>
    <w:rsid w:val="000D2086"/>
    <w:rsid w:val="000D22BD"/>
    <w:rsid w:val="000D23EB"/>
    <w:rsid w:val="000D2896"/>
    <w:rsid w:val="000D2AF2"/>
    <w:rsid w:val="000D3027"/>
    <w:rsid w:val="000D3D39"/>
    <w:rsid w:val="000D3D74"/>
    <w:rsid w:val="000D44D9"/>
    <w:rsid w:val="000D4F69"/>
    <w:rsid w:val="000D5155"/>
    <w:rsid w:val="000D5167"/>
    <w:rsid w:val="000D5182"/>
    <w:rsid w:val="000D5FC7"/>
    <w:rsid w:val="000D634F"/>
    <w:rsid w:val="000D6420"/>
    <w:rsid w:val="000D699A"/>
    <w:rsid w:val="000D69A2"/>
    <w:rsid w:val="000D6CF7"/>
    <w:rsid w:val="000D712A"/>
    <w:rsid w:val="000D7439"/>
    <w:rsid w:val="000D7516"/>
    <w:rsid w:val="000D7753"/>
    <w:rsid w:val="000D7D33"/>
    <w:rsid w:val="000E0054"/>
    <w:rsid w:val="000E082D"/>
    <w:rsid w:val="000E0C84"/>
    <w:rsid w:val="000E1049"/>
    <w:rsid w:val="000E1309"/>
    <w:rsid w:val="000E136D"/>
    <w:rsid w:val="000E14DB"/>
    <w:rsid w:val="000E14F4"/>
    <w:rsid w:val="000E15E6"/>
    <w:rsid w:val="000E1AA1"/>
    <w:rsid w:val="000E1C97"/>
    <w:rsid w:val="000E20DA"/>
    <w:rsid w:val="000E2514"/>
    <w:rsid w:val="000E2B8A"/>
    <w:rsid w:val="000E2C8D"/>
    <w:rsid w:val="000E32E5"/>
    <w:rsid w:val="000E3DB1"/>
    <w:rsid w:val="000E42A8"/>
    <w:rsid w:val="000E459E"/>
    <w:rsid w:val="000E4634"/>
    <w:rsid w:val="000E4E15"/>
    <w:rsid w:val="000E5177"/>
    <w:rsid w:val="000E53CC"/>
    <w:rsid w:val="000E5811"/>
    <w:rsid w:val="000E5A38"/>
    <w:rsid w:val="000E667E"/>
    <w:rsid w:val="000E6AEF"/>
    <w:rsid w:val="000E70B8"/>
    <w:rsid w:val="000F00CD"/>
    <w:rsid w:val="000F00EF"/>
    <w:rsid w:val="000F00FE"/>
    <w:rsid w:val="000F02CB"/>
    <w:rsid w:val="000F04C5"/>
    <w:rsid w:val="000F06FE"/>
    <w:rsid w:val="000F0975"/>
    <w:rsid w:val="000F0A5C"/>
    <w:rsid w:val="000F10C8"/>
    <w:rsid w:val="000F13D6"/>
    <w:rsid w:val="000F1775"/>
    <w:rsid w:val="000F1A37"/>
    <w:rsid w:val="000F1DBE"/>
    <w:rsid w:val="000F2944"/>
    <w:rsid w:val="000F2ACE"/>
    <w:rsid w:val="000F31D3"/>
    <w:rsid w:val="000F34FE"/>
    <w:rsid w:val="000F37F9"/>
    <w:rsid w:val="000F3AAB"/>
    <w:rsid w:val="000F3B86"/>
    <w:rsid w:val="000F3F7B"/>
    <w:rsid w:val="000F446D"/>
    <w:rsid w:val="000F46AA"/>
    <w:rsid w:val="000F4AD7"/>
    <w:rsid w:val="000F4E60"/>
    <w:rsid w:val="000F4FA6"/>
    <w:rsid w:val="000F5085"/>
    <w:rsid w:val="000F5307"/>
    <w:rsid w:val="000F6117"/>
    <w:rsid w:val="000F63BD"/>
    <w:rsid w:val="000F6921"/>
    <w:rsid w:val="000F69A5"/>
    <w:rsid w:val="000F717E"/>
    <w:rsid w:val="000F7453"/>
    <w:rsid w:val="000F7685"/>
    <w:rsid w:val="001000AB"/>
    <w:rsid w:val="00100499"/>
    <w:rsid w:val="00100B32"/>
    <w:rsid w:val="00100B7F"/>
    <w:rsid w:val="001017FD"/>
    <w:rsid w:val="00101BBE"/>
    <w:rsid w:val="00101CDF"/>
    <w:rsid w:val="00101CEF"/>
    <w:rsid w:val="0010202C"/>
    <w:rsid w:val="0010222E"/>
    <w:rsid w:val="00102240"/>
    <w:rsid w:val="001022B2"/>
    <w:rsid w:val="00102386"/>
    <w:rsid w:val="00102393"/>
    <w:rsid w:val="001024C3"/>
    <w:rsid w:val="001024DB"/>
    <w:rsid w:val="0010266E"/>
    <w:rsid w:val="00102704"/>
    <w:rsid w:val="0010273B"/>
    <w:rsid w:val="00102ED4"/>
    <w:rsid w:val="00102F1B"/>
    <w:rsid w:val="001036AC"/>
    <w:rsid w:val="00103AD3"/>
    <w:rsid w:val="00103B31"/>
    <w:rsid w:val="00103BBE"/>
    <w:rsid w:val="00104200"/>
    <w:rsid w:val="001043DB"/>
    <w:rsid w:val="001044C1"/>
    <w:rsid w:val="00104858"/>
    <w:rsid w:val="00104D21"/>
    <w:rsid w:val="00104E0B"/>
    <w:rsid w:val="00104EE8"/>
    <w:rsid w:val="001057F0"/>
    <w:rsid w:val="00105D39"/>
    <w:rsid w:val="00105E91"/>
    <w:rsid w:val="001060BA"/>
    <w:rsid w:val="001061CE"/>
    <w:rsid w:val="001063C6"/>
    <w:rsid w:val="00106429"/>
    <w:rsid w:val="001065F5"/>
    <w:rsid w:val="00106726"/>
    <w:rsid w:val="00106756"/>
    <w:rsid w:val="00106E68"/>
    <w:rsid w:val="001077AC"/>
    <w:rsid w:val="001077B5"/>
    <w:rsid w:val="00107CAE"/>
    <w:rsid w:val="00107CDD"/>
    <w:rsid w:val="00110098"/>
    <w:rsid w:val="00110434"/>
    <w:rsid w:val="0011055F"/>
    <w:rsid w:val="001107A8"/>
    <w:rsid w:val="001108F5"/>
    <w:rsid w:val="00110AC1"/>
    <w:rsid w:val="00110B86"/>
    <w:rsid w:val="00111329"/>
    <w:rsid w:val="00111535"/>
    <w:rsid w:val="0011192E"/>
    <w:rsid w:val="00111E69"/>
    <w:rsid w:val="00112C31"/>
    <w:rsid w:val="0011308E"/>
    <w:rsid w:val="00113099"/>
    <w:rsid w:val="00113650"/>
    <w:rsid w:val="001138EF"/>
    <w:rsid w:val="00113917"/>
    <w:rsid w:val="00113D53"/>
    <w:rsid w:val="00114036"/>
    <w:rsid w:val="00114345"/>
    <w:rsid w:val="00114535"/>
    <w:rsid w:val="0011489B"/>
    <w:rsid w:val="00114A4D"/>
    <w:rsid w:val="00114AE3"/>
    <w:rsid w:val="00114D10"/>
    <w:rsid w:val="0011525A"/>
    <w:rsid w:val="00115529"/>
    <w:rsid w:val="00115EEB"/>
    <w:rsid w:val="00116118"/>
    <w:rsid w:val="00116A35"/>
    <w:rsid w:val="00116B39"/>
    <w:rsid w:val="0011709A"/>
    <w:rsid w:val="001174A4"/>
    <w:rsid w:val="0011761B"/>
    <w:rsid w:val="00117E9A"/>
    <w:rsid w:val="00117F9D"/>
    <w:rsid w:val="00120100"/>
    <w:rsid w:val="00120BE2"/>
    <w:rsid w:val="00120E86"/>
    <w:rsid w:val="0012173F"/>
    <w:rsid w:val="00121969"/>
    <w:rsid w:val="00121A2C"/>
    <w:rsid w:val="00121DAA"/>
    <w:rsid w:val="00121F0B"/>
    <w:rsid w:val="00122442"/>
    <w:rsid w:val="001226D0"/>
    <w:rsid w:val="00122BC0"/>
    <w:rsid w:val="00123213"/>
    <w:rsid w:val="001232C6"/>
    <w:rsid w:val="0012334A"/>
    <w:rsid w:val="001234FF"/>
    <w:rsid w:val="001236C7"/>
    <w:rsid w:val="001237F7"/>
    <w:rsid w:val="00123808"/>
    <w:rsid w:val="001238EF"/>
    <w:rsid w:val="001238FF"/>
    <w:rsid w:val="00123DF3"/>
    <w:rsid w:val="00124AB4"/>
    <w:rsid w:val="00124F17"/>
    <w:rsid w:val="00125308"/>
    <w:rsid w:val="00125757"/>
    <w:rsid w:val="001258A4"/>
    <w:rsid w:val="00125D28"/>
    <w:rsid w:val="0012604D"/>
    <w:rsid w:val="001262D2"/>
    <w:rsid w:val="00126C4E"/>
    <w:rsid w:val="00127164"/>
    <w:rsid w:val="0012718D"/>
    <w:rsid w:val="0012721A"/>
    <w:rsid w:val="00127DEB"/>
    <w:rsid w:val="00127DF8"/>
    <w:rsid w:val="0013065C"/>
    <w:rsid w:val="001307BC"/>
    <w:rsid w:val="001308EC"/>
    <w:rsid w:val="001308FA"/>
    <w:rsid w:val="00131029"/>
    <w:rsid w:val="001318B3"/>
    <w:rsid w:val="00131D19"/>
    <w:rsid w:val="00131EA5"/>
    <w:rsid w:val="00132484"/>
    <w:rsid w:val="001329E9"/>
    <w:rsid w:val="00132BFD"/>
    <w:rsid w:val="00132F3C"/>
    <w:rsid w:val="00132FF7"/>
    <w:rsid w:val="00133209"/>
    <w:rsid w:val="00133A84"/>
    <w:rsid w:val="00133D77"/>
    <w:rsid w:val="00133F32"/>
    <w:rsid w:val="00133F9F"/>
    <w:rsid w:val="00134F7C"/>
    <w:rsid w:val="00135333"/>
    <w:rsid w:val="00135780"/>
    <w:rsid w:val="001359BE"/>
    <w:rsid w:val="00135B8F"/>
    <w:rsid w:val="0013615B"/>
    <w:rsid w:val="00136220"/>
    <w:rsid w:val="001366AC"/>
    <w:rsid w:val="00136934"/>
    <w:rsid w:val="00136ABB"/>
    <w:rsid w:val="00136C74"/>
    <w:rsid w:val="00136CEE"/>
    <w:rsid w:val="001373F3"/>
    <w:rsid w:val="001377EC"/>
    <w:rsid w:val="00140287"/>
    <w:rsid w:val="001402AE"/>
    <w:rsid w:val="001407A1"/>
    <w:rsid w:val="00140BBA"/>
    <w:rsid w:val="00140F9B"/>
    <w:rsid w:val="0014122A"/>
    <w:rsid w:val="001413D4"/>
    <w:rsid w:val="001414D9"/>
    <w:rsid w:val="001414E3"/>
    <w:rsid w:val="00141528"/>
    <w:rsid w:val="001416F4"/>
    <w:rsid w:val="00142032"/>
    <w:rsid w:val="0014290A"/>
    <w:rsid w:val="00142B07"/>
    <w:rsid w:val="00142DF6"/>
    <w:rsid w:val="00143549"/>
    <w:rsid w:val="0014373E"/>
    <w:rsid w:val="00143931"/>
    <w:rsid w:val="001440A4"/>
    <w:rsid w:val="001441FE"/>
    <w:rsid w:val="001444FA"/>
    <w:rsid w:val="00144759"/>
    <w:rsid w:val="00144861"/>
    <w:rsid w:val="00144E34"/>
    <w:rsid w:val="001451B7"/>
    <w:rsid w:val="00145798"/>
    <w:rsid w:val="00145A30"/>
    <w:rsid w:val="00145E7E"/>
    <w:rsid w:val="00145FCF"/>
    <w:rsid w:val="00146786"/>
    <w:rsid w:val="001467BB"/>
    <w:rsid w:val="001469A9"/>
    <w:rsid w:val="00146C29"/>
    <w:rsid w:val="00146D7F"/>
    <w:rsid w:val="00146F2B"/>
    <w:rsid w:val="00147075"/>
    <w:rsid w:val="00147233"/>
    <w:rsid w:val="001479A2"/>
    <w:rsid w:val="00147EE8"/>
    <w:rsid w:val="00147F45"/>
    <w:rsid w:val="001504B3"/>
    <w:rsid w:val="00150CEB"/>
    <w:rsid w:val="00150DC9"/>
    <w:rsid w:val="00150E0F"/>
    <w:rsid w:val="00151176"/>
    <w:rsid w:val="001514FA"/>
    <w:rsid w:val="001516CD"/>
    <w:rsid w:val="001517BA"/>
    <w:rsid w:val="00151920"/>
    <w:rsid w:val="00151938"/>
    <w:rsid w:val="00152141"/>
    <w:rsid w:val="0015245B"/>
    <w:rsid w:val="001533A2"/>
    <w:rsid w:val="001536D6"/>
    <w:rsid w:val="001536D8"/>
    <w:rsid w:val="00153C4C"/>
    <w:rsid w:val="00154175"/>
    <w:rsid w:val="00154506"/>
    <w:rsid w:val="00154955"/>
    <w:rsid w:val="00154A50"/>
    <w:rsid w:val="00154CA9"/>
    <w:rsid w:val="00154E05"/>
    <w:rsid w:val="00154EFC"/>
    <w:rsid w:val="00155096"/>
    <w:rsid w:val="00155C07"/>
    <w:rsid w:val="00155CFF"/>
    <w:rsid w:val="00156233"/>
    <w:rsid w:val="001565BC"/>
    <w:rsid w:val="0015661B"/>
    <w:rsid w:val="00156916"/>
    <w:rsid w:val="001569D1"/>
    <w:rsid w:val="001573F2"/>
    <w:rsid w:val="0015757A"/>
    <w:rsid w:val="001575E6"/>
    <w:rsid w:val="00160142"/>
    <w:rsid w:val="0016030E"/>
    <w:rsid w:val="00160462"/>
    <w:rsid w:val="00161083"/>
    <w:rsid w:val="001610EA"/>
    <w:rsid w:val="00161189"/>
    <w:rsid w:val="001616E5"/>
    <w:rsid w:val="0016171A"/>
    <w:rsid w:val="0016175E"/>
    <w:rsid w:val="00161842"/>
    <w:rsid w:val="001619B9"/>
    <w:rsid w:val="00161E1E"/>
    <w:rsid w:val="00161FC0"/>
    <w:rsid w:val="001624D5"/>
    <w:rsid w:val="0016284A"/>
    <w:rsid w:val="00162B0F"/>
    <w:rsid w:val="001631CC"/>
    <w:rsid w:val="001633CE"/>
    <w:rsid w:val="001633E3"/>
    <w:rsid w:val="00163521"/>
    <w:rsid w:val="0016361E"/>
    <w:rsid w:val="00164661"/>
    <w:rsid w:val="00164A40"/>
    <w:rsid w:val="00164E4C"/>
    <w:rsid w:val="0016502A"/>
    <w:rsid w:val="0016512D"/>
    <w:rsid w:val="00165778"/>
    <w:rsid w:val="001657A2"/>
    <w:rsid w:val="00165AEA"/>
    <w:rsid w:val="00165E1C"/>
    <w:rsid w:val="00165EEF"/>
    <w:rsid w:val="00166621"/>
    <w:rsid w:val="00166791"/>
    <w:rsid w:val="001669EE"/>
    <w:rsid w:val="00166A71"/>
    <w:rsid w:val="00166CD9"/>
    <w:rsid w:val="00167380"/>
    <w:rsid w:val="001673AE"/>
    <w:rsid w:val="00167DF1"/>
    <w:rsid w:val="00167F09"/>
    <w:rsid w:val="00167F6B"/>
    <w:rsid w:val="001700BE"/>
    <w:rsid w:val="0017034B"/>
    <w:rsid w:val="0017184F"/>
    <w:rsid w:val="001718BC"/>
    <w:rsid w:val="00171CE8"/>
    <w:rsid w:val="00171FD8"/>
    <w:rsid w:val="00172909"/>
    <w:rsid w:val="0017362B"/>
    <w:rsid w:val="00173A4E"/>
    <w:rsid w:val="00174649"/>
    <w:rsid w:val="001748B1"/>
    <w:rsid w:val="001758BD"/>
    <w:rsid w:val="00175D82"/>
    <w:rsid w:val="00175E35"/>
    <w:rsid w:val="00175EEC"/>
    <w:rsid w:val="00176732"/>
    <w:rsid w:val="001769C1"/>
    <w:rsid w:val="00176A3D"/>
    <w:rsid w:val="00176D37"/>
    <w:rsid w:val="00176D92"/>
    <w:rsid w:val="00176E3C"/>
    <w:rsid w:val="0017723D"/>
    <w:rsid w:val="001772D0"/>
    <w:rsid w:val="001773C9"/>
    <w:rsid w:val="001775ED"/>
    <w:rsid w:val="0017764C"/>
    <w:rsid w:val="0017770C"/>
    <w:rsid w:val="00177C84"/>
    <w:rsid w:val="00180141"/>
    <w:rsid w:val="00180714"/>
    <w:rsid w:val="0018078B"/>
    <w:rsid w:val="00180B15"/>
    <w:rsid w:val="00180CB9"/>
    <w:rsid w:val="00180EAE"/>
    <w:rsid w:val="00180FA4"/>
    <w:rsid w:val="00181187"/>
    <w:rsid w:val="00181273"/>
    <w:rsid w:val="00181300"/>
    <w:rsid w:val="0018165B"/>
    <w:rsid w:val="00181DD2"/>
    <w:rsid w:val="00181EF4"/>
    <w:rsid w:val="00181FCF"/>
    <w:rsid w:val="0018211F"/>
    <w:rsid w:val="0018219F"/>
    <w:rsid w:val="00182626"/>
    <w:rsid w:val="00182B9C"/>
    <w:rsid w:val="00182BDE"/>
    <w:rsid w:val="00182E5E"/>
    <w:rsid w:val="00182F6C"/>
    <w:rsid w:val="001837C8"/>
    <w:rsid w:val="001838AE"/>
    <w:rsid w:val="001839F6"/>
    <w:rsid w:val="00183BBF"/>
    <w:rsid w:val="00183F9E"/>
    <w:rsid w:val="001840BF"/>
    <w:rsid w:val="00184B63"/>
    <w:rsid w:val="00184D54"/>
    <w:rsid w:val="00184E3C"/>
    <w:rsid w:val="0018546B"/>
    <w:rsid w:val="0018581B"/>
    <w:rsid w:val="001858D7"/>
    <w:rsid w:val="0018591E"/>
    <w:rsid w:val="00185D97"/>
    <w:rsid w:val="00186359"/>
    <w:rsid w:val="00186452"/>
    <w:rsid w:val="00186B6C"/>
    <w:rsid w:val="0018711B"/>
    <w:rsid w:val="001879E6"/>
    <w:rsid w:val="00187AD8"/>
    <w:rsid w:val="00187F59"/>
    <w:rsid w:val="001900BC"/>
    <w:rsid w:val="0019056B"/>
    <w:rsid w:val="00190FED"/>
    <w:rsid w:val="001913E5"/>
    <w:rsid w:val="001915DC"/>
    <w:rsid w:val="001916BC"/>
    <w:rsid w:val="0019184B"/>
    <w:rsid w:val="001919BF"/>
    <w:rsid w:val="00191C9F"/>
    <w:rsid w:val="00192AA7"/>
    <w:rsid w:val="001931AB"/>
    <w:rsid w:val="00193484"/>
    <w:rsid w:val="001939A1"/>
    <w:rsid w:val="001945FC"/>
    <w:rsid w:val="00194614"/>
    <w:rsid w:val="001948C3"/>
    <w:rsid w:val="00194ADB"/>
    <w:rsid w:val="00194D6B"/>
    <w:rsid w:val="00194E7A"/>
    <w:rsid w:val="001950D7"/>
    <w:rsid w:val="001953A5"/>
    <w:rsid w:val="001960AA"/>
    <w:rsid w:val="001963EF"/>
    <w:rsid w:val="001966EF"/>
    <w:rsid w:val="001967DC"/>
    <w:rsid w:val="00197121"/>
    <w:rsid w:val="00197613"/>
    <w:rsid w:val="001977E0"/>
    <w:rsid w:val="00197D37"/>
    <w:rsid w:val="00197D88"/>
    <w:rsid w:val="00197EAD"/>
    <w:rsid w:val="001A03AA"/>
    <w:rsid w:val="001A0547"/>
    <w:rsid w:val="001A13BA"/>
    <w:rsid w:val="001A1757"/>
    <w:rsid w:val="001A1779"/>
    <w:rsid w:val="001A17CF"/>
    <w:rsid w:val="001A1B9D"/>
    <w:rsid w:val="001A2877"/>
    <w:rsid w:val="001A3175"/>
    <w:rsid w:val="001A321C"/>
    <w:rsid w:val="001A3231"/>
    <w:rsid w:val="001A34D4"/>
    <w:rsid w:val="001A35C0"/>
    <w:rsid w:val="001A39DC"/>
    <w:rsid w:val="001A3B86"/>
    <w:rsid w:val="001A3F56"/>
    <w:rsid w:val="001A42C1"/>
    <w:rsid w:val="001A4747"/>
    <w:rsid w:val="001A4AF6"/>
    <w:rsid w:val="001A4ECA"/>
    <w:rsid w:val="001A528C"/>
    <w:rsid w:val="001A595C"/>
    <w:rsid w:val="001A5B40"/>
    <w:rsid w:val="001A5C4D"/>
    <w:rsid w:val="001A5DB8"/>
    <w:rsid w:val="001A5FD3"/>
    <w:rsid w:val="001A61BC"/>
    <w:rsid w:val="001A63BC"/>
    <w:rsid w:val="001A645C"/>
    <w:rsid w:val="001A6AD2"/>
    <w:rsid w:val="001A6B61"/>
    <w:rsid w:val="001A6CF9"/>
    <w:rsid w:val="001A7192"/>
    <w:rsid w:val="001A7818"/>
    <w:rsid w:val="001A7C84"/>
    <w:rsid w:val="001B055B"/>
    <w:rsid w:val="001B06C3"/>
    <w:rsid w:val="001B0CF9"/>
    <w:rsid w:val="001B1534"/>
    <w:rsid w:val="001B1584"/>
    <w:rsid w:val="001B1C06"/>
    <w:rsid w:val="001B2762"/>
    <w:rsid w:val="001B27EA"/>
    <w:rsid w:val="001B2985"/>
    <w:rsid w:val="001B2A60"/>
    <w:rsid w:val="001B2B45"/>
    <w:rsid w:val="001B3078"/>
    <w:rsid w:val="001B35C5"/>
    <w:rsid w:val="001B37BE"/>
    <w:rsid w:val="001B4951"/>
    <w:rsid w:val="001B4B39"/>
    <w:rsid w:val="001B4C14"/>
    <w:rsid w:val="001B4EF5"/>
    <w:rsid w:val="001B4FBB"/>
    <w:rsid w:val="001B54E5"/>
    <w:rsid w:val="001B56AF"/>
    <w:rsid w:val="001B5743"/>
    <w:rsid w:val="001B5C3D"/>
    <w:rsid w:val="001B5C9E"/>
    <w:rsid w:val="001B6492"/>
    <w:rsid w:val="001B7061"/>
    <w:rsid w:val="001B7471"/>
    <w:rsid w:val="001B7597"/>
    <w:rsid w:val="001B764F"/>
    <w:rsid w:val="001B7F57"/>
    <w:rsid w:val="001B7FD8"/>
    <w:rsid w:val="001C01E3"/>
    <w:rsid w:val="001C0413"/>
    <w:rsid w:val="001C05F6"/>
    <w:rsid w:val="001C0979"/>
    <w:rsid w:val="001C0A97"/>
    <w:rsid w:val="001C0ADF"/>
    <w:rsid w:val="001C0E16"/>
    <w:rsid w:val="001C123A"/>
    <w:rsid w:val="001C1419"/>
    <w:rsid w:val="001C152C"/>
    <w:rsid w:val="001C1702"/>
    <w:rsid w:val="001C1933"/>
    <w:rsid w:val="001C19AF"/>
    <w:rsid w:val="001C1A13"/>
    <w:rsid w:val="001C1BE7"/>
    <w:rsid w:val="001C1CBC"/>
    <w:rsid w:val="001C1D2C"/>
    <w:rsid w:val="001C1DCA"/>
    <w:rsid w:val="001C218D"/>
    <w:rsid w:val="001C2340"/>
    <w:rsid w:val="001C28D4"/>
    <w:rsid w:val="001C2BE4"/>
    <w:rsid w:val="001C2E2F"/>
    <w:rsid w:val="001C31D4"/>
    <w:rsid w:val="001C3229"/>
    <w:rsid w:val="001C3389"/>
    <w:rsid w:val="001C3683"/>
    <w:rsid w:val="001C3C35"/>
    <w:rsid w:val="001C3CFF"/>
    <w:rsid w:val="001C3FCA"/>
    <w:rsid w:val="001C3FD8"/>
    <w:rsid w:val="001C4793"/>
    <w:rsid w:val="001C485B"/>
    <w:rsid w:val="001C4A71"/>
    <w:rsid w:val="001C4B0B"/>
    <w:rsid w:val="001C4BBB"/>
    <w:rsid w:val="001C4C59"/>
    <w:rsid w:val="001C5060"/>
    <w:rsid w:val="001C58A6"/>
    <w:rsid w:val="001C5D1B"/>
    <w:rsid w:val="001C5DC3"/>
    <w:rsid w:val="001C5FC0"/>
    <w:rsid w:val="001C60E4"/>
    <w:rsid w:val="001C6445"/>
    <w:rsid w:val="001C668E"/>
    <w:rsid w:val="001C6AD6"/>
    <w:rsid w:val="001C6C50"/>
    <w:rsid w:val="001C7084"/>
    <w:rsid w:val="001C7306"/>
    <w:rsid w:val="001C756A"/>
    <w:rsid w:val="001C7C24"/>
    <w:rsid w:val="001C7EC6"/>
    <w:rsid w:val="001D00E9"/>
    <w:rsid w:val="001D0544"/>
    <w:rsid w:val="001D05D4"/>
    <w:rsid w:val="001D0775"/>
    <w:rsid w:val="001D0A3D"/>
    <w:rsid w:val="001D0C55"/>
    <w:rsid w:val="001D10B8"/>
    <w:rsid w:val="001D10BA"/>
    <w:rsid w:val="001D1D98"/>
    <w:rsid w:val="001D2029"/>
    <w:rsid w:val="001D22B7"/>
    <w:rsid w:val="001D23CF"/>
    <w:rsid w:val="001D261B"/>
    <w:rsid w:val="001D2AB1"/>
    <w:rsid w:val="001D2B4D"/>
    <w:rsid w:val="001D34DB"/>
    <w:rsid w:val="001D36D5"/>
    <w:rsid w:val="001D3736"/>
    <w:rsid w:val="001D37AB"/>
    <w:rsid w:val="001D3ADC"/>
    <w:rsid w:val="001D3B11"/>
    <w:rsid w:val="001D4708"/>
    <w:rsid w:val="001D59D0"/>
    <w:rsid w:val="001D5D6F"/>
    <w:rsid w:val="001D6082"/>
    <w:rsid w:val="001D60F1"/>
    <w:rsid w:val="001D6C45"/>
    <w:rsid w:val="001D6C71"/>
    <w:rsid w:val="001D6E2A"/>
    <w:rsid w:val="001D6E9E"/>
    <w:rsid w:val="001D7096"/>
    <w:rsid w:val="001D70C9"/>
    <w:rsid w:val="001D7125"/>
    <w:rsid w:val="001D78BE"/>
    <w:rsid w:val="001D7936"/>
    <w:rsid w:val="001D7DF6"/>
    <w:rsid w:val="001D7E31"/>
    <w:rsid w:val="001E067C"/>
    <w:rsid w:val="001E0F05"/>
    <w:rsid w:val="001E10F7"/>
    <w:rsid w:val="001E1B57"/>
    <w:rsid w:val="001E1C7B"/>
    <w:rsid w:val="001E1CBA"/>
    <w:rsid w:val="001E1DAB"/>
    <w:rsid w:val="001E200E"/>
    <w:rsid w:val="001E2030"/>
    <w:rsid w:val="001E25C8"/>
    <w:rsid w:val="001E2F86"/>
    <w:rsid w:val="001E3012"/>
    <w:rsid w:val="001E30FB"/>
    <w:rsid w:val="001E3B17"/>
    <w:rsid w:val="001E452E"/>
    <w:rsid w:val="001E4BA4"/>
    <w:rsid w:val="001E4CBC"/>
    <w:rsid w:val="001E50A7"/>
    <w:rsid w:val="001E51B5"/>
    <w:rsid w:val="001E5548"/>
    <w:rsid w:val="001E57CC"/>
    <w:rsid w:val="001E6002"/>
    <w:rsid w:val="001E62E0"/>
    <w:rsid w:val="001E686D"/>
    <w:rsid w:val="001E69FF"/>
    <w:rsid w:val="001E6C7B"/>
    <w:rsid w:val="001E6C87"/>
    <w:rsid w:val="001E7027"/>
    <w:rsid w:val="001E724D"/>
    <w:rsid w:val="001E79F6"/>
    <w:rsid w:val="001E7AAD"/>
    <w:rsid w:val="001E7C96"/>
    <w:rsid w:val="001E7E75"/>
    <w:rsid w:val="001F022D"/>
    <w:rsid w:val="001F0626"/>
    <w:rsid w:val="001F0800"/>
    <w:rsid w:val="001F0CCC"/>
    <w:rsid w:val="001F12C3"/>
    <w:rsid w:val="001F16BE"/>
    <w:rsid w:val="001F17A3"/>
    <w:rsid w:val="001F19E0"/>
    <w:rsid w:val="001F1C84"/>
    <w:rsid w:val="001F21D9"/>
    <w:rsid w:val="001F2494"/>
    <w:rsid w:val="001F2A6C"/>
    <w:rsid w:val="001F2B01"/>
    <w:rsid w:val="001F3305"/>
    <w:rsid w:val="001F331A"/>
    <w:rsid w:val="001F333B"/>
    <w:rsid w:val="001F354E"/>
    <w:rsid w:val="001F3605"/>
    <w:rsid w:val="001F3C01"/>
    <w:rsid w:val="001F4186"/>
    <w:rsid w:val="001F41EE"/>
    <w:rsid w:val="001F4301"/>
    <w:rsid w:val="001F45E1"/>
    <w:rsid w:val="001F4CF1"/>
    <w:rsid w:val="001F5A69"/>
    <w:rsid w:val="001F6171"/>
    <w:rsid w:val="001F6323"/>
    <w:rsid w:val="001F6541"/>
    <w:rsid w:val="001F6B98"/>
    <w:rsid w:val="001F6FF0"/>
    <w:rsid w:val="001F708E"/>
    <w:rsid w:val="001F7BA5"/>
    <w:rsid w:val="002000D5"/>
    <w:rsid w:val="0020022A"/>
    <w:rsid w:val="00200502"/>
    <w:rsid w:val="00200756"/>
    <w:rsid w:val="00200C2C"/>
    <w:rsid w:val="00200F22"/>
    <w:rsid w:val="00200F55"/>
    <w:rsid w:val="00200FF6"/>
    <w:rsid w:val="002010D7"/>
    <w:rsid w:val="0020199B"/>
    <w:rsid w:val="00201B20"/>
    <w:rsid w:val="00201B6C"/>
    <w:rsid w:val="00201DD0"/>
    <w:rsid w:val="0020236B"/>
    <w:rsid w:val="00202427"/>
    <w:rsid w:val="00202622"/>
    <w:rsid w:val="00202896"/>
    <w:rsid w:val="00202C04"/>
    <w:rsid w:val="0020326C"/>
    <w:rsid w:val="002032D1"/>
    <w:rsid w:val="0020351C"/>
    <w:rsid w:val="0020351F"/>
    <w:rsid w:val="002038B9"/>
    <w:rsid w:val="00203954"/>
    <w:rsid w:val="00203AA6"/>
    <w:rsid w:val="00204209"/>
    <w:rsid w:val="00204469"/>
    <w:rsid w:val="002045B9"/>
    <w:rsid w:val="00204A66"/>
    <w:rsid w:val="00204DDE"/>
    <w:rsid w:val="00204E7D"/>
    <w:rsid w:val="0020500B"/>
    <w:rsid w:val="002061B2"/>
    <w:rsid w:val="00206A0F"/>
    <w:rsid w:val="00206CAC"/>
    <w:rsid w:val="00206EB9"/>
    <w:rsid w:val="00206FD9"/>
    <w:rsid w:val="0020752B"/>
    <w:rsid w:val="0020789D"/>
    <w:rsid w:val="00207CAF"/>
    <w:rsid w:val="00210387"/>
    <w:rsid w:val="002103D0"/>
    <w:rsid w:val="002106FA"/>
    <w:rsid w:val="00210BFC"/>
    <w:rsid w:val="002118D4"/>
    <w:rsid w:val="00211D71"/>
    <w:rsid w:val="00211F4D"/>
    <w:rsid w:val="0021247D"/>
    <w:rsid w:val="00212545"/>
    <w:rsid w:val="002126C6"/>
    <w:rsid w:val="00212ABF"/>
    <w:rsid w:val="0021340B"/>
    <w:rsid w:val="00213499"/>
    <w:rsid w:val="00213852"/>
    <w:rsid w:val="00213B80"/>
    <w:rsid w:val="00213CE4"/>
    <w:rsid w:val="00213D67"/>
    <w:rsid w:val="00213E5B"/>
    <w:rsid w:val="00213EB5"/>
    <w:rsid w:val="00214112"/>
    <w:rsid w:val="0021491B"/>
    <w:rsid w:val="00214998"/>
    <w:rsid w:val="00214B39"/>
    <w:rsid w:val="00214C45"/>
    <w:rsid w:val="00214CE9"/>
    <w:rsid w:val="00214DF8"/>
    <w:rsid w:val="00214E76"/>
    <w:rsid w:val="00215BC3"/>
    <w:rsid w:val="002162B1"/>
    <w:rsid w:val="002164AA"/>
    <w:rsid w:val="00216A87"/>
    <w:rsid w:val="00216C07"/>
    <w:rsid w:val="00217300"/>
    <w:rsid w:val="00217754"/>
    <w:rsid w:val="00217828"/>
    <w:rsid w:val="00217F03"/>
    <w:rsid w:val="002201DC"/>
    <w:rsid w:val="002208D6"/>
    <w:rsid w:val="00220D5E"/>
    <w:rsid w:val="002214EE"/>
    <w:rsid w:val="00221A22"/>
    <w:rsid w:val="002223F5"/>
    <w:rsid w:val="002224C3"/>
    <w:rsid w:val="002226B0"/>
    <w:rsid w:val="00222A91"/>
    <w:rsid w:val="002238A5"/>
    <w:rsid w:val="00223C75"/>
    <w:rsid w:val="00223E9E"/>
    <w:rsid w:val="00224177"/>
    <w:rsid w:val="0022419D"/>
    <w:rsid w:val="0022429F"/>
    <w:rsid w:val="00224536"/>
    <w:rsid w:val="00224796"/>
    <w:rsid w:val="0022493B"/>
    <w:rsid w:val="00224B6C"/>
    <w:rsid w:val="00224C9F"/>
    <w:rsid w:val="00224F31"/>
    <w:rsid w:val="00225905"/>
    <w:rsid w:val="00225948"/>
    <w:rsid w:val="00225C90"/>
    <w:rsid w:val="00225EB6"/>
    <w:rsid w:val="00226580"/>
    <w:rsid w:val="0022689F"/>
    <w:rsid w:val="00226AFD"/>
    <w:rsid w:val="00226BF3"/>
    <w:rsid w:val="00226CF1"/>
    <w:rsid w:val="00226DBD"/>
    <w:rsid w:val="0022705A"/>
    <w:rsid w:val="00227094"/>
    <w:rsid w:val="00227A24"/>
    <w:rsid w:val="00227C22"/>
    <w:rsid w:val="002304C1"/>
    <w:rsid w:val="0023089E"/>
    <w:rsid w:val="00230A92"/>
    <w:rsid w:val="00230BFA"/>
    <w:rsid w:val="00230D2C"/>
    <w:rsid w:val="00230E0A"/>
    <w:rsid w:val="00231600"/>
    <w:rsid w:val="00231D3E"/>
    <w:rsid w:val="00231F17"/>
    <w:rsid w:val="00232338"/>
    <w:rsid w:val="00232492"/>
    <w:rsid w:val="00232BE3"/>
    <w:rsid w:val="00233352"/>
    <w:rsid w:val="00233364"/>
    <w:rsid w:val="002334C6"/>
    <w:rsid w:val="002339A6"/>
    <w:rsid w:val="00233C65"/>
    <w:rsid w:val="00233CC2"/>
    <w:rsid w:val="00233D6A"/>
    <w:rsid w:val="00233D8D"/>
    <w:rsid w:val="00233DC7"/>
    <w:rsid w:val="0023403C"/>
    <w:rsid w:val="0023433F"/>
    <w:rsid w:val="002345C5"/>
    <w:rsid w:val="002346AA"/>
    <w:rsid w:val="002346DB"/>
    <w:rsid w:val="002349E5"/>
    <w:rsid w:val="00234BBD"/>
    <w:rsid w:val="00234C6C"/>
    <w:rsid w:val="00234C6F"/>
    <w:rsid w:val="00235013"/>
    <w:rsid w:val="00235276"/>
    <w:rsid w:val="002353E9"/>
    <w:rsid w:val="002356A2"/>
    <w:rsid w:val="00235E53"/>
    <w:rsid w:val="002364E6"/>
    <w:rsid w:val="0023657E"/>
    <w:rsid w:val="0023668D"/>
    <w:rsid w:val="00236EE3"/>
    <w:rsid w:val="0023707C"/>
    <w:rsid w:val="002373BF"/>
    <w:rsid w:val="00237F5C"/>
    <w:rsid w:val="002406FF"/>
    <w:rsid w:val="0024074A"/>
    <w:rsid w:val="00240C8D"/>
    <w:rsid w:val="00240F7F"/>
    <w:rsid w:val="002410E3"/>
    <w:rsid w:val="00241171"/>
    <w:rsid w:val="002412D7"/>
    <w:rsid w:val="00241A8A"/>
    <w:rsid w:val="00241B66"/>
    <w:rsid w:val="00241D60"/>
    <w:rsid w:val="0024259D"/>
    <w:rsid w:val="00242873"/>
    <w:rsid w:val="002430E4"/>
    <w:rsid w:val="002435F0"/>
    <w:rsid w:val="0024370E"/>
    <w:rsid w:val="00243817"/>
    <w:rsid w:val="0024384A"/>
    <w:rsid w:val="002438DE"/>
    <w:rsid w:val="0024397A"/>
    <w:rsid w:val="00243AC5"/>
    <w:rsid w:val="00244265"/>
    <w:rsid w:val="002444FC"/>
    <w:rsid w:val="0024473E"/>
    <w:rsid w:val="00244C7B"/>
    <w:rsid w:val="00245076"/>
    <w:rsid w:val="0024517B"/>
    <w:rsid w:val="002454C6"/>
    <w:rsid w:val="00245767"/>
    <w:rsid w:val="00245FC4"/>
    <w:rsid w:val="002462E6"/>
    <w:rsid w:val="00246371"/>
    <w:rsid w:val="0024642B"/>
    <w:rsid w:val="0024642C"/>
    <w:rsid w:val="002466E3"/>
    <w:rsid w:val="00246D04"/>
    <w:rsid w:val="00246ED1"/>
    <w:rsid w:val="00246F40"/>
    <w:rsid w:val="00247111"/>
    <w:rsid w:val="00247288"/>
    <w:rsid w:val="002474F7"/>
    <w:rsid w:val="00247779"/>
    <w:rsid w:val="00247780"/>
    <w:rsid w:val="002479EA"/>
    <w:rsid w:val="00247A96"/>
    <w:rsid w:val="002500DC"/>
    <w:rsid w:val="0025016D"/>
    <w:rsid w:val="002509E3"/>
    <w:rsid w:val="00250D08"/>
    <w:rsid w:val="00250DFE"/>
    <w:rsid w:val="00251122"/>
    <w:rsid w:val="002511BD"/>
    <w:rsid w:val="00251586"/>
    <w:rsid w:val="0025180E"/>
    <w:rsid w:val="00251B2C"/>
    <w:rsid w:val="00251B92"/>
    <w:rsid w:val="00252741"/>
    <w:rsid w:val="00252B4F"/>
    <w:rsid w:val="00252E9D"/>
    <w:rsid w:val="002533E4"/>
    <w:rsid w:val="0025436B"/>
    <w:rsid w:val="002547CB"/>
    <w:rsid w:val="00254889"/>
    <w:rsid w:val="002549F9"/>
    <w:rsid w:val="00254F83"/>
    <w:rsid w:val="002551E9"/>
    <w:rsid w:val="00255EFA"/>
    <w:rsid w:val="00256119"/>
    <w:rsid w:val="002568A4"/>
    <w:rsid w:val="00256C25"/>
    <w:rsid w:val="0025781C"/>
    <w:rsid w:val="00257A9A"/>
    <w:rsid w:val="00257D32"/>
    <w:rsid w:val="00257ED4"/>
    <w:rsid w:val="00260279"/>
    <w:rsid w:val="00260591"/>
    <w:rsid w:val="0026079F"/>
    <w:rsid w:val="002608EF"/>
    <w:rsid w:val="00260A51"/>
    <w:rsid w:val="00260AA0"/>
    <w:rsid w:val="00260BA4"/>
    <w:rsid w:val="00261198"/>
    <w:rsid w:val="0026137A"/>
    <w:rsid w:val="002615F8"/>
    <w:rsid w:val="002619D4"/>
    <w:rsid w:val="00261AA2"/>
    <w:rsid w:val="00262028"/>
    <w:rsid w:val="00262845"/>
    <w:rsid w:val="00262869"/>
    <w:rsid w:val="002633E2"/>
    <w:rsid w:val="00263738"/>
    <w:rsid w:val="00263CD6"/>
    <w:rsid w:val="00263E0B"/>
    <w:rsid w:val="0026405B"/>
    <w:rsid w:val="00264280"/>
    <w:rsid w:val="002644C8"/>
    <w:rsid w:val="00264AE7"/>
    <w:rsid w:val="00264C46"/>
    <w:rsid w:val="0026513C"/>
    <w:rsid w:val="00265189"/>
    <w:rsid w:val="0026624A"/>
    <w:rsid w:val="00266A19"/>
    <w:rsid w:val="00266A1F"/>
    <w:rsid w:val="00266B2F"/>
    <w:rsid w:val="00266C29"/>
    <w:rsid w:val="002671E2"/>
    <w:rsid w:val="00267779"/>
    <w:rsid w:val="00267AD5"/>
    <w:rsid w:val="00267BD8"/>
    <w:rsid w:val="00267BFB"/>
    <w:rsid w:val="00267C33"/>
    <w:rsid w:val="00267CB1"/>
    <w:rsid w:val="00267EB0"/>
    <w:rsid w:val="0027032B"/>
    <w:rsid w:val="002704AE"/>
    <w:rsid w:val="00270AAE"/>
    <w:rsid w:val="00270AB2"/>
    <w:rsid w:val="00270EC7"/>
    <w:rsid w:val="002711EE"/>
    <w:rsid w:val="002714E4"/>
    <w:rsid w:val="00271678"/>
    <w:rsid w:val="002719DF"/>
    <w:rsid w:val="0027226B"/>
    <w:rsid w:val="0027239D"/>
    <w:rsid w:val="002731E5"/>
    <w:rsid w:val="00273443"/>
    <w:rsid w:val="00273637"/>
    <w:rsid w:val="0027478A"/>
    <w:rsid w:val="00274F7C"/>
    <w:rsid w:val="0027517F"/>
    <w:rsid w:val="00275309"/>
    <w:rsid w:val="0027560A"/>
    <w:rsid w:val="00275682"/>
    <w:rsid w:val="00275A88"/>
    <w:rsid w:val="00275C3B"/>
    <w:rsid w:val="0027639E"/>
    <w:rsid w:val="00276BD7"/>
    <w:rsid w:val="00276DED"/>
    <w:rsid w:val="002775F0"/>
    <w:rsid w:val="00277607"/>
    <w:rsid w:val="002776AE"/>
    <w:rsid w:val="002779B7"/>
    <w:rsid w:val="00277D6F"/>
    <w:rsid w:val="002801BA"/>
    <w:rsid w:val="002801CF"/>
    <w:rsid w:val="002805A2"/>
    <w:rsid w:val="00280C24"/>
    <w:rsid w:val="00280C76"/>
    <w:rsid w:val="002810DE"/>
    <w:rsid w:val="002812FC"/>
    <w:rsid w:val="0028139F"/>
    <w:rsid w:val="002816C7"/>
    <w:rsid w:val="002816E9"/>
    <w:rsid w:val="0028183F"/>
    <w:rsid w:val="00281AC1"/>
    <w:rsid w:val="00282164"/>
    <w:rsid w:val="0028237D"/>
    <w:rsid w:val="00282B1B"/>
    <w:rsid w:val="00282CE2"/>
    <w:rsid w:val="00282F2C"/>
    <w:rsid w:val="00283092"/>
    <w:rsid w:val="0028313E"/>
    <w:rsid w:val="002832DE"/>
    <w:rsid w:val="00284011"/>
    <w:rsid w:val="00284063"/>
    <w:rsid w:val="0028459C"/>
    <w:rsid w:val="002848D8"/>
    <w:rsid w:val="002849A3"/>
    <w:rsid w:val="00284CFA"/>
    <w:rsid w:val="00284F0D"/>
    <w:rsid w:val="00285171"/>
    <w:rsid w:val="00285445"/>
    <w:rsid w:val="00285520"/>
    <w:rsid w:val="002855FE"/>
    <w:rsid w:val="00285667"/>
    <w:rsid w:val="00285BEE"/>
    <w:rsid w:val="00285C6F"/>
    <w:rsid w:val="002860B2"/>
    <w:rsid w:val="00286394"/>
    <w:rsid w:val="00286A38"/>
    <w:rsid w:val="00286B64"/>
    <w:rsid w:val="00286BEB"/>
    <w:rsid w:val="00286EC4"/>
    <w:rsid w:val="002873EC"/>
    <w:rsid w:val="00287560"/>
    <w:rsid w:val="00287597"/>
    <w:rsid w:val="002875DF"/>
    <w:rsid w:val="00287941"/>
    <w:rsid w:val="00290814"/>
    <w:rsid w:val="00290DD6"/>
    <w:rsid w:val="00291BFA"/>
    <w:rsid w:val="00291D39"/>
    <w:rsid w:val="00291E6F"/>
    <w:rsid w:val="00292130"/>
    <w:rsid w:val="00292332"/>
    <w:rsid w:val="002924C1"/>
    <w:rsid w:val="0029258A"/>
    <w:rsid w:val="00292794"/>
    <w:rsid w:val="00292D33"/>
    <w:rsid w:val="00292E10"/>
    <w:rsid w:val="00292E80"/>
    <w:rsid w:val="00292FC4"/>
    <w:rsid w:val="002933E5"/>
    <w:rsid w:val="002945CF"/>
    <w:rsid w:val="0029464A"/>
    <w:rsid w:val="002949D6"/>
    <w:rsid w:val="00294D53"/>
    <w:rsid w:val="00294F16"/>
    <w:rsid w:val="00295203"/>
    <w:rsid w:val="0029533F"/>
    <w:rsid w:val="00295400"/>
    <w:rsid w:val="00295486"/>
    <w:rsid w:val="00295764"/>
    <w:rsid w:val="002957E0"/>
    <w:rsid w:val="002958DA"/>
    <w:rsid w:val="00295F5C"/>
    <w:rsid w:val="0029658F"/>
    <w:rsid w:val="00296CCC"/>
    <w:rsid w:val="0029721D"/>
    <w:rsid w:val="00297492"/>
    <w:rsid w:val="0029753A"/>
    <w:rsid w:val="00297613"/>
    <w:rsid w:val="0029785B"/>
    <w:rsid w:val="002979F1"/>
    <w:rsid w:val="00297A25"/>
    <w:rsid w:val="00297C0C"/>
    <w:rsid w:val="00297DBB"/>
    <w:rsid w:val="00297E02"/>
    <w:rsid w:val="002A0BC8"/>
    <w:rsid w:val="002A109A"/>
    <w:rsid w:val="002A1631"/>
    <w:rsid w:val="002A17A4"/>
    <w:rsid w:val="002A17E4"/>
    <w:rsid w:val="002A1D19"/>
    <w:rsid w:val="002A356B"/>
    <w:rsid w:val="002A3763"/>
    <w:rsid w:val="002A37AC"/>
    <w:rsid w:val="002A3CCE"/>
    <w:rsid w:val="002A3EE4"/>
    <w:rsid w:val="002A4398"/>
    <w:rsid w:val="002A4466"/>
    <w:rsid w:val="002A45A7"/>
    <w:rsid w:val="002A4B63"/>
    <w:rsid w:val="002A4B92"/>
    <w:rsid w:val="002A4C08"/>
    <w:rsid w:val="002A5528"/>
    <w:rsid w:val="002A599D"/>
    <w:rsid w:val="002A5A01"/>
    <w:rsid w:val="002A5AA3"/>
    <w:rsid w:val="002A5BC7"/>
    <w:rsid w:val="002A5CE8"/>
    <w:rsid w:val="002A6285"/>
    <w:rsid w:val="002A6386"/>
    <w:rsid w:val="002A686C"/>
    <w:rsid w:val="002A6CD4"/>
    <w:rsid w:val="002A711A"/>
    <w:rsid w:val="002A738E"/>
    <w:rsid w:val="002B00D6"/>
    <w:rsid w:val="002B0373"/>
    <w:rsid w:val="002B0AE1"/>
    <w:rsid w:val="002B12AD"/>
    <w:rsid w:val="002B1694"/>
    <w:rsid w:val="002B17F1"/>
    <w:rsid w:val="002B1AB9"/>
    <w:rsid w:val="002B1EAB"/>
    <w:rsid w:val="002B1EBF"/>
    <w:rsid w:val="002B2172"/>
    <w:rsid w:val="002B228A"/>
    <w:rsid w:val="002B26ED"/>
    <w:rsid w:val="002B30AF"/>
    <w:rsid w:val="002B32EB"/>
    <w:rsid w:val="002B345F"/>
    <w:rsid w:val="002B356C"/>
    <w:rsid w:val="002B3758"/>
    <w:rsid w:val="002B3869"/>
    <w:rsid w:val="002B434D"/>
    <w:rsid w:val="002B4700"/>
    <w:rsid w:val="002B4E0D"/>
    <w:rsid w:val="002B4E15"/>
    <w:rsid w:val="002B4F38"/>
    <w:rsid w:val="002B530B"/>
    <w:rsid w:val="002B55BD"/>
    <w:rsid w:val="002B5E03"/>
    <w:rsid w:val="002B61AD"/>
    <w:rsid w:val="002B624F"/>
    <w:rsid w:val="002B64FE"/>
    <w:rsid w:val="002B6AFD"/>
    <w:rsid w:val="002B6FB4"/>
    <w:rsid w:val="002B6FCB"/>
    <w:rsid w:val="002B77DC"/>
    <w:rsid w:val="002B79D2"/>
    <w:rsid w:val="002B7BC2"/>
    <w:rsid w:val="002C06F1"/>
    <w:rsid w:val="002C0B82"/>
    <w:rsid w:val="002C0F19"/>
    <w:rsid w:val="002C11D1"/>
    <w:rsid w:val="002C19F5"/>
    <w:rsid w:val="002C1AA9"/>
    <w:rsid w:val="002C1DA6"/>
    <w:rsid w:val="002C1FC5"/>
    <w:rsid w:val="002C25B8"/>
    <w:rsid w:val="002C279D"/>
    <w:rsid w:val="002C2D57"/>
    <w:rsid w:val="002C332A"/>
    <w:rsid w:val="002C3958"/>
    <w:rsid w:val="002C3A06"/>
    <w:rsid w:val="002C3C30"/>
    <w:rsid w:val="002C3E67"/>
    <w:rsid w:val="002C47B1"/>
    <w:rsid w:val="002C4843"/>
    <w:rsid w:val="002C492B"/>
    <w:rsid w:val="002C4D83"/>
    <w:rsid w:val="002C50E9"/>
    <w:rsid w:val="002C5AB3"/>
    <w:rsid w:val="002C5D37"/>
    <w:rsid w:val="002C6056"/>
    <w:rsid w:val="002C623F"/>
    <w:rsid w:val="002C661E"/>
    <w:rsid w:val="002C6784"/>
    <w:rsid w:val="002C6853"/>
    <w:rsid w:val="002C6CB0"/>
    <w:rsid w:val="002C7205"/>
    <w:rsid w:val="002C73E1"/>
    <w:rsid w:val="002C7749"/>
    <w:rsid w:val="002C7960"/>
    <w:rsid w:val="002C7F3B"/>
    <w:rsid w:val="002D0116"/>
    <w:rsid w:val="002D0193"/>
    <w:rsid w:val="002D01B5"/>
    <w:rsid w:val="002D0550"/>
    <w:rsid w:val="002D059D"/>
    <w:rsid w:val="002D07AB"/>
    <w:rsid w:val="002D0862"/>
    <w:rsid w:val="002D0E9C"/>
    <w:rsid w:val="002D0FD9"/>
    <w:rsid w:val="002D1340"/>
    <w:rsid w:val="002D1357"/>
    <w:rsid w:val="002D13BB"/>
    <w:rsid w:val="002D1FF5"/>
    <w:rsid w:val="002D23CD"/>
    <w:rsid w:val="002D24AB"/>
    <w:rsid w:val="002D24C8"/>
    <w:rsid w:val="002D2685"/>
    <w:rsid w:val="002D284D"/>
    <w:rsid w:val="002D2937"/>
    <w:rsid w:val="002D2BC2"/>
    <w:rsid w:val="002D3094"/>
    <w:rsid w:val="002D3962"/>
    <w:rsid w:val="002D3F91"/>
    <w:rsid w:val="002D467E"/>
    <w:rsid w:val="002D4847"/>
    <w:rsid w:val="002D4A55"/>
    <w:rsid w:val="002D4B53"/>
    <w:rsid w:val="002D57A8"/>
    <w:rsid w:val="002D5877"/>
    <w:rsid w:val="002D5CBE"/>
    <w:rsid w:val="002D5DAB"/>
    <w:rsid w:val="002D5E27"/>
    <w:rsid w:val="002D5E7C"/>
    <w:rsid w:val="002D5EB7"/>
    <w:rsid w:val="002D6062"/>
    <w:rsid w:val="002D609B"/>
    <w:rsid w:val="002D67CB"/>
    <w:rsid w:val="002D70D7"/>
    <w:rsid w:val="002D7499"/>
    <w:rsid w:val="002D7649"/>
    <w:rsid w:val="002D79CC"/>
    <w:rsid w:val="002D7C7F"/>
    <w:rsid w:val="002D7CF5"/>
    <w:rsid w:val="002D7DDB"/>
    <w:rsid w:val="002D7F70"/>
    <w:rsid w:val="002E032B"/>
    <w:rsid w:val="002E037D"/>
    <w:rsid w:val="002E074B"/>
    <w:rsid w:val="002E0B50"/>
    <w:rsid w:val="002E0CF8"/>
    <w:rsid w:val="002E169D"/>
    <w:rsid w:val="002E1AB9"/>
    <w:rsid w:val="002E258C"/>
    <w:rsid w:val="002E2610"/>
    <w:rsid w:val="002E2883"/>
    <w:rsid w:val="002E2B5D"/>
    <w:rsid w:val="002E30A3"/>
    <w:rsid w:val="002E328C"/>
    <w:rsid w:val="002E350C"/>
    <w:rsid w:val="002E37D0"/>
    <w:rsid w:val="002E3984"/>
    <w:rsid w:val="002E39E5"/>
    <w:rsid w:val="002E3F7E"/>
    <w:rsid w:val="002E3FAE"/>
    <w:rsid w:val="002E40DF"/>
    <w:rsid w:val="002E415F"/>
    <w:rsid w:val="002E4EE0"/>
    <w:rsid w:val="002E4FA4"/>
    <w:rsid w:val="002E5319"/>
    <w:rsid w:val="002E56B3"/>
    <w:rsid w:val="002E5B44"/>
    <w:rsid w:val="002E5C48"/>
    <w:rsid w:val="002E621B"/>
    <w:rsid w:val="002E67BA"/>
    <w:rsid w:val="002E67C3"/>
    <w:rsid w:val="002E753E"/>
    <w:rsid w:val="002E7822"/>
    <w:rsid w:val="002E790A"/>
    <w:rsid w:val="002E7C0E"/>
    <w:rsid w:val="002F0438"/>
    <w:rsid w:val="002F0498"/>
    <w:rsid w:val="002F0A8F"/>
    <w:rsid w:val="002F14DC"/>
    <w:rsid w:val="002F1503"/>
    <w:rsid w:val="002F16D9"/>
    <w:rsid w:val="002F1865"/>
    <w:rsid w:val="002F198B"/>
    <w:rsid w:val="002F1A16"/>
    <w:rsid w:val="002F1B4E"/>
    <w:rsid w:val="002F2267"/>
    <w:rsid w:val="002F22FA"/>
    <w:rsid w:val="002F297B"/>
    <w:rsid w:val="002F2F47"/>
    <w:rsid w:val="002F3048"/>
    <w:rsid w:val="002F3272"/>
    <w:rsid w:val="002F389E"/>
    <w:rsid w:val="002F38C0"/>
    <w:rsid w:val="002F3EAB"/>
    <w:rsid w:val="002F40AA"/>
    <w:rsid w:val="002F42C6"/>
    <w:rsid w:val="002F43DE"/>
    <w:rsid w:val="002F4422"/>
    <w:rsid w:val="002F480B"/>
    <w:rsid w:val="002F4A60"/>
    <w:rsid w:val="002F562C"/>
    <w:rsid w:val="002F565F"/>
    <w:rsid w:val="002F5953"/>
    <w:rsid w:val="002F59F9"/>
    <w:rsid w:val="002F6008"/>
    <w:rsid w:val="002F603A"/>
    <w:rsid w:val="002F604F"/>
    <w:rsid w:val="002F6706"/>
    <w:rsid w:val="002F6940"/>
    <w:rsid w:val="002F6C14"/>
    <w:rsid w:val="002F76CF"/>
    <w:rsid w:val="002F7B35"/>
    <w:rsid w:val="00300329"/>
    <w:rsid w:val="00300655"/>
    <w:rsid w:val="00300DA3"/>
    <w:rsid w:val="00300E6D"/>
    <w:rsid w:val="00301123"/>
    <w:rsid w:val="003011F5"/>
    <w:rsid w:val="0030169A"/>
    <w:rsid w:val="003016B7"/>
    <w:rsid w:val="00301968"/>
    <w:rsid w:val="00301A47"/>
    <w:rsid w:val="00301F9C"/>
    <w:rsid w:val="0030204B"/>
    <w:rsid w:val="00302937"/>
    <w:rsid w:val="003029C9"/>
    <w:rsid w:val="00302AC9"/>
    <w:rsid w:val="00302B9F"/>
    <w:rsid w:val="003033B8"/>
    <w:rsid w:val="0030346E"/>
    <w:rsid w:val="003034BE"/>
    <w:rsid w:val="003034CD"/>
    <w:rsid w:val="00303D86"/>
    <w:rsid w:val="00304514"/>
    <w:rsid w:val="003047E1"/>
    <w:rsid w:val="00304B1A"/>
    <w:rsid w:val="00304F98"/>
    <w:rsid w:val="00305353"/>
    <w:rsid w:val="00305790"/>
    <w:rsid w:val="0030579B"/>
    <w:rsid w:val="003057EC"/>
    <w:rsid w:val="00305A7A"/>
    <w:rsid w:val="00305A89"/>
    <w:rsid w:val="00305F30"/>
    <w:rsid w:val="00305F7D"/>
    <w:rsid w:val="0030603D"/>
    <w:rsid w:val="003066D6"/>
    <w:rsid w:val="00306714"/>
    <w:rsid w:val="003067AE"/>
    <w:rsid w:val="00306E7A"/>
    <w:rsid w:val="0030758E"/>
    <w:rsid w:val="0030776C"/>
    <w:rsid w:val="00307B18"/>
    <w:rsid w:val="00310702"/>
    <w:rsid w:val="00310A6A"/>
    <w:rsid w:val="00310C1C"/>
    <w:rsid w:val="00310D20"/>
    <w:rsid w:val="00310FD8"/>
    <w:rsid w:val="0031106E"/>
    <w:rsid w:val="0031138A"/>
    <w:rsid w:val="00311444"/>
    <w:rsid w:val="00311FBF"/>
    <w:rsid w:val="0031201C"/>
    <w:rsid w:val="0031216B"/>
    <w:rsid w:val="003121A0"/>
    <w:rsid w:val="003122FF"/>
    <w:rsid w:val="00312906"/>
    <w:rsid w:val="00312B51"/>
    <w:rsid w:val="00312DC3"/>
    <w:rsid w:val="00313277"/>
    <w:rsid w:val="003132FB"/>
    <w:rsid w:val="003136F8"/>
    <w:rsid w:val="003148BB"/>
    <w:rsid w:val="003149E7"/>
    <w:rsid w:val="00314E05"/>
    <w:rsid w:val="00314FEB"/>
    <w:rsid w:val="0031502A"/>
    <w:rsid w:val="0031596A"/>
    <w:rsid w:val="00315D25"/>
    <w:rsid w:val="00316AF8"/>
    <w:rsid w:val="00316B6B"/>
    <w:rsid w:val="00316BC2"/>
    <w:rsid w:val="00316C6F"/>
    <w:rsid w:val="00317215"/>
    <w:rsid w:val="0031767F"/>
    <w:rsid w:val="003178B5"/>
    <w:rsid w:val="00317A9C"/>
    <w:rsid w:val="00317C3F"/>
    <w:rsid w:val="00320560"/>
    <w:rsid w:val="003205F5"/>
    <w:rsid w:val="00320962"/>
    <w:rsid w:val="003209C5"/>
    <w:rsid w:val="00320B22"/>
    <w:rsid w:val="00320B97"/>
    <w:rsid w:val="003211BC"/>
    <w:rsid w:val="00321665"/>
    <w:rsid w:val="00321B66"/>
    <w:rsid w:val="00321B74"/>
    <w:rsid w:val="00321C8C"/>
    <w:rsid w:val="00321D61"/>
    <w:rsid w:val="0032239D"/>
    <w:rsid w:val="00322917"/>
    <w:rsid w:val="00323085"/>
    <w:rsid w:val="00323292"/>
    <w:rsid w:val="00323B15"/>
    <w:rsid w:val="00323F78"/>
    <w:rsid w:val="00324427"/>
    <w:rsid w:val="003248B4"/>
    <w:rsid w:val="003255FF"/>
    <w:rsid w:val="00325C4C"/>
    <w:rsid w:val="00325CC2"/>
    <w:rsid w:val="00325E1D"/>
    <w:rsid w:val="00325F14"/>
    <w:rsid w:val="00325FFA"/>
    <w:rsid w:val="00326261"/>
    <w:rsid w:val="00326AAE"/>
    <w:rsid w:val="00326C76"/>
    <w:rsid w:val="00326EE9"/>
    <w:rsid w:val="00327096"/>
    <w:rsid w:val="0032735E"/>
    <w:rsid w:val="003275B7"/>
    <w:rsid w:val="0032775F"/>
    <w:rsid w:val="00327A44"/>
    <w:rsid w:val="00327F8A"/>
    <w:rsid w:val="00330077"/>
    <w:rsid w:val="00330271"/>
    <w:rsid w:val="0033038E"/>
    <w:rsid w:val="003310A2"/>
    <w:rsid w:val="00331B7F"/>
    <w:rsid w:val="00332545"/>
    <w:rsid w:val="0033288D"/>
    <w:rsid w:val="00332A21"/>
    <w:rsid w:val="0033324A"/>
    <w:rsid w:val="003332F6"/>
    <w:rsid w:val="0033344A"/>
    <w:rsid w:val="003337C1"/>
    <w:rsid w:val="00333E5A"/>
    <w:rsid w:val="00333FEE"/>
    <w:rsid w:val="0033438A"/>
    <w:rsid w:val="003345A2"/>
    <w:rsid w:val="00335820"/>
    <w:rsid w:val="003358E0"/>
    <w:rsid w:val="003359AE"/>
    <w:rsid w:val="00335D93"/>
    <w:rsid w:val="00335DDF"/>
    <w:rsid w:val="003360BE"/>
    <w:rsid w:val="0033632A"/>
    <w:rsid w:val="00336336"/>
    <w:rsid w:val="00336560"/>
    <w:rsid w:val="00336BB1"/>
    <w:rsid w:val="00337109"/>
    <w:rsid w:val="00337EE1"/>
    <w:rsid w:val="0034080E"/>
    <w:rsid w:val="00340E80"/>
    <w:rsid w:val="003411EA"/>
    <w:rsid w:val="00341C77"/>
    <w:rsid w:val="00342181"/>
    <w:rsid w:val="003422D8"/>
    <w:rsid w:val="00342326"/>
    <w:rsid w:val="003427FD"/>
    <w:rsid w:val="00342E78"/>
    <w:rsid w:val="00342FE4"/>
    <w:rsid w:val="00343266"/>
    <w:rsid w:val="00343FA3"/>
    <w:rsid w:val="0034453B"/>
    <w:rsid w:val="00344737"/>
    <w:rsid w:val="003449D3"/>
    <w:rsid w:val="00344FF8"/>
    <w:rsid w:val="003450DA"/>
    <w:rsid w:val="00345108"/>
    <w:rsid w:val="00345274"/>
    <w:rsid w:val="003454A2"/>
    <w:rsid w:val="00345870"/>
    <w:rsid w:val="00345F4E"/>
    <w:rsid w:val="0034642E"/>
    <w:rsid w:val="003469B7"/>
    <w:rsid w:val="00346A0C"/>
    <w:rsid w:val="00346F5E"/>
    <w:rsid w:val="0034749A"/>
    <w:rsid w:val="0034759B"/>
    <w:rsid w:val="0034789B"/>
    <w:rsid w:val="00350175"/>
    <w:rsid w:val="00350214"/>
    <w:rsid w:val="003502F0"/>
    <w:rsid w:val="00350372"/>
    <w:rsid w:val="003503BD"/>
    <w:rsid w:val="003505DB"/>
    <w:rsid w:val="00350781"/>
    <w:rsid w:val="00350A16"/>
    <w:rsid w:val="00350A91"/>
    <w:rsid w:val="00350C06"/>
    <w:rsid w:val="003510CA"/>
    <w:rsid w:val="00351D22"/>
    <w:rsid w:val="00351E48"/>
    <w:rsid w:val="00351FCB"/>
    <w:rsid w:val="0035233F"/>
    <w:rsid w:val="00352A39"/>
    <w:rsid w:val="00352C6C"/>
    <w:rsid w:val="00352C6D"/>
    <w:rsid w:val="00352F85"/>
    <w:rsid w:val="00353136"/>
    <w:rsid w:val="0035332B"/>
    <w:rsid w:val="00353EAD"/>
    <w:rsid w:val="003540E0"/>
    <w:rsid w:val="00354380"/>
    <w:rsid w:val="0035496C"/>
    <w:rsid w:val="00354F12"/>
    <w:rsid w:val="003552F6"/>
    <w:rsid w:val="0035537D"/>
    <w:rsid w:val="00355627"/>
    <w:rsid w:val="0035569F"/>
    <w:rsid w:val="00355CCF"/>
    <w:rsid w:val="00356456"/>
    <w:rsid w:val="00356AD7"/>
    <w:rsid w:val="00356C70"/>
    <w:rsid w:val="00357336"/>
    <w:rsid w:val="00357409"/>
    <w:rsid w:val="00357BE2"/>
    <w:rsid w:val="00357C18"/>
    <w:rsid w:val="00357CAC"/>
    <w:rsid w:val="00357D2E"/>
    <w:rsid w:val="0036009E"/>
    <w:rsid w:val="003603C6"/>
    <w:rsid w:val="0036074F"/>
    <w:rsid w:val="003607BE"/>
    <w:rsid w:val="00360C1D"/>
    <w:rsid w:val="00360DAE"/>
    <w:rsid w:val="00360F96"/>
    <w:rsid w:val="00361048"/>
    <w:rsid w:val="00361297"/>
    <w:rsid w:val="0036141F"/>
    <w:rsid w:val="0036150C"/>
    <w:rsid w:val="00361853"/>
    <w:rsid w:val="003619C2"/>
    <w:rsid w:val="00361BFB"/>
    <w:rsid w:val="003622DD"/>
    <w:rsid w:val="0036274D"/>
    <w:rsid w:val="00362CB7"/>
    <w:rsid w:val="00362DCB"/>
    <w:rsid w:val="00362E09"/>
    <w:rsid w:val="00362E5E"/>
    <w:rsid w:val="0036320A"/>
    <w:rsid w:val="00363481"/>
    <w:rsid w:val="00364964"/>
    <w:rsid w:val="00364A8D"/>
    <w:rsid w:val="00364D7B"/>
    <w:rsid w:val="00364DF3"/>
    <w:rsid w:val="00364E92"/>
    <w:rsid w:val="003654C0"/>
    <w:rsid w:val="0036563D"/>
    <w:rsid w:val="00365698"/>
    <w:rsid w:val="00365723"/>
    <w:rsid w:val="00365A8E"/>
    <w:rsid w:val="00365C58"/>
    <w:rsid w:val="00366115"/>
    <w:rsid w:val="003665D7"/>
    <w:rsid w:val="00366893"/>
    <w:rsid w:val="00366C37"/>
    <w:rsid w:val="00366CB2"/>
    <w:rsid w:val="00366D65"/>
    <w:rsid w:val="00366E91"/>
    <w:rsid w:val="00366F98"/>
    <w:rsid w:val="0036743F"/>
    <w:rsid w:val="003677D1"/>
    <w:rsid w:val="0036798A"/>
    <w:rsid w:val="00367B7E"/>
    <w:rsid w:val="00367CB1"/>
    <w:rsid w:val="00367E65"/>
    <w:rsid w:val="00367E81"/>
    <w:rsid w:val="00370388"/>
    <w:rsid w:val="00370AED"/>
    <w:rsid w:val="003719FF"/>
    <w:rsid w:val="00371A32"/>
    <w:rsid w:val="00371B69"/>
    <w:rsid w:val="00371E32"/>
    <w:rsid w:val="003727BD"/>
    <w:rsid w:val="003729D8"/>
    <w:rsid w:val="00372ED6"/>
    <w:rsid w:val="00372FAC"/>
    <w:rsid w:val="00373107"/>
    <w:rsid w:val="0037377A"/>
    <w:rsid w:val="00373998"/>
    <w:rsid w:val="00373CDD"/>
    <w:rsid w:val="00373E79"/>
    <w:rsid w:val="00374222"/>
    <w:rsid w:val="003743C0"/>
    <w:rsid w:val="00374950"/>
    <w:rsid w:val="00374B26"/>
    <w:rsid w:val="00374E32"/>
    <w:rsid w:val="00375344"/>
    <w:rsid w:val="003753DA"/>
    <w:rsid w:val="00375401"/>
    <w:rsid w:val="0037546E"/>
    <w:rsid w:val="00375678"/>
    <w:rsid w:val="00375F42"/>
    <w:rsid w:val="003761A9"/>
    <w:rsid w:val="003761B0"/>
    <w:rsid w:val="00376388"/>
    <w:rsid w:val="003763C9"/>
    <w:rsid w:val="00376C72"/>
    <w:rsid w:val="00377944"/>
    <w:rsid w:val="00377E55"/>
    <w:rsid w:val="00377FA8"/>
    <w:rsid w:val="00380539"/>
    <w:rsid w:val="003809D4"/>
    <w:rsid w:val="003813D8"/>
    <w:rsid w:val="00381BE9"/>
    <w:rsid w:val="00381CFB"/>
    <w:rsid w:val="003820E1"/>
    <w:rsid w:val="0038222B"/>
    <w:rsid w:val="00382564"/>
    <w:rsid w:val="00382AE4"/>
    <w:rsid w:val="00382C70"/>
    <w:rsid w:val="00382CC3"/>
    <w:rsid w:val="00382D53"/>
    <w:rsid w:val="00382F48"/>
    <w:rsid w:val="00382FE1"/>
    <w:rsid w:val="00383013"/>
    <w:rsid w:val="00383724"/>
    <w:rsid w:val="00383C3C"/>
    <w:rsid w:val="00383E48"/>
    <w:rsid w:val="00383F5D"/>
    <w:rsid w:val="00384069"/>
    <w:rsid w:val="003840E8"/>
    <w:rsid w:val="0038420B"/>
    <w:rsid w:val="0038422F"/>
    <w:rsid w:val="00384F9E"/>
    <w:rsid w:val="00384FAC"/>
    <w:rsid w:val="00385002"/>
    <w:rsid w:val="003852AD"/>
    <w:rsid w:val="00385655"/>
    <w:rsid w:val="0038665C"/>
    <w:rsid w:val="00386875"/>
    <w:rsid w:val="003868AB"/>
    <w:rsid w:val="00386AA1"/>
    <w:rsid w:val="00386FBA"/>
    <w:rsid w:val="003870AF"/>
    <w:rsid w:val="003872CF"/>
    <w:rsid w:val="0038781B"/>
    <w:rsid w:val="00387C99"/>
    <w:rsid w:val="00387FFB"/>
    <w:rsid w:val="0039000F"/>
    <w:rsid w:val="00390A82"/>
    <w:rsid w:val="00390D31"/>
    <w:rsid w:val="00391439"/>
    <w:rsid w:val="00391656"/>
    <w:rsid w:val="003919AB"/>
    <w:rsid w:val="00392113"/>
    <w:rsid w:val="003921BB"/>
    <w:rsid w:val="00392942"/>
    <w:rsid w:val="0039299A"/>
    <w:rsid w:val="003930D6"/>
    <w:rsid w:val="0039339B"/>
    <w:rsid w:val="0039368E"/>
    <w:rsid w:val="0039388F"/>
    <w:rsid w:val="00393A68"/>
    <w:rsid w:val="00393B52"/>
    <w:rsid w:val="00394062"/>
    <w:rsid w:val="003944C7"/>
    <w:rsid w:val="003949C1"/>
    <w:rsid w:val="00394AA2"/>
    <w:rsid w:val="00394B7E"/>
    <w:rsid w:val="00394C6D"/>
    <w:rsid w:val="00394D1E"/>
    <w:rsid w:val="00394E20"/>
    <w:rsid w:val="0039599F"/>
    <w:rsid w:val="00395E2A"/>
    <w:rsid w:val="003961F3"/>
    <w:rsid w:val="00396272"/>
    <w:rsid w:val="00396F8D"/>
    <w:rsid w:val="003970EE"/>
    <w:rsid w:val="00397868"/>
    <w:rsid w:val="00397D38"/>
    <w:rsid w:val="00397DC0"/>
    <w:rsid w:val="00397E17"/>
    <w:rsid w:val="00397F12"/>
    <w:rsid w:val="00398FE7"/>
    <w:rsid w:val="003A064D"/>
    <w:rsid w:val="003A0804"/>
    <w:rsid w:val="003A0A55"/>
    <w:rsid w:val="003A0E74"/>
    <w:rsid w:val="003A0EFF"/>
    <w:rsid w:val="003A1159"/>
    <w:rsid w:val="003A1167"/>
    <w:rsid w:val="003A15AF"/>
    <w:rsid w:val="003A1A67"/>
    <w:rsid w:val="003A1AAA"/>
    <w:rsid w:val="003A1CC2"/>
    <w:rsid w:val="003A1EB3"/>
    <w:rsid w:val="003A2011"/>
    <w:rsid w:val="003A240F"/>
    <w:rsid w:val="003A2417"/>
    <w:rsid w:val="003A2B17"/>
    <w:rsid w:val="003A317B"/>
    <w:rsid w:val="003A3C69"/>
    <w:rsid w:val="003A3FA5"/>
    <w:rsid w:val="003A41B5"/>
    <w:rsid w:val="003A421E"/>
    <w:rsid w:val="003A45AE"/>
    <w:rsid w:val="003A4F7B"/>
    <w:rsid w:val="003A56D2"/>
    <w:rsid w:val="003A5D01"/>
    <w:rsid w:val="003A5F28"/>
    <w:rsid w:val="003A5FD3"/>
    <w:rsid w:val="003A6186"/>
    <w:rsid w:val="003A659E"/>
    <w:rsid w:val="003A681A"/>
    <w:rsid w:val="003A6B4A"/>
    <w:rsid w:val="003A6EA6"/>
    <w:rsid w:val="003A7406"/>
    <w:rsid w:val="003A75ED"/>
    <w:rsid w:val="003A789B"/>
    <w:rsid w:val="003A7FDE"/>
    <w:rsid w:val="003B0057"/>
    <w:rsid w:val="003B040F"/>
    <w:rsid w:val="003B0545"/>
    <w:rsid w:val="003B06A1"/>
    <w:rsid w:val="003B0BB4"/>
    <w:rsid w:val="003B0FB0"/>
    <w:rsid w:val="003B10E4"/>
    <w:rsid w:val="003B1588"/>
    <w:rsid w:val="003B19AD"/>
    <w:rsid w:val="003B1B1D"/>
    <w:rsid w:val="003B1CEF"/>
    <w:rsid w:val="003B1DEF"/>
    <w:rsid w:val="003B25FE"/>
    <w:rsid w:val="003B273A"/>
    <w:rsid w:val="003B2821"/>
    <w:rsid w:val="003B2B93"/>
    <w:rsid w:val="003B2ED6"/>
    <w:rsid w:val="003B3498"/>
    <w:rsid w:val="003B3723"/>
    <w:rsid w:val="003B3CC5"/>
    <w:rsid w:val="003B3E26"/>
    <w:rsid w:val="003B46A4"/>
    <w:rsid w:val="003B49F5"/>
    <w:rsid w:val="003B51FB"/>
    <w:rsid w:val="003B52B5"/>
    <w:rsid w:val="003B5467"/>
    <w:rsid w:val="003B563A"/>
    <w:rsid w:val="003B5696"/>
    <w:rsid w:val="003B5D15"/>
    <w:rsid w:val="003B5D39"/>
    <w:rsid w:val="003B5FE8"/>
    <w:rsid w:val="003B6070"/>
    <w:rsid w:val="003B60F1"/>
    <w:rsid w:val="003B65F0"/>
    <w:rsid w:val="003B66AA"/>
    <w:rsid w:val="003B6746"/>
    <w:rsid w:val="003B6C30"/>
    <w:rsid w:val="003B6D18"/>
    <w:rsid w:val="003B6FB3"/>
    <w:rsid w:val="003B715C"/>
    <w:rsid w:val="003B7716"/>
    <w:rsid w:val="003B776F"/>
    <w:rsid w:val="003B7927"/>
    <w:rsid w:val="003B7D0E"/>
    <w:rsid w:val="003B7E93"/>
    <w:rsid w:val="003C017D"/>
    <w:rsid w:val="003C090C"/>
    <w:rsid w:val="003C0F24"/>
    <w:rsid w:val="003C10EC"/>
    <w:rsid w:val="003C1217"/>
    <w:rsid w:val="003C175E"/>
    <w:rsid w:val="003C199A"/>
    <w:rsid w:val="003C1EAC"/>
    <w:rsid w:val="003C211A"/>
    <w:rsid w:val="003C22D4"/>
    <w:rsid w:val="003C23BA"/>
    <w:rsid w:val="003C2923"/>
    <w:rsid w:val="003C2955"/>
    <w:rsid w:val="003C331D"/>
    <w:rsid w:val="003C36EB"/>
    <w:rsid w:val="003C3A1B"/>
    <w:rsid w:val="003C3E2C"/>
    <w:rsid w:val="003C4340"/>
    <w:rsid w:val="003C43D3"/>
    <w:rsid w:val="003C43E0"/>
    <w:rsid w:val="003C447A"/>
    <w:rsid w:val="003C49B9"/>
    <w:rsid w:val="003C4E43"/>
    <w:rsid w:val="003C57EC"/>
    <w:rsid w:val="003C5DD3"/>
    <w:rsid w:val="003C5DDA"/>
    <w:rsid w:val="003C5E47"/>
    <w:rsid w:val="003C5FE7"/>
    <w:rsid w:val="003C61C1"/>
    <w:rsid w:val="003C6B63"/>
    <w:rsid w:val="003C6E12"/>
    <w:rsid w:val="003C6F16"/>
    <w:rsid w:val="003C6FA4"/>
    <w:rsid w:val="003C7859"/>
    <w:rsid w:val="003D0027"/>
    <w:rsid w:val="003D0440"/>
    <w:rsid w:val="003D0726"/>
    <w:rsid w:val="003D0A56"/>
    <w:rsid w:val="003D0C1A"/>
    <w:rsid w:val="003D0C75"/>
    <w:rsid w:val="003D0E0A"/>
    <w:rsid w:val="003D0E37"/>
    <w:rsid w:val="003D103B"/>
    <w:rsid w:val="003D12B0"/>
    <w:rsid w:val="003D144F"/>
    <w:rsid w:val="003D210D"/>
    <w:rsid w:val="003D2171"/>
    <w:rsid w:val="003D221B"/>
    <w:rsid w:val="003D2236"/>
    <w:rsid w:val="003D22FC"/>
    <w:rsid w:val="003D2538"/>
    <w:rsid w:val="003D2714"/>
    <w:rsid w:val="003D2754"/>
    <w:rsid w:val="003D27EB"/>
    <w:rsid w:val="003D2DAE"/>
    <w:rsid w:val="003D305C"/>
    <w:rsid w:val="003D30C1"/>
    <w:rsid w:val="003D3617"/>
    <w:rsid w:val="003D376A"/>
    <w:rsid w:val="003D3B12"/>
    <w:rsid w:val="003D3E95"/>
    <w:rsid w:val="003D4080"/>
    <w:rsid w:val="003D4165"/>
    <w:rsid w:val="003D41C4"/>
    <w:rsid w:val="003D5017"/>
    <w:rsid w:val="003D549A"/>
    <w:rsid w:val="003D59F0"/>
    <w:rsid w:val="003D5D23"/>
    <w:rsid w:val="003D5D77"/>
    <w:rsid w:val="003D5FFB"/>
    <w:rsid w:val="003D6536"/>
    <w:rsid w:val="003D69E3"/>
    <w:rsid w:val="003D76FE"/>
    <w:rsid w:val="003D79D8"/>
    <w:rsid w:val="003D7C0D"/>
    <w:rsid w:val="003D7CCE"/>
    <w:rsid w:val="003E0402"/>
    <w:rsid w:val="003E062D"/>
    <w:rsid w:val="003E0F42"/>
    <w:rsid w:val="003E0F43"/>
    <w:rsid w:val="003E19F5"/>
    <w:rsid w:val="003E2114"/>
    <w:rsid w:val="003E236E"/>
    <w:rsid w:val="003E25B9"/>
    <w:rsid w:val="003E2B0E"/>
    <w:rsid w:val="003E2DD5"/>
    <w:rsid w:val="003E2F01"/>
    <w:rsid w:val="003E30B1"/>
    <w:rsid w:val="003E35AE"/>
    <w:rsid w:val="003E363F"/>
    <w:rsid w:val="003E37F6"/>
    <w:rsid w:val="003E3933"/>
    <w:rsid w:val="003E4125"/>
    <w:rsid w:val="003E4805"/>
    <w:rsid w:val="003E487B"/>
    <w:rsid w:val="003E4A03"/>
    <w:rsid w:val="003E4AF1"/>
    <w:rsid w:val="003E4C2C"/>
    <w:rsid w:val="003E51EE"/>
    <w:rsid w:val="003E539A"/>
    <w:rsid w:val="003E553E"/>
    <w:rsid w:val="003E585F"/>
    <w:rsid w:val="003E5D99"/>
    <w:rsid w:val="003E5F70"/>
    <w:rsid w:val="003E6327"/>
    <w:rsid w:val="003E6AF3"/>
    <w:rsid w:val="003E6E71"/>
    <w:rsid w:val="003E7929"/>
    <w:rsid w:val="003E79EC"/>
    <w:rsid w:val="003E7A2C"/>
    <w:rsid w:val="003E7B89"/>
    <w:rsid w:val="003F01A4"/>
    <w:rsid w:val="003F08D6"/>
    <w:rsid w:val="003F0994"/>
    <w:rsid w:val="003F09B5"/>
    <w:rsid w:val="003F0A20"/>
    <w:rsid w:val="003F0CCE"/>
    <w:rsid w:val="003F0CFB"/>
    <w:rsid w:val="003F0E6F"/>
    <w:rsid w:val="003F114D"/>
    <w:rsid w:val="003F12FA"/>
    <w:rsid w:val="003F19A9"/>
    <w:rsid w:val="003F1AA8"/>
    <w:rsid w:val="003F1AE5"/>
    <w:rsid w:val="003F1BAA"/>
    <w:rsid w:val="003F23EB"/>
    <w:rsid w:val="003F2591"/>
    <w:rsid w:val="003F25F3"/>
    <w:rsid w:val="003F2DE5"/>
    <w:rsid w:val="003F2F86"/>
    <w:rsid w:val="003F359E"/>
    <w:rsid w:val="003F3814"/>
    <w:rsid w:val="003F38B8"/>
    <w:rsid w:val="003F3B0C"/>
    <w:rsid w:val="003F42FC"/>
    <w:rsid w:val="003F4517"/>
    <w:rsid w:val="003F481A"/>
    <w:rsid w:val="003F484D"/>
    <w:rsid w:val="003F493A"/>
    <w:rsid w:val="003F4954"/>
    <w:rsid w:val="003F4A2B"/>
    <w:rsid w:val="003F4AFB"/>
    <w:rsid w:val="003F4C26"/>
    <w:rsid w:val="003F4D1C"/>
    <w:rsid w:val="003F53EA"/>
    <w:rsid w:val="003F5824"/>
    <w:rsid w:val="003F58D2"/>
    <w:rsid w:val="003F5CA8"/>
    <w:rsid w:val="003F5DB3"/>
    <w:rsid w:val="003F5FC7"/>
    <w:rsid w:val="003F65DA"/>
    <w:rsid w:val="003F68BB"/>
    <w:rsid w:val="003F6A75"/>
    <w:rsid w:val="003F6B09"/>
    <w:rsid w:val="003F6C26"/>
    <w:rsid w:val="003F6E6C"/>
    <w:rsid w:val="003F7553"/>
    <w:rsid w:val="003F7783"/>
    <w:rsid w:val="003F7913"/>
    <w:rsid w:val="003F792B"/>
    <w:rsid w:val="003F79AD"/>
    <w:rsid w:val="003F7E0F"/>
    <w:rsid w:val="003F7EF1"/>
    <w:rsid w:val="003F7F79"/>
    <w:rsid w:val="004001B0"/>
    <w:rsid w:val="004006B0"/>
    <w:rsid w:val="00400C5B"/>
    <w:rsid w:val="00400E04"/>
    <w:rsid w:val="00400E65"/>
    <w:rsid w:val="00401143"/>
    <w:rsid w:val="0040161E"/>
    <w:rsid w:val="004017CD"/>
    <w:rsid w:val="00401851"/>
    <w:rsid w:val="00401859"/>
    <w:rsid w:val="00401986"/>
    <w:rsid w:val="00402188"/>
    <w:rsid w:val="0040258B"/>
    <w:rsid w:val="004028A7"/>
    <w:rsid w:val="0040299B"/>
    <w:rsid w:val="00402F77"/>
    <w:rsid w:val="00403FCD"/>
    <w:rsid w:val="0040450A"/>
    <w:rsid w:val="004046F2"/>
    <w:rsid w:val="00404957"/>
    <w:rsid w:val="004050CC"/>
    <w:rsid w:val="00405D6D"/>
    <w:rsid w:val="00405DFC"/>
    <w:rsid w:val="00405F51"/>
    <w:rsid w:val="00405FBF"/>
    <w:rsid w:val="00406197"/>
    <w:rsid w:val="00406389"/>
    <w:rsid w:val="00406476"/>
    <w:rsid w:val="004065DA"/>
    <w:rsid w:val="0040667F"/>
    <w:rsid w:val="004069F5"/>
    <w:rsid w:val="00406A96"/>
    <w:rsid w:val="00406ADD"/>
    <w:rsid w:val="00406E7F"/>
    <w:rsid w:val="0040739A"/>
    <w:rsid w:val="004076D4"/>
    <w:rsid w:val="004077A6"/>
    <w:rsid w:val="00407978"/>
    <w:rsid w:val="00407DD7"/>
    <w:rsid w:val="00407F2F"/>
    <w:rsid w:val="00410899"/>
    <w:rsid w:val="004110B5"/>
    <w:rsid w:val="00411198"/>
    <w:rsid w:val="0041120E"/>
    <w:rsid w:val="0041149F"/>
    <w:rsid w:val="0041203F"/>
    <w:rsid w:val="00412811"/>
    <w:rsid w:val="0041290E"/>
    <w:rsid w:val="00412BBB"/>
    <w:rsid w:val="00412EAA"/>
    <w:rsid w:val="004131DF"/>
    <w:rsid w:val="0041347C"/>
    <w:rsid w:val="004134EB"/>
    <w:rsid w:val="00413702"/>
    <w:rsid w:val="0041391E"/>
    <w:rsid w:val="00414886"/>
    <w:rsid w:val="0041566A"/>
    <w:rsid w:val="00415903"/>
    <w:rsid w:val="00415B1C"/>
    <w:rsid w:val="00415F9C"/>
    <w:rsid w:val="00415FD4"/>
    <w:rsid w:val="00416193"/>
    <w:rsid w:val="00416FBD"/>
    <w:rsid w:val="004174E7"/>
    <w:rsid w:val="00417505"/>
    <w:rsid w:val="004178FB"/>
    <w:rsid w:val="00417BAC"/>
    <w:rsid w:val="00417E07"/>
    <w:rsid w:val="00417F13"/>
    <w:rsid w:val="00417F5B"/>
    <w:rsid w:val="00420167"/>
    <w:rsid w:val="004205BA"/>
    <w:rsid w:val="00420697"/>
    <w:rsid w:val="00421C3C"/>
    <w:rsid w:val="00421C5D"/>
    <w:rsid w:val="00421E91"/>
    <w:rsid w:val="00421FE6"/>
    <w:rsid w:val="004221C9"/>
    <w:rsid w:val="00422415"/>
    <w:rsid w:val="0042246A"/>
    <w:rsid w:val="00422492"/>
    <w:rsid w:val="0042273A"/>
    <w:rsid w:val="004228DE"/>
    <w:rsid w:val="00423119"/>
    <w:rsid w:val="0042387D"/>
    <w:rsid w:val="004239C3"/>
    <w:rsid w:val="00423BB8"/>
    <w:rsid w:val="00423C7F"/>
    <w:rsid w:val="00423CA3"/>
    <w:rsid w:val="00423D4D"/>
    <w:rsid w:val="0042402B"/>
    <w:rsid w:val="004241C5"/>
    <w:rsid w:val="004249C3"/>
    <w:rsid w:val="00424FB7"/>
    <w:rsid w:val="004256B2"/>
    <w:rsid w:val="004256DE"/>
    <w:rsid w:val="00425745"/>
    <w:rsid w:val="00425CEC"/>
    <w:rsid w:val="00426019"/>
    <w:rsid w:val="0042643B"/>
    <w:rsid w:val="0042648E"/>
    <w:rsid w:val="0042696B"/>
    <w:rsid w:val="0042697C"/>
    <w:rsid w:val="00426BF4"/>
    <w:rsid w:val="00426E15"/>
    <w:rsid w:val="00426E82"/>
    <w:rsid w:val="00427052"/>
    <w:rsid w:val="004270D0"/>
    <w:rsid w:val="004275CC"/>
    <w:rsid w:val="00427887"/>
    <w:rsid w:val="0043017E"/>
    <w:rsid w:val="004302DA"/>
    <w:rsid w:val="004304F3"/>
    <w:rsid w:val="0043123D"/>
    <w:rsid w:val="00431B01"/>
    <w:rsid w:val="00431BDB"/>
    <w:rsid w:val="00431C18"/>
    <w:rsid w:val="00431DBB"/>
    <w:rsid w:val="00431F3E"/>
    <w:rsid w:val="00432044"/>
    <w:rsid w:val="0043206C"/>
    <w:rsid w:val="0043232C"/>
    <w:rsid w:val="00432331"/>
    <w:rsid w:val="00432412"/>
    <w:rsid w:val="00432456"/>
    <w:rsid w:val="004329DA"/>
    <w:rsid w:val="00432F31"/>
    <w:rsid w:val="0043328A"/>
    <w:rsid w:val="00433D05"/>
    <w:rsid w:val="0043466B"/>
    <w:rsid w:val="00434892"/>
    <w:rsid w:val="00434DAC"/>
    <w:rsid w:val="004359C5"/>
    <w:rsid w:val="00435EEC"/>
    <w:rsid w:val="0043633F"/>
    <w:rsid w:val="00436AD2"/>
    <w:rsid w:val="00437A4A"/>
    <w:rsid w:val="00437D49"/>
    <w:rsid w:val="00440118"/>
    <w:rsid w:val="004404D7"/>
    <w:rsid w:val="0044087F"/>
    <w:rsid w:val="00440B92"/>
    <w:rsid w:val="00440D86"/>
    <w:rsid w:val="00441CD2"/>
    <w:rsid w:val="004420DC"/>
    <w:rsid w:val="004423DD"/>
    <w:rsid w:val="00442CF5"/>
    <w:rsid w:val="00442E61"/>
    <w:rsid w:val="00443016"/>
    <w:rsid w:val="004433A3"/>
    <w:rsid w:val="00443478"/>
    <w:rsid w:val="00443AFB"/>
    <w:rsid w:val="00443EDE"/>
    <w:rsid w:val="00444695"/>
    <w:rsid w:val="00444895"/>
    <w:rsid w:val="00444E53"/>
    <w:rsid w:val="004450D7"/>
    <w:rsid w:val="0044536B"/>
    <w:rsid w:val="00445ADC"/>
    <w:rsid w:val="00445FAD"/>
    <w:rsid w:val="004460B5"/>
    <w:rsid w:val="004461C3"/>
    <w:rsid w:val="00446289"/>
    <w:rsid w:val="00446D00"/>
    <w:rsid w:val="00446E8E"/>
    <w:rsid w:val="0044700D"/>
    <w:rsid w:val="004471BD"/>
    <w:rsid w:val="004471E8"/>
    <w:rsid w:val="00447202"/>
    <w:rsid w:val="00447230"/>
    <w:rsid w:val="0045003A"/>
    <w:rsid w:val="004500DE"/>
    <w:rsid w:val="00450361"/>
    <w:rsid w:val="00450521"/>
    <w:rsid w:val="0045064B"/>
    <w:rsid w:val="004506A5"/>
    <w:rsid w:val="0045169A"/>
    <w:rsid w:val="00451BC6"/>
    <w:rsid w:val="00451F72"/>
    <w:rsid w:val="004520F1"/>
    <w:rsid w:val="00452323"/>
    <w:rsid w:val="00452CD6"/>
    <w:rsid w:val="0045348F"/>
    <w:rsid w:val="00453931"/>
    <w:rsid w:val="00454139"/>
    <w:rsid w:val="0045425C"/>
    <w:rsid w:val="004544FD"/>
    <w:rsid w:val="00454B9B"/>
    <w:rsid w:val="00454EEF"/>
    <w:rsid w:val="00455818"/>
    <w:rsid w:val="0045583A"/>
    <w:rsid w:val="00456C29"/>
    <w:rsid w:val="00456C7F"/>
    <w:rsid w:val="0045745F"/>
    <w:rsid w:val="00457851"/>
    <w:rsid w:val="00457881"/>
    <w:rsid w:val="00457A8D"/>
    <w:rsid w:val="00457F36"/>
    <w:rsid w:val="0046032C"/>
    <w:rsid w:val="004606E3"/>
    <w:rsid w:val="00460BE9"/>
    <w:rsid w:val="004610F7"/>
    <w:rsid w:val="0046116A"/>
    <w:rsid w:val="004611AB"/>
    <w:rsid w:val="00461599"/>
    <w:rsid w:val="00461804"/>
    <w:rsid w:val="0046196A"/>
    <w:rsid w:val="00461E92"/>
    <w:rsid w:val="00461E9B"/>
    <w:rsid w:val="004620DE"/>
    <w:rsid w:val="0046228A"/>
    <w:rsid w:val="004623A8"/>
    <w:rsid w:val="00462901"/>
    <w:rsid w:val="00462973"/>
    <w:rsid w:val="00462A50"/>
    <w:rsid w:val="00462B55"/>
    <w:rsid w:val="00462D0D"/>
    <w:rsid w:val="0046330C"/>
    <w:rsid w:val="004633EF"/>
    <w:rsid w:val="0046372C"/>
    <w:rsid w:val="00463E1F"/>
    <w:rsid w:val="00463EE0"/>
    <w:rsid w:val="00464747"/>
    <w:rsid w:val="00464DB0"/>
    <w:rsid w:val="004652E3"/>
    <w:rsid w:val="004655CA"/>
    <w:rsid w:val="00465762"/>
    <w:rsid w:val="0046592B"/>
    <w:rsid w:val="00465BBC"/>
    <w:rsid w:val="00465CBE"/>
    <w:rsid w:val="00465FDC"/>
    <w:rsid w:val="0046678D"/>
    <w:rsid w:val="00466ABF"/>
    <w:rsid w:val="0046739A"/>
    <w:rsid w:val="00467674"/>
    <w:rsid w:val="0046770C"/>
    <w:rsid w:val="00467BEC"/>
    <w:rsid w:val="0047038A"/>
    <w:rsid w:val="00470543"/>
    <w:rsid w:val="004705C0"/>
    <w:rsid w:val="00470D19"/>
    <w:rsid w:val="00470D61"/>
    <w:rsid w:val="00470F2D"/>
    <w:rsid w:val="004714DB"/>
    <w:rsid w:val="00471630"/>
    <w:rsid w:val="00471888"/>
    <w:rsid w:val="00471AF6"/>
    <w:rsid w:val="004721D1"/>
    <w:rsid w:val="0047255D"/>
    <w:rsid w:val="00472D39"/>
    <w:rsid w:val="0047330B"/>
    <w:rsid w:val="004734A2"/>
    <w:rsid w:val="004735BB"/>
    <w:rsid w:val="00473791"/>
    <w:rsid w:val="00473AF2"/>
    <w:rsid w:val="00473F2C"/>
    <w:rsid w:val="004748C0"/>
    <w:rsid w:val="0047492C"/>
    <w:rsid w:val="00474BA3"/>
    <w:rsid w:val="00474C2B"/>
    <w:rsid w:val="00474D52"/>
    <w:rsid w:val="00474E3F"/>
    <w:rsid w:val="00475007"/>
    <w:rsid w:val="004750BF"/>
    <w:rsid w:val="00475331"/>
    <w:rsid w:val="00475681"/>
    <w:rsid w:val="0047570A"/>
    <w:rsid w:val="00475862"/>
    <w:rsid w:val="00475B9D"/>
    <w:rsid w:val="00475FB2"/>
    <w:rsid w:val="0047623B"/>
    <w:rsid w:val="0047635A"/>
    <w:rsid w:val="00476366"/>
    <w:rsid w:val="0047671A"/>
    <w:rsid w:val="00476B01"/>
    <w:rsid w:val="0047787B"/>
    <w:rsid w:val="00477AA5"/>
    <w:rsid w:val="00480592"/>
    <w:rsid w:val="0048070C"/>
    <w:rsid w:val="0048083A"/>
    <w:rsid w:val="00480958"/>
    <w:rsid w:val="00480CA9"/>
    <w:rsid w:val="00480D72"/>
    <w:rsid w:val="00480DDA"/>
    <w:rsid w:val="00480DEC"/>
    <w:rsid w:val="00480EBA"/>
    <w:rsid w:val="00480FDE"/>
    <w:rsid w:val="0048107B"/>
    <w:rsid w:val="0048121F"/>
    <w:rsid w:val="00481397"/>
    <w:rsid w:val="004813E8"/>
    <w:rsid w:val="00481EA8"/>
    <w:rsid w:val="00482350"/>
    <w:rsid w:val="004823C4"/>
    <w:rsid w:val="00482424"/>
    <w:rsid w:val="004824E9"/>
    <w:rsid w:val="004824F5"/>
    <w:rsid w:val="00482831"/>
    <w:rsid w:val="00482F64"/>
    <w:rsid w:val="00483407"/>
    <w:rsid w:val="00483493"/>
    <w:rsid w:val="004834DF"/>
    <w:rsid w:val="00483611"/>
    <w:rsid w:val="00484380"/>
    <w:rsid w:val="00484C6F"/>
    <w:rsid w:val="00484EB2"/>
    <w:rsid w:val="0048526A"/>
    <w:rsid w:val="00485407"/>
    <w:rsid w:val="004854EC"/>
    <w:rsid w:val="00485626"/>
    <w:rsid w:val="00485725"/>
    <w:rsid w:val="004859D4"/>
    <w:rsid w:val="00485AF3"/>
    <w:rsid w:val="00485B44"/>
    <w:rsid w:val="00485DD7"/>
    <w:rsid w:val="00485E85"/>
    <w:rsid w:val="00485FD7"/>
    <w:rsid w:val="00486150"/>
    <w:rsid w:val="00486DA1"/>
    <w:rsid w:val="00486FAD"/>
    <w:rsid w:val="00487064"/>
    <w:rsid w:val="0048713D"/>
    <w:rsid w:val="00487444"/>
    <w:rsid w:val="004874E8"/>
    <w:rsid w:val="00487642"/>
    <w:rsid w:val="00487A0A"/>
    <w:rsid w:val="00487D79"/>
    <w:rsid w:val="00490674"/>
    <w:rsid w:val="00490992"/>
    <w:rsid w:val="00490BC7"/>
    <w:rsid w:val="004917E4"/>
    <w:rsid w:val="00491A16"/>
    <w:rsid w:val="00491D95"/>
    <w:rsid w:val="0049227E"/>
    <w:rsid w:val="004928A7"/>
    <w:rsid w:val="00492F4D"/>
    <w:rsid w:val="0049331D"/>
    <w:rsid w:val="004936D2"/>
    <w:rsid w:val="00493A51"/>
    <w:rsid w:val="00493C54"/>
    <w:rsid w:val="00494112"/>
    <w:rsid w:val="0049412E"/>
    <w:rsid w:val="004943A0"/>
    <w:rsid w:val="00494AAD"/>
    <w:rsid w:val="00494B6E"/>
    <w:rsid w:val="00495BD2"/>
    <w:rsid w:val="00495EF3"/>
    <w:rsid w:val="0049611C"/>
    <w:rsid w:val="004962F0"/>
    <w:rsid w:val="00496720"/>
    <w:rsid w:val="00496729"/>
    <w:rsid w:val="00497266"/>
    <w:rsid w:val="00497330"/>
    <w:rsid w:val="004A0A8D"/>
    <w:rsid w:val="004A1424"/>
    <w:rsid w:val="004A14A4"/>
    <w:rsid w:val="004A14BE"/>
    <w:rsid w:val="004A15C4"/>
    <w:rsid w:val="004A167D"/>
    <w:rsid w:val="004A198E"/>
    <w:rsid w:val="004A19C4"/>
    <w:rsid w:val="004A19C8"/>
    <w:rsid w:val="004A1F23"/>
    <w:rsid w:val="004A3200"/>
    <w:rsid w:val="004A3B45"/>
    <w:rsid w:val="004A3BD5"/>
    <w:rsid w:val="004A3D5F"/>
    <w:rsid w:val="004A4054"/>
    <w:rsid w:val="004A41F4"/>
    <w:rsid w:val="004A4F87"/>
    <w:rsid w:val="004A537C"/>
    <w:rsid w:val="004A5B9B"/>
    <w:rsid w:val="004A5BC8"/>
    <w:rsid w:val="004A5E3D"/>
    <w:rsid w:val="004A6568"/>
    <w:rsid w:val="004A66CF"/>
    <w:rsid w:val="004A677C"/>
    <w:rsid w:val="004A6D70"/>
    <w:rsid w:val="004A71F8"/>
    <w:rsid w:val="004A749E"/>
    <w:rsid w:val="004A74FC"/>
    <w:rsid w:val="004A75BA"/>
    <w:rsid w:val="004A783F"/>
    <w:rsid w:val="004A7AF4"/>
    <w:rsid w:val="004B00B7"/>
    <w:rsid w:val="004B0145"/>
    <w:rsid w:val="004B032A"/>
    <w:rsid w:val="004B0436"/>
    <w:rsid w:val="004B0704"/>
    <w:rsid w:val="004B097C"/>
    <w:rsid w:val="004B0ADB"/>
    <w:rsid w:val="004B0B4C"/>
    <w:rsid w:val="004B0B74"/>
    <w:rsid w:val="004B1455"/>
    <w:rsid w:val="004B1564"/>
    <w:rsid w:val="004B1A8F"/>
    <w:rsid w:val="004B1F4C"/>
    <w:rsid w:val="004B2247"/>
    <w:rsid w:val="004B2844"/>
    <w:rsid w:val="004B286A"/>
    <w:rsid w:val="004B2A2C"/>
    <w:rsid w:val="004B2BC3"/>
    <w:rsid w:val="004B32C9"/>
    <w:rsid w:val="004B350D"/>
    <w:rsid w:val="004B3CF2"/>
    <w:rsid w:val="004B4280"/>
    <w:rsid w:val="004B4289"/>
    <w:rsid w:val="004B492D"/>
    <w:rsid w:val="004B4A1A"/>
    <w:rsid w:val="004B5046"/>
    <w:rsid w:val="004B5718"/>
    <w:rsid w:val="004B5D83"/>
    <w:rsid w:val="004B6398"/>
    <w:rsid w:val="004B64A6"/>
    <w:rsid w:val="004B6590"/>
    <w:rsid w:val="004B6617"/>
    <w:rsid w:val="004B666F"/>
    <w:rsid w:val="004B6775"/>
    <w:rsid w:val="004B690A"/>
    <w:rsid w:val="004B6C4B"/>
    <w:rsid w:val="004B6D02"/>
    <w:rsid w:val="004B72FC"/>
    <w:rsid w:val="004B7442"/>
    <w:rsid w:val="004B7A81"/>
    <w:rsid w:val="004B7CC1"/>
    <w:rsid w:val="004B7E39"/>
    <w:rsid w:val="004B7ECB"/>
    <w:rsid w:val="004C00F1"/>
    <w:rsid w:val="004C05A9"/>
    <w:rsid w:val="004C06E6"/>
    <w:rsid w:val="004C0862"/>
    <w:rsid w:val="004C0C12"/>
    <w:rsid w:val="004C0CB7"/>
    <w:rsid w:val="004C0D1B"/>
    <w:rsid w:val="004C10A3"/>
    <w:rsid w:val="004C115A"/>
    <w:rsid w:val="004C1176"/>
    <w:rsid w:val="004C138C"/>
    <w:rsid w:val="004C17EE"/>
    <w:rsid w:val="004C19A9"/>
    <w:rsid w:val="004C19C9"/>
    <w:rsid w:val="004C1A05"/>
    <w:rsid w:val="004C1C36"/>
    <w:rsid w:val="004C22F1"/>
    <w:rsid w:val="004C24A0"/>
    <w:rsid w:val="004C257C"/>
    <w:rsid w:val="004C2828"/>
    <w:rsid w:val="004C3B88"/>
    <w:rsid w:val="004C3D30"/>
    <w:rsid w:val="004C4064"/>
    <w:rsid w:val="004C4096"/>
    <w:rsid w:val="004C45FD"/>
    <w:rsid w:val="004C4847"/>
    <w:rsid w:val="004C4ABD"/>
    <w:rsid w:val="004C4B08"/>
    <w:rsid w:val="004C4B86"/>
    <w:rsid w:val="004C53A7"/>
    <w:rsid w:val="004C550E"/>
    <w:rsid w:val="004C5825"/>
    <w:rsid w:val="004C59FD"/>
    <w:rsid w:val="004C63DB"/>
    <w:rsid w:val="004C6876"/>
    <w:rsid w:val="004C6A5F"/>
    <w:rsid w:val="004C6F60"/>
    <w:rsid w:val="004C6FC6"/>
    <w:rsid w:val="004C7156"/>
    <w:rsid w:val="004C7B3A"/>
    <w:rsid w:val="004C7CD6"/>
    <w:rsid w:val="004C7FEF"/>
    <w:rsid w:val="004D016D"/>
    <w:rsid w:val="004D0258"/>
    <w:rsid w:val="004D04A0"/>
    <w:rsid w:val="004D05BD"/>
    <w:rsid w:val="004D083A"/>
    <w:rsid w:val="004D0B45"/>
    <w:rsid w:val="004D0DEB"/>
    <w:rsid w:val="004D0FCE"/>
    <w:rsid w:val="004D114D"/>
    <w:rsid w:val="004D17E5"/>
    <w:rsid w:val="004D1808"/>
    <w:rsid w:val="004D19E4"/>
    <w:rsid w:val="004D1A39"/>
    <w:rsid w:val="004D22EA"/>
    <w:rsid w:val="004D26ED"/>
    <w:rsid w:val="004D301B"/>
    <w:rsid w:val="004D3CF8"/>
    <w:rsid w:val="004D4F1A"/>
    <w:rsid w:val="004D55CA"/>
    <w:rsid w:val="004D588F"/>
    <w:rsid w:val="004D58E5"/>
    <w:rsid w:val="004D5A2F"/>
    <w:rsid w:val="004D61C0"/>
    <w:rsid w:val="004D6261"/>
    <w:rsid w:val="004D68D1"/>
    <w:rsid w:val="004D6F0F"/>
    <w:rsid w:val="004D6F50"/>
    <w:rsid w:val="004D7531"/>
    <w:rsid w:val="004D75D9"/>
    <w:rsid w:val="004D7BA1"/>
    <w:rsid w:val="004D7C30"/>
    <w:rsid w:val="004E02A4"/>
    <w:rsid w:val="004E03D3"/>
    <w:rsid w:val="004E04DB"/>
    <w:rsid w:val="004E06A0"/>
    <w:rsid w:val="004E0AA9"/>
    <w:rsid w:val="004E0D04"/>
    <w:rsid w:val="004E1124"/>
    <w:rsid w:val="004E14AB"/>
    <w:rsid w:val="004E1841"/>
    <w:rsid w:val="004E18A6"/>
    <w:rsid w:val="004E1B61"/>
    <w:rsid w:val="004E2394"/>
    <w:rsid w:val="004E243E"/>
    <w:rsid w:val="004E25BB"/>
    <w:rsid w:val="004E25BD"/>
    <w:rsid w:val="004E28F5"/>
    <w:rsid w:val="004E2BBF"/>
    <w:rsid w:val="004E2FBE"/>
    <w:rsid w:val="004E3094"/>
    <w:rsid w:val="004E3701"/>
    <w:rsid w:val="004E3714"/>
    <w:rsid w:val="004E3A23"/>
    <w:rsid w:val="004E499C"/>
    <w:rsid w:val="004E4AB7"/>
    <w:rsid w:val="004E4C21"/>
    <w:rsid w:val="004E4DCB"/>
    <w:rsid w:val="004E55DD"/>
    <w:rsid w:val="004E55E9"/>
    <w:rsid w:val="004E5C3D"/>
    <w:rsid w:val="004E5C85"/>
    <w:rsid w:val="004E5DBC"/>
    <w:rsid w:val="004E792E"/>
    <w:rsid w:val="004F04C0"/>
    <w:rsid w:val="004F0ABC"/>
    <w:rsid w:val="004F0AC6"/>
    <w:rsid w:val="004F0D97"/>
    <w:rsid w:val="004F1156"/>
    <w:rsid w:val="004F1556"/>
    <w:rsid w:val="004F163A"/>
    <w:rsid w:val="004F1C55"/>
    <w:rsid w:val="004F1D50"/>
    <w:rsid w:val="004F24C2"/>
    <w:rsid w:val="004F26B5"/>
    <w:rsid w:val="004F2831"/>
    <w:rsid w:val="004F296F"/>
    <w:rsid w:val="004F2A4B"/>
    <w:rsid w:val="004F2EF2"/>
    <w:rsid w:val="004F325A"/>
    <w:rsid w:val="004F3A15"/>
    <w:rsid w:val="004F3A5B"/>
    <w:rsid w:val="004F3A79"/>
    <w:rsid w:val="004F4566"/>
    <w:rsid w:val="004F48BF"/>
    <w:rsid w:val="004F48E8"/>
    <w:rsid w:val="004F503D"/>
    <w:rsid w:val="004F5508"/>
    <w:rsid w:val="004F5BA3"/>
    <w:rsid w:val="004F60D3"/>
    <w:rsid w:val="004F6247"/>
    <w:rsid w:val="004F69ED"/>
    <w:rsid w:val="004F6C85"/>
    <w:rsid w:val="004F6CF6"/>
    <w:rsid w:val="004F6D43"/>
    <w:rsid w:val="004F7137"/>
    <w:rsid w:val="004F7465"/>
    <w:rsid w:val="004F75DE"/>
    <w:rsid w:val="004F79E2"/>
    <w:rsid w:val="004F7B8D"/>
    <w:rsid w:val="004F7C25"/>
    <w:rsid w:val="004F7CE5"/>
    <w:rsid w:val="004F7FA8"/>
    <w:rsid w:val="005002E5"/>
    <w:rsid w:val="00500483"/>
    <w:rsid w:val="00500494"/>
    <w:rsid w:val="0050057F"/>
    <w:rsid w:val="005007AD"/>
    <w:rsid w:val="00500F07"/>
    <w:rsid w:val="00500F0E"/>
    <w:rsid w:val="00500F7B"/>
    <w:rsid w:val="0050113D"/>
    <w:rsid w:val="00501919"/>
    <w:rsid w:val="00501C5F"/>
    <w:rsid w:val="00501CE2"/>
    <w:rsid w:val="00501DAA"/>
    <w:rsid w:val="005026E7"/>
    <w:rsid w:val="00502F63"/>
    <w:rsid w:val="005035FB"/>
    <w:rsid w:val="0050370D"/>
    <w:rsid w:val="0050397B"/>
    <w:rsid w:val="00503DD2"/>
    <w:rsid w:val="00504995"/>
    <w:rsid w:val="005049B2"/>
    <w:rsid w:val="00504AB6"/>
    <w:rsid w:val="00504B61"/>
    <w:rsid w:val="00504CE9"/>
    <w:rsid w:val="00505318"/>
    <w:rsid w:val="00505381"/>
    <w:rsid w:val="005053B9"/>
    <w:rsid w:val="00505AB8"/>
    <w:rsid w:val="00505B11"/>
    <w:rsid w:val="005065F7"/>
    <w:rsid w:val="00506745"/>
    <w:rsid w:val="00506B23"/>
    <w:rsid w:val="005071F2"/>
    <w:rsid w:val="00507D63"/>
    <w:rsid w:val="00507E81"/>
    <w:rsid w:val="005100D9"/>
    <w:rsid w:val="00510162"/>
    <w:rsid w:val="0051032D"/>
    <w:rsid w:val="00510EDC"/>
    <w:rsid w:val="00510F49"/>
    <w:rsid w:val="00511273"/>
    <w:rsid w:val="00511346"/>
    <w:rsid w:val="0051138F"/>
    <w:rsid w:val="00511702"/>
    <w:rsid w:val="00511A22"/>
    <w:rsid w:val="00511E02"/>
    <w:rsid w:val="00511E6C"/>
    <w:rsid w:val="00512378"/>
    <w:rsid w:val="00512D57"/>
    <w:rsid w:val="00512DBB"/>
    <w:rsid w:val="00512F27"/>
    <w:rsid w:val="0051309C"/>
    <w:rsid w:val="005130AF"/>
    <w:rsid w:val="00514360"/>
    <w:rsid w:val="00514546"/>
    <w:rsid w:val="00514813"/>
    <w:rsid w:val="00514B96"/>
    <w:rsid w:val="00515188"/>
    <w:rsid w:val="00515ACE"/>
    <w:rsid w:val="0051601B"/>
    <w:rsid w:val="00516342"/>
    <w:rsid w:val="00516B79"/>
    <w:rsid w:val="00516BFE"/>
    <w:rsid w:val="00516E3D"/>
    <w:rsid w:val="005176FC"/>
    <w:rsid w:val="00517A70"/>
    <w:rsid w:val="00517E3D"/>
    <w:rsid w:val="0052054D"/>
    <w:rsid w:val="005208B6"/>
    <w:rsid w:val="00520F11"/>
    <w:rsid w:val="00521491"/>
    <w:rsid w:val="00521782"/>
    <w:rsid w:val="00521C27"/>
    <w:rsid w:val="00521D5D"/>
    <w:rsid w:val="00521FCC"/>
    <w:rsid w:val="00522261"/>
    <w:rsid w:val="00522755"/>
    <w:rsid w:val="005233CB"/>
    <w:rsid w:val="005236E9"/>
    <w:rsid w:val="00523A0F"/>
    <w:rsid w:val="00523A9A"/>
    <w:rsid w:val="00523F62"/>
    <w:rsid w:val="00523F8B"/>
    <w:rsid w:val="005240CB"/>
    <w:rsid w:val="00524486"/>
    <w:rsid w:val="00524493"/>
    <w:rsid w:val="005247EC"/>
    <w:rsid w:val="005248B7"/>
    <w:rsid w:val="0052494D"/>
    <w:rsid w:val="00524C39"/>
    <w:rsid w:val="00524F8B"/>
    <w:rsid w:val="005255DC"/>
    <w:rsid w:val="00526212"/>
    <w:rsid w:val="005268CC"/>
    <w:rsid w:val="005269DE"/>
    <w:rsid w:val="00526B64"/>
    <w:rsid w:val="00527065"/>
    <w:rsid w:val="0052793B"/>
    <w:rsid w:val="005279A7"/>
    <w:rsid w:val="00527CEA"/>
    <w:rsid w:val="00527E59"/>
    <w:rsid w:val="00530335"/>
    <w:rsid w:val="005308AB"/>
    <w:rsid w:val="00530D70"/>
    <w:rsid w:val="0053113A"/>
    <w:rsid w:val="0053129A"/>
    <w:rsid w:val="005315A6"/>
    <w:rsid w:val="00531732"/>
    <w:rsid w:val="005319C3"/>
    <w:rsid w:val="00531D7D"/>
    <w:rsid w:val="00532073"/>
    <w:rsid w:val="00532382"/>
    <w:rsid w:val="005323F0"/>
    <w:rsid w:val="0053261C"/>
    <w:rsid w:val="00532A0A"/>
    <w:rsid w:val="00532D19"/>
    <w:rsid w:val="0053327A"/>
    <w:rsid w:val="005334EE"/>
    <w:rsid w:val="00534737"/>
    <w:rsid w:val="00534928"/>
    <w:rsid w:val="00534D64"/>
    <w:rsid w:val="0053504C"/>
    <w:rsid w:val="005350ED"/>
    <w:rsid w:val="00535168"/>
    <w:rsid w:val="00535C5E"/>
    <w:rsid w:val="005361EB"/>
    <w:rsid w:val="005366EF"/>
    <w:rsid w:val="0053679F"/>
    <w:rsid w:val="00537172"/>
    <w:rsid w:val="00537623"/>
    <w:rsid w:val="00537669"/>
    <w:rsid w:val="00537709"/>
    <w:rsid w:val="00537C61"/>
    <w:rsid w:val="00537D31"/>
    <w:rsid w:val="0054064B"/>
    <w:rsid w:val="0054076F"/>
    <w:rsid w:val="00540B75"/>
    <w:rsid w:val="00540C11"/>
    <w:rsid w:val="00540EEE"/>
    <w:rsid w:val="005413B2"/>
    <w:rsid w:val="0054180F"/>
    <w:rsid w:val="0054256A"/>
    <w:rsid w:val="005426C3"/>
    <w:rsid w:val="00542812"/>
    <w:rsid w:val="005429DA"/>
    <w:rsid w:val="00543077"/>
    <w:rsid w:val="005438F8"/>
    <w:rsid w:val="00543E38"/>
    <w:rsid w:val="00543F74"/>
    <w:rsid w:val="00543FEA"/>
    <w:rsid w:val="0054401B"/>
    <w:rsid w:val="00544104"/>
    <w:rsid w:val="00544531"/>
    <w:rsid w:val="00544570"/>
    <w:rsid w:val="0054496A"/>
    <w:rsid w:val="00544EDE"/>
    <w:rsid w:val="00545080"/>
    <w:rsid w:val="0054575F"/>
    <w:rsid w:val="005457F7"/>
    <w:rsid w:val="00545842"/>
    <w:rsid w:val="00545B57"/>
    <w:rsid w:val="00545EFE"/>
    <w:rsid w:val="00546034"/>
    <w:rsid w:val="005463CC"/>
    <w:rsid w:val="005464A1"/>
    <w:rsid w:val="005464F4"/>
    <w:rsid w:val="005466A5"/>
    <w:rsid w:val="00546834"/>
    <w:rsid w:val="00546EF4"/>
    <w:rsid w:val="005478A8"/>
    <w:rsid w:val="00547B0B"/>
    <w:rsid w:val="00547BAE"/>
    <w:rsid w:val="00547F0B"/>
    <w:rsid w:val="0054C022"/>
    <w:rsid w:val="0055010C"/>
    <w:rsid w:val="005502FB"/>
    <w:rsid w:val="00550379"/>
    <w:rsid w:val="00550418"/>
    <w:rsid w:val="00550EBF"/>
    <w:rsid w:val="00551449"/>
    <w:rsid w:val="005516F0"/>
    <w:rsid w:val="005524BF"/>
    <w:rsid w:val="00552D90"/>
    <w:rsid w:val="005531A9"/>
    <w:rsid w:val="005534AA"/>
    <w:rsid w:val="00553A7D"/>
    <w:rsid w:val="00553C76"/>
    <w:rsid w:val="00553C96"/>
    <w:rsid w:val="00553D2F"/>
    <w:rsid w:val="00553F93"/>
    <w:rsid w:val="0055424D"/>
    <w:rsid w:val="005542B9"/>
    <w:rsid w:val="00554367"/>
    <w:rsid w:val="005546EC"/>
    <w:rsid w:val="00554757"/>
    <w:rsid w:val="00554E2C"/>
    <w:rsid w:val="00555153"/>
    <w:rsid w:val="00555402"/>
    <w:rsid w:val="00555407"/>
    <w:rsid w:val="0055562E"/>
    <w:rsid w:val="0055594E"/>
    <w:rsid w:val="00555D04"/>
    <w:rsid w:val="00555D6B"/>
    <w:rsid w:val="00556417"/>
    <w:rsid w:val="00556BF9"/>
    <w:rsid w:val="00557177"/>
    <w:rsid w:val="00557271"/>
    <w:rsid w:val="0055730E"/>
    <w:rsid w:val="005576BC"/>
    <w:rsid w:val="00557794"/>
    <w:rsid w:val="00557C71"/>
    <w:rsid w:val="00557DC6"/>
    <w:rsid w:val="00557F79"/>
    <w:rsid w:val="0056036D"/>
    <w:rsid w:val="0056091A"/>
    <w:rsid w:val="0056096A"/>
    <w:rsid w:val="00560D55"/>
    <w:rsid w:val="00560FBC"/>
    <w:rsid w:val="005614D7"/>
    <w:rsid w:val="0056165E"/>
    <w:rsid w:val="00562061"/>
    <w:rsid w:val="005621D8"/>
    <w:rsid w:val="00562BA6"/>
    <w:rsid w:val="00562CE1"/>
    <w:rsid w:val="0056379E"/>
    <w:rsid w:val="00563C17"/>
    <w:rsid w:val="00563D96"/>
    <w:rsid w:val="005644EA"/>
    <w:rsid w:val="00564584"/>
    <w:rsid w:val="0056469A"/>
    <w:rsid w:val="00564BCF"/>
    <w:rsid w:val="00564CBC"/>
    <w:rsid w:val="005653A5"/>
    <w:rsid w:val="0056550F"/>
    <w:rsid w:val="005656C7"/>
    <w:rsid w:val="00565DAC"/>
    <w:rsid w:val="00566550"/>
    <w:rsid w:val="0056662E"/>
    <w:rsid w:val="00566859"/>
    <w:rsid w:val="0056737F"/>
    <w:rsid w:val="005674C9"/>
    <w:rsid w:val="005675B4"/>
    <w:rsid w:val="00567746"/>
    <w:rsid w:val="005677F7"/>
    <w:rsid w:val="00567929"/>
    <w:rsid w:val="00567D16"/>
    <w:rsid w:val="00567F16"/>
    <w:rsid w:val="00567FCB"/>
    <w:rsid w:val="005701EC"/>
    <w:rsid w:val="0057082B"/>
    <w:rsid w:val="00570836"/>
    <w:rsid w:val="00570C4B"/>
    <w:rsid w:val="00570D3E"/>
    <w:rsid w:val="005717DF"/>
    <w:rsid w:val="00571BA4"/>
    <w:rsid w:val="00571BDA"/>
    <w:rsid w:val="00571CDC"/>
    <w:rsid w:val="00571D87"/>
    <w:rsid w:val="00571E54"/>
    <w:rsid w:val="00571FD5"/>
    <w:rsid w:val="0057242C"/>
    <w:rsid w:val="0057245A"/>
    <w:rsid w:val="00572623"/>
    <w:rsid w:val="005727F9"/>
    <w:rsid w:val="005729F0"/>
    <w:rsid w:val="00572B6C"/>
    <w:rsid w:val="00572EFF"/>
    <w:rsid w:val="00573396"/>
    <w:rsid w:val="00573553"/>
    <w:rsid w:val="00573A58"/>
    <w:rsid w:val="00573C93"/>
    <w:rsid w:val="00574880"/>
    <w:rsid w:val="0057492E"/>
    <w:rsid w:val="005751CB"/>
    <w:rsid w:val="00575993"/>
    <w:rsid w:val="00575BD0"/>
    <w:rsid w:val="00575C5B"/>
    <w:rsid w:val="00575E7A"/>
    <w:rsid w:val="00576166"/>
    <w:rsid w:val="005767F7"/>
    <w:rsid w:val="005768F4"/>
    <w:rsid w:val="00576AC4"/>
    <w:rsid w:val="00576C46"/>
    <w:rsid w:val="005774CF"/>
    <w:rsid w:val="0057783D"/>
    <w:rsid w:val="00577B77"/>
    <w:rsid w:val="00577DE8"/>
    <w:rsid w:val="0058052B"/>
    <w:rsid w:val="0058064B"/>
    <w:rsid w:val="005808CE"/>
    <w:rsid w:val="00580B49"/>
    <w:rsid w:val="00581338"/>
    <w:rsid w:val="0058137C"/>
    <w:rsid w:val="00581669"/>
    <w:rsid w:val="00581A73"/>
    <w:rsid w:val="00581C03"/>
    <w:rsid w:val="00581ECB"/>
    <w:rsid w:val="00581EFB"/>
    <w:rsid w:val="00581FAB"/>
    <w:rsid w:val="00582472"/>
    <w:rsid w:val="00582745"/>
    <w:rsid w:val="00582796"/>
    <w:rsid w:val="0058291F"/>
    <w:rsid w:val="00582CA5"/>
    <w:rsid w:val="00582DAA"/>
    <w:rsid w:val="00582ECE"/>
    <w:rsid w:val="00583082"/>
    <w:rsid w:val="0058341D"/>
    <w:rsid w:val="005835A9"/>
    <w:rsid w:val="005836E7"/>
    <w:rsid w:val="00583F2B"/>
    <w:rsid w:val="005844BE"/>
    <w:rsid w:val="00584828"/>
    <w:rsid w:val="00584854"/>
    <w:rsid w:val="00584E19"/>
    <w:rsid w:val="005854B8"/>
    <w:rsid w:val="00585653"/>
    <w:rsid w:val="0058568B"/>
    <w:rsid w:val="0058587B"/>
    <w:rsid w:val="00585A11"/>
    <w:rsid w:val="00585B77"/>
    <w:rsid w:val="0058600B"/>
    <w:rsid w:val="005861FD"/>
    <w:rsid w:val="005862A0"/>
    <w:rsid w:val="00586823"/>
    <w:rsid w:val="005870DE"/>
    <w:rsid w:val="00587475"/>
    <w:rsid w:val="005876F3"/>
    <w:rsid w:val="00587F09"/>
    <w:rsid w:val="005902C3"/>
    <w:rsid w:val="00590569"/>
    <w:rsid w:val="005905FD"/>
    <w:rsid w:val="00590970"/>
    <w:rsid w:val="00590F96"/>
    <w:rsid w:val="005912FC"/>
    <w:rsid w:val="00591537"/>
    <w:rsid w:val="0059159E"/>
    <w:rsid w:val="005919B4"/>
    <w:rsid w:val="00592738"/>
    <w:rsid w:val="00592957"/>
    <w:rsid w:val="00592B75"/>
    <w:rsid w:val="00592D8F"/>
    <w:rsid w:val="00592D9E"/>
    <w:rsid w:val="00592F71"/>
    <w:rsid w:val="005937DE"/>
    <w:rsid w:val="0059389A"/>
    <w:rsid w:val="005938B4"/>
    <w:rsid w:val="00593CF0"/>
    <w:rsid w:val="00593D82"/>
    <w:rsid w:val="00593EC0"/>
    <w:rsid w:val="0059409A"/>
    <w:rsid w:val="00594226"/>
    <w:rsid w:val="005946C0"/>
    <w:rsid w:val="0059475C"/>
    <w:rsid w:val="00594774"/>
    <w:rsid w:val="00594A02"/>
    <w:rsid w:val="00594E01"/>
    <w:rsid w:val="00594E6A"/>
    <w:rsid w:val="00594F49"/>
    <w:rsid w:val="00595033"/>
    <w:rsid w:val="00595FF8"/>
    <w:rsid w:val="005960CE"/>
    <w:rsid w:val="00596532"/>
    <w:rsid w:val="005972EA"/>
    <w:rsid w:val="00597990"/>
    <w:rsid w:val="00597B65"/>
    <w:rsid w:val="00597BE8"/>
    <w:rsid w:val="00597F18"/>
    <w:rsid w:val="005A01A3"/>
    <w:rsid w:val="005A0224"/>
    <w:rsid w:val="005A0386"/>
    <w:rsid w:val="005A0413"/>
    <w:rsid w:val="005A051F"/>
    <w:rsid w:val="005A06D0"/>
    <w:rsid w:val="005A0CBE"/>
    <w:rsid w:val="005A1107"/>
    <w:rsid w:val="005A1128"/>
    <w:rsid w:val="005A1348"/>
    <w:rsid w:val="005A178B"/>
    <w:rsid w:val="005A17AA"/>
    <w:rsid w:val="005A1B55"/>
    <w:rsid w:val="005A1C12"/>
    <w:rsid w:val="005A1F92"/>
    <w:rsid w:val="005A275B"/>
    <w:rsid w:val="005A2CE7"/>
    <w:rsid w:val="005A308E"/>
    <w:rsid w:val="005A36D5"/>
    <w:rsid w:val="005A3880"/>
    <w:rsid w:val="005A3C4C"/>
    <w:rsid w:val="005A3D84"/>
    <w:rsid w:val="005A4378"/>
    <w:rsid w:val="005A4811"/>
    <w:rsid w:val="005A4AEF"/>
    <w:rsid w:val="005A4F5D"/>
    <w:rsid w:val="005A4FDE"/>
    <w:rsid w:val="005A5451"/>
    <w:rsid w:val="005A5605"/>
    <w:rsid w:val="005A5A93"/>
    <w:rsid w:val="005A5B2D"/>
    <w:rsid w:val="005A5FDB"/>
    <w:rsid w:val="005A6130"/>
    <w:rsid w:val="005A614B"/>
    <w:rsid w:val="005A6915"/>
    <w:rsid w:val="005A692D"/>
    <w:rsid w:val="005A6ADE"/>
    <w:rsid w:val="005A6CE5"/>
    <w:rsid w:val="005A6D24"/>
    <w:rsid w:val="005A7183"/>
    <w:rsid w:val="005A720C"/>
    <w:rsid w:val="005A7259"/>
    <w:rsid w:val="005A74F2"/>
    <w:rsid w:val="005A7A90"/>
    <w:rsid w:val="005A7C52"/>
    <w:rsid w:val="005A7CAA"/>
    <w:rsid w:val="005B0169"/>
    <w:rsid w:val="005B0180"/>
    <w:rsid w:val="005B0515"/>
    <w:rsid w:val="005B0998"/>
    <w:rsid w:val="005B0F2D"/>
    <w:rsid w:val="005B1351"/>
    <w:rsid w:val="005B17A1"/>
    <w:rsid w:val="005B194C"/>
    <w:rsid w:val="005B1EB6"/>
    <w:rsid w:val="005B1FB6"/>
    <w:rsid w:val="005B21BB"/>
    <w:rsid w:val="005B2289"/>
    <w:rsid w:val="005B239C"/>
    <w:rsid w:val="005B2406"/>
    <w:rsid w:val="005B262A"/>
    <w:rsid w:val="005B292F"/>
    <w:rsid w:val="005B2E43"/>
    <w:rsid w:val="005B336D"/>
    <w:rsid w:val="005B3528"/>
    <w:rsid w:val="005B37A9"/>
    <w:rsid w:val="005B3C24"/>
    <w:rsid w:val="005B3F27"/>
    <w:rsid w:val="005B40FD"/>
    <w:rsid w:val="005B471D"/>
    <w:rsid w:val="005B49CF"/>
    <w:rsid w:val="005B4FD6"/>
    <w:rsid w:val="005B5096"/>
    <w:rsid w:val="005B53D8"/>
    <w:rsid w:val="005B5498"/>
    <w:rsid w:val="005B5E46"/>
    <w:rsid w:val="005B5F12"/>
    <w:rsid w:val="005B5F52"/>
    <w:rsid w:val="005B6291"/>
    <w:rsid w:val="005B6AC1"/>
    <w:rsid w:val="005B74C2"/>
    <w:rsid w:val="005B7D1C"/>
    <w:rsid w:val="005C0290"/>
    <w:rsid w:val="005C058E"/>
    <w:rsid w:val="005C05A4"/>
    <w:rsid w:val="005C07A3"/>
    <w:rsid w:val="005C0803"/>
    <w:rsid w:val="005C0921"/>
    <w:rsid w:val="005C0F5D"/>
    <w:rsid w:val="005C1043"/>
    <w:rsid w:val="005C1F90"/>
    <w:rsid w:val="005C29D6"/>
    <w:rsid w:val="005C2B78"/>
    <w:rsid w:val="005C2B7D"/>
    <w:rsid w:val="005C2CC6"/>
    <w:rsid w:val="005C2CEE"/>
    <w:rsid w:val="005C38CF"/>
    <w:rsid w:val="005C4219"/>
    <w:rsid w:val="005C4299"/>
    <w:rsid w:val="005C42A8"/>
    <w:rsid w:val="005C435F"/>
    <w:rsid w:val="005C448B"/>
    <w:rsid w:val="005C45CC"/>
    <w:rsid w:val="005C58B8"/>
    <w:rsid w:val="005C5AC5"/>
    <w:rsid w:val="005C5B53"/>
    <w:rsid w:val="005C5EEB"/>
    <w:rsid w:val="005C6141"/>
    <w:rsid w:val="005C6279"/>
    <w:rsid w:val="005C6322"/>
    <w:rsid w:val="005C68D0"/>
    <w:rsid w:val="005C72D9"/>
    <w:rsid w:val="005C7583"/>
    <w:rsid w:val="005C7628"/>
    <w:rsid w:val="005C7704"/>
    <w:rsid w:val="005C79D6"/>
    <w:rsid w:val="005C7FEF"/>
    <w:rsid w:val="005D01FF"/>
    <w:rsid w:val="005D0299"/>
    <w:rsid w:val="005D02F3"/>
    <w:rsid w:val="005D041C"/>
    <w:rsid w:val="005D04D7"/>
    <w:rsid w:val="005D067A"/>
    <w:rsid w:val="005D07C1"/>
    <w:rsid w:val="005D07D5"/>
    <w:rsid w:val="005D07FB"/>
    <w:rsid w:val="005D0960"/>
    <w:rsid w:val="005D0AF8"/>
    <w:rsid w:val="005D1575"/>
    <w:rsid w:val="005D1BA1"/>
    <w:rsid w:val="005D1BC9"/>
    <w:rsid w:val="005D237B"/>
    <w:rsid w:val="005D254C"/>
    <w:rsid w:val="005D255A"/>
    <w:rsid w:val="005D31A7"/>
    <w:rsid w:val="005D3268"/>
    <w:rsid w:val="005D34C8"/>
    <w:rsid w:val="005D39E6"/>
    <w:rsid w:val="005D3B43"/>
    <w:rsid w:val="005D3B9D"/>
    <w:rsid w:val="005D3C7D"/>
    <w:rsid w:val="005D4268"/>
    <w:rsid w:val="005D42F8"/>
    <w:rsid w:val="005D4632"/>
    <w:rsid w:val="005D48DA"/>
    <w:rsid w:val="005D4948"/>
    <w:rsid w:val="005D4A25"/>
    <w:rsid w:val="005D4A62"/>
    <w:rsid w:val="005D4AB5"/>
    <w:rsid w:val="005D4CD6"/>
    <w:rsid w:val="005D540E"/>
    <w:rsid w:val="005D5B8D"/>
    <w:rsid w:val="005D633A"/>
    <w:rsid w:val="005D65C7"/>
    <w:rsid w:val="005D6745"/>
    <w:rsid w:val="005D6B4A"/>
    <w:rsid w:val="005D6CE8"/>
    <w:rsid w:val="005D708A"/>
    <w:rsid w:val="005D750D"/>
    <w:rsid w:val="005D758E"/>
    <w:rsid w:val="005D75EA"/>
    <w:rsid w:val="005D77D9"/>
    <w:rsid w:val="005D7CD8"/>
    <w:rsid w:val="005E039B"/>
    <w:rsid w:val="005E08CD"/>
    <w:rsid w:val="005E0E82"/>
    <w:rsid w:val="005E14C6"/>
    <w:rsid w:val="005E14FE"/>
    <w:rsid w:val="005E198E"/>
    <w:rsid w:val="005E1BB1"/>
    <w:rsid w:val="005E1DB0"/>
    <w:rsid w:val="005E2048"/>
    <w:rsid w:val="005E25D9"/>
    <w:rsid w:val="005E2661"/>
    <w:rsid w:val="005E296F"/>
    <w:rsid w:val="005E2AFA"/>
    <w:rsid w:val="005E2BCA"/>
    <w:rsid w:val="005E3B96"/>
    <w:rsid w:val="005E3D30"/>
    <w:rsid w:val="005E3EDC"/>
    <w:rsid w:val="005E421D"/>
    <w:rsid w:val="005E451C"/>
    <w:rsid w:val="005E47EF"/>
    <w:rsid w:val="005E4AED"/>
    <w:rsid w:val="005E4B7B"/>
    <w:rsid w:val="005E4CCE"/>
    <w:rsid w:val="005E4F5A"/>
    <w:rsid w:val="005E5205"/>
    <w:rsid w:val="005E592A"/>
    <w:rsid w:val="005E5B02"/>
    <w:rsid w:val="005E5B74"/>
    <w:rsid w:val="005E69FD"/>
    <w:rsid w:val="005E6A63"/>
    <w:rsid w:val="005E6C74"/>
    <w:rsid w:val="005E6D53"/>
    <w:rsid w:val="005E7150"/>
    <w:rsid w:val="005E74BC"/>
    <w:rsid w:val="005E7C44"/>
    <w:rsid w:val="005F006C"/>
    <w:rsid w:val="005F0652"/>
    <w:rsid w:val="005F0A0C"/>
    <w:rsid w:val="005F0CE3"/>
    <w:rsid w:val="005F0D15"/>
    <w:rsid w:val="005F0ED5"/>
    <w:rsid w:val="005F11F0"/>
    <w:rsid w:val="005F13D7"/>
    <w:rsid w:val="005F1745"/>
    <w:rsid w:val="005F214A"/>
    <w:rsid w:val="005F266D"/>
    <w:rsid w:val="005F26FF"/>
    <w:rsid w:val="005F273E"/>
    <w:rsid w:val="005F3884"/>
    <w:rsid w:val="005F3B9D"/>
    <w:rsid w:val="005F3DC6"/>
    <w:rsid w:val="005F3E21"/>
    <w:rsid w:val="005F3E3A"/>
    <w:rsid w:val="005F3F6B"/>
    <w:rsid w:val="005F463F"/>
    <w:rsid w:val="005F4682"/>
    <w:rsid w:val="005F5498"/>
    <w:rsid w:val="005F5757"/>
    <w:rsid w:val="005F5963"/>
    <w:rsid w:val="005F5964"/>
    <w:rsid w:val="005F5A65"/>
    <w:rsid w:val="005F5BE6"/>
    <w:rsid w:val="005F6156"/>
    <w:rsid w:val="005F7086"/>
    <w:rsid w:val="005F77EE"/>
    <w:rsid w:val="005F7E7B"/>
    <w:rsid w:val="0060009A"/>
    <w:rsid w:val="006005FC"/>
    <w:rsid w:val="00600A57"/>
    <w:rsid w:val="00600DA8"/>
    <w:rsid w:val="00600DE7"/>
    <w:rsid w:val="00600E2B"/>
    <w:rsid w:val="00601433"/>
    <w:rsid w:val="006017FC"/>
    <w:rsid w:val="00601945"/>
    <w:rsid w:val="00601E23"/>
    <w:rsid w:val="006022B1"/>
    <w:rsid w:val="00603976"/>
    <w:rsid w:val="00603A66"/>
    <w:rsid w:val="00603B81"/>
    <w:rsid w:val="00603B8F"/>
    <w:rsid w:val="00604246"/>
    <w:rsid w:val="00604400"/>
    <w:rsid w:val="00604910"/>
    <w:rsid w:val="00604B2D"/>
    <w:rsid w:val="00604C29"/>
    <w:rsid w:val="00604D0A"/>
    <w:rsid w:val="00604E44"/>
    <w:rsid w:val="00604FFD"/>
    <w:rsid w:val="00605125"/>
    <w:rsid w:val="00605358"/>
    <w:rsid w:val="00605ACB"/>
    <w:rsid w:val="00605CF5"/>
    <w:rsid w:val="00605D8F"/>
    <w:rsid w:val="00605F1F"/>
    <w:rsid w:val="00606195"/>
    <w:rsid w:val="00606761"/>
    <w:rsid w:val="006069A6"/>
    <w:rsid w:val="00606AD7"/>
    <w:rsid w:val="00606B22"/>
    <w:rsid w:val="0060746F"/>
    <w:rsid w:val="00607754"/>
    <w:rsid w:val="006078F8"/>
    <w:rsid w:val="00607C3A"/>
    <w:rsid w:val="00607E6E"/>
    <w:rsid w:val="0061008D"/>
    <w:rsid w:val="00610138"/>
    <w:rsid w:val="006101A1"/>
    <w:rsid w:val="006104FD"/>
    <w:rsid w:val="00610782"/>
    <w:rsid w:val="00610853"/>
    <w:rsid w:val="006109F0"/>
    <w:rsid w:val="00610A83"/>
    <w:rsid w:val="006112E3"/>
    <w:rsid w:val="006113AA"/>
    <w:rsid w:val="0061144B"/>
    <w:rsid w:val="006114F2"/>
    <w:rsid w:val="006117C3"/>
    <w:rsid w:val="00611834"/>
    <w:rsid w:val="006118D3"/>
    <w:rsid w:val="0061252E"/>
    <w:rsid w:val="006126A3"/>
    <w:rsid w:val="00612E19"/>
    <w:rsid w:val="00612E72"/>
    <w:rsid w:val="006130C1"/>
    <w:rsid w:val="006133BD"/>
    <w:rsid w:val="00613BDF"/>
    <w:rsid w:val="00614012"/>
    <w:rsid w:val="0061488D"/>
    <w:rsid w:val="006148A6"/>
    <w:rsid w:val="0061493C"/>
    <w:rsid w:val="0061499D"/>
    <w:rsid w:val="00614CAD"/>
    <w:rsid w:val="00614E25"/>
    <w:rsid w:val="0061506B"/>
    <w:rsid w:val="006152E6"/>
    <w:rsid w:val="0061537B"/>
    <w:rsid w:val="006156E9"/>
    <w:rsid w:val="00615A14"/>
    <w:rsid w:val="00615E40"/>
    <w:rsid w:val="00616753"/>
    <w:rsid w:val="00616AEC"/>
    <w:rsid w:val="006172B6"/>
    <w:rsid w:val="0061744D"/>
    <w:rsid w:val="00617452"/>
    <w:rsid w:val="00617B79"/>
    <w:rsid w:val="00617C7F"/>
    <w:rsid w:val="00617FC2"/>
    <w:rsid w:val="00620315"/>
    <w:rsid w:val="00620489"/>
    <w:rsid w:val="006204B6"/>
    <w:rsid w:val="006207AC"/>
    <w:rsid w:val="006208D2"/>
    <w:rsid w:val="00620C95"/>
    <w:rsid w:val="00620CD5"/>
    <w:rsid w:val="00620E06"/>
    <w:rsid w:val="00620ECD"/>
    <w:rsid w:val="006211CF"/>
    <w:rsid w:val="00621357"/>
    <w:rsid w:val="00621434"/>
    <w:rsid w:val="0062144D"/>
    <w:rsid w:val="006215E3"/>
    <w:rsid w:val="006218D8"/>
    <w:rsid w:val="00621A29"/>
    <w:rsid w:val="00622917"/>
    <w:rsid w:val="006229E8"/>
    <w:rsid w:val="00622DB5"/>
    <w:rsid w:val="00623C9B"/>
    <w:rsid w:val="00624032"/>
    <w:rsid w:val="00624162"/>
    <w:rsid w:val="006246E4"/>
    <w:rsid w:val="006248E3"/>
    <w:rsid w:val="00624D6B"/>
    <w:rsid w:val="0062543C"/>
    <w:rsid w:val="006254A3"/>
    <w:rsid w:val="006256A3"/>
    <w:rsid w:val="006257D8"/>
    <w:rsid w:val="006259D8"/>
    <w:rsid w:val="00625C49"/>
    <w:rsid w:val="0062619D"/>
    <w:rsid w:val="006262A9"/>
    <w:rsid w:val="006264FC"/>
    <w:rsid w:val="00626D5C"/>
    <w:rsid w:val="006273A3"/>
    <w:rsid w:val="0062758D"/>
    <w:rsid w:val="006276BE"/>
    <w:rsid w:val="00627CCD"/>
    <w:rsid w:val="00627D43"/>
    <w:rsid w:val="00627F63"/>
    <w:rsid w:val="00630241"/>
    <w:rsid w:val="0063025B"/>
    <w:rsid w:val="00630548"/>
    <w:rsid w:val="00630ADE"/>
    <w:rsid w:val="006312EE"/>
    <w:rsid w:val="00631319"/>
    <w:rsid w:val="006313D9"/>
    <w:rsid w:val="0063157B"/>
    <w:rsid w:val="006317D5"/>
    <w:rsid w:val="006318AE"/>
    <w:rsid w:val="00631C71"/>
    <w:rsid w:val="00632745"/>
    <w:rsid w:val="006329E3"/>
    <w:rsid w:val="00632AB4"/>
    <w:rsid w:val="00632AED"/>
    <w:rsid w:val="00632EA0"/>
    <w:rsid w:val="0063315E"/>
    <w:rsid w:val="00633855"/>
    <w:rsid w:val="00633D01"/>
    <w:rsid w:val="00634115"/>
    <w:rsid w:val="0063462D"/>
    <w:rsid w:val="006346DC"/>
    <w:rsid w:val="00634A13"/>
    <w:rsid w:val="00634C0A"/>
    <w:rsid w:val="00634DB7"/>
    <w:rsid w:val="00634E27"/>
    <w:rsid w:val="006351C2"/>
    <w:rsid w:val="0063530C"/>
    <w:rsid w:val="00635484"/>
    <w:rsid w:val="006357B0"/>
    <w:rsid w:val="00635D00"/>
    <w:rsid w:val="00636B91"/>
    <w:rsid w:val="006372A5"/>
    <w:rsid w:val="00637594"/>
    <w:rsid w:val="00637A33"/>
    <w:rsid w:val="00637B36"/>
    <w:rsid w:val="00637C23"/>
    <w:rsid w:val="0064012C"/>
    <w:rsid w:val="006402F1"/>
    <w:rsid w:val="0064047D"/>
    <w:rsid w:val="006404E9"/>
    <w:rsid w:val="00640543"/>
    <w:rsid w:val="00640C15"/>
    <w:rsid w:val="00640F92"/>
    <w:rsid w:val="0064108F"/>
    <w:rsid w:val="00641209"/>
    <w:rsid w:val="00641213"/>
    <w:rsid w:val="006416E9"/>
    <w:rsid w:val="006419B4"/>
    <w:rsid w:val="00641A97"/>
    <w:rsid w:val="00641AC3"/>
    <w:rsid w:val="00641DB0"/>
    <w:rsid w:val="00642011"/>
    <w:rsid w:val="00642091"/>
    <w:rsid w:val="006425B5"/>
    <w:rsid w:val="0064264C"/>
    <w:rsid w:val="00642655"/>
    <w:rsid w:val="00642751"/>
    <w:rsid w:val="006427B1"/>
    <w:rsid w:val="00642812"/>
    <w:rsid w:val="00642CCB"/>
    <w:rsid w:val="00642D0C"/>
    <w:rsid w:val="0064362F"/>
    <w:rsid w:val="00643A25"/>
    <w:rsid w:val="00643A3E"/>
    <w:rsid w:val="00643B22"/>
    <w:rsid w:val="00643E91"/>
    <w:rsid w:val="00644330"/>
    <w:rsid w:val="00644A5B"/>
    <w:rsid w:val="00644FA3"/>
    <w:rsid w:val="00645244"/>
    <w:rsid w:val="0064530C"/>
    <w:rsid w:val="0064604C"/>
    <w:rsid w:val="0064639E"/>
    <w:rsid w:val="00646620"/>
    <w:rsid w:val="00646662"/>
    <w:rsid w:val="00646A9F"/>
    <w:rsid w:val="006502B3"/>
    <w:rsid w:val="00650A38"/>
    <w:rsid w:val="00650D18"/>
    <w:rsid w:val="0065112A"/>
    <w:rsid w:val="00651305"/>
    <w:rsid w:val="006513E2"/>
    <w:rsid w:val="006514D9"/>
    <w:rsid w:val="006517C8"/>
    <w:rsid w:val="00651C58"/>
    <w:rsid w:val="00651F0F"/>
    <w:rsid w:val="00652093"/>
    <w:rsid w:val="006520B4"/>
    <w:rsid w:val="006523EF"/>
    <w:rsid w:val="00652B55"/>
    <w:rsid w:val="00652C9E"/>
    <w:rsid w:val="00652D77"/>
    <w:rsid w:val="006535CC"/>
    <w:rsid w:val="006536EB"/>
    <w:rsid w:val="006539C5"/>
    <w:rsid w:val="00653AA2"/>
    <w:rsid w:val="0065427E"/>
    <w:rsid w:val="00654294"/>
    <w:rsid w:val="00654665"/>
    <w:rsid w:val="00654A03"/>
    <w:rsid w:val="00654E66"/>
    <w:rsid w:val="00654F8C"/>
    <w:rsid w:val="00655828"/>
    <w:rsid w:val="00655F19"/>
    <w:rsid w:val="006560F4"/>
    <w:rsid w:val="0065649D"/>
    <w:rsid w:val="006567AB"/>
    <w:rsid w:val="0065708A"/>
    <w:rsid w:val="00657461"/>
    <w:rsid w:val="0065754C"/>
    <w:rsid w:val="00657781"/>
    <w:rsid w:val="0065779E"/>
    <w:rsid w:val="006577D2"/>
    <w:rsid w:val="00657B29"/>
    <w:rsid w:val="0065F01F"/>
    <w:rsid w:val="0066013D"/>
    <w:rsid w:val="006604EB"/>
    <w:rsid w:val="00660CE2"/>
    <w:rsid w:val="0066135A"/>
    <w:rsid w:val="0066172E"/>
    <w:rsid w:val="00661779"/>
    <w:rsid w:val="00661829"/>
    <w:rsid w:val="006618CA"/>
    <w:rsid w:val="00661F17"/>
    <w:rsid w:val="00662240"/>
    <w:rsid w:val="0066233E"/>
    <w:rsid w:val="0066249D"/>
    <w:rsid w:val="006627AE"/>
    <w:rsid w:val="006630C2"/>
    <w:rsid w:val="006633F9"/>
    <w:rsid w:val="006635DC"/>
    <w:rsid w:val="0066374E"/>
    <w:rsid w:val="00663E66"/>
    <w:rsid w:val="00664018"/>
    <w:rsid w:val="006641A8"/>
    <w:rsid w:val="00664FCE"/>
    <w:rsid w:val="00665870"/>
    <w:rsid w:val="00665E13"/>
    <w:rsid w:val="00666554"/>
    <w:rsid w:val="006669C8"/>
    <w:rsid w:val="0066703C"/>
    <w:rsid w:val="00667080"/>
    <w:rsid w:val="006672B0"/>
    <w:rsid w:val="00667333"/>
    <w:rsid w:val="006673EB"/>
    <w:rsid w:val="00667408"/>
    <w:rsid w:val="00667F8A"/>
    <w:rsid w:val="006700AB"/>
    <w:rsid w:val="006701E4"/>
    <w:rsid w:val="00670558"/>
    <w:rsid w:val="00670600"/>
    <w:rsid w:val="006708D5"/>
    <w:rsid w:val="006719FF"/>
    <w:rsid w:val="00671A21"/>
    <w:rsid w:val="00671C3C"/>
    <w:rsid w:val="00671E12"/>
    <w:rsid w:val="00672295"/>
    <w:rsid w:val="00672390"/>
    <w:rsid w:val="00672921"/>
    <w:rsid w:val="00672AB7"/>
    <w:rsid w:val="00672AC3"/>
    <w:rsid w:val="00672D34"/>
    <w:rsid w:val="00673267"/>
    <w:rsid w:val="006734FE"/>
    <w:rsid w:val="006735F1"/>
    <w:rsid w:val="00673834"/>
    <w:rsid w:val="006739B0"/>
    <w:rsid w:val="00673BD4"/>
    <w:rsid w:val="00674C10"/>
    <w:rsid w:val="00674FDD"/>
    <w:rsid w:val="0067514B"/>
    <w:rsid w:val="006751FB"/>
    <w:rsid w:val="0067586D"/>
    <w:rsid w:val="00675AAD"/>
    <w:rsid w:val="00675ED0"/>
    <w:rsid w:val="00675EF6"/>
    <w:rsid w:val="0067622F"/>
    <w:rsid w:val="00676326"/>
    <w:rsid w:val="006767B2"/>
    <w:rsid w:val="00676B6B"/>
    <w:rsid w:val="00676C26"/>
    <w:rsid w:val="00676C51"/>
    <w:rsid w:val="00676FE2"/>
    <w:rsid w:val="006776EE"/>
    <w:rsid w:val="00677B6A"/>
    <w:rsid w:val="00677C8F"/>
    <w:rsid w:val="006806CC"/>
    <w:rsid w:val="00680A51"/>
    <w:rsid w:val="00680E21"/>
    <w:rsid w:val="00681566"/>
    <w:rsid w:val="006821D7"/>
    <w:rsid w:val="006829AE"/>
    <w:rsid w:val="00682FDD"/>
    <w:rsid w:val="00683050"/>
    <w:rsid w:val="00683054"/>
    <w:rsid w:val="00683069"/>
    <w:rsid w:val="006831C0"/>
    <w:rsid w:val="00683466"/>
    <w:rsid w:val="00683BBA"/>
    <w:rsid w:val="00683FAD"/>
    <w:rsid w:val="006842B4"/>
    <w:rsid w:val="006844EA"/>
    <w:rsid w:val="00684BB6"/>
    <w:rsid w:val="00684C23"/>
    <w:rsid w:val="00684DE5"/>
    <w:rsid w:val="00684F8C"/>
    <w:rsid w:val="00685401"/>
    <w:rsid w:val="006854DE"/>
    <w:rsid w:val="00685538"/>
    <w:rsid w:val="00685DB3"/>
    <w:rsid w:val="006861C3"/>
    <w:rsid w:val="006866F8"/>
    <w:rsid w:val="0068696D"/>
    <w:rsid w:val="00686E3E"/>
    <w:rsid w:val="006871ED"/>
    <w:rsid w:val="0068756A"/>
    <w:rsid w:val="00687919"/>
    <w:rsid w:val="00687A4C"/>
    <w:rsid w:val="00687CE8"/>
    <w:rsid w:val="00690041"/>
    <w:rsid w:val="0069006D"/>
    <w:rsid w:val="00690295"/>
    <w:rsid w:val="00690710"/>
    <w:rsid w:val="00692490"/>
    <w:rsid w:val="00693160"/>
    <w:rsid w:val="006932B4"/>
    <w:rsid w:val="00693529"/>
    <w:rsid w:val="00693B51"/>
    <w:rsid w:val="00693E79"/>
    <w:rsid w:val="00693E85"/>
    <w:rsid w:val="0069405F"/>
    <w:rsid w:val="006947F4"/>
    <w:rsid w:val="00694846"/>
    <w:rsid w:val="0069488A"/>
    <w:rsid w:val="0069495B"/>
    <w:rsid w:val="00694A52"/>
    <w:rsid w:val="00694C62"/>
    <w:rsid w:val="00694D59"/>
    <w:rsid w:val="00694D6A"/>
    <w:rsid w:val="00694E77"/>
    <w:rsid w:val="00694FA6"/>
    <w:rsid w:val="00695229"/>
    <w:rsid w:val="00695C01"/>
    <w:rsid w:val="00696269"/>
    <w:rsid w:val="00696EFF"/>
    <w:rsid w:val="006978CA"/>
    <w:rsid w:val="00697C77"/>
    <w:rsid w:val="00697DEB"/>
    <w:rsid w:val="006A027A"/>
    <w:rsid w:val="006A04CD"/>
    <w:rsid w:val="006A0865"/>
    <w:rsid w:val="006A0AA5"/>
    <w:rsid w:val="006A0C7E"/>
    <w:rsid w:val="006A0D8C"/>
    <w:rsid w:val="006A0D9B"/>
    <w:rsid w:val="006A10D0"/>
    <w:rsid w:val="006A1528"/>
    <w:rsid w:val="006A2AD2"/>
    <w:rsid w:val="006A2B0B"/>
    <w:rsid w:val="006A2D24"/>
    <w:rsid w:val="006A2E71"/>
    <w:rsid w:val="006A3196"/>
    <w:rsid w:val="006A35A6"/>
    <w:rsid w:val="006A37DC"/>
    <w:rsid w:val="006A3AC8"/>
    <w:rsid w:val="006A3C46"/>
    <w:rsid w:val="006A3C4E"/>
    <w:rsid w:val="006A3F28"/>
    <w:rsid w:val="006A4649"/>
    <w:rsid w:val="006A4A4D"/>
    <w:rsid w:val="006A4B7A"/>
    <w:rsid w:val="006A4CA5"/>
    <w:rsid w:val="006A4CDA"/>
    <w:rsid w:val="006A4EC7"/>
    <w:rsid w:val="006A55FB"/>
    <w:rsid w:val="006A602F"/>
    <w:rsid w:val="006A6D83"/>
    <w:rsid w:val="006A6E6F"/>
    <w:rsid w:val="006A6F94"/>
    <w:rsid w:val="006A7A40"/>
    <w:rsid w:val="006B00E6"/>
    <w:rsid w:val="006B0B11"/>
    <w:rsid w:val="006B14D2"/>
    <w:rsid w:val="006B1679"/>
    <w:rsid w:val="006B1CF2"/>
    <w:rsid w:val="006B1D5D"/>
    <w:rsid w:val="006B1DE7"/>
    <w:rsid w:val="006B1E1F"/>
    <w:rsid w:val="006B20AB"/>
    <w:rsid w:val="006B2380"/>
    <w:rsid w:val="006B2525"/>
    <w:rsid w:val="006B272B"/>
    <w:rsid w:val="006B2E8D"/>
    <w:rsid w:val="006B3813"/>
    <w:rsid w:val="006B3B60"/>
    <w:rsid w:val="006B41E1"/>
    <w:rsid w:val="006B48B0"/>
    <w:rsid w:val="006B49F5"/>
    <w:rsid w:val="006B4CF4"/>
    <w:rsid w:val="006B5975"/>
    <w:rsid w:val="006B5FBF"/>
    <w:rsid w:val="006B67A6"/>
    <w:rsid w:val="006B6875"/>
    <w:rsid w:val="006B6A07"/>
    <w:rsid w:val="006B6D5B"/>
    <w:rsid w:val="006B727D"/>
    <w:rsid w:val="006B7466"/>
    <w:rsid w:val="006B7485"/>
    <w:rsid w:val="006B77C4"/>
    <w:rsid w:val="006C00BF"/>
    <w:rsid w:val="006C013B"/>
    <w:rsid w:val="006C0155"/>
    <w:rsid w:val="006C0192"/>
    <w:rsid w:val="006C022D"/>
    <w:rsid w:val="006C025D"/>
    <w:rsid w:val="006C03B1"/>
    <w:rsid w:val="006C0A2C"/>
    <w:rsid w:val="006C0B04"/>
    <w:rsid w:val="006C0D2C"/>
    <w:rsid w:val="006C1195"/>
    <w:rsid w:val="006C14A1"/>
    <w:rsid w:val="006C2348"/>
    <w:rsid w:val="006C249E"/>
    <w:rsid w:val="006C24A5"/>
    <w:rsid w:val="006C25B6"/>
    <w:rsid w:val="006C296E"/>
    <w:rsid w:val="006C2D07"/>
    <w:rsid w:val="006C31FD"/>
    <w:rsid w:val="006C3593"/>
    <w:rsid w:val="006C35C7"/>
    <w:rsid w:val="006C392F"/>
    <w:rsid w:val="006C3DBC"/>
    <w:rsid w:val="006C3F7D"/>
    <w:rsid w:val="006C41E4"/>
    <w:rsid w:val="006C4917"/>
    <w:rsid w:val="006C4A87"/>
    <w:rsid w:val="006C5323"/>
    <w:rsid w:val="006C5657"/>
    <w:rsid w:val="006C59B0"/>
    <w:rsid w:val="006C5BDA"/>
    <w:rsid w:val="006C5CC7"/>
    <w:rsid w:val="006C60CC"/>
    <w:rsid w:val="006C670C"/>
    <w:rsid w:val="006C6E5A"/>
    <w:rsid w:val="006C76D0"/>
    <w:rsid w:val="006C7953"/>
    <w:rsid w:val="006C7C54"/>
    <w:rsid w:val="006D0002"/>
    <w:rsid w:val="006D0030"/>
    <w:rsid w:val="006D016A"/>
    <w:rsid w:val="006D0378"/>
    <w:rsid w:val="006D088C"/>
    <w:rsid w:val="006D0B15"/>
    <w:rsid w:val="006D0CA4"/>
    <w:rsid w:val="006D0D8A"/>
    <w:rsid w:val="006D113A"/>
    <w:rsid w:val="006D1319"/>
    <w:rsid w:val="006D14F4"/>
    <w:rsid w:val="006D1708"/>
    <w:rsid w:val="006D1E36"/>
    <w:rsid w:val="006D2151"/>
    <w:rsid w:val="006D2B7F"/>
    <w:rsid w:val="006D2CE2"/>
    <w:rsid w:val="006D3099"/>
    <w:rsid w:val="006D40ED"/>
    <w:rsid w:val="006D42F3"/>
    <w:rsid w:val="006D45D1"/>
    <w:rsid w:val="006D4DAC"/>
    <w:rsid w:val="006D4DDA"/>
    <w:rsid w:val="006D54B1"/>
    <w:rsid w:val="006D5777"/>
    <w:rsid w:val="006D5B1D"/>
    <w:rsid w:val="006D5DB5"/>
    <w:rsid w:val="006D628A"/>
    <w:rsid w:val="006D64BA"/>
    <w:rsid w:val="006D68EB"/>
    <w:rsid w:val="006D6E16"/>
    <w:rsid w:val="006D72E2"/>
    <w:rsid w:val="006D7314"/>
    <w:rsid w:val="006D7529"/>
    <w:rsid w:val="006D77FF"/>
    <w:rsid w:val="006E0435"/>
    <w:rsid w:val="006E07F2"/>
    <w:rsid w:val="006E1F47"/>
    <w:rsid w:val="006E25C0"/>
    <w:rsid w:val="006E28F8"/>
    <w:rsid w:val="006E34CC"/>
    <w:rsid w:val="006E37B2"/>
    <w:rsid w:val="006E37B8"/>
    <w:rsid w:val="006E382B"/>
    <w:rsid w:val="006E390B"/>
    <w:rsid w:val="006E3ABF"/>
    <w:rsid w:val="006E40BA"/>
    <w:rsid w:val="006E424F"/>
    <w:rsid w:val="006E44DF"/>
    <w:rsid w:val="006E44FA"/>
    <w:rsid w:val="006E4A77"/>
    <w:rsid w:val="006E50EA"/>
    <w:rsid w:val="006E528C"/>
    <w:rsid w:val="006E5810"/>
    <w:rsid w:val="006E5BF8"/>
    <w:rsid w:val="006E5F1D"/>
    <w:rsid w:val="006E5F59"/>
    <w:rsid w:val="006E60A6"/>
    <w:rsid w:val="006E60F2"/>
    <w:rsid w:val="006E67DB"/>
    <w:rsid w:val="006E6DA7"/>
    <w:rsid w:val="006E7075"/>
    <w:rsid w:val="006E757D"/>
    <w:rsid w:val="006E7644"/>
    <w:rsid w:val="006E7962"/>
    <w:rsid w:val="006F0755"/>
    <w:rsid w:val="006F09BA"/>
    <w:rsid w:val="006F0B58"/>
    <w:rsid w:val="006F0C82"/>
    <w:rsid w:val="006F12A2"/>
    <w:rsid w:val="006F14AA"/>
    <w:rsid w:val="006F1619"/>
    <w:rsid w:val="006F1ADB"/>
    <w:rsid w:val="006F1DC4"/>
    <w:rsid w:val="006F1E7D"/>
    <w:rsid w:val="006F2052"/>
    <w:rsid w:val="006F229A"/>
    <w:rsid w:val="006F22F9"/>
    <w:rsid w:val="006F27B8"/>
    <w:rsid w:val="006F2D9B"/>
    <w:rsid w:val="006F2E37"/>
    <w:rsid w:val="006F2F2D"/>
    <w:rsid w:val="006F2FE5"/>
    <w:rsid w:val="006F3096"/>
    <w:rsid w:val="006F310C"/>
    <w:rsid w:val="006F315A"/>
    <w:rsid w:val="006F3364"/>
    <w:rsid w:val="006F3412"/>
    <w:rsid w:val="006F3500"/>
    <w:rsid w:val="006F3523"/>
    <w:rsid w:val="006F3624"/>
    <w:rsid w:val="006F3BAF"/>
    <w:rsid w:val="006F3DC5"/>
    <w:rsid w:val="006F3DCA"/>
    <w:rsid w:val="006F3E6C"/>
    <w:rsid w:val="006F434F"/>
    <w:rsid w:val="006F4811"/>
    <w:rsid w:val="006F4ADD"/>
    <w:rsid w:val="006F4D32"/>
    <w:rsid w:val="006F4FEE"/>
    <w:rsid w:val="006F5027"/>
    <w:rsid w:val="006F539B"/>
    <w:rsid w:val="006F53C4"/>
    <w:rsid w:val="006F55C2"/>
    <w:rsid w:val="006F5766"/>
    <w:rsid w:val="006F5B39"/>
    <w:rsid w:val="006F5FDB"/>
    <w:rsid w:val="006F659B"/>
    <w:rsid w:val="006F6C99"/>
    <w:rsid w:val="006F6FA3"/>
    <w:rsid w:val="006F730A"/>
    <w:rsid w:val="006F74D4"/>
    <w:rsid w:val="006F74EE"/>
    <w:rsid w:val="00700516"/>
    <w:rsid w:val="007006BE"/>
    <w:rsid w:val="00700A58"/>
    <w:rsid w:val="00700CF3"/>
    <w:rsid w:val="00701622"/>
    <w:rsid w:val="00701703"/>
    <w:rsid w:val="0070172D"/>
    <w:rsid w:val="00701829"/>
    <w:rsid w:val="007018BB"/>
    <w:rsid w:val="00701C04"/>
    <w:rsid w:val="00701C1F"/>
    <w:rsid w:val="00701CA8"/>
    <w:rsid w:val="00701D2A"/>
    <w:rsid w:val="00701D9E"/>
    <w:rsid w:val="00702269"/>
    <w:rsid w:val="00702909"/>
    <w:rsid w:val="00702DE1"/>
    <w:rsid w:val="0070360A"/>
    <w:rsid w:val="00703690"/>
    <w:rsid w:val="007036A5"/>
    <w:rsid w:val="007036BD"/>
    <w:rsid w:val="007037FF"/>
    <w:rsid w:val="007038F9"/>
    <w:rsid w:val="00703B4E"/>
    <w:rsid w:val="00704370"/>
    <w:rsid w:val="00704397"/>
    <w:rsid w:val="00704864"/>
    <w:rsid w:val="00704957"/>
    <w:rsid w:val="00704968"/>
    <w:rsid w:val="00704B87"/>
    <w:rsid w:val="007057CA"/>
    <w:rsid w:val="00705861"/>
    <w:rsid w:val="00705D63"/>
    <w:rsid w:val="007060AB"/>
    <w:rsid w:val="007061C8"/>
    <w:rsid w:val="007063CF"/>
    <w:rsid w:val="00706682"/>
    <w:rsid w:val="00706B61"/>
    <w:rsid w:val="00706C75"/>
    <w:rsid w:val="00706EE0"/>
    <w:rsid w:val="007078F0"/>
    <w:rsid w:val="007078F3"/>
    <w:rsid w:val="007100BD"/>
    <w:rsid w:val="0071046C"/>
    <w:rsid w:val="00711610"/>
    <w:rsid w:val="00711860"/>
    <w:rsid w:val="00711EBC"/>
    <w:rsid w:val="00712195"/>
    <w:rsid w:val="0071288B"/>
    <w:rsid w:val="00712C4B"/>
    <w:rsid w:val="007131C7"/>
    <w:rsid w:val="007131DB"/>
    <w:rsid w:val="00713339"/>
    <w:rsid w:val="00713903"/>
    <w:rsid w:val="00714511"/>
    <w:rsid w:val="00714657"/>
    <w:rsid w:val="007147A2"/>
    <w:rsid w:val="00715684"/>
    <w:rsid w:val="007157F3"/>
    <w:rsid w:val="0071590F"/>
    <w:rsid w:val="00715ABF"/>
    <w:rsid w:val="00715B01"/>
    <w:rsid w:val="0071635A"/>
    <w:rsid w:val="00716B6E"/>
    <w:rsid w:val="007178B6"/>
    <w:rsid w:val="00717B89"/>
    <w:rsid w:val="0072021D"/>
    <w:rsid w:val="00720255"/>
    <w:rsid w:val="007204E2"/>
    <w:rsid w:val="00720638"/>
    <w:rsid w:val="007206E6"/>
    <w:rsid w:val="007207CB"/>
    <w:rsid w:val="00720B87"/>
    <w:rsid w:val="00720FAC"/>
    <w:rsid w:val="0072193C"/>
    <w:rsid w:val="00721E21"/>
    <w:rsid w:val="0072217E"/>
    <w:rsid w:val="00722428"/>
    <w:rsid w:val="00722A20"/>
    <w:rsid w:val="00722BE1"/>
    <w:rsid w:val="00722BE2"/>
    <w:rsid w:val="00722D1F"/>
    <w:rsid w:val="007233B6"/>
    <w:rsid w:val="00723FBD"/>
    <w:rsid w:val="0072486A"/>
    <w:rsid w:val="007251E1"/>
    <w:rsid w:val="007256EB"/>
    <w:rsid w:val="00725884"/>
    <w:rsid w:val="007258CE"/>
    <w:rsid w:val="00725DB1"/>
    <w:rsid w:val="007260E2"/>
    <w:rsid w:val="00726C64"/>
    <w:rsid w:val="00726E95"/>
    <w:rsid w:val="00726F88"/>
    <w:rsid w:val="007273E9"/>
    <w:rsid w:val="00727924"/>
    <w:rsid w:val="00727E57"/>
    <w:rsid w:val="007300CD"/>
    <w:rsid w:val="00730617"/>
    <w:rsid w:val="00730908"/>
    <w:rsid w:val="00731333"/>
    <w:rsid w:val="0073152D"/>
    <w:rsid w:val="00731824"/>
    <w:rsid w:val="00732088"/>
    <w:rsid w:val="00733219"/>
    <w:rsid w:val="00733360"/>
    <w:rsid w:val="0073387E"/>
    <w:rsid w:val="00733A55"/>
    <w:rsid w:val="00733CA4"/>
    <w:rsid w:val="00733E0B"/>
    <w:rsid w:val="00733E29"/>
    <w:rsid w:val="00734473"/>
    <w:rsid w:val="0073497D"/>
    <w:rsid w:val="00734D91"/>
    <w:rsid w:val="00734F46"/>
    <w:rsid w:val="007350E0"/>
    <w:rsid w:val="007354B3"/>
    <w:rsid w:val="007354D8"/>
    <w:rsid w:val="007358B5"/>
    <w:rsid w:val="00735937"/>
    <w:rsid w:val="00735C65"/>
    <w:rsid w:val="00735FCA"/>
    <w:rsid w:val="0073611E"/>
    <w:rsid w:val="00736C81"/>
    <w:rsid w:val="00736CC4"/>
    <w:rsid w:val="00736D81"/>
    <w:rsid w:val="00736E47"/>
    <w:rsid w:val="00737202"/>
    <w:rsid w:val="00737797"/>
    <w:rsid w:val="00737807"/>
    <w:rsid w:val="00737B4C"/>
    <w:rsid w:val="00740277"/>
    <w:rsid w:val="00740369"/>
    <w:rsid w:val="007403D6"/>
    <w:rsid w:val="007403DA"/>
    <w:rsid w:val="00740642"/>
    <w:rsid w:val="007408F2"/>
    <w:rsid w:val="00740DD7"/>
    <w:rsid w:val="00740FCC"/>
    <w:rsid w:val="00741228"/>
    <w:rsid w:val="00741C1C"/>
    <w:rsid w:val="0074231D"/>
    <w:rsid w:val="0074248A"/>
    <w:rsid w:val="00743094"/>
    <w:rsid w:val="007432CD"/>
    <w:rsid w:val="007438D5"/>
    <w:rsid w:val="007439EA"/>
    <w:rsid w:val="00743D06"/>
    <w:rsid w:val="00744255"/>
    <w:rsid w:val="007442B1"/>
    <w:rsid w:val="007442BA"/>
    <w:rsid w:val="007443C0"/>
    <w:rsid w:val="00744508"/>
    <w:rsid w:val="00744B65"/>
    <w:rsid w:val="00744D0E"/>
    <w:rsid w:val="00744F91"/>
    <w:rsid w:val="0074536C"/>
    <w:rsid w:val="007454A5"/>
    <w:rsid w:val="007455F1"/>
    <w:rsid w:val="0074599E"/>
    <w:rsid w:val="00745A8F"/>
    <w:rsid w:val="00745AD2"/>
    <w:rsid w:val="00745CB2"/>
    <w:rsid w:val="00745D4D"/>
    <w:rsid w:val="00745D5B"/>
    <w:rsid w:val="00745E60"/>
    <w:rsid w:val="00746026"/>
    <w:rsid w:val="007461AA"/>
    <w:rsid w:val="00746300"/>
    <w:rsid w:val="0074671A"/>
    <w:rsid w:val="00746DA0"/>
    <w:rsid w:val="00747210"/>
    <w:rsid w:val="007478F8"/>
    <w:rsid w:val="00747F87"/>
    <w:rsid w:val="00750257"/>
    <w:rsid w:val="00750319"/>
    <w:rsid w:val="007508A5"/>
    <w:rsid w:val="00750A3D"/>
    <w:rsid w:val="00750DE4"/>
    <w:rsid w:val="00750E7A"/>
    <w:rsid w:val="00751094"/>
    <w:rsid w:val="00751173"/>
    <w:rsid w:val="00751298"/>
    <w:rsid w:val="00751761"/>
    <w:rsid w:val="00751772"/>
    <w:rsid w:val="00751864"/>
    <w:rsid w:val="00751C10"/>
    <w:rsid w:val="00751E4B"/>
    <w:rsid w:val="00751EC3"/>
    <w:rsid w:val="00751F09"/>
    <w:rsid w:val="007521DA"/>
    <w:rsid w:val="007526A2"/>
    <w:rsid w:val="00752C79"/>
    <w:rsid w:val="0075307F"/>
    <w:rsid w:val="007530A2"/>
    <w:rsid w:val="007533AB"/>
    <w:rsid w:val="007536E9"/>
    <w:rsid w:val="00753B4A"/>
    <w:rsid w:val="007542B9"/>
    <w:rsid w:val="007542C0"/>
    <w:rsid w:val="007545EE"/>
    <w:rsid w:val="007549C6"/>
    <w:rsid w:val="00754A38"/>
    <w:rsid w:val="00754F57"/>
    <w:rsid w:val="007553C2"/>
    <w:rsid w:val="007553DA"/>
    <w:rsid w:val="00755716"/>
    <w:rsid w:val="00755E2B"/>
    <w:rsid w:val="00756BC2"/>
    <w:rsid w:val="00756D2D"/>
    <w:rsid w:val="00756EB0"/>
    <w:rsid w:val="007572F2"/>
    <w:rsid w:val="00757B34"/>
    <w:rsid w:val="007600F6"/>
    <w:rsid w:val="00760313"/>
    <w:rsid w:val="0076065A"/>
    <w:rsid w:val="0076073D"/>
    <w:rsid w:val="00760CD9"/>
    <w:rsid w:val="00760E64"/>
    <w:rsid w:val="00761259"/>
    <w:rsid w:val="00761C56"/>
    <w:rsid w:val="00762302"/>
    <w:rsid w:val="00762405"/>
    <w:rsid w:val="0076241D"/>
    <w:rsid w:val="0076244C"/>
    <w:rsid w:val="0076266E"/>
    <w:rsid w:val="00762DBA"/>
    <w:rsid w:val="00762E21"/>
    <w:rsid w:val="007634D1"/>
    <w:rsid w:val="007639B0"/>
    <w:rsid w:val="007640FB"/>
    <w:rsid w:val="007642F4"/>
    <w:rsid w:val="00764A21"/>
    <w:rsid w:val="00764CEE"/>
    <w:rsid w:val="00764FDD"/>
    <w:rsid w:val="007652B4"/>
    <w:rsid w:val="007652C6"/>
    <w:rsid w:val="0076536B"/>
    <w:rsid w:val="007653D8"/>
    <w:rsid w:val="00765990"/>
    <w:rsid w:val="0076649F"/>
    <w:rsid w:val="007668F6"/>
    <w:rsid w:val="007669B5"/>
    <w:rsid w:val="00766E4F"/>
    <w:rsid w:val="00766F19"/>
    <w:rsid w:val="00767667"/>
    <w:rsid w:val="007678DD"/>
    <w:rsid w:val="00767E46"/>
    <w:rsid w:val="00770153"/>
    <w:rsid w:val="00770198"/>
    <w:rsid w:val="00770656"/>
    <w:rsid w:val="00770845"/>
    <w:rsid w:val="0077101B"/>
    <w:rsid w:val="007711CC"/>
    <w:rsid w:val="007712C9"/>
    <w:rsid w:val="0077133C"/>
    <w:rsid w:val="00771474"/>
    <w:rsid w:val="007714FD"/>
    <w:rsid w:val="00771666"/>
    <w:rsid w:val="00771818"/>
    <w:rsid w:val="00771B7E"/>
    <w:rsid w:val="00771D26"/>
    <w:rsid w:val="00771FF1"/>
    <w:rsid w:val="007722B5"/>
    <w:rsid w:val="0077240F"/>
    <w:rsid w:val="0077262C"/>
    <w:rsid w:val="00772888"/>
    <w:rsid w:val="00772927"/>
    <w:rsid w:val="0077298B"/>
    <w:rsid w:val="007729BB"/>
    <w:rsid w:val="00772F50"/>
    <w:rsid w:val="00772F71"/>
    <w:rsid w:val="0077326B"/>
    <w:rsid w:val="00773331"/>
    <w:rsid w:val="007734B7"/>
    <w:rsid w:val="00773C1F"/>
    <w:rsid w:val="0077499E"/>
    <w:rsid w:val="00774DC6"/>
    <w:rsid w:val="00774F48"/>
    <w:rsid w:val="00775123"/>
    <w:rsid w:val="00775126"/>
    <w:rsid w:val="00775583"/>
    <w:rsid w:val="007755C2"/>
    <w:rsid w:val="0077618E"/>
    <w:rsid w:val="007761F7"/>
    <w:rsid w:val="0077632B"/>
    <w:rsid w:val="007763E6"/>
    <w:rsid w:val="00776875"/>
    <w:rsid w:val="007768FA"/>
    <w:rsid w:val="00776DE7"/>
    <w:rsid w:val="007770DA"/>
    <w:rsid w:val="0077712B"/>
    <w:rsid w:val="00777264"/>
    <w:rsid w:val="007773D1"/>
    <w:rsid w:val="007776A7"/>
    <w:rsid w:val="00777913"/>
    <w:rsid w:val="00777B9D"/>
    <w:rsid w:val="0078013D"/>
    <w:rsid w:val="0078039C"/>
    <w:rsid w:val="007804F5"/>
    <w:rsid w:val="007805A2"/>
    <w:rsid w:val="00780639"/>
    <w:rsid w:val="007806DE"/>
    <w:rsid w:val="00782543"/>
    <w:rsid w:val="0078265F"/>
    <w:rsid w:val="0078292A"/>
    <w:rsid w:val="00782A39"/>
    <w:rsid w:val="00782DCB"/>
    <w:rsid w:val="00782DDD"/>
    <w:rsid w:val="00782E61"/>
    <w:rsid w:val="00783116"/>
    <w:rsid w:val="007831C3"/>
    <w:rsid w:val="0078349A"/>
    <w:rsid w:val="0078369D"/>
    <w:rsid w:val="00783874"/>
    <w:rsid w:val="007838B2"/>
    <w:rsid w:val="00783940"/>
    <w:rsid w:val="007839C1"/>
    <w:rsid w:val="00783CDF"/>
    <w:rsid w:val="00783CE1"/>
    <w:rsid w:val="00783FF4"/>
    <w:rsid w:val="00784620"/>
    <w:rsid w:val="00784802"/>
    <w:rsid w:val="007850C4"/>
    <w:rsid w:val="00785A8B"/>
    <w:rsid w:val="00785BB0"/>
    <w:rsid w:val="00785BEB"/>
    <w:rsid w:val="00785F82"/>
    <w:rsid w:val="00786277"/>
    <w:rsid w:val="0078642D"/>
    <w:rsid w:val="00786BCC"/>
    <w:rsid w:val="0078748E"/>
    <w:rsid w:val="00787BCC"/>
    <w:rsid w:val="00790244"/>
    <w:rsid w:val="007904C3"/>
    <w:rsid w:val="0079080A"/>
    <w:rsid w:val="00790AC9"/>
    <w:rsid w:val="00790AE4"/>
    <w:rsid w:val="00790BCF"/>
    <w:rsid w:val="00790BEE"/>
    <w:rsid w:val="00790EF4"/>
    <w:rsid w:val="00791523"/>
    <w:rsid w:val="00791858"/>
    <w:rsid w:val="007918AE"/>
    <w:rsid w:val="00791A9E"/>
    <w:rsid w:val="00791D94"/>
    <w:rsid w:val="0079211C"/>
    <w:rsid w:val="00792188"/>
    <w:rsid w:val="00792642"/>
    <w:rsid w:val="0079292C"/>
    <w:rsid w:val="00792B72"/>
    <w:rsid w:val="00792EFB"/>
    <w:rsid w:val="007932EF"/>
    <w:rsid w:val="0079380C"/>
    <w:rsid w:val="00793E8F"/>
    <w:rsid w:val="00794270"/>
    <w:rsid w:val="00794388"/>
    <w:rsid w:val="007946AA"/>
    <w:rsid w:val="00794BE3"/>
    <w:rsid w:val="00794CAF"/>
    <w:rsid w:val="00795DB4"/>
    <w:rsid w:val="00795F10"/>
    <w:rsid w:val="007962EF"/>
    <w:rsid w:val="00796363"/>
    <w:rsid w:val="007965AB"/>
    <w:rsid w:val="007966C0"/>
    <w:rsid w:val="007967AC"/>
    <w:rsid w:val="007967AF"/>
    <w:rsid w:val="0079682C"/>
    <w:rsid w:val="00796D4D"/>
    <w:rsid w:val="00796D50"/>
    <w:rsid w:val="00797045"/>
    <w:rsid w:val="007978E6"/>
    <w:rsid w:val="007A0709"/>
    <w:rsid w:val="007A0773"/>
    <w:rsid w:val="007A0A8C"/>
    <w:rsid w:val="007A0BE1"/>
    <w:rsid w:val="007A0EDB"/>
    <w:rsid w:val="007A1385"/>
    <w:rsid w:val="007A179F"/>
    <w:rsid w:val="007A1840"/>
    <w:rsid w:val="007A1876"/>
    <w:rsid w:val="007A194B"/>
    <w:rsid w:val="007A1E0A"/>
    <w:rsid w:val="007A235C"/>
    <w:rsid w:val="007A2382"/>
    <w:rsid w:val="007A2602"/>
    <w:rsid w:val="007A276E"/>
    <w:rsid w:val="007A3382"/>
    <w:rsid w:val="007A3789"/>
    <w:rsid w:val="007A397E"/>
    <w:rsid w:val="007A45CD"/>
    <w:rsid w:val="007A4B29"/>
    <w:rsid w:val="007A4C2D"/>
    <w:rsid w:val="007A5276"/>
    <w:rsid w:val="007A6276"/>
    <w:rsid w:val="007A65AD"/>
    <w:rsid w:val="007A6AF5"/>
    <w:rsid w:val="007A6F23"/>
    <w:rsid w:val="007A72AF"/>
    <w:rsid w:val="007A7519"/>
    <w:rsid w:val="007A7BCC"/>
    <w:rsid w:val="007B0363"/>
    <w:rsid w:val="007B04BC"/>
    <w:rsid w:val="007B0C81"/>
    <w:rsid w:val="007B0D20"/>
    <w:rsid w:val="007B0EED"/>
    <w:rsid w:val="007B0EEE"/>
    <w:rsid w:val="007B12DC"/>
    <w:rsid w:val="007B16CE"/>
    <w:rsid w:val="007B18C3"/>
    <w:rsid w:val="007B18C5"/>
    <w:rsid w:val="007B19ED"/>
    <w:rsid w:val="007B1AF7"/>
    <w:rsid w:val="007B1FB8"/>
    <w:rsid w:val="007B2B9C"/>
    <w:rsid w:val="007B2EF4"/>
    <w:rsid w:val="007B304F"/>
    <w:rsid w:val="007B30A0"/>
    <w:rsid w:val="007B3600"/>
    <w:rsid w:val="007B3E03"/>
    <w:rsid w:val="007B4D12"/>
    <w:rsid w:val="007B50C3"/>
    <w:rsid w:val="007B5989"/>
    <w:rsid w:val="007B5C50"/>
    <w:rsid w:val="007B5C51"/>
    <w:rsid w:val="007B5E25"/>
    <w:rsid w:val="007B61AD"/>
    <w:rsid w:val="007B684B"/>
    <w:rsid w:val="007B6880"/>
    <w:rsid w:val="007B6EC3"/>
    <w:rsid w:val="007B7104"/>
    <w:rsid w:val="007B7908"/>
    <w:rsid w:val="007B7D81"/>
    <w:rsid w:val="007C05AA"/>
    <w:rsid w:val="007C07A8"/>
    <w:rsid w:val="007C0929"/>
    <w:rsid w:val="007C1099"/>
    <w:rsid w:val="007C12A3"/>
    <w:rsid w:val="007C1548"/>
    <w:rsid w:val="007C15DB"/>
    <w:rsid w:val="007C168B"/>
    <w:rsid w:val="007C16C6"/>
    <w:rsid w:val="007C1757"/>
    <w:rsid w:val="007C2074"/>
    <w:rsid w:val="007C21DD"/>
    <w:rsid w:val="007C277C"/>
    <w:rsid w:val="007C2D4E"/>
    <w:rsid w:val="007C2FF1"/>
    <w:rsid w:val="007C34CE"/>
    <w:rsid w:val="007C3DF1"/>
    <w:rsid w:val="007C3FF1"/>
    <w:rsid w:val="007C4046"/>
    <w:rsid w:val="007C40CE"/>
    <w:rsid w:val="007C41D3"/>
    <w:rsid w:val="007C4C58"/>
    <w:rsid w:val="007C4CF1"/>
    <w:rsid w:val="007C53D9"/>
    <w:rsid w:val="007C59F3"/>
    <w:rsid w:val="007C684A"/>
    <w:rsid w:val="007C691C"/>
    <w:rsid w:val="007C6B6D"/>
    <w:rsid w:val="007C77A7"/>
    <w:rsid w:val="007C7BFE"/>
    <w:rsid w:val="007D052E"/>
    <w:rsid w:val="007D072A"/>
    <w:rsid w:val="007D0991"/>
    <w:rsid w:val="007D0AD7"/>
    <w:rsid w:val="007D0CDB"/>
    <w:rsid w:val="007D1EFB"/>
    <w:rsid w:val="007D2131"/>
    <w:rsid w:val="007D2491"/>
    <w:rsid w:val="007D24F0"/>
    <w:rsid w:val="007D2622"/>
    <w:rsid w:val="007D2637"/>
    <w:rsid w:val="007D27C5"/>
    <w:rsid w:val="007D2D38"/>
    <w:rsid w:val="007D2E0E"/>
    <w:rsid w:val="007D448B"/>
    <w:rsid w:val="007D4883"/>
    <w:rsid w:val="007D49DE"/>
    <w:rsid w:val="007D4D4E"/>
    <w:rsid w:val="007D5106"/>
    <w:rsid w:val="007D52B7"/>
    <w:rsid w:val="007D547D"/>
    <w:rsid w:val="007D551B"/>
    <w:rsid w:val="007D55F9"/>
    <w:rsid w:val="007D5891"/>
    <w:rsid w:val="007D5ABD"/>
    <w:rsid w:val="007D5C99"/>
    <w:rsid w:val="007D5CDD"/>
    <w:rsid w:val="007D6023"/>
    <w:rsid w:val="007D623E"/>
    <w:rsid w:val="007D62B5"/>
    <w:rsid w:val="007D6499"/>
    <w:rsid w:val="007D684A"/>
    <w:rsid w:val="007D68D7"/>
    <w:rsid w:val="007D698F"/>
    <w:rsid w:val="007D7009"/>
    <w:rsid w:val="007D7AAB"/>
    <w:rsid w:val="007D7C27"/>
    <w:rsid w:val="007D7CC7"/>
    <w:rsid w:val="007D7D93"/>
    <w:rsid w:val="007E00E8"/>
    <w:rsid w:val="007E01BF"/>
    <w:rsid w:val="007E0359"/>
    <w:rsid w:val="007E05B0"/>
    <w:rsid w:val="007E063B"/>
    <w:rsid w:val="007E08FE"/>
    <w:rsid w:val="007E0A21"/>
    <w:rsid w:val="007E0A55"/>
    <w:rsid w:val="007E0B01"/>
    <w:rsid w:val="007E0B9B"/>
    <w:rsid w:val="007E0D7C"/>
    <w:rsid w:val="007E107A"/>
    <w:rsid w:val="007E138B"/>
    <w:rsid w:val="007E1468"/>
    <w:rsid w:val="007E16ED"/>
    <w:rsid w:val="007E1B7A"/>
    <w:rsid w:val="007E1F6F"/>
    <w:rsid w:val="007E203D"/>
    <w:rsid w:val="007E23DB"/>
    <w:rsid w:val="007E253A"/>
    <w:rsid w:val="007E32E4"/>
    <w:rsid w:val="007E33DB"/>
    <w:rsid w:val="007E3459"/>
    <w:rsid w:val="007E3B52"/>
    <w:rsid w:val="007E3D4A"/>
    <w:rsid w:val="007E4394"/>
    <w:rsid w:val="007E4A7E"/>
    <w:rsid w:val="007E51A5"/>
    <w:rsid w:val="007E5302"/>
    <w:rsid w:val="007E5468"/>
    <w:rsid w:val="007E56FC"/>
    <w:rsid w:val="007E5B8F"/>
    <w:rsid w:val="007E5BF9"/>
    <w:rsid w:val="007E5F53"/>
    <w:rsid w:val="007E5FB8"/>
    <w:rsid w:val="007E60E0"/>
    <w:rsid w:val="007E68BC"/>
    <w:rsid w:val="007E69C0"/>
    <w:rsid w:val="007E6E06"/>
    <w:rsid w:val="007E70AF"/>
    <w:rsid w:val="007E726A"/>
    <w:rsid w:val="007E7435"/>
    <w:rsid w:val="007E7638"/>
    <w:rsid w:val="007E77C0"/>
    <w:rsid w:val="007E7819"/>
    <w:rsid w:val="007E7A7F"/>
    <w:rsid w:val="007F0718"/>
    <w:rsid w:val="007F0C30"/>
    <w:rsid w:val="007F0F72"/>
    <w:rsid w:val="007F135A"/>
    <w:rsid w:val="007F153C"/>
    <w:rsid w:val="007F17E0"/>
    <w:rsid w:val="007F18ED"/>
    <w:rsid w:val="007F1BA1"/>
    <w:rsid w:val="007F1CF7"/>
    <w:rsid w:val="007F1F6B"/>
    <w:rsid w:val="007F2048"/>
    <w:rsid w:val="007F2092"/>
    <w:rsid w:val="007F2113"/>
    <w:rsid w:val="007F253F"/>
    <w:rsid w:val="007F2774"/>
    <w:rsid w:val="007F2868"/>
    <w:rsid w:val="007F2B79"/>
    <w:rsid w:val="007F2C01"/>
    <w:rsid w:val="007F2E06"/>
    <w:rsid w:val="007F35F9"/>
    <w:rsid w:val="007F3668"/>
    <w:rsid w:val="007F3958"/>
    <w:rsid w:val="007F3C23"/>
    <w:rsid w:val="007F3C35"/>
    <w:rsid w:val="007F3E43"/>
    <w:rsid w:val="007F3E44"/>
    <w:rsid w:val="007F400C"/>
    <w:rsid w:val="007F438E"/>
    <w:rsid w:val="007F5246"/>
    <w:rsid w:val="007F57E5"/>
    <w:rsid w:val="007F5865"/>
    <w:rsid w:val="007F58CD"/>
    <w:rsid w:val="007F58F6"/>
    <w:rsid w:val="007F59F9"/>
    <w:rsid w:val="007F5B77"/>
    <w:rsid w:val="007F669E"/>
    <w:rsid w:val="007F70C4"/>
    <w:rsid w:val="007F721D"/>
    <w:rsid w:val="007F76F9"/>
    <w:rsid w:val="007F77E3"/>
    <w:rsid w:val="007F79EA"/>
    <w:rsid w:val="007F7B8A"/>
    <w:rsid w:val="0080021A"/>
    <w:rsid w:val="008008C3"/>
    <w:rsid w:val="00800A0C"/>
    <w:rsid w:val="00800B5C"/>
    <w:rsid w:val="00800E5F"/>
    <w:rsid w:val="00801011"/>
    <w:rsid w:val="0080166E"/>
    <w:rsid w:val="00801827"/>
    <w:rsid w:val="0080196B"/>
    <w:rsid w:val="00801D66"/>
    <w:rsid w:val="0080262F"/>
    <w:rsid w:val="00802CC1"/>
    <w:rsid w:val="00803217"/>
    <w:rsid w:val="008033BF"/>
    <w:rsid w:val="00803734"/>
    <w:rsid w:val="008041D1"/>
    <w:rsid w:val="008041F8"/>
    <w:rsid w:val="00804981"/>
    <w:rsid w:val="00804DB6"/>
    <w:rsid w:val="00804ED2"/>
    <w:rsid w:val="008051B0"/>
    <w:rsid w:val="00805589"/>
    <w:rsid w:val="0080569F"/>
    <w:rsid w:val="0080580A"/>
    <w:rsid w:val="0080598F"/>
    <w:rsid w:val="00806ECE"/>
    <w:rsid w:val="00807188"/>
    <w:rsid w:val="00807410"/>
    <w:rsid w:val="008100A3"/>
    <w:rsid w:val="00810654"/>
    <w:rsid w:val="00810AEE"/>
    <w:rsid w:val="00810B2D"/>
    <w:rsid w:val="00810E0E"/>
    <w:rsid w:val="00810E92"/>
    <w:rsid w:val="00811166"/>
    <w:rsid w:val="00811356"/>
    <w:rsid w:val="00811608"/>
    <w:rsid w:val="00811688"/>
    <w:rsid w:val="00811F33"/>
    <w:rsid w:val="00812430"/>
    <w:rsid w:val="0081314D"/>
    <w:rsid w:val="008135BA"/>
    <w:rsid w:val="008138AB"/>
    <w:rsid w:val="00813907"/>
    <w:rsid w:val="00813976"/>
    <w:rsid w:val="00813F58"/>
    <w:rsid w:val="008142B1"/>
    <w:rsid w:val="00814406"/>
    <w:rsid w:val="008144C1"/>
    <w:rsid w:val="00814512"/>
    <w:rsid w:val="00814D8A"/>
    <w:rsid w:val="00815178"/>
    <w:rsid w:val="0081522C"/>
    <w:rsid w:val="008156BD"/>
    <w:rsid w:val="00815FB2"/>
    <w:rsid w:val="00816263"/>
    <w:rsid w:val="008164C4"/>
    <w:rsid w:val="00816BB2"/>
    <w:rsid w:val="00816D4A"/>
    <w:rsid w:val="0081753B"/>
    <w:rsid w:val="00817880"/>
    <w:rsid w:val="00817E4B"/>
    <w:rsid w:val="00820AE6"/>
    <w:rsid w:val="008211CF"/>
    <w:rsid w:val="008212A8"/>
    <w:rsid w:val="0082149C"/>
    <w:rsid w:val="00821BE3"/>
    <w:rsid w:val="00821D68"/>
    <w:rsid w:val="008222EE"/>
    <w:rsid w:val="008225E3"/>
    <w:rsid w:val="008226F5"/>
    <w:rsid w:val="008227B7"/>
    <w:rsid w:val="0082299C"/>
    <w:rsid w:val="00822B0E"/>
    <w:rsid w:val="00822CDC"/>
    <w:rsid w:val="00822E31"/>
    <w:rsid w:val="0082322C"/>
    <w:rsid w:val="008232BC"/>
    <w:rsid w:val="008233F0"/>
    <w:rsid w:val="0082341E"/>
    <w:rsid w:val="00823819"/>
    <w:rsid w:val="00823D49"/>
    <w:rsid w:val="00823F39"/>
    <w:rsid w:val="00823F94"/>
    <w:rsid w:val="00824CD3"/>
    <w:rsid w:val="00824E79"/>
    <w:rsid w:val="00825696"/>
    <w:rsid w:val="00825E68"/>
    <w:rsid w:val="008260A6"/>
    <w:rsid w:val="00826140"/>
    <w:rsid w:val="008267CF"/>
    <w:rsid w:val="008269B3"/>
    <w:rsid w:val="00826B46"/>
    <w:rsid w:val="00826C91"/>
    <w:rsid w:val="00827161"/>
    <w:rsid w:val="008272A2"/>
    <w:rsid w:val="0082732A"/>
    <w:rsid w:val="00827C4C"/>
    <w:rsid w:val="0083050A"/>
    <w:rsid w:val="00830605"/>
    <w:rsid w:val="00830AEE"/>
    <w:rsid w:val="00831180"/>
    <w:rsid w:val="0083144C"/>
    <w:rsid w:val="0083228E"/>
    <w:rsid w:val="008327A8"/>
    <w:rsid w:val="008328C5"/>
    <w:rsid w:val="00832FA4"/>
    <w:rsid w:val="0083359E"/>
    <w:rsid w:val="00833685"/>
    <w:rsid w:val="00833A03"/>
    <w:rsid w:val="00833A54"/>
    <w:rsid w:val="00833CF1"/>
    <w:rsid w:val="0083469B"/>
    <w:rsid w:val="00834B51"/>
    <w:rsid w:val="00834BA4"/>
    <w:rsid w:val="00835131"/>
    <w:rsid w:val="00835988"/>
    <w:rsid w:val="00835B52"/>
    <w:rsid w:val="0083606C"/>
    <w:rsid w:val="00836399"/>
    <w:rsid w:val="00836425"/>
    <w:rsid w:val="00836606"/>
    <w:rsid w:val="00836621"/>
    <w:rsid w:val="00836648"/>
    <w:rsid w:val="008367F0"/>
    <w:rsid w:val="00836B87"/>
    <w:rsid w:val="00836E58"/>
    <w:rsid w:val="00836F36"/>
    <w:rsid w:val="00837079"/>
    <w:rsid w:val="00837505"/>
    <w:rsid w:val="0083769F"/>
    <w:rsid w:val="008377E6"/>
    <w:rsid w:val="0083799B"/>
    <w:rsid w:val="00837F14"/>
    <w:rsid w:val="00837F4C"/>
    <w:rsid w:val="00837F93"/>
    <w:rsid w:val="00840880"/>
    <w:rsid w:val="00840911"/>
    <w:rsid w:val="00840D63"/>
    <w:rsid w:val="00840EE7"/>
    <w:rsid w:val="00841697"/>
    <w:rsid w:val="008418B3"/>
    <w:rsid w:val="00841A93"/>
    <w:rsid w:val="00841D49"/>
    <w:rsid w:val="00842303"/>
    <w:rsid w:val="00842519"/>
    <w:rsid w:val="008429C9"/>
    <w:rsid w:val="00842D02"/>
    <w:rsid w:val="00842D08"/>
    <w:rsid w:val="00842E10"/>
    <w:rsid w:val="008430D1"/>
    <w:rsid w:val="008431D7"/>
    <w:rsid w:val="0084407E"/>
    <w:rsid w:val="008440BD"/>
    <w:rsid w:val="00844107"/>
    <w:rsid w:val="008446C5"/>
    <w:rsid w:val="0084491C"/>
    <w:rsid w:val="00844D52"/>
    <w:rsid w:val="00845502"/>
    <w:rsid w:val="008456DB"/>
    <w:rsid w:val="0084582E"/>
    <w:rsid w:val="00845AA0"/>
    <w:rsid w:val="00845D93"/>
    <w:rsid w:val="0084623F"/>
    <w:rsid w:val="0084642D"/>
    <w:rsid w:val="00846464"/>
    <w:rsid w:val="00846649"/>
    <w:rsid w:val="008467F9"/>
    <w:rsid w:val="00846B35"/>
    <w:rsid w:val="00846CED"/>
    <w:rsid w:val="00846E9E"/>
    <w:rsid w:val="00847142"/>
    <w:rsid w:val="008476EE"/>
    <w:rsid w:val="0084785B"/>
    <w:rsid w:val="00847ABB"/>
    <w:rsid w:val="00847ADC"/>
    <w:rsid w:val="00847B03"/>
    <w:rsid w:val="00847C48"/>
    <w:rsid w:val="00847F2B"/>
    <w:rsid w:val="00847F32"/>
    <w:rsid w:val="00847FD5"/>
    <w:rsid w:val="00850262"/>
    <w:rsid w:val="008504EA"/>
    <w:rsid w:val="008508F1"/>
    <w:rsid w:val="00850C5B"/>
    <w:rsid w:val="00850E5E"/>
    <w:rsid w:val="00850F44"/>
    <w:rsid w:val="008513F4"/>
    <w:rsid w:val="00851863"/>
    <w:rsid w:val="00851896"/>
    <w:rsid w:val="00851913"/>
    <w:rsid w:val="00851F82"/>
    <w:rsid w:val="00852085"/>
    <w:rsid w:val="008520B9"/>
    <w:rsid w:val="0085251D"/>
    <w:rsid w:val="0085255C"/>
    <w:rsid w:val="00852921"/>
    <w:rsid w:val="00852CA8"/>
    <w:rsid w:val="00852CB4"/>
    <w:rsid w:val="00852EDA"/>
    <w:rsid w:val="00853213"/>
    <w:rsid w:val="008533F8"/>
    <w:rsid w:val="0085360F"/>
    <w:rsid w:val="0085363C"/>
    <w:rsid w:val="008536D8"/>
    <w:rsid w:val="0085387B"/>
    <w:rsid w:val="008538A0"/>
    <w:rsid w:val="00853926"/>
    <w:rsid w:val="00853A6D"/>
    <w:rsid w:val="00853B5E"/>
    <w:rsid w:val="00853CBF"/>
    <w:rsid w:val="00853F64"/>
    <w:rsid w:val="00854145"/>
    <w:rsid w:val="00854B9E"/>
    <w:rsid w:val="0085511E"/>
    <w:rsid w:val="008554BF"/>
    <w:rsid w:val="0085553F"/>
    <w:rsid w:val="00855659"/>
    <w:rsid w:val="008556A6"/>
    <w:rsid w:val="0085599A"/>
    <w:rsid w:val="008560E2"/>
    <w:rsid w:val="0085623E"/>
    <w:rsid w:val="008562E3"/>
    <w:rsid w:val="00856492"/>
    <w:rsid w:val="00856654"/>
    <w:rsid w:val="00856933"/>
    <w:rsid w:val="00856C7F"/>
    <w:rsid w:val="00856FC5"/>
    <w:rsid w:val="008572A5"/>
    <w:rsid w:val="00857590"/>
    <w:rsid w:val="008578FB"/>
    <w:rsid w:val="00857993"/>
    <w:rsid w:val="00857BAE"/>
    <w:rsid w:val="00860579"/>
    <w:rsid w:val="008605B0"/>
    <w:rsid w:val="00860AE4"/>
    <w:rsid w:val="008611C4"/>
    <w:rsid w:val="008612FB"/>
    <w:rsid w:val="00861CC2"/>
    <w:rsid w:val="00861CEB"/>
    <w:rsid w:val="00861CF1"/>
    <w:rsid w:val="00861CF2"/>
    <w:rsid w:val="00861DB1"/>
    <w:rsid w:val="00861F9C"/>
    <w:rsid w:val="00862798"/>
    <w:rsid w:val="008631FA"/>
    <w:rsid w:val="00863C1E"/>
    <w:rsid w:val="00864052"/>
    <w:rsid w:val="008641CA"/>
    <w:rsid w:val="00864539"/>
    <w:rsid w:val="008645FA"/>
    <w:rsid w:val="00864A5B"/>
    <w:rsid w:val="00864DE2"/>
    <w:rsid w:val="00864F9E"/>
    <w:rsid w:val="00865189"/>
    <w:rsid w:val="00865251"/>
    <w:rsid w:val="008654A5"/>
    <w:rsid w:val="00865B4A"/>
    <w:rsid w:val="008661C8"/>
    <w:rsid w:val="00866432"/>
    <w:rsid w:val="008666F3"/>
    <w:rsid w:val="00866BD7"/>
    <w:rsid w:val="00866F59"/>
    <w:rsid w:val="00867159"/>
    <w:rsid w:val="008673CD"/>
    <w:rsid w:val="0086745A"/>
    <w:rsid w:val="00867485"/>
    <w:rsid w:val="00867599"/>
    <w:rsid w:val="00867643"/>
    <w:rsid w:val="00867ACD"/>
    <w:rsid w:val="00867CE0"/>
    <w:rsid w:val="00870920"/>
    <w:rsid w:val="00870A47"/>
    <w:rsid w:val="00870A9A"/>
    <w:rsid w:val="00870E17"/>
    <w:rsid w:val="00871592"/>
    <w:rsid w:val="008715E1"/>
    <w:rsid w:val="008717F4"/>
    <w:rsid w:val="008719C0"/>
    <w:rsid w:val="00871A36"/>
    <w:rsid w:val="00871A70"/>
    <w:rsid w:val="00871A89"/>
    <w:rsid w:val="00872057"/>
    <w:rsid w:val="00872269"/>
    <w:rsid w:val="00872542"/>
    <w:rsid w:val="0087279D"/>
    <w:rsid w:val="0087307B"/>
    <w:rsid w:val="008731DA"/>
    <w:rsid w:val="0087372E"/>
    <w:rsid w:val="008738B9"/>
    <w:rsid w:val="00873954"/>
    <w:rsid w:val="00874431"/>
    <w:rsid w:val="00874719"/>
    <w:rsid w:val="0087491A"/>
    <w:rsid w:val="00874AEE"/>
    <w:rsid w:val="00874B57"/>
    <w:rsid w:val="00874D22"/>
    <w:rsid w:val="008752B9"/>
    <w:rsid w:val="008755D5"/>
    <w:rsid w:val="0087590F"/>
    <w:rsid w:val="00875A4C"/>
    <w:rsid w:val="00875A69"/>
    <w:rsid w:val="00875CE1"/>
    <w:rsid w:val="00875E3A"/>
    <w:rsid w:val="00876123"/>
    <w:rsid w:val="0087613A"/>
    <w:rsid w:val="0087668A"/>
    <w:rsid w:val="008766D3"/>
    <w:rsid w:val="00876706"/>
    <w:rsid w:val="00876A16"/>
    <w:rsid w:val="00876F99"/>
    <w:rsid w:val="008771EA"/>
    <w:rsid w:val="00877B19"/>
    <w:rsid w:val="00877D78"/>
    <w:rsid w:val="0088022B"/>
    <w:rsid w:val="0088059A"/>
    <w:rsid w:val="00880A76"/>
    <w:rsid w:val="00880B46"/>
    <w:rsid w:val="008812F5"/>
    <w:rsid w:val="00881494"/>
    <w:rsid w:val="008814C4"/>
    <w:rsid w:val="00881540"/>
    <w:rsid w:val="00881748"/>
    <w:rsid w:val="00881878"/>
    <w:rsid w:val="00881CFC"/>
    <w:rsid w:val="00882905"/>
    <w:rsid w:val="00882BBB"/>
    <w:rsid w:val="00882FD4"/>
    <w:rsid w:val="00883691"/>
    <w:rsid w:val="00883AF3"/>
    <w:rsid w:val="00883AF6"/>
    <w:rsid w:val="00883C0B"/>
    <w:rsid w:val="00884402"/>
    <w:rsid w:val="0088491D"/>
    <w:rsid w:val="00884961"/>
    <w:rsid w:val="00884BA5"/>
    <w:rsid w:val="00884DDA"/>
    <w:rsid w:val="00885384"/>
    <w:rsid w:val="008857E5"/>
    <w:rsid w:val="00885A65"/>
    <w:rsid w:val="00885C67"/>
    <w:rsid w:val="00885E62"/>
    <w:rsid w:val="00885E93"/>
    <w:rsid w:val="00885EC1"/>
    <w:rsid w:val="008861D3"/>
    <w:rsid w:val="00886521"/>
    <w:rsid w:val="00886BFE"/>
    <w:rsid w:val="00886CEA"/>
    <w:rsid w:val="008873A9"/>
    <w:rsid w:val="008876C0"/>
    <w:rsid w:val="008901E9"/>
    <w:rsid w:val="00890298"/>
    <w:rsid w:val="0089040A"/>
    <w:rsid w:val="008904E4"/>
    <w:rsid w:val="00890619"/>
    <w:rsid w:val="00890A21"/>
    <w:rsid w:val="00890D94"/>
    <w:rsid w:val="00890EC1"/>
    <w:rsid w:val="008912C2"/>
    <w:rsid w:val="00891C79"/>
    <w:rsid w:val="00892216"/>
    <w:rsid w:val="008929AB"/>
    <w:rsid w:val="00893386"/>
    <w:rsid w:val="008934E1"/>
    <w:rsid w:val="00893745"/>
    <w:rsid w:val="00893C29"/>
    <w:rsid w:val="00894247"/>
    <w:rsid w:val="00894264"/>
    <w:rsid w:val="0089435C"/>
    <w:rsid w:val="008944BE"/>
    <w:rsid w:val="00894515"/>
    <w:rsid w:val="0089451B"/>
    <w:rsid w:val="0089486A"/>
    <w:rsid w:val="0089497A"/>
    <w:rsid w:val="00894A51"/>
    <w:rsid w:val="00894AA1"/>
    <w:rsid w:val="00894D9B"/>
    <w:rsid w:val="00894F6D"/>
    <w:rsid w:val="00894FFC"/>
    <w:rsid w:val="0089522D"/>
    <w:rsid w:val="0089540A"/>
    <w:rsid w:val="00895494"/>
    <w:rsid w:val="008958C7"/>
    <w:rsid w:val="00895975"/>
    <w:rsid w:val="008959FA"/>
    <w:rsid w:val="00895A94"/>
    <w:rsid w:val="00895F5B"/>
    <w:rsid w:val="00896C31"/>
    <w:rsid w:val="0089732B"/>
    <w:rsid w:val="00897397"/>
    <w:rsid w:val="008976E4"/>
    <w:rsid w:val="00897809"/>
    <w:rsid w:val="008978CD"/>
    <w:rsid w:val="0089790D"/>
    <w:rsid w:val="00897993"/>
    <w:rsid w:val="008979BC"/>
    <w:rsid w:val="00897E5A"/>
    <w:rsid w:val="00897F7D"/>
    <w:rsid w:val="008A020B"/>
    <w:rsid w:val="008A0589"/>
    <w:rsid w:val="008A0981"/>
    <w:rsid w:val="008A09FB"/>
    <w:rsid w:val="008A0A22"/>
    <w:rsid w:val="008A1256"/>
    <w:rsid w:val="008A15AF"/>
    <w:rsid w:val="008A180D"/>
    <w:rsid w:val="008A1E56"/>
    <w:rsid w:val="008A1EB1"/>
    <w:rsid w:val="008A1EC1"/>
    <w:rsid w:val="008A2333"/>
    <w:rsid w:val="008A2914"/>
    <w:rsid w:val="008A2B68"/>
    <w:rsid w:val="008A2FE2"/>
    <w:rsid w:val="008A3E19"/>
    <w:rsid w:val="008A4162"/>
    <w:rsid w:val="008A4304"/>
    <w:rsid w:val="008A489F"/>
    <w:rsid w:val="008A48D6"/>
    <w:rsid w:val="008A54F8"/>
    <w:rsid w:val="008A55F0"/>
    <w:rsid w:val="008A617E"/>
    <w:rsid w:val="008A63CF"/>
    <w:rsid w:val="008A6BFE"/>
    <w:rsid w:val="008A6DD0"/>
    <w:rsid w:val="008A6F10"/>
    <w:rsid w:val="008A6FF9"/>
    <w:rsid w:val="008A70AD"/>
    <w:rsid w:val="008A7178"/>
    <w:rsid w:val="008A73C7"/>
    <w:rsid w:val="008A7A4D"/>
    <w:rsid w:val="008A7C8F"/>
    <w:rsid w:val="008A7F6A"/>
    <w:rsid w:val="008B0014"/>
    <w:rsid w:val="008B03A6"/>
    <w:rsid w:val="008B03E2"/>
    <w:rsid w:val="008B0D6D"/>
    <w:rsid w:val="008B0E9F"/>
    <w:rsid w:val="008B0F57"/>
    <w:rsid w:val="008B17CE"/>
    <w:rsid w:val="008B184A"/>
    <w:rsid w:val="008B1A75"/>
    <w:rsid w:val="008B1B67"/>
    <w:rsid w:val="008B1C55"/>
    <w:rsid w:val="008B1E0E"/>
    <w:rsid w:val="008B2478"/>
    <w:rsid w:val="008B2491"/>
    <w:rsid w:val="008B258D"/>
    <w:rsid w:val="008B282D"/>
    <w:rsid w:val="008B2856"/>
    <w:rsid w:val="008B2BEA"/>
    <w:rsid w:val="008B30CE"/>
    <w:rsid w:val="008B36C5"/>
    <w:rsid w:val="008B3A37"/>
    <w:rsid w:val="008B3A9D"/>
    <w:rsid w:val="008B3AED"/>
    <w:rsid w:val="008B3BCA"/>
    <w:rsid w:val="008B3D48"/>
    <w:rsid w:val="008B4184"/>
    <w:rsid w:val="008B46A7"/>
    <w:rsid w:val="008B47ED"/>
    <w:rsid w:val="008B48BB"/>
    <w:rsid w:val="008B4AB2"/>
    <w:rsid w:val="008B4B57"/>
    <w:rsid w:val="008B4E29"/>
    <w:rsid w:val="008B5005"/>
    <w:rsid w:val="008B52C7"/>
    <w:rsid w:val="008B5637"/>
    <w:rsid w:val="008B56AE"/>
    <w:rsid w:val="008B6198"/>
    <w:rsid w:val="008B69CE"/>
    <w:rsid w:val="008B6D3B"/>
    <w:rsid w:val="008B6DDC"/>
    <w:rsid w:val="008B70ED"/>
    <w:rsid w:val="008B7305"/>
    <w:rsid w:val="008B7B9D"/>
    <w:rsid w:val="008C00FC"/>
    <w:rsid w:val="008C01B4"/>
    <w:rsid w:val="008C05D3"/>
    <w:rsid w:val="008C071A"/>
    <w:rsid w:val="008C07D3"/>
    <w:rsid w:val="008C0BAD"/>
    <w:rsid w:val="008C0C22"/>
    <w:rsid w:val="008C1114"/>
    <w:rsid w:val="008C12A9"/>
    <w:rsid w:val="008C1A6C"/>
    <w:rsid w:val="008C1B06"/>
    <w:rsid w:val="008C2071"/>
    <w:rsid w:val="008C21CD"/>
    <w:rsid w:val="008C24D4"/>
    <w:rsid w:val="008C275B"/>
    <w:rsid w:val="008C284F"/>
    <w:rsid w:val="008C29F6"/>
    <w:rsid w:val="008C2C14"/>
    <w:rsid w:val="008C3050"/>
    <w:rsid w:val="008C3106"/>
    <w:rsid w:val="008C3989"/>
    <w:rsid w:val="008C3D75"/>
    <w:rsid w:val="008C4430"/>
    <w:rsid w:val="008C4708"/>
    <w:rsid w:val="008C4760"/>
    <w:rsid w:val="008C4BD1"/>
    <w:rsid w:val="008C512B"/>
    <w:rsid w:val="008C5254"/>
    <w:rsid w:val="008C5287"/>
    <w:rsid w:val="008C568A"/>
    <w:rsid w:val="008C5CC7"/>
    <w:rsid w:val="008C62E7"/>
    <w:rsid w:val="008C632B"/>
    <w:rsid w:val="008C63BE"/>
    <w:rsid w:val="008C666F"/>
    <w:rsid w:val="008C66E8"/>
    <w:rsid w:val="008C6A5F"/>
    <w:rsid w:val="008C6F76"/>
    <w:rsid w:val="008C74E1"/>
    <w:rsid w:val="008C75F2"/>
    <w:rsid w:val="008C7819"/>
    <w:rsid w:val="008C7CC9"/>
    <w:rsid w:val="008C7DAA"/>
    <w:rsid w:val="008C7DDF"/>
    <w:rsid w:val="008D0326"/>
    <w:rsid w:val="008D059A"/>
    <w:rsid w:val="008D089B"/>
    <w:rsid w:val="008D08AE"/>
    <w:rsid w:val="008D09B5"/>
    <w:rsid w:val="008D0C67"/>
    <w:rsid w:val="008D0E6B"/>
    <w:rsid w:val="008D0F2D"/>
    <w:rsid w:val="008D1395"/>
    <w:rsid w:val="008D1414"/>
    <w:rsid w:val="008D17A0"/>
    <w:rsid w:val="008D20AB"/>
    <w:rsid w:val="008D2538"/>
    <w:rsid w:val="008D2549"/>
    <w:rsid w:val="008D3007"/>
    <w:rsid w:val="008D311F"/>
    <w:rsid w:val="008D31AE"/>
    <w:rsid w:val="008D3363"/>
    <w:rsid w:val="008D3678"/>
    <w:rsid w:val="008D3807"/>
    <w:rsid w:val="008D38FA"/>
    <w:rsid w:val="008D3C8D"/>
    <w:rsid w:val="008D4041"/>
    <w:rsid w:val="008D4984"/>
    <w:rsid w:val="008D4A48"/>
    <w:rsid w:val="008D4BA4"/>
    <w:rsid w:val="008D4D1F"/>
    <w:rsid w:val="008D5105"/>
    <w:rsid w:val="008D5269"/>
    <w:rsid w:val="008D5551"/>
    <w:rsid w:val="008D5DD1"/>
    <w:rsid w:val="008D5E17"/>
    <w:rsid w:val="008D5EC7"/>
    <w:rsid w:val="008D619C"/>
    <w:rsid w:val="008D6234"/>
    <w:rsid w:val="008D637A"/>
    <w:rsid w:val="008D6732"/>
    <w:rsid w:val="008D6D63"/>
    <w:rsid w:val="008D713D"/>
    <w:rsid w:val="008D718D"/>
    <w:rsid w:val="008D74A7"/>
    <w:rsid w:val="008D783F"/>
    <w:rsid w:val="008D7E66"/>
    <w:rsid w:val="008D7F1B"/>
    <w:rsid w:val="008E05CC"/>
    <w:rsid w:val="008E069D"/>
    <w:rsid w:val="008E071D"/>
    <w:rsid w:val="008E0C43"/>
    <w:rsid w:val="008E0CBB"/>
    <w:rsid w:val="008E0D50"/>
    <w:rsid w:val="008E0DBE"/>
    <w:rsid w:val="008E0F89"/>
    <w:rsid w:val="008E18DB"/>
    <w:rsid w:val="008E19E4"/>
    <w:rsid w:val="008E1C47"/>
    <w:rsid w:val="008E2405"/>
    <w:rsid w:val="008E2816"/>
    <w:rsid w:val="008E2878"/>
    <w:rsid w:val="008E2CA5"/>
    <w:rsid w:val="008E2E58"/>
    <w:rsid w:val="008E33A6"/>
    <w:rsid w:val="008E382D"/>
    <w:rsid w:val="008E3949"/>
    <w:rsid w:val="008E3CBD"/>
    <w:rsid w:val="008E4088"/>
    <w:rsid w:val="008E422B"/>
    <w:rsid w:val="008E4D8E"/>
    <w:rsid w:val="008E4DC3"/>
    <w:rsid w:val="008E4DC7"/>
    <w:rsid w:val="008E5245"/>
    <w:rsid w:val="008E53DD"/>
    <w:rsid w:val="008E56A3"/>
    <w:rsid w:val="008E5B4E"/>
    <w:rsid w:val="008E5DF6"/>
    <w:rsid w:val="008E64D3"/>
    <w:rsid w:val="008E6AAF"/>
    <w:rsid w:val="008E6ADA"/>
    <w:rsid w:val="008E6E57"/>
    <w:rsid w:val="008E6F9A"/>
    <w:rsid w:val="008E764E"/>
    <w:rsid w:val="008E7762"/>
    <w:rsid w:val="008E7A4F"/>
    <w:rsid w:val="008E7B36"/>
    <w:rsid w:val="008E7D23"/>
    <w:rsid w:val="008E7E95"/>
    <w:rsid w:val="008F01A2"/>
    <w:rsid w:val="008F06B7"/>
    <w:rsid w:val="008F0900"/>
    <w:rsid w:val="008F0D8C"/>
    <w:rsid w:val="008F0E5D"/>
    <w:rsid w:val="008F13A2"/>
    <w:rsid w:val="008F14C8"/>
    <w:rsid w:val="008F1837"/>
    <w:rsid w:val="008F1C4D"/>
    <w:rsid w:val="008F1C58"/>
    <w:rsid w:val="008F1E10"/>
    <w:rsid w:val="008F2459"/>
    <w:rsid w:val="008F27B6"/>
    <w:rsid w:val="008F2A76"/>
    <w:rsid w:val="008F2C22"/>
    <w:rsid w:val="008F2D8E"/>
    <w:rsid w:val="008F358B"/>
    <w:rsid w:val="008F4083"/>
    <w:rsid w:val="008F427B"/>
    <w:rsid w:val="008F45C8"/>
    <w:rsid w:val="008F49E3"/>
    <w:rsid w:val="008F4BF2"/>
    <w:rsid w:val="008F4F5F"/>
    <w:rsid w:val="008F4F62"/>
    <w:rsid w:val="008F55E2"/>
    <w:rsid w:val="008F561F"/>
    <w:rsid w:val="008F562A"/>
    <w:rsid w:val="008F575B"/>
    <w:rsid w:val="008F57BD"/>
    <w:rsid w:val="008F5873"/>
    <w:rsid w:val="008F5B0A"/>
    <w:rsid w:val="008F5CA2"/>
    <w:rsid w:val="008F5EC6"/>
    <w:rsid w:val="008F5F56"/>
    <w:rsid w:val="008F61F0"/>
    <w:rsid w:val="008F6395"/>
    <w:rsid w:val="008F687B"/>
    <w:rsid w:val="008F700E"/>
    <w:rsid w:val="008F71E0"/>
    <w:rsid w:val="008F72D1"/>
    <w:rsid w:val="008F72E4"/>
    <w:rsid w:val="008F74E2"/>
    <w:rsid w:val="008F7773"/>
    <w:rsid w:val="008F787C"/>
    <w:rsid w:val="008F7AD7"/>
    <w:rsid w:val="008F7C7E"/>
    <w:rsid w:val="008F7F79"/>
    <w:rsid w:val="00900133"/>
    <w:rsid w:val="0090038C"/>
    <w:rsid w:val="00900B74"/>
    <w:rsid w:val="00900BF7"/>
    <w:rsid w:val="00900BFB"/>
    <w:rsid w:val="00900C05"/>
    <w:rsid w:val="009010E8"/>
    <w:rsid w:val="00901583"/>
    <w:rsid w:val="0090172E"/>
    <w:rsid w:val="00901B0F"/>
    <w:rsid w:val="00901D19"/>
    <w:rsid w:val="00901EE8"/>
    <w:rsid w:val="0090237C"/>
    <w:rsid w:val="0090265E"/>
    <w:rsid w:val="00902771"/>
    <w:rsid w:val="00902F79"/>
    <w:rsid w:val="00903C17"/>
    <w:rsid w:val="00903C72"/>
    <w:rsid w:val="00903CFC"/>
    <w:rsid w:val="00903D27"/>
    <w:rsid w:val="00904190"/>
    <w:rsid w:val="009045EA"/>
    <w:rsid w:val="009045F2"/>
    <w:rsid w:val="00904827"/>
    <w:rsid w:val="00904E5C"/>
    <w:rsid w:val="00904F10"/>
    <w:rsid w:val="009050E9"/>
    <w:rsid w:val="009055FD"/>
    <w:rsid w:val="0090569E"/>
    <w:rsid w:val="00905F20"/>
    <w:rsid w:val="0090611A"/>
    <w:rsid w:val="0090631C"/>
    <w:rsid w:val="009065AB"/>
    <w:rsid w:val="00906AE7"/>
    <w:rsid w:val="00906D5C"/>
    <w:rsid w:val="00906F83"/>
    <w:rsid w:val="00907394"/>
    <w:rsid w:val="00907BCD"/>
    <w:rsid w:val="009100AA"/>
    <w:rsid w:val="00910752"/>
    <w:rsid w:val="009108CE"/>
    <w:rsid w:val="009112D3"/>
    <w:rsid w:val="00911A1B"/>
    <w:rsid w:val="00911AA4"/>
    <w:rsid w:val="009122F3"/>
    <w:rsid w:val="00912934"/>
    <w:rsid w:val="00912D27"/>
    <w:rsid w:val="00912D2B"/>
    <w:rsid w:val="00913366"/>
    <w:rsid w:val="00913655"/>
    <w:rsid w:val="00913734"/>
    <w:rsid w:val="009147AA"/>
    <w:rsid w:val="0091567E"/>
    <w:rsid w:val="00915AAF"/>
    <w:rsid w:val="00915B32"/>
    <w:rsid w:val="00915C7C"/>
    <w:rsid w:val="00915D4B"/>
    <w:rsid w:val="00915DAE"/>
    <w:rsid w:val="00916125"/>
    <w:rsid w:val="0091613D"/>
    <w:rsid w:val="00916143"/>
    <w:rsid w:val="0091619B"/>
    <w:rsid w:val="00916411"/>
    <w:rsid w:val="00916581"/>
    <w:rsid w:val="00916B17"/>
    <w:rsid w:val="00916EC4"/>
    <w:rsid w:val="0091726F"/>
    <w:rsid w:val="00917A7B"/>
    <w:rsid w:val="00917EBC"/>
    <w:rsid w:val="00920035"/>
    <w:rsid w:val="00920666"/>
    <w:rsid w:val="00920801"/>
    <w:rsid w:val="00920B3F"/>
    <w:rsid w:val="00920BA2"/>
    <w:rsid w:val="0092108D"/>
    <w:rsid w:val="00921267"/>
    <w:rsid w:val="009216B9"/>
    <w:rsid w:val="00921B15"/>
    <w:rsid w:val="00921CDD"/>
    <w:rsid w:val="00921E02"/>
    <w:rsid w:val="00921EA7"/>
    <w:rsid w:val="009221AC"/>
    <w:rsid w:val="009221C9"/>
    <w:rsid w:val="00922353"/>
    <w:rsid w:val="0092287D"/>
    <w:rsid w:val="0092293A"/>
    <w:rsid w:val="00922CC6"/>
    <w:rsid w:val="00922E1B"/>
    <w:rsid w:val="00922E4D"/>
    <w:rsid w:val="00922FF0"/>
    <w:rsid w:val="009234ED"/>
    <w:rsid w:val="009235DD"/>
    <w:rsid w:val="00923B2A"/>
    <w:rsid w:val="00923B9B"/>
    <w:rsid w:val="009240D7"/>
    <w:rsid w:val="0092427C"/>
    <w:rsid w:val="0092451C"/>
    <w:rsid w:val="0092467F"/>
    <w:rsid w:val="009247DD"/>
    <w:rsid w:val="00924BD0"/>
    <w:rsid w:val="00924C45"/>
    <w:rsid w:val="00924CA0"/>
    <w:rsid w:val="00924DF0"/>
    <w:rsid w:val="00925259"/>
    <w:rsid w:val="009264F3"/>
    <w:rsid w:val="00926CA9"/>
    <w:rsid w:val="00927295"/>
    <w:rsid w:val="00927694"/>
    <w:rsid w:val="0092779E"/>
    <w:rsid w:val="00927AA1"/>
    <w:rsid w:val="00927FFD"/>
    <w:rsid w:val="0093169B"/>
    <w:rsid w:val="00931CCF"/>
    <w:rsid w:val="00931DC1"/>
    <w:rsid w:val="00931E8B"/>
    <w:rsid w:val="00932016"/>
    <w:rsid w:val="0093215D"/>
    <w:rsid w:val="0093299A"/>
    <w:rsid w:val="00932E4F"/>
    <w:rsid w:val="00932FAE"/>
    <w:rsid w:val="00933470"/>
    <w:rsid w:val="009336FF"/>
    <w:rsid w:val="009341D4"/>
    <w:rsid w:val="00934882"/>
    <w:rsid w:val="00934C55"/>
    <w:rsid w:val="00934C92"/>
    <w:rsid w:val="00934D18"/>
    <w:rsid w:val="00934D90"/>
    <w:rsid w:val="00934E6A"/>
    <w:rsid w:val="00935513"/>
    <w:rsid w:val="00935710"/>
    <w:rsid w:val="0093574D"/>
    <w:rsid w:val="0093591A"/>
    <w:rsid w:val="00935D74"/>
    <w:rsid w:val="00935EE5"/>
    <w:rsid w:val="00936193"/>
    <w:rsid w:val="0093651E"/>
    <w:rsid w:val="00936769"/>
    <w:rsid w:val="00936929"/>
    <w:rsid w:val="00936D0A"/>
    <w:rsid w:val="00936F78"/>
    <w:rsid w:val="00937CE5"/>
    <w:rsid w:val="00940730"/>
    <w:rsid w:val="009408DD"/>
    <w:rsid w:val="00940A29"/>
    <w:rsid w:val="00940F68"/>
    <w:rsid w:val="00940FA0"/>
    <w:rsid w:val="0094109D"/>
    <w:rsid w:val="0094143B"/>
    <w:rsid w:val="00941647"/>
    <w:rsid w:val="00941BA6"/>
    <w:rsid w:val="0094306A"/>
    <w:rsid w:val="00943CF2"/>
    <w:rsid w:val="00944192"/>
    <w:rsid w:val="00944266"/>
    <w:rsid w:val="0094483A"/>
    <w:rsid w:val="00944B41"/>
    <w:rsid w:val="00944D96"/>
    <w:rsid w:val="00944E41"/>
    <w:rsid w:val="00944FE0"/>
    <w:rsid w:val="009450D2"/>
    <w:rsid w:val="00945113"/>
    <w:rsid w:val="00945C73"/>
    <w:rsid w:val="0094612D"/>
    <w:rsid w:val="009462C2"/>
    <w:rsid w:val="00946829"/>
    <w:rsid w:val="00946CD4"/>
    <w:rsid w:val="00946FD0"/>
    <w:rsid w:val="009472D5"/>
    <w:rsid w:val="00947847"/>
    <w:rsid w:val="0094792B"/>
    <w:rsid w:val="00950518"/>
    <w:rsid w:val="009508C2"/>
    <w:rsid w:val="00950A6C"/>
    <w:rsid w:val="00950AC3"/>
    <w:rsid w:val="00950BF2"/>
    <w:rsid w:val="0095137E"/>
    <w:rsid w:val="009514B9"/>
    <w:rsid w:val="009516D7"/>
    <w:rsid w:val="00951B90"/>
    <w:rsid w:val="00951C8B"/>
    <w:rsid w:val="00951C97"/>
    <w:rsid w:val="00952691"/>
    <w:rsid w:val="00952EEB"/>
    <w:rsid w:val="009537FB"/>
    <w:rsid w:val="00953856"/>
    <w:rsid w:val="00953989"/>
    <w:rsid w:val="009539D4"/>
    <w:rsid w:val="00953B0D"/>
    <w:rsid w:val="00953E75"/>
    <w:rsid w:val="00954905"/>
    <w:rsid w:val="00954A77"/>
    <w:rsid w:val="00954B3D"/>
    <w:rsid w:val="00954C2E"/>
    <w:rsid w:val="0095505C"/>
    <w:rsid w:val="00955239"/>
    <w:rsid w:val="009554A9"/>
    <w:rsid w:val="00955898"/>
    <w:rsid w:val="00955ABA"/>
    <w:rsid w:val="00955F2B"/>
    <w:rsid w:val="0095615B"/>
    <w:rsid w:val="0095665C"/>
    <w:rsid w:val="00956733"/>
    <w:rsid w:val="009569A8"/>
    <w:rsid w:val="00957508"/>
    <w:rsid w:val="0095770E"/>
    <w:rsid w:val="0095792D"/>
    <w:rsid w:val="009579A6"/>
    <w:rsid w:val="00957A91"/>
    <w:rsid w:val="00957BD6"/>
    <w:rsid w:val="009603E4"/>
    <w:rsid w:val="0096042E"/>
    <w:rsid w:val="00960566"/>
    <w:rsid w:val="0096060B"/>
    <w:rsid w:val="00960623"/>
    <w:rsid w:val="00960997"/>
    <w:rsid w:val="00960EE9"/>
    <w:rsid w:val="0096115D"/>
    <w:rsid w:val="009611AB"/>
    <w:rsid w:val="00961231"/>
    <w:rsid w:val="009616F1"/>
    <w:rsid w:val="00962504"/>
    <w:rsid w:val="009628D8"/>
    <w:rsid w:val="0096338E"/>
    <w:rsid w:val="00963AF8"/>
    <w:rsid w:val="00963AFD"/>
    <w:rsid w:val="0096415F"/>
    <w:rsid w:val="00964210"/>
    <w:rsid w:val="00964358"/>
    <w:rsid w:val="00964665"/>
    <w:rsid w:val="00964A06"/>
    <w:rsid w:val="00964C4F"/>
    <w:rsid w:val="00964CA8"/>
    <w:rsid w:val="00964CC1"/>
    <w:rsid w:val="00965266"/>
    <w:rsid w:val="009655FE"/>
    <w:rsid w:val="00965F07"/>
    <w:rsid w:val="00965F20"/>
    <w:rsid w:val="0096649E"/>
    <w:rsid w:val="0096650C"/>
    <w:rsid w:val="00966728"/>
    <w:rsid w:val="00966ACE"/>
    <w:rsid w:val="009672D3"/>
    <w:rsid w:val="00967345"/>
    <w:rsid w:val="0096772E"/>
    <w:rsid w:val="009677C3"/>
    <w:rsid w:val="00967896"/>
    <w:rsid w:val="00970015"/>
    <w:rsid w:val="009704A8"/>
    <w:rsid w:val="009707F3"/>
    <w:rsid w:val="00971228"/>
    <w:rsid w:val="0097156C"/>
    <w:rsid w:val="009715A1"/>
    <w:rsid w:val="00971654"/>
    <w:rsid w:val="00971A11"/>
    <w:rsid w:val="00971A3D"/>
    <w:rsid w:val="009721F8"/>
    <w:rsid w:val="00972245"/>
    <w:rsid w:val="00972878"/>
    <w:rsid w:val="009728F8"/>
    <w:rsid w:val="00972C2B"/>
    <w:rsid w:val="00972F56"/>
    <w:rsid w:val="00973323"/>
    <w:rsid w:val="0097365E"/>
    <w:rsid w:val="009736AA"/>
    <w:rsid w:val="00973795"/>
    <w:rsid w:val="00973B0A"/>
    <w:rsid w:val="00973CFF"/>
    <w:rsid w:val="00973F79"/>
    <w:rsid w:val="009743A4"/>
    <w:rsid w:val="009746D8"/>
    <w:rsid w:val="00974766"/>
    <w:rsid w:val="00974C0B"/>
    <w:rsid w:val="00974CF5"/>
    <w:rsid w:val="009753E7"/>
    <w:rsid w:val="00975BD4"/>
    <w:rsid w:val="00975F25"/>
    <w:rsid w:val="00976176"/>
    <w:rsid w:val="009767DB"/>
    <w:rsid w:val="009768B3"/>
    <w:rsid w:val="009768F5"/>
    <w:rsid w:val="00977053"/>
    <w:rsid w:val="00977111"/>
    <w:rsid w:val="009775A9"/>
    <w:rsid w:val="00977A5D"/>
    <w:rsid w:val="00977E85"/>
    <w:rsid w:val="00980034"/>
    <w:rsid w:val="009801F6"/>
    <w:rsid w:val="00980646"/>
    <w:rsid w:val="009806E2"/>
    <w:rsid w:val="00980966"/>
    <w:rsid w:val="00980ABF"/>
    <w:rsid w:val="00980C2F"/>
    <w:rsid w:val="00980CEC"/>
    <w:rsid w:val="00980D82"/>
    <w:rsid w:val="009812E6"/>
    <w:rsid w:val="0098130A"/>
    <w:rsid w:val="00981BBD"/>
    <w:rsid w:val="00981ECE"/>
    <w:rsid w:val="0098203A"/>
    <w:rsid w:val="00982C17"/>
    <w:rsid w:val="00982CDD"/>
    <w:rsid w:val="00983320"/>
    <w:rsid w:val="00983B93"/>
    <w:rsid w:val="00983BD6"/>
    <w:rsid w:val="00983D4E"/>
    <w:rsid w:val="009844F4"/>
    <w:rsid w:val="0098512F"/>
    <w:rsid w:val="0098518C"/>
    <w:rsid w:val="00985417"/>
    <w:rsid w:val="009856C1"/>
    <w:rsid w:val="00985CE7"/>
    <w:rsid w:val="00985FBA"/>
    <w:rsid w:val="0098642E"/>
    <w:rsid w:val="0098650A"/>
    <w:rsid w:val="009867D0"/>
    <w:rsid w:val="00987C67"/>
    <w:rsid w:val="00987DAB"/>
    <w:rsid w:val="009907E9"/>
    <w:rsid w:val="0099085B"/>
    <w:rsid w:val="00991512"/>
    <w:rsid w:val="009915A1"/>
    <w:rsid w:val="00991814"/>
    <w:rsid w:val="009918BC"/>
    <w:rsid w:val="00991BAC"/>
    <w:rsid w:val="00991DEE"/>
    <w:rsid w:val="00991E1C"/>
    <w:rsid w:val="00991E69"/>
    <w:rsid w:val="0099271F"/>
    <w:rsid w:val="00993053"/>
    <w:rsid w:val="0099309E"/>
    <w:rsid w:val="009936A1"/>
    <w:rsid w:val="009937A1"/>
    <w:rsid w:val="0099388F"/>
    <w:rsid w:val="009938AE"/>
    <w:rsid w:val="009942B7"/>
    <w:rsid w:val="00994401"/>
    <w:rsid w:val="00994415"/>
    <w:rsid w:val="009944A1"/>
    <w:rsid w:val="00994504"/>
    <w:rsid w:val="00994B86"/>
    <w:rsid w:val="00994DAB"/>
    <w:rsid w:val="009951A2"/>
    <w:rsid w:val="009952F6"/>
    <w:rsid w:val="00995563"/>
    <w:rsid w:val="00995675"/>
    <w:rsid w:val="0099589E"/>
    <w:rsid w:val="00995D80"/>
    <w:rsid w:val="00995EF5"/>
    <w:rsid w:val="009969F5"/>
    <w:rsid w:val="00996E03"/>
    <w:rsid w:val="00996EB1"/>
    <w:rsid w:val="00997248"/>
    <w:rsid w:val="00997370"/>
    <w:rsid w:val="00997816"/>
    <w:rsid w:val="00997EF1"/>
    <w:rsid w:val="009A0025"/>
    <w:rsid w:val="009A14A6"/>
    <w:rsid w:val="009A1652"/>
    <w:rsid w:val="009A16F5"/>
    <w:rsid w:val="009A1BA3"/>
    <w:rsid w:val="009A1DFC"/>
    <w:rsid w:val="009A1F0A"/>
    <w:rsid w:val="009A257A"/>
    <w:rsid w:val="009A29B6"/>
    <w:rsid w:val="009A2A8D"/>
    <w:rsid w:val="009A2ADA"/>
    <w:rsid w:val="009A3126"/>
    <w:rsid w:val="009A38F6"/>
    <w:rsid w:val="009A3FB9"/>
    <w:rsid w:val="009A418E"/>
    <w:rsid w:val="009A4451"/>
    <w:rsid w:val="009A46F3"/>
    <w:rsid w:val="009A49B6"/>
    <w:rsid w:val="009A4B8F"/>
    <w:rsid w:val="009A4D0C"/>
    <w:rsid w:val="009A506F"/>
    <w:rsid w:val="009A52E3"/>
    <w:rsid w:val="009A5EB6"/>
    <w:rsid w:val="009A5ED9"/>
    <w:rsid w:val="009A6068"/>
    <w:rsid w:val="009A61C5"/>
    <w:rsid w:val="009A675A"/>
    <w:rsid w:val="009A6790"/>
    <w:rsid w:val="009A6880"/>
    <w:rsid w:val="009A6A3F"/>
    <w:rsid w:val="009A7156"/>
    <w:rsid w:val="009A77D5"/>
    <w:rsid w:val="009A7882"/>
    <w:rsid w:val="009A7A8D"/>
    <w:rsid w:val="009A7BEF"/>
    <w:rsid w:val="009A7DD6"/>
    <w:rsid w:val="009A7E21"/>
    <w:rsid w:val="009B009B"/>
    <w:rsid w:val="009B1057"/>
    <w:rsid w:val="009B1249"/>
    <w:rsid w:val="009B1991"/>
    <w:rsid w:val="009B1CF9"/>
    <w:rsid w:val="009B2249"/>
    <w:rsid w:val="009B22F2"/>
    <w:rsid w:val="009B231D"/>
    <w:rsid w:val="009B299D"/>
    <w:rsid w:val="009B2A87"/>
    <w:rsid w:val="009B2D8B"/>
    <w:rsid w:val="009B32CC"/>
    <w:rsid w:val="009B3477"/>
    <w:rsid w:val="009B34BF"/>
    <w:rsid w:val="009B3775"/>
    <w:rsid w:val="009B388C"/>
    <w:rsid w:val="009B3F7E"/>
    <w:rsid w:val="009B40B9"/>
    <w:rsid w:val="009B46BC"/>
    <w:rsid w:val="009B4903"/>
    <w:rsid w:val="009B4D60"/>
    <w:rsid w:val="009B504E"/>
    <w:rsid w:val="009B511B"/>
    <w:rsid w:val="009B5203"/>
    <w:rsid w:val="009B53AC"/>
    <w:rsid w:val="009B5431"/>
    <w:rsid w:val="009B5561"/>
    <w:rsid w:val="009B5581"/>
    <w:rsid w:val="009B55DC"/>
    <w:rsid w:val="009B575F"/>
    <w:rsid w:val="009B57FD"/>
    <w:rsid w:val="009B5BB8"/>
    <w:rsid w:val="009B603B"/>
    <w:rsid w:val="009B6548"/>
    <w:rsid w:val="009B698D"/>
    <w:rsid w:val="009B6E8D"/>
    <w:rsid w:val="009B7470"/>
    <w:rsid w:val="009B7936"/>
    <w:rsid w:val="009B7BF2"/>
    <w:rsid w:val="009B7C4E"/>
    <w:rsid w:val="009B7FEE"/>
    <w:rsid w:val="009C1184"/>
    <w:rsid w:val="009C14D3"/>
    <w:rsid w:val="009C186C"/>
    <w:rsid w:val="009C1995"/>
    <w:rsid w:val="009C1A40"/>
    <w:rsid w:val="009C1B51"/>
    <w:rsid w:val="009C1C3F"/>
    <w:rsid w:val="009C1C66"/>
    <w:rsid w:val="009C21C8"/>
    <w:rsid w:val="009C22C3"/>
    <w:rsid w:val="009C24BC"/>
    <w:rsid w:val="009C273C"/>
    <w:rsid w:val="009C2B4C"/>
    <w:rsid w:val="009C2E09"/>
    <w:rsid w:val="009C31A7"/>
    <w:rsid w:val="009C3230"/>
    <w:rsid w:val="009C3CD2"/>
    <w:rsid w:val="009C46D0"/>
    <w:rsid w:val="009C47A5"/>
    <w:rsid w:val="009C4A53"/>
    <w:rsid w:val="009C4CAA"/>
    <w:rsid w:val="009C4E79"/>
    <w:rsid w:val="009C4EA5"/>
    <w:rsid w:val="009C56B8"/>
    <w:rsid w:val="009C57B4"/>
    <w:rsid w:val="009C57E5"/>
    <w:rsid w:val="009C57F9"/>
    <w:rsid w:val="009C5B0D"/>
    <w:rsid w:val="009C5CEC"/>
    <w:rsid w:val="009C5FB0"/>
    <w:rsid w:val="009C6042"/>
    <w:rsid w:val="009C6486"/>
    <w:rsid w:val="009C65C0"/>
    <w:rsid w:val="009C6E7D"/>
    <w:rsid w:val="009C6F47"/>
    <w:rsid w:val="009C7BFD"/>
    <w:rsid w:val="009C7FED"/>
    <w:rsid w:val="009D03C1"/>
    <w:rsid w:val="009D06EF"/>
    <w:rsid w:val="009D0E34"/>
    <w:rsid w:val="009D156D"/>
    <w:rsid w:val="009D1703"/>
    <w:rsid w:val="009D1CA9"/>
    <w:rsid w:val="009D1CD3"/>
    <w:rsid w:val="009D1D9D"/>
    <w:rsid w:val="009D2341"/>
    <w:rsid w:val="009D254F"/>
    <w:rsid w:val="009D2AAB"/>
    <w:rsid w:val="009D2F63"/>
    <w:rsid w:val="009D3E33"/>
    <w:rsid w:val="009D4041"/>
    <w:rsid w:val="009D4167"/>
    <w:rsid w:val="009D45F1"/>
    <w:rsid w:val="009D483D"/>
    <w:rsid w:val="009D49CF"/>
    <w:rsid w:val="009D4DF8"/>
    <w:rsid w:val="009D4EFC"/>
    <w:rsid w:val="009D4F26"/>
    <w:rsid w:val="009D4FE1"/>
    <w:rsid w:val="009D51A4"/>
    <w:rsid w:val="009D56AF"/>
    <w:rsid w:val="009D572D"/>
    <w:rsid w:val="009D590D"/>
    <w:rsid w:val="009D649C"/>
    <w:rsid w:val="009D65EC"/>
    <w:rsid w:val="009D676F"/>
    <w:rsid w:val="009D6935"/>
    <w:rsid w:val="009D6BCA"/>
    <w:rsid w:val="009D7006"/>
    <w:rsid w:val="009D70E6"/>
    <w:rsid w:val="009D7204"/>
    <w:rsid w:val="009D7A89"/>
    <w:rsid w:val="009D7EC3"/>
    <w:rsid w:val="009E04EC"/>
    <w:rsid w:val="009E0868"/>
    <w:rsid w:val="009E0D93"/>
    <w:rsid w:val="009E10BB"/>
    <w:rsid w:val="009E1197"/>
    <w:rsid w:val="009E1330"/>
    <w:rsid w:val="009E1855"/>
    <w:rsid w:val="009E1DA3"/>
    <w:rsid w:val="009E1E25"/>
    <w:rsid w:val="009E1E8F"/>
    <w:rsid w:val="009E1FF6"/>
    <w:rsid w:val="009E26B1"/>
    <w:rsid w:val="009E2846"/>
    <w:rsid w:val="009E2952"/>
    <w:rsid w:val="009E2F98"/>
    <w:rsid w:val="009E3205"/>
    <w:rsid w:val="009E34D3"/>
    <w:rsid w:val="009E3670"/>
    <w:rsid w:val="009E3684"/>
    <w:rsid w:val="009E3890"/>
    <w:rsid w:val="009E3AC7"/>
    <w:rsid w:val="009E3C77"/>
    <w:rsid w:val="009E4923"/>
    <w:rsid w:val="009E4978"/>
    <w:rsid w:val="009E4A83"/>
    <w:rsid w:val="009E4D00"/>
    <w:rsid w:val="009E507C"/>
    <w:rsid w:val="009E5AA3"/>
    <w:rsid w:val="009E6057"/>
    <w:rsid w:val="009E628E"/>
    <w:rsid w:val="009E6366"/>
    <w:rsid w:val="009E6613"/>
    <w:rsid w:val="009E6813"/>
    <w:rsid w:val="009E6945"/>
    <w:rsid w:val="009E6B56"/>
    <w:rsid w:val="009E6C40"/>
    <w:rsid w:val="009E707B"/>
    <w:rsid w:val="009F0452"/>
    <w:rsid w:val="009F06D6"/>
    <w:rsid w:val="009F0852"/>
    <w:rsid w:val="009F0AFD"/>
    <w:rsid w:val="009F0DC3"/>
    <w:rsid w:val="009F0EFB"/>
    <w:rsid w:val="009F0F55"/>
    <w:rsid w:val="009F1360"/>
    <w:rsid w:val="009F1A76"/>
    <w:rsid w:val="009F1C72"/>
    <w:rsid w:val="009F1DB3"/>
    <w:rsid w:val="009F2338"/>
    <w:rsid w:val="009F26AA"/>
    <w:rsid w:val="009F2E33"/>
    <w:rsid w:val="009F3257"/>
    <w:rsid w:val="009F3826"/>
    <w:rsid w:val="009F3B85"/>
    <w:rsid w:val="009F3E83"/>
    <w:rsid w:val="009F42B3"/>
    <w:rsid w:val="009F457F"/>
    <w:rsid w:val="009F4641"/>
    <w:rsid w:val="009F469C"/>
    <w:rsid w:val="009F52FB"/>
    <w:rsid w:val="009F58AB"/>
    <w:rsid w:val="009F5CF1"/>
    <w:rsid w:val="009F6389"/>
    <w:rsid w:val="009F63E0"/>
    <w:rsid w:val="009F6727"/>
    <w:rsid w:val="009F6A10"/>
    <w:rsid w:val="009F6DB9"/>
    <w:rsid w:val="009F6E81"/>
    <w:rsid w:val="009F7245"/>
    <w:rsid w:val="009F7539"/>
    <w:rsid w:val="009F7ADA"/>
    <w:rsid w:val="009F7C18"/>
    <w:rsid w:val="009F7E6A"/>
    <w:rsid w:val="009F7FBA"/>
    <w:rsid w:val="00A00471"/>
    <w:rsid w:val="00A00767"/>
    <w:rsid w:val="00A008D6"/>
    <w:rsid w:val="00A00C0E"/>
    <w:rsid w:val="00A00C62"/>
    <w:rsid w:val="00A0129A"/>
    <w:rsid w:val="00A01BF9"/>
    <w:rsid w:val="00A01F2C"/>
    <w:rsid w:val="00A020C6"/>
    <w:rsid w:val="00A02316"/>
    <w:rsid w:val="00A026E6"/>
    <w:rsid w:val="00A0271C"/>
    <w:rsid w:val="00A0348A"/>
    <w:rsid w:val="00A03D92"/>
    <w:rsid w:val="00A03EA4"/>
    <w:rsid w:val="00A04166"/>
    <w:rsid w:val="00A04389"/>
    <w:rsid w:val="00A04728"/>
    <w:rsid w:val="00A04A75"/>
    <w:rsid w:val="00A04E99"/>
    <w:rsid w:val="00A050B8"/>
    <w:rsid w:val="00A053D0"/>
    <w:rsid w:val="00A053E6"/>
    <w:rsid w:val="00A05468"/>
    <w:rsid w:val="00A054DA"/>
    <w:rsid w:val="00A054DD"/>
    <w:rsid w:val="00A0566A"/>
    <w:rsid w:val="00A05A1A"/>
    <w:rsid w:val="00A05FA0"/>
    <w:rsid w:val="00A062AD"/>
    <w:rsid w:val="00A0634C"/>
    <w:rsid w:val="00A06436"/>
    <w:rsid w:val="00A06902"/>
    <w:rsid w:val="00A0696F"/>
    <w:rsid w:val="00A06CDF"/>
    <w:rsid w:val="00A07244"/>
    <w:rsid w:val="00A075EB"/>
    <w:rsid w:val="00A07842"/>
    <w:rsid w:val="00A078FB"/>
    <w:rsid w:val="00A07A1F"/>
    <w:rsid w:val="00A101F1"/>
    <w:rsid w:val="00A1066C"/>
    <w:rsid w:val="00A1066F"/>
    <w:rsid w:val="00A10B62"/>
    <w:rsid w:val="00A114FD"/>
    <w:rsid w:val="00A1155A"/>
    <w:rsid w:val="00A11C44"/>
    <w:rsid w:val="00A12195"/>
    <w:rsid w:val="00A1228C"/>
    <w:rsid w:val="00A129AC"/>
    <w:rsid w:val="00A131CF"/>
    <w:rsid w:val="00A1352E"/>
    <w:rsid w:val="00A13CE7"/>
    <w:rsid w:val="00A13ECB"/>
    <w:rsid w:val="00A14161"/>
    <w:rsid w:val="00A14378"/>
    <w:rsid w:val="00A14AE2"/>
    <w:rsid w:val="00A14B2D"/>
    <w:rsid w:val="00A14DE6"/>
    <w:rsid w:val="00A14FC7"/>
    <w:rsid w:val="00A159F8"/>
    <w:rsid w:val="00A15A80"/>
    <w:rsid w:val="00A15ACC"/>
    <w:rsid w:val="00A15D40"/>
    <w:rsid w:val="00A15E18"/>
    <w:rsid w:val="00A160D6"/>
    <w:rsid w:val="00A161B9"/>
    <w:rsid w:val="00A161EE"/>
    <w:rsid w:val="00A1678F"/>
    <w:rsid w:val="00A168FE"/>
    <w:rsid w:val="00A16910"/>
    <w:rsid w:val="00A1708F"/>
    <w:rsid w:val="00A171AC"/>
    <w:rsid w:val="00A17309"/>
    <w:rsid w:val="00A1782F"/>
    <w:rsid w:val="00A17CD0"/>
    <w:rsid w:val="00A17DC0"/>
    <w:rsid w:val="00A17F26"/>
    <w:rsid w:val="00A20271"/>
    <w:rsid w:val="00A206E3"/>
    <w:rsid w:val="00A2075C"/>
    <w:rsid w:val="00A208EC"/>
    <w:rsid w:val="00A2106F"/>
    <w:rsid w:val="00A2109E"/>
    <w:rsid w:val="00A21886"/>
    <w:rsid w:val="00A220D0"/>
    <w:rsid w:val="00A22310"/>
    <w:rsid w:val="00A22745"/>
    <w:rsid w:val="00A2303D"/>
    <w:rsid w:val="00A231E1"/>
    <w:rsid w:val="00A2374D"/>
    <w:rsid w:val="00A23958"/>
    <w:rsid w:val="00A23A56"/>
    <w:rsid w:val="00A23C9C"/>
    <w:rsid w:val="00A246C5"/>
    <w:rsid w:val="00A24AAA"/>
    <w:rsid w:val="00A24E0E"/>
    <w:rsid w:val="00A25000"/>
    <w:rsid w:val="00A25296"/>
    <w:rsid w:val="00A25419"/>
    <w:rsid w:val="00A2560F"/>
    <w:rsid w:val="00A2566D"/>
    <w:rsid w:val="00A25946"/>
    <w:rsid w:val="00A25C58"/>
    <w:rsid w:val="00A26056"/>
    <w:rsid w:val="00A261F3"/>
    <w:rsid w:val="00A26214"/>
    <w:rsid w:val="00A26292"/>
    <w:rsid w:val="00A2651B"/>
    <w:rsid w:val="00A26A4A"/>
    <w:rsid w:val="00A26C3A"/>
    <w:rsid w:val="00A26C5C"/>
    <w:rsid w:val="00A271E0"/>
    <w:rsid w:val="00A27344"/>
    <w:rsid w:val="00A274C3"/>
    <w:rsid w:val="00A276AA"/>
    <w:rsid w:val="00A277A8"/>
    <w:rsid w:val="00A277F6"/>
    <w:rsid w:val="00A279B3"/>
    <w:rsid w:val="00A27F52"/>
    <w:rsid w:val="00A30057"/>
    <w:rsid w:val="00A30A9E"/>
    <w:rsid w:val="00A30B05"/>
    <w:rsid w:val="00A30C85"/>
    <w:rsid w:val="00A30F35"/>
    <w:rsid w:val="00A316DA"/>
    <w:rsid w:val="00A3184D"/>
    <w:rsid w:val="00A31CFF"/>
    <w:rsid w:val="00A323F8"/>
    <w:rsid w:val="00A32822"/>
    <w:rsid w:val="00A32A0C"/>
    <w:rsid w:val="00A32E2F"/>
    <w:rsid w:val="00A33B0B"/>
    <w:rsid w:val="00A33F0F"/>
    <w:rsid w:val="00A33F55"/>
    <w:rsid w:val="00A346DF"/>
    <w:rsid w:val="00A34960"/>
    <w:rsid w:val="00A349E5"/>
    <w:rsid w:val="00A353FA"/>
    <w:rsid w:val="00A3559B"/>
    <w:rsid w:val="00A35A64"/>
    <w:rsid w:val="00A36024"/>
    <w:rsid w:val="00A36388"/>
    <w:rsid w:val="00A363AA"/>
    <w:rsid w:val="00A3657D"/>
    <w:rsid w:val="00A367BE"/>
    <w:rsid w:val="00A36974"/>
    <w:rsid w:val="00A36BBA"/>
    <w:rsid w:val="00A36C5A"/>
    <w:rsid w:val="00A371F2"/>
    <w:rsid w:val="00A37A4F"/>
    <w:rsid w:val="00A37D2E"/>
    <w:rsid w:val="00A40091"/>
    <w:rsid w:val="00A4009D"/>
    <w:rsid w:val="00A409ED"/>
    <w:rsid w:val="00A40CDD"/>
    <w:rsid w:val="00A411CA"/>
    <w:rsid w:val="00A42803"/>
    <w:rsid w:val="00A42972"/>
    <w:rsid w:val="00A42AFD"/>
    <w:rsid w:val="00A42BD9"/>
    <w:rsid w:val="00A43258"/>
    <w:rsid w:val="00A4331F"/>
    <w:rsid w:val="00A433EF"/>
    <w:rsid w:val="00A434AE"/>
    <w:rsid w:val="00A44905"/>
    <w:rsid w:val="00A449FD"/>
    <w:rsid w:val="00A44C44"/>
    <w:rsid w:val="00A454C9"/>
    <w:rsid w:val="00A45CB4"/>
    <w:rsid w:val="00A45E6E"/>
    <w:rsid w:val="00A45EC7"/>
    <w:rsid w:val="00A45FC6"/>
    <w:rsid w:val="00A4612D"/>
    <w:rsid w:val="00A46158"/>
    <w:rsid w:val="00A4615F"/>
    <w:rsid w:val="00A464A3"/>
    <w:rsid w:val="00A46500"/>
    <w:rsid w:val="00A4666E"/>
    <w:rsid w:val="00A46675"/>
    <w:rsid w:val="00A4667B"/>
    <w:rsid w:val="00A46689"/>
    <w:rsid w:val="00A469AF"/>
    <w:rsid w:val="00A46D6E"/>
    <w:rsid w:val="00A46E6A"/>
    <w:rsid w:val="00A470FB"/>
    <w:rsid w:val="00A47827"/>
    <w:rsid w:val="00A47BC2"/>
    <w:rsid w:val="00A50053"/>
    <w:rsid w:val="00A500D3"/>
    <w:rsid w:val="00A501FC"/>
    <w:rsid w:val="00A5045C"/>
    <w:rsid w:val="00A5049D"/>
    <w:rsid w:val="00A504E0"/>
    <w:rsid w:val="00A506FD"/>
    <w:rsid w:val="00A50738"/>
    <w:rsid w:val="00A50FE3"/>
    <w:rsid w:val="00A511A4"/>
    <w:rsid w:val="00A51673"/>
    <w:rsid w:val="00A51D9F"/>
    <w:rsid w:val="00A52243"/>
    <w:rsid w:val="00A5298D"/>
    <w:rsid w:val="00A52BAA"/>
    <w:rsid w:val="00A53ECF"/>
    <w:rsid w:val="00A54237"/>
    <w:rsid w:val="00A54257"/>
    <w:rsid w:val="00A54481"/>
    <w:rsid w:val="00A545E2"/>
    <w:rsid w:val="00A546B8"/>
    <w:rsid w:val="00A547F8"/>
    <w:rsid w:val="00A54BE2"/>
    <w:rsid w:val="00A54CB9"/>
    <w:rsid w:val="00A54D0A"/>
    <w:rsid w:val="00A556FC"/>
    <w:rsid w:val="00A55736"/>
    <w:rsid w:val="00A55AE0"/>
    <w:rsid w:val="00A55E71"/>
    <w:rsid w:val="00A56584"/>
    <w:rsid w:val="00A56B76"/>
    <w:rsid w:val="00A56D4A"/>
    <w:rsid w:val="00A5710D"/>
    <w:rsid w:val="00A573B9"/>
    <w:rsid w:val="00A57438"/>
    <w:rsid w:val="00A57508"/>
    <w:rsid w:val="00A577CA"/>
    <w:rsid w:val="00A57802"/>
    <w:rsid w:val="00A5799D"/>
    <w:rsid w:val="00A5799F"/>
    <w:rsid w:val="00A57A55"/>
    <w:rsid w:val="00A57AEF"/>
    <w:rsid w:val="00A57BF9"/>
    <w:rsid w:val="00A57F67"/>
    <w:rsid w:val="00A57F88"/>
    <w:rsid w:val="00A6016E"/>
    <w:rsid w:val="00A60237"/>
    <w:rsid w:val="00A60486"/>
    <w:rsid w:val="00A6089D"/>
    <w:rsid w:val="00A6095D"/>
    <w:rsid w:val="00A60C9E"/>
    <w:rsid w:val="00A60D03"/>
    <w:rsid w:val="00A60EF2"/>
    <w:rsid w:val="00A60F99"/>
    <w:rsid w:val="00A61290"/>
    <w:rsid w:val="00A615CA"/>
    <w:rsid w:val="00A6190E"/>
    <w:rsid w:val="00A619EF"/>
    <w:rsid w:val="00A61BDF"/>
    <w:rsid w:val="00A61BFA"/>
    <w:rsid w:val="00A62061"/>
    <w:rsid w:val="00A621DA"/>
    <w:rsid w:val="00A6224B"/>
    <w:rsid w:val="00A62E33"/>
    <w:rsid w:val="00A63173"/>
    <w:rsid w:val="00A633A0"/>
    <w:rsid w:val="00A63406"/>
    <w:rsid w:val="00A6344D"/>
    <w:rsid w:val="00A63C33"/>
    <w:rsid w:val="00A64422"/>
    <w:rsid w:val="00A6485D"/>
    <w:rsid w:val="00A64AA1"/>
    <w:rsid w:val="00A64C07"/>
    <w:rsid w:val="00A650B8"/>
    <w:rsid w:val="00A651A4"/>
    <w:rsid w:val="00A6547A"/>
    <w:rsid w:val="00A655B4"/>
    <w:rsid w:val="00A658F1"/>
    <w:rsid w:val="00A65C9A"/>
    <w:rsid w:val="00A65D23"/>
    <w:rsid w:val="00A65FC6"/>
    <w:rsid w:val="00A6600F"/>
    <w:rsid w:val="00A66081"/>
    <w:rsid w:val="00A6621D"/>
    <w:rsid w:val="00A66510"/>
    <w:rsid w:val="00A668DD"/>
    <w:rsid w:val="00A67377"/>
    <w:rsid w:val="00A673A5"/>
    <w:rsid w:val="00A6741C"/>
    <w:rsid w:val="00A67422"/>
    <w:rsid w:val="00A674DA"/>
    <w:rsid w:val="00A67A56"/>
    <w:rsid w:val="00A67E0E"/>
    <w:rsid w:val="00A702AF"/>
    <w:rsid w:val="00A702F8"/>
    <w:rsid w:val="00A70430"/>
    <w:rsid w:val="00A7085E"/>
    <w:rsid w:val="00A709D9"/>
    <w:rsid w:val="00A70E47"/>
    <w:rsid w:val="00A7111F"/>
    <w:rsid w:val="00A72262"/>
    <w:rsid w:val="00A727EA"/>
    <w:rsid w:val="00A729E7"/>
    <w:rsid w:val="00A72BA5"/>
    <w:rsid w:val="00A72F07"/>
    <w:rsid w:val="00A7306D"/>
    <w:rsid w:val="00A7306F"/>
    <w:rsid w:val="00A7310B"/>
    <w:rsid w:val="00A736CB"/>
    <w:rsid w:val="00A73DD2"/>
    <w:rsid w:val="00A73E03"/>
    <w:rsid w:val="00A73FD5"/>
    <w:rsid w:val="00A74385"/>
    <w:rsid w:val="00A74548"/>
    <w:rsid w:val="00A74C91"/>
    <w:rsid w:val="00A75D5E"/>
    <w:rsid w:val="00A764B7"/>
    <w:rsid w:val="00A76715"/>
    <w:rsid w:val="00A7681F"/>
    <w:rsid w:val="00A768F9"/>
    <w:rsid w:val="00A76D82"/>
    <w:rsid w:val="00A76F2D"/>
    <w:rsid w:val="00A772FA"/>
    <w:rsid w:val="00A77855"/>
    <w:rsid w:val="00A7787D"/>
    <w:rsid w:val="00A77915"/>
    <w:rsid w:val="00A804BA"/>
    <w:rsid w:val="00A80990"/>
    <w:rsid w:val="00A809EF"/>
    <w:rsid w:val="00A80A8B"/>
    <w:rsid w:val="00A80D98"/>
    <w:rsid w:val="00A81864"/>
    <w:rsid w:val="00A81BF3"/>
    <w:rsid w:val="00A81CB7"/>
    <w:rsid w:val="00A81F10"/>
    <w:rsid w:val="00A823F6"/>
    <w:rsid w:val="00A8272F"/>
    <w:rsid w:val="00A8295C"/>
    <w:rsid w:val="00A82A18"/>
    <w:rsid w:val="00A82AC9"/>
    <w:rsid w:val="00A82D45"/>
    <w:rsid w:val="00A8301D"/>
    <w:rsid w:val="00A83B88"/>
    <w:rsid w:val="00A840CF"/>
    <w:rsid w:val="00A84240"/>
    <w:rsid w:val="00A8474D"/>
    <w:rsid w:val="00A849F1"/>
    <w:rsid w:val="00A84BD3"/>
    <w:rsid w:val="00A84F0D"/>
    <w:rsid w:val="00A85063"/>
    <w:rsid w:val="00A85367"/>
    <w:rsid w:val="00A8536D"/>
    <w:rsid w:val="00A856EE"/>
    <w:rsid w:val="00A859D1"/>
    <w:rsid w:val="00A859EE"/>
    <w:rsid w:val="00A85DB6"/>
    <w:rsid w:val="00A85F3A"/>
    <w:rsid w:val="00A86673"/>
    <w:rsid w:val="00A8678D"/>
    <w:rsid w:val="00A867B5"/>
    <w:rsid w:val="00A86A62"/>
    <w:rsid w:val="00A86DDA"/>
    <w:rsid w:val="00A87295"/>
    <w:rsid w:val="00A874E4"/>
    <w:rsid w:val="00A876D1"/>
    <w:rsid w:val="00A9036F"/>
    <w:rsid w:val="00A91199"/>
    <w:rsid w:val="00A9119E"/>
    <w:rsid w:val="00A91A8C"/>
    <w:rsid w:val="00A91C10"/>
    <w:rsid w:val="00A91F4A"/>
    <w:rsid w:val="00A9213B"/>
    <w:rsid w:val="00A9254A"/>
    <w:rsid w:val="00A927A7"/>
    <w:rsid w:val="00A92AAD"/>
    <w:rsid w:val="00A93B4E"/>
    <w:rsid w:val="00A93EF9"/>
    <w:rsid w:val="00A943EA"/>
    <w:rsid w:val="00A949AD"/>
    <w:rsid w:val="00A94CAC"/>
    <w:rsid w:val="00A94E25"/>
    <w:rsid w:val="00A95E6D"/>
    <w:rsid w:val="00A962E9"/>
    <w:rsid w:val="00A96372"/>
    <w:rsid w:val="00A9678D"/>
    <w:rsid w:val="00A972D3"/>
    <w:rsid w:val="00A974E1"/>
    <w:rsid w:val="00A97588"/>
    <w:rsid w:val="00A97833"/>
    <w:rsid w:val="00A97969"/>
    <w:rsid w:val="00A97C5C"/>
    <w:rsid w:val="00A97CEA"/>
    <w:rsid w:val="00A97E28"/>
    <w:rsid w:val="00A97F8A"/>
    <w:rsid w:val="00AA0000"/>
    <w:rsid w:val="00AA013C"/>
    <w:rsid w:val="00AA0C7F"/>
    <w:rsid w:val="00AA0D25"/>
    <w:rsid w:val="00AA0F9F"/>
    <w:rsid w:val="00AA1298"/>
    <w:rsid w:val="00AA146B"/>
    <w:rsid w:val="00AA1677"/>
    <w:rsid w:val="00AA1816"/>
    <w:rsid w:val="00AA224B"/>
    <w:rsid w:val="00AA264E"/>
    <w:rsid w:val="00AA2906"/>
    <w:rsid w:val="00AA2BEE"/>
    <w:rsid w:val="00AA2C34"/>
    <w:rsid w:val="00AA2C6F"/>
    <w:rsid w:val="00AA2DBB"/>
    <w:rsid w:val="00AA2F79"/>
    <w:rsid w:val="00AA33E5"/>
    <w:rsid w:val="00AA391D"/>
    <w:rsid w:val="00AA3B0D"/>
    <w:rsid w:val="00AA42EF"/>
    <w:rsid w:val="00AA47C4"/>
    <w:rsid w:val="00AA49D6"/>
    <w:rsid w:val="00AA4D61"/>
    <w:rsid w:val="00AA5589"/>
    <w:rsid w:val="00AA5E48"/>
    <w:rsid w:val="00AA623A"/>
    <w:rsid w:val="00AA6591"/>
    <w:rsid w:val="00AA6781"/>
    <w:rsid w:val="00AA6BAA"/>
    <w:rsid w:val="00AA6E4D"/>
    <w:rsid w:val="00AA74AE"/>
    <w:rsid w:val="00AA781B"/>
    <w:rsid w:val="00AA79E7"/>
    <w:rsid w:val="00AA7A95"/>
    <w:rsid w:val="00AB0009"/>
    <w:rsid w:val="00AB0028"/>
    <w:rsid w:val="00AB0CD3"/>
    <w:rsid w:val="00AB10E8"/>
    <w:rsid w:val="00AB11BE"/>
    <w:rsid w:val="00AB1789"/>
    <w:rsid w:val="00AB19B1"/>
    <w:rsid w:val="00AB1BF5"/>
    <w:rsid w:val="00AB1D96"/>
    <w:rsid w:val="00AB224D"/>
    <w:rsid w:val="00AB22AB"/>
    <w:rsid w:val="00AB2722"/>
    <w:rsid w:val="00AB272F"/>
    <w:rsid w:val="00AB2B40"/>
    <w:rsid w:val="00AB2CD0"/>
    <w:rsid w:val="00AB305E"/>
    <w:rsid w:val="00AB306C"/>
    <w:rsid w:val="00AB38BB"/>
    <w:rsid w:val="00AB3C41"/>
    <w:rsid w:val="00AB451D"/>
    <w:rsid w:val="00AB47F7"/>
    <w:rsid w:val="00AB4960"/>
    <w:rsid w:val="00AB4A63"/>
    <w:rsid w:val="00AB50FE"/>
    <w:rsid w:val="00AB5222"/>
    <w:rsid w:val="00AB53AE"/>
    <w:rsid w:val="00AB556B"/>
    <w:rsid w:val="00AB573C"/>
    <w:rsid w:val="00AB57A3"/>
    <w:rsid w:val="00AB5877"/>
    <w:rsid w:val="00AB6725"/>
    <w:rsid w:val="00AB67CD"/>
    <w:rsid w:val="00AB6B6E"/>
    <w:rsid w:val="00AB6C48"/>
    <w:rsid w:val="00AB6CCC"/>
    <w:rsid w:val="00AB6F5D"/>
    <w:rsid w:val="00AB7D10"/>
    <w:rsid w:val="00AB7EF6"/>
    <w:rsid w:val="00AC01E2"/>
    <w:rsid w:val="00AC03FE"/>
    <w:rsid w:val="00AC0487"/>
    <w:rsid w:val="00AC0626"/>
    <w:rsid w:val="00AC0629"/>
    <w:rsid w:val="00AC1A3C"/>
    <w:rsid w:val="00AC2B31"/>
    <w:rsid w:val="00AC318F"/>
    <w:rsid w:val="00AC31F5"/>
    <w:rsid w:val="00AC342F"/>
    <w:rsid w:val="00AC3792"/>
    <w:rsid w:val="00AC3ACB"/>
    <w:rsid w:val="00AC3D7E"/>
    <w:rsid w:val="00AC42D4"/>
    <w:rsid w:val="00AC466A"/>
    <w:rsid w:val="00AC4A12"/>
    <w:rsid w:val="00AC4D12"/>
    <w:rsid w:val="00AC4F77"/>
    <w:rsid w:val="00AC4F9B"/>
    <w:rsid w:val="00AC50C9"/>
    <w:rsid w:val="00AC56AC"/>
    <w:rsid w:val="00AC5796"/>
    <w:rsid w:val="00AC581B"/>
    <w:rsid w:val="00AC5B5E"/>
    <w:rsid w:val="00AC5C6E"/>
    <w:rsid w:val="00AC5D98"/>
    <w:rsid w:val="00AC6002"/>
    <w:rsid w:val="00AC660A"/>
    <w:rsid w:val="00AC66A3"/>
    <w:rsid w:val="00AC6871"/>
    <w:rsid w:val="00AC6D88"/>
    <w:rsid w:val="00AC7830"/>
    <w:rsid w:val="00AD0120"/>
    <w:rsid w:val="00AD11D9"/>
    <w:rsid w:val="00AD1587"/>
    <w:rsid w:val="00AD1791"/>
    <w:rsid w:val="00AD18CC"/>
    <w:rsid w:val="00AD1B49"/>
    <w:rsid w:val="00AD1BE7"/>
    <w:rsid w:val="00AD2020"/>
    <w:rsid w:val="00AD21AB"/>
    <w:rsid w:val="00AD231F"/>
    <w:rsid w:val="00AD2492"/>
    <w:rsid w:val="00AD25B0"/>
    <w:rsid w:val="00AD25C3"/>
    <w:rsid w:val="00AD2613"/>
    <w:rsid w:val="00AD28D4"/>
    <w:rsid w:val="00AD2AA9"/>
    <w:rsid w:val="00AD2BB5"/>
    <w:rsid w:val="00AD3002"/>
    <w:rsid w:val="00AD368E"/>
    <w:rsid w:val="00AD3764"/>
    <w:rsid w:val="00AD3CD4"/>
    <w:rsid w:val="00AD3D8A"/>
    <w:rsid w:val="00AD42C0"/>
    <w:rsid w:val="00AD4856"/>
    <w:rsid w:val="00AD4BD8"/>
    <w:rsid w:val="00AD516C"/>
    <w:rsid w:val="00AD6121"/>
    <w:rsid w:val="00AD61E4"/>
    <w:rsid w:val="00AD6353"/>
    <w:rsid w:val="00AD692E"/>
    <w:rsid w:val="00AD69E7"/>
    <w:rsid w:val="00AD6F16"/>
    <w:rsid w:val="00AD7017"/>
    <w:rsid w:val="00AD712C"/>
    <w:rsid w:val="00AD71F3"/>
    <w:rsid w:val="00AD7B92"/>
    <w:rsid w:val="00AD7C6A"/>
    <w:rsid w:val="00AE0C68"/>
    <w:rsid w:val="00AE1416"/>
    <w:rsid w:val="00AE15A4"/>
    <w:rsid w:val="00AE16B4"/>
    <w:rsid w:val="00AE1C91"/>
    <w:rsid w:val="00AE1DC1"/>
    <w:rsid w:val="00AE1E04"/>
    <w:rsid w:val="00AE1E70"/>
    <w:rsid w:val="00AE2BEC"/>
    <w:rsid w:val="00AE377B"/>
    <w:rsid w:val="00AE3E81"/>
    <w:rsid w:val="00AE4354"/>
    <w:rsid w:val="00AE4590"/>
    <w:rsid w:val="00AE4789"/>
    <w:rsid w:val="00AE4F83"/>
    <w:rsid w:val="00AE57D1"/>
    <w:rsid w:val="00AE5BD7"/>
    <w:rsid w:val="00AE5C3E"/>
    <w:rsid w:val="00AE5DA9"/>
    <w:rsid w:val="00AE5E70"/>
    <w:rsid w:val="00AE602F"/>
    <w:rsid w:val="00AE65A5"/>
    <w:rsid w:val="00AE66E4"/>
    <w:rsid w:val="00AE6919"/>
    <w:rsid w:val="00AE6A2E"/>
    <w:rsid w:val="00AE6AB1"/>
    <w:rsid w:val="00AE6E9D"/>
    <w:rsid w:val="00AE7150"/>
    <w:rsid w:val="00AE76B2"/>
    <w:rsid w:val="00AE7C1E"/>
    <w:rsid w:val="00AF039F"/>
    <w:rsid w:val="00AF06C5"/>
    <w:rsid w:val="00AF07FF"/>
    <w:rsid w:val="00AF0EAE"/>
    <w:rsid w:val="00AF1548"/>
    <w:rsid w:val="00AF1AED"/>
    <w:rsid w:val="00AF1FF1"/>
    <w:rsid w:val="00AF2539"/>
    <w:rsid w:val="00AF29F0"/>
    <w:rsid w:val="00AF2A61"/>
    <w:rsid w:val="00AF2AE5"/>
    <w:rsid w:val="00AF2AF9"/>
    <w:rsid w:val="00AF2B48"/>
    <w:rsid w:val="00AF2C1A"/>
    <w:rsid w:val="00AF3169"/>
    <w:rsid w:val="00AF3207"/>
    <w:rsid w:val="00AF34B6"/>
    <w:rsid w:val="00AF3567"/>
    <w:rsid w:val="00AF3647"/>
    <w:rsid w:val="00AF3A9C"/>
    <w:rsid w:val="00AF3F05"/>
    <w:rsid w:val="00AF3F21"/>
    <w:rsid w:val="00AF43FF"/>
    <w:rsid w:val="00AF4C32"/>
    <w:rsid w:val="00AF5184"/>
    <w:rsid w:val="00AF5A50"/>
    <w:rsid w:val="00AF5BDF"/>
    <w:rsid w:val="00AF5CEC"/>
    <w:rsid w:val="00AF6EDB"/>
    <w:rsid w:val="00AF745F"/>
    <w:rsid w:val="00AF7692"/>
    <w:rsid w:val="00AF7D5D"/>
    <w:rsid w:val="00AF7EF5"/>
    <w:rsid w:val="00B0042D"/>
    <w:rsid w:val="00B00ACD"/>
    <w:rsid w:val="00B00AF1"/>
    <w:rsid w:val="00B00D0F"/>
    <w:rsid w:val="00B013F3"/>
    <w:rsid w:val="00B0166D"/>
    <w:rsid w:val="00B02C43"/>
    <w:rsid w:val="00B02E2C"/>
    <w:rsid w:val="00B03018"/>
    <w:rsid w:val="00B035F6"/>
    <w:rsid w:val="00B03612"/>
    <w:rsid w:val="00B03A50"/>
    <w:rsid w:val="00B03C31"/>
    <w:rsid w:val="00B03E28"/>
    <w:rsid w:val="00B040DA"/>
    <w:rsid w:val="00B042EA"/>
    <w:rsid w:val="00B04487"/>
    <w:rsid w:val="00B0471C"/>
    <w:rsid w:val="00B04935"/>
    <w:rsid w:val="00B049F8"/>
    <w:rsid w:val="00B04E02"/>
    <w:rsid w:val="00B05207"/>
    <w:rsid w:val="00B05302"/>
    <w:rsid w:val="00B055C3"/>
    <w:rsid w:val="00B05DA7"/>
    <w:rsid w:val="00B05DF5"/>
    <w:rsid w:val="00B05E8B"/>
    <w:rsid w:val="00B0623C"/>
    <w:rsid w:val="00B06885"/>
    <w:rsid w:val="00B06F22"/>
    <w:rsid w:val="00B07504"/>
    <w:rsid w:val="00B079E2"/>
    <w:rsid w:val="00B07DF2"/>
    <w:rsid w:val="00B07E4E"/>
    <w:rsid w:val="00B07F51"/>
    <w:rsid w:val="00B101B2"/>
    <w:rsid w:val="00B102F4"/>
    <w:rsid w:val="00B106F2"/>
    <w:rsid w:val="00B1090F"/>
    <w:rsid w:val="00B10952"/>
    <w:rsid w:val="00B10CA6"/>
    <w:rsid w:val="00B11050"/>
    <w:rsid w:val="00B116A1"/>
    <w:rsid w:val="00B1181E"/>
    <w:rsid w:val="00B11A27"/>
    <w:rsid w:val="00B11AD5"/>
    <w:rsid w:val="00B11D11"/>
    <w:rsid w:val="00B122B5"/>
    <w:rsid w:val="00B1270C"/>
    <w:rsid w:val="00B12B89"/>
    <w:rsid w:val="00B12C80"/>
    <w:rsid w:val="00B12E44"/>
    <w:rsid w:val="00B130B0"/>
    <w:rsid w:val="00B13223"/>
    <w:rsid w:val="00B1336E"/>
    <w:rsid w:val="00B137FC"/>
    <w:rsid w:val="00B13A56"/>
    <w:rsid w:val="00B14555"/>
    <w:rsid w:val="00B149E4"/>
    <w:rsid w:val="00B14ADF"/>
    <w:rsid w:val="00B14C97"/>
    <w:rsid w:val="00B14CE7"/>
    <w:rsid w:val="00B14D64"/>
    <w:rsid w:val="00B15295"/>
    <w:rsid w:val="00B15404"/>
    <w:rsid w:val="00B1570B"/>
    <w:rsid w:val="00B1575B"/>
    <w:rsid w:val="00B15764"/>
    <w:rsid w:val="00B157FB"/>
    <w:rsid w:val="00B15CCF"/>
    <w:rsid w:val="00B15CD6"/>
    <w:rsid w:val="00B16E40"/>
    <w:rsid w:val="00B16FBE"/>
    <w:rsid w:val="00B177AC"/>
    <w:rsid w:val="00B179EF"/>
    <w:rsid w:val="00B17C67"/>
    <w:rsid w:val="00B20566"/>
    <w:rsid w:val="00B205D3"/>
    <w:rsid w:val="00B2077C"/>
    <w:rsid w:val="00B2097D"/>
    <w:rsid w:val="00B209C8"/>
    <w:rsid w:val="00B2152C"/>
    <w:rsid w:val="00B2162C"/>
    <w:rsid w:val="00B21BCE"/>
    <w:rsid w:val="00B21EBD"/>
    <w:rsid w:val="00B22462"/>
    <w:rsid w:val="00B22795"/>
    <w:rsid w:val="00B228FD"/>
    <w:rsid w:val="00B22A0A"/>
    <w:rsid w:val="00B22AF0"/>
    <w:rsid w:val="00B22B7A"/>
    <w:rsid w:val="00B22CB3"/>
    <w:rsid w:val="00B22D25"/>
    <w:rsid w:val="00B232DE"/>
    <w:rsid w:val="00B2332C"/>
    <w:rsid w:val="00B2337F"/>
    <w:rsid w:val="00B233AB"/>
    <w:rsid w:val="00B23486"/>
    <w:rsid w:val="00B235D8"/>
    <w:rsid w:val="00B2375F"/>
    <w:rsid w:val="00B239EE"/>
    <w:rsid w:val="00B23C0F"/>
    <w:rsid w:val="00B246B8"/>
    <w:rsid w:val="00B24C9F"/>
    <w:rsid w:val="00B257FD"/>
    <w:rsid w:val="00B2596B"/>
    <w:rsid w:val="00B25B03"/>
    <w:rsid w:val="00B25D80"/>
    <w:rsid w:val="00B25EDF"/>
    <w:rsid w:val="00B2603A"/>
    <w:rsid w:val="00B2614A"/>
    <w:rsid w:val="00B2628E"/>
    <w:rsid w:val="00B2675C"/>
    <w:rsid w:val="00B26973"/>
    <w:rsid w:val="00B27175"/>
    <w:rsid w:val="00B274AF"/>
    <w:rsid w:val="00B275C8"/>
    <w:rsid w:val="00B276DD"/>
    <w:rsid w:val="00B276FB"/>
    <w:rsid w:val="00B278B4"/>
    <w:rsid w:val="00B279C8"/>
    <w:rsid w:val="00B27D21"/>
    <w:rsid w:val="00B30222"/>
    <w:rsid w:val="00B303A7"/>
    <w:rsid w:val="00B308AD"/>
    <w:rsid w:val="00B30A30"/>
    <w:rsid w:val="00B30E11"/>
    <w:rsid w:val="00B31121"/>
    <w:rsid w:val="00B31739"/>
    <w:rsid w:val="00B3185F"/>
    <w:rsid w:val="00B31C23"/>
    <w:rsid w:val="00B31F31"/>
    <w:rsid w:val="00B324F3"/>
    <w:rsid w:val="00B32552"/>
    <w:rsid w:val="00B32B3F"/>
    <w:rsid w:val="00B32CF8"/>
    <w:rsid w:val="00B33606"/>
    <w:rsid w:val="00B33B84"/>
    <w:rsid w:val="00B33D3B"/>
    <w:rsid w:val="00B33F49"/>
    <w:rsid w:val="00B34054"/>
    <w:rsid w:val="00B3430F"/>
    <w:rsid w:val="00B34443"/>
    <w:rsid w:val="00B348AC"/>
    <w:rsid w:val="00B34AE3"/>
    <w:rsid w:val="00B34CEE"/>
    <w:rsid w:val="00B3506A"/>
    <w:rsid w:val="00B35E1B"/>
    <w:rsid w:val="00B36241"/>
    <w:rsid w:val="00B36355"/>
    <w:rsid w:val="00B366A2"/>
    <w:rsid w:val="00B36C6D"/>
    <w:rsid w:val="00B36F4E"/>
    <w:rsid w:val="00B373F0"/>
    <w:rsid w:val="00B375A0"/>
    <w:rsid w:val="00B377F7"/>
    <w:rsid w:val="00B37819"/>
    <w:rsid w:val="00B378FD"/>
    <w:rsid w:val="00B37FD1"/>
    <w:rsid w:val="00B4030A"/>
    <w:rsid w:val="00B407F8"/>
    <w:rsid w:val="00B40903"/>
    <w:rsid w:val="00B40CC1"/>
    <w:rsid w:val="00B40EE3"/>
    <w:rsid w:val="00B410C6"/>
    <w:rsid w:val="00B411CE"/>
    <w:rsid w:val="00B413CA"/>
    <w:rsid w:val="00B419F5"/>
    <w:rsid w:val="00B41C80"/>
    <w:rsid w:val="00B41F82"/>
    <w:rsid w:val="00B4206B"/>
    <w:rsid w:val="00B42213"/>
    <w:rsid w:val="00B42435"/>
    <w:rsid w:val="00B430FC"/>
    <w:rsid w:val="00B43120"/>
    <w:rsid w:val="00B43365"/>
    <w:rsid w:val="00B438E7"/>
    <w:rsid w:val="00B43EEA"/>
    <w:rsid w:val="00B440AD"/>
    <w:rsid w:val="00B44751"/>
    <w:rsid w:val="00B44CF7"/>
    <w:rsid w:val="00B45006"/>
    <w:rsid w:val="00B457CF"/>
    <w:rsid w:val="00B45D4F"/>
    <w:rsid w:val="00B45F49"/>
    <w:rsid w:val="00B46324"/>
    <w:rsid w:val="00B4656E"/>
    <w:rsid w:val="00B46F68"/>
    <w:rsid w:val="00B470F8"/>
    <w:rsid w:val="00B471F5"/>
    <w:rsid w:val="00B47246"/>
    <w:rsid w:val="00B5009D"/>
    <w:rsid w:val="00B501D9"/>
    <w:rsid w:val="00B504E9"/>
    <w:rsid w:val="00B50656"/>
    <w:rsid w:val="00B50C4A"/>
    <w:rsid w:val="00B50FE3"/>
    <w:rsid w:val="00B510A8"/>
    <w:rsid w:val="00B51165"/>
    <w:rsid w:val="00B51567"/>
    <w:rsid w:val="00B51EC7"/>
    <w:rsid w:val="00B51F65"/>
    <w:rsid w:val="00B52A12"/>
    <w:rsid w:val="00B52C7C"/>
    <w:rsid w:val="00B52D24"/>
    <w:rsid w:val="00B52E2A"/>
    <w:rsid w:val="00B5321C"/>
    <w:rsid w:val="00B53246"/>
    <w:rsid w:val="00B53864"/>
    <w:rsid w:val="00B53897"/>
    <w:rsid w:val="00B53B8C"/>
    <w:rsid w:val="00B5435A"/>
    <w:rsid w:val="00B546D7"/>
    <w:rsid w:val="00B54739"/>
    <w:rsid w:val="00B54A43"/>
    <w:rsid w:val="00B54BF0"/>
    <w:rsid w:val="00B552BB"/>
    <w:rsid w:val="00B552BE"/>
    <w:rsid w:val="00B559A0"/>
    <w:rsid w:val="00B55FD4"/>
    <w:rsid w:val="00B567C4"/>
    <w:rsid w:val="00B5686C"/>
    <w:rsid w:val="00B56E31"/>
    <w:rsid w:val="00B570F9"/>
    <w:rsid w:val="00B57AFA"/>
    <w:rsid w:val="00B57B1D"/>
    <w:rsid w:val="00B57B36"/>
    <w:rsid w:val="00B57DA1"/>
    <w:rsid w:val="00B602B5"/>
    <w:rsid w:val="00B60F01"/>
    <w:rsid w:val="00B6105C"/>
    <w:rsid w:val="00B617C4"/>
    <w:rsid w:val="00B61A2F"/>
    <w:rsid w:val="00B624D2"/>
    <w:rsid w:val="00B6279A"/>
    <w:rsid w:val="00B62812"/>
    <w:rsid w:val="00B62925"/>
    <w:rsid w:val="00B62B4A"/>
    <w:rsid w:val="00B62FB7"/>
    <w:rsid w:val="00B63319"/>
    <w:rsid w:val="00B63536"/>
    <w:rsid w:val="00B63AEA"/>
    <w:rsid w:val="00B63DC4"/>
    <w:rsid w:val="00B64568"/>
    <w:rsid w:val="00B6473A"/>
    <w:rsid w:val="00B64934"/>
    <w:rsid w:val="00B64A23"/>
    <w:rsid w:val="00B64BFE"/>
    <w:rsid w:val="00B653CD"/>
    <w:rsid w:val="00B654E1"/>
    <w:rsid w:val="00B655FA"/>
    <w:rsid w:val="00B6565A"/>
    <w:rsid w:val="00B6573B"/>
    <w:rsid w:val="00B65838"/>
    <w:rsid w:val="00B65DAF"/>
    <w:rsid w:val="00B661AA"/>
    <w:rsid w:val="00B661CA"/>
    <w:rsid w:val="00B662B2"/>
    <w:rsid w:val="00B66D07"/>
    <w:rsid w:val="00B6705D"/>
    <w:rsid w:val="00B6713F"/>
    <w:rsid w:val="00B67A50"/>
    <w:rsid w:val="00B67ACC"/>
    <w:rsid w:val="00B67D27"/>
    <w:rsid w:val="00B7044E"/>
    <w:rsid w:val="00B70541"/>
    <w:rsid w:val="00B70987"/>
    <w:rsid w:val="00B70BCC"/>
    <w:rsid w:val="00B71142"/>
    <w:rsid w:val="00B7139A"/>
    <w:rsid w:val="00B71932"/>
    <w:rsid w:val="00B71A7F"/>
    <w:rsid w:val="00B71C58"/>
    <w:rsid w:val="00B71E06"/>
    <w:rsid w:val="00B71FD0"/>
    <w:rsid w:val="00B7283F"/>
    <w:rsid w:val="00B72B6E"/>
    <w:rsid w:val="00B72D1B"/>
    <w:rsid w:val="00B7308E"/>
    <w:rsid w:val="00B73125"/>
    <w:rsid w:val="00B73BFE"/>
    <w:rsid w:val="00B73C40"/>
    <w:rsid w:val="00B74035"/>
    <w:rsid w:val="00B747B9"/>
    <w:rsid w:val="00B749C8"/>
    <w:rsid w:val="00B75049"/>
    <w:rsid w:val="00B75CDA"/>
    <w:rsid w:val="00B75D9E"/>
    <w:rsid w:val="00B76299"/>
    <w:rsid w:val="00B765C0"/>
    <w:rsid w:val="00B77138"/>
    <w:rsid w:val="00B77364"/>
    <w:rsid w:val="00B7748B"/>
    <w:rsid w:val="00B77A6F"/>
    <w:rsid w:val="00B77DE7"/>
    <w:rsid w:val="00B77FA4"/>
    <w:rsid w:val="00B802C6"/>
    <w:rsid w:val="00B8050B"/>
    <w:rsid w:val="00B80C29"/>
    <w:rsid w:val="00B80EF6"/>
    <w:rsid w:val="00B81263"/>
    <w:rsid w:val="00B81810"/>
    <w:rsid w:val="00B81A98"/>
    <w:rsid w:val="00B81B56"/>
    <w:rsid w:val="00B81BF9"/>
    <w:rsid w:val="00B8203F"/>
    <w:rsid w:val="00B822F5"/>
    <w:rsid w:val="00B82595"/>
    <w:rsid w:val="00B826A4"/>
    <w:rsid w:val="00B82CC2"/>
    <w:rsid w:val="00B82EA0"/>
    <w:rsid w:val="00B83697"/>
    <w:rsid w:val="00B8372D"/>
    <w:rsid w:val="00B83BA8"/>
    <w:rsid w:val="00B83C70"/>
    <w:rsid w:val="00B83DDD"/>
    <w:rsid w:val="00B8428E"/>
    <w:rsid w:val="00B8448B"/>
    <w:rsid w:val="00B84670"/>
    <w:rsid w:val="00B84807"/>
    <w:rsid w:val="00B852EF"/>
    <w:rsid w:val="00B85CF8"/>
    <w:rsid w:val="00B86083"/>
    <w:rsid w:val="00B8618F"/>
    <w:rsid w:val="00B865D7"/>
    <w:rsid w:val="00B867FD"/>
    <w:rsid w:val="00B86A34"/>
    <w:rsid w:val="00B86A8E"/>
    <w:rsid w:val="00B86CDD"/>
    <w:rsid w:val="00B86F8F"/>
    <w:rsid w:val="00B87147"/>
    <w:rsid w:val="00B8722F"/>
    <w:rsid w:val="00B8764D"/>
    <w:rsid w:val="00B9018A"/>
    <w:rsid w:val="00B9021A"/>
    <w:rsid w:val="00B90BC3"/>
    <w:rsid w:val="00B9117C"/>
    <w:rsid w:val="00B914E7"/>
    <w:rsid w:val="00B918FD"/>
    <w:rsid w:val="00B91BEB"/>
    <w:rsid w:val="00B920AC"/>
    <w:rsid w:val="00B926E1"/>
    <w:rsid w:val="00B927BB"/>
    <w:rsid w:val="00B92C93"/>
    <w:rsid w:val="00B92E44"/>
    <w:rsid w:val="00B92EE5"/>
    <w:rsid w:val="00B93095"/>
    <w:rsid w:val="00B93207"/>
    <w:rsid w:val="00B9322B"/>
    <w:rsid w:val="00B9332E"/>
    <w:rsid w:val="00B93821"/>
    <w:rsid w:val="00B93F3C"/>
    <w:rsid w:val="00B93F3F"/>
    <w:rsid w:val="00B93F81"/>
    <w:rsid w:val="00B93FD7"/>
    <w:rsid w:val="00B943F7"/>
    <w:rsid w:val="00B94458"/>
    <w:rsid w:val="00B94473"/>
    <w:rsid w:val="00B94555"/>
    <w:rsid w:val="00B947D9"/>
    <w:rsid w:val="00B9484A"/>
    <w:rsid w:val="00B94D70"/>
    <w:rsid w:val="00B94F6C"/>
    <w:rsid w:val="00B9501C"/>
    <w:rsid w:val="00B95497"/>
    <w:rsid w:val="00B957C6"/>
    <w:rsid w:val="00B95986"/>
    <w:rsid w:val="00B9602B"/>
    <w:rsid w:val="00B96681"/>
    <w:rsid w:val="00B96757"/>
    <w:rsid w:val="00B96C1B"/>
    <w:rsid w:val="00B96DD9"/>
    <w:rsid w:val="00B96EED"/>
    <w:rsid w:val="00B96FA4"/>
    <w:rsid w:val="00B97161"/>
    <w:rsid w:val="00B97B77"/>
    <w:rsid w:val="00BA0192"/>
    <w:rsid w:val="00BA034A"/>
    <w:rsid w:val="00BA0467"/>
    <w:rsid w:val="00BA0797"/>
    <w:rsid w:val="00BA0806"/>
    <w:rsid w:val="00BA0AB8"/>
    <w:rsid w:val="00BA114A"/>
    <w:rsid w:val="00BA127B"/>
    <w:rsid w:val="00BA1567"/>
    <w:rsid w:val="00BA17C1"/>
    <w:rsid w:val="00BA183F"/>
    <w:rsid w:val="00BA1FB5"/>
    <w:rsid w:val="00BA234E"/>
    <w:rsid w:val="00BA2480"/>
    <w:rsid w:val="00BA2B08"/>
    <w:rsid w:val="00BA2E63"/>
    <w:rsid w:val="00BA32B6"/>
    <w:rsid w:val="00BA3320"/>
    <w:rsid w:val="00BA366A"/>
    <w:rsid w:val="00BA384D"/>
    <w:rsid w:val="00BA3A3B"/>
    <w:rsid w:val="00BA3D06"/>
    <w:rsid w:val="00BA429D"/>
    <w:rsid w:val="00BA4356"/>
    <w:rsid w:val="00BA47BC"/>
    <w:rsid w:val="00BA508F"/>
    <w:rsid w:val="00BA5127"/>
    <w:rsid w:val="00BA5282"/>
    <w:rsid w:val="00BA5387"/>
    <w:rsid w:val="00BA560B"/>
    <w:rsid w:val="00BA5831"/>
    <w:rsid w:val="00BA5B3C"/>
    <w:rsid w:val="00BA6162"/>
    <w:rsid w:val="00BA64B5"/>
    <w:rsid w:val="00BA68F7"/>
    <w:rsid w:val="00BA6AE0"/>
    <w:rsid w:val="00BA74BF"/>
    <w:rsid w:val="00BA755E"/>
    <w:rsid w:val="00BA769C"/>
    <w:rsid w:val="00BA782A"/>
    <w:rsid w:val="00BA7B88"/>
    <w:rsid w:val="00BB0036"/>
    <w:rsid w:val="00BB013F"/>
    <w:rsid w:val="00BB0705"/>
    <w:rsid w:val="00BB088D"/>
    <w:rsid w:val="00BB09C5"/>
    <w:rsid w:val="00BB0C63"/>
    <w:rsid w:val="00BB0D3B"/>
    <w:rsid w:val="00BB10FE"/>
    <w:rsid w:val="00BB1B90"/>
    <w:rsid w:val="00BB1D8E"/>
    <w:rsid w:val="00BB1E2E"/>
    <w:rsid w:val="00BB2219"/>
    <w:rsid w:val="00BB2331"/>
    <w:rsid w:val="00BB2750"/>
    <w:rsid w:val="00BB2AD9"/>
    <w:rsid w:val="00BB2C65"/>
    <w:rsid w:val="00BB3526"/>
    <w:rsid w:val="00BB37DD"/>
    <w:rsid w:val="00BB3C15"/>
    <w:rsid w:val="00BB3E9F"/>
    <w:rsid w:val="00BB44BA"/>
    <w:rsid w:val="00BB4774"/>
    <w:rsid w:val="00BB4931"/>
    <w:rsid w:val="00BB4F81"/>
    <w:rsid w:val="00BB56FC"/>
    <w:rsid w:val="00BB5CF9"/>
    <w:rsid w:val="00BB5DAC"/>
    <w:rsid w:val="00BB5DD9"/>
    <w:rsid w:val="00BB60A2"/>
    <w:rsid w:val="00BB6220"/>
    <w:rsid w:val="00BB62BA"/>
    <w:rsid w:val="00BB6434"/>
    <w:rsid w:val="00BB68B6"/>
    <w:rsid w:val="00BB6C3F"/>
    <w:rsid w:val="00BB7214"/>
    <w:rsid w:val="00BB73D8"/>
    <w:rsid w:val="00BB779C"/>
    <w:rsid w:val="00BB7B0B"/>
    <w:rsid w:val="00BB7B45"/>
    <w:rsid w:val="00BB7D81"/>
    <w:rsid w:val="00BB7DB6"/>
    <w:rsid w:val="00BC02D9"/>
    <w:rsid w:val="00BC0CE8"/>
    <w:rsid w:val="00BC0FAD"/>
    <w:rsid w:val="00BC13BA"/>
    <w:rsid w:val="00BC1901"/>
    <w:rsid w:val="00BC1A80"/>
    <w:rsid w:val="00BC23DD"/>
    <w:rsid w:val="00BC249F"/>
    <w:rsid w:val="00BC2A2D"/>
    <w:rsid w:val="00BC2C29"/>
    <w:rsid w:val="00BC34E2"/>
    <w:rsid w:val="00BC3942"/>
    <w:rsid w:val="00BC3AD7"/>
    <w:rsid w:val="00BC3D68"/>
    <w:rsid w:val="00BC3EEA"/>
    <w:rsid w:val="00BC3F19"/>
    <w:rsid w:val="00BC4129"/>
    <w:rsid w:val="00BC4280"/>
    <w:rsid w:val="00BC45DE"/>
    <w:rsid w:val="00BC47BF"/>
    <w:rsid w:val="00BC4996"/>
    <w:rsid w:val="00BC4A2E"/>
    <w:rsid w:val="00BC4BAC"/>
    <w:rsid w:val="00BC4C6A"/>
    <w:rsid w:val="00BC4F66"/>
    <w:rsid w:val="00BC4FEA"/>
    <w:rsid w:val="00BC579F"/>
    <w:rsid w:val="00BC57A7"/>
    <w:rsid w:val="00BC60DA"/>
    <w:rsid w:val="00BC60FE"/>
    <w:rsid w:val="00BC61C8"/>
    <w:rsid w:val="00BC6655"/>
    <w:rsid w:val="00BC67E7"/>
    <w:rsid w:val="00BC6F29"/>
    <w:rsid w:val="00BD03DB"/>
    <w:rsid w:val="00BD06E3"/>
    <w:rsid w:val="00BD07AA"/>
    <w:rsid w:val="00BD084D"/>
    <w:rsid w:val="00BD0868"/>
    <w:rsid w:val="00BD1464"/>
    <w:rsid w:val="00BD18FA"/>
    <w:rsid w:val="00BD2173"/>
    <w:rsid w:val="00BD2535"/>
    <w:rsid w:val="00BD27CD"/>
    <w:rsid w:val="00BD3339"/>
    <w:rsid w:val="00BD33FA"/>
    <w:rsid w:val="00BD3EC1"/>
    <w:rsid w:val="00BD46AC"/>
    <w:rsid w:val="00BD47C0"/>
    <w:rsid w:val="00BD5272"/>
    <w:rsid w:val="00BD52D3"/>
    <w:rsid w:val="00BD5375"/>
    <w:rsid w:val="00BD540F"/>
    <w:rsid w:val="00BD5747"/>
    <w:rsid w:val="00BD5945"/>
    <w:rsid w:val="00BD5C0B"/>
    <w:rsid w:val="00BD5C44"/>
    <w:rsid w:val="00BD5C6B"/>
    <w:rsid w:val="00BD62BD"/>
    <w:rsid w:val="00BD6650"/>
    <w:rsid w:val="00BD6D69"/>
    <w:rsid w:val="00BD715F"/>
    <w:rsid w:val="00BD72A5"/>
    <w:rsid w:val="00BD743D"/>
    <w:rsid w:val="00BD792F"/>
    <w:rsid w:val="00BD7ACF"/>
    <w:rsid w:val="00BE0173"/>
    <w:rsid w:val="00BE02DA"/>
    <w:rsid w:val="00BE034D"/>
    <w:rsid w:val="00BE06B4"/>
    <w:rsid w:val="00BE08CF"/>
    <w:rsid w:val="00BE0B61"/>
    <w:rsid w:val="00BE0BCA"/>
    <w:rsid w:val="00BE1073"/>
    <w:rsid w:val="00BE1080"/>
    <w:rsid w:val="00BE14C1"/>
    <w:rsid w:val="00BE17FF"/>
    <w:rsid w:val="00BE1B9E"/>
    <w:rsid w:val="00BE1DED"/>
    <w:rsid w:val="00BE265A"/>
    <w:rsid w:val="00BE279D"/>
    <w:rsid w:val="00BE2D8E"/>
    <w:rsid w:val="00BE336D"/>
    <w:rsid w:val="00BE3539"/>
    <w:rsid w:val="00BE3543"/>
    <w:rsid w:val="00BE358F"/>
    <w:rsid w:val="00BE3925"/>
    <w:rsid w:val="00BE3A8B"/>
    <w:rsid w:val="00BE3CF8"/>
    <w:rsid w:val="00BE4065"/>
    <w:rsid w:val="00BE4147"/>
    <w:rsid w:val="00BE41C3"/>
    <w:rsid w:val="00BE4202"/>
    <w:rsid w:val="00BE42DA"/>
    <w:rsid w:val="00BE47C8"/>
    <w:rsid w:val="00BE4894"/>
    <w:rsid w:val="00BE48B8"/>
    <w:rsid w:val="00BE49A9"/>
    <w:rsid w:val="00BE4AAB"/>
    <w:rsid w:val="00BE4E79"/>
    <w:rsid w:val="00BE4F76"/>
    <w:rsid w:val="00BE4FA0"/>
    <w:rsid w:val="00BE53D5"/>
    <w:rsid w:val="00BE566B"/>
    <w:rsid w:val="00BE5DAA"/>
    <w:rsid w:val="00BE5ECE"/>
    <w:rsid w:val="00BE5FD6"/>
    <w:rsid w:val="00BE6032"/>
    <w:rsid w:val="00BE60B5"/>
    <w:rsid w:val="00BE63F4"/>
    <w:rsid w:val="00BE6886"/>
    <w:rsid w:val="00BE6A92"/>
    <w:rsid w:val="00BE6C64"/>
    <w:rsid w:val="00BE6E6F"/>
    <w:rsid w:val="00BE75A3"/>
    <w:rsid w:val="00BE75BD"/>
    <w:rsid w:val="00BE76E3"/>
    <w:rsid w:val="00BE7731"/>
    <w:rsid w:val="00BE7B90"/>
    <w:rsid w:val="00BE7E94"/>
    <w:rsid w:val="00BF0021"/>
    <w:rsid w:val="00BF072B"/>
    <w:rsid w:val="00BF1928"/>
    <w:rsid w:val="00BF1D7E"/>
    <w:rsid w:val="00BF1DCF"/>
    <w:rsid w:val="00BF1E9F"/>
    <w:rsid w:val="00BF2150"/>
    <w:rsid w:val="00BF2219"/>
    <w:rsid w:val="00BF235E"/>
    <w:rsid w:val="00BF24C9"/>
    <w:rsid w:val="00BF2EA4"/>
    <w:rsid w:val="00BF2F4A"/>
    <w:rsid w:val="00BF315C"/>
    <w:rsid w:val="00BF3258"/>
    <w:rsid w:val="00BF3A8F"/>
    <w:rsid w:val="00BF4685"/>
    <w:rsid w:val="00BF4755"/>
    <w:rsid w:val="00BF489B"/>
    <w:rsid w:val="00BF4B20"/>
    <w:rsid w:val="00BF4ED7"/>
    <w:rsid w:val="00BF5A28"/>
    <w:rsid w:val="00BF5ABA"/>
    <w:rsid w:val="00BF5C10"/>
    <w:rsid w:val="00BF5E82"/>
    <w:rsid w:val="00BF64B3"/>
    <w:rsid w:val="00BF66B2"/>
    <w:rsid w:val="00BF66C4"/>
    <w:rsid w:val="00BF6775"/>
    <w:rsid w:val="00BF6897"/>
    <w:rsid w:val="00BF6A96"/>
    <w:rsid w:val="00BF7555"/>
    <w:rsid w:val="00BF7A65"/>
    <w:rsid w:val="00C0050F"/>
    <w:rsid w:val="00C00626"/>
    <w:rsid w:val="00C00853"/>
    <w:rsid w:val="00C00AD0"/>
    <w:rsid w:val="00C00CA9"/>
    <w:rsid w:val="00C00DE6"/>
    <w:rsid w:val="00C00F31"/>
    <w:rsid w:val="00C016BC"/>
    <w:rsid w:val="00C01730"/>
    <w:rsid w:val="00C01847"/>
    <w:rsid w:val="00C01AF2"/>
    <w:rsid w:val="00C0274C"/>
    <w:rsid w:val="00C027F7"/>
    <w:rsid w:val="00C02B50"/>
    <w:rsid w:val="00C02D3E"/>
    <w:rsid w:val="00C0384F"/>
    <w:rsid w:val="00C040A9"/>
    <w:rsid w:val="00C04E61"/>
    <w:rsid w:val="00C04E8A"/>
    <w:rsid w:val="00C05478"/>
    <w:rsid w:val="00C05C11"/>
    <w:rsid w:val="00C05D28"/>
    <w:rsid w:val="00C06735"/>
    <w:rsid w:val="00C06C69"/>
    <w:rsid w:val="00C07A0E"/>
    <w:rsid w:val="00C07D19"/>
    <w:rsid w:val="00C10080"/>
    <w:rsid w:val="00C1011F"/>
    <w:rsid w:val="00C10180"/>
    <w:rsid w:val="00C101B9"/>
    <w:rsid w:val="00C10450"/>
    <w:rsid w:val="00C106D6"/>
    <w:rsid w:val="00C1082D"/>
    <w:rsid w:val="00C108D6"/>
    <w:rsid w:val="00C10A7F"/>
    <w:rsid w:val="00C114BF"/>
    <w:rsid w:val="00C1161A"/>
    <w:rsid w:val="00C11940"/>
    <w:rsid w:val="00C11C59"/>
    <w:rsid w:val="00C11C61"/>
    <w:rsid w:val="00C12301"/>
    <w:rsid w:val="00C1290D"/>
    <w:rsid w:val="00C1303A"/>
    <w:rsid w:val="00C1304D"/>
    <w:rsid w:val="00C1363C"/>
    <w:rsid w:val="00C142F2"/>
    <w:rsid w:val="00C14300"/>
    <w:rsid w:val="00C143E8"/>
    <w:rsid w:val="00C1443C"/>
    <w:rsid w:val="00C14C72"/>
    <w:rsid w:val="00C14D4B"/>
    <w:rsid w:val="00C1558A"/>
    <w:rsid w:val="00C156EF"/>
    <w:rsid w:val="00C15989"/>
    <w:rsid w:val="00C15DDD"/>
    <w:rsid w:val="00C15F01"/>
    <w:rsid w:val="00C160F2"/>
    <w:rsid w:val="00C161E8"/>
    <w:rsid w:val="00C163CB"/>
    <w:rsid w:val="00C16411"/>
    <w:rsid w:val="00C16554"/>
    <w:rsid w:val="00C16E1C"/>
    <w:rsid w:val="00C173D4"/>
    <w:rsid w:val="00C178DD"/>
    <w:rsid w:val="00C20229"/>
    <w:rsid w:val="00C20566"/>
    <w:rsid w:val="00C2058F"/>
    <w:rsid w:val="00C207DD"/>
    <w:rsid w:val="00C2080C"/>
    <w:rsid w:val="00C20921"/>
    <w:rsid w:val="00C20CA0"/>
    <w:rsid w:val="00C20CAB"/>
    <w:rsid w:val="00C20DDA"/>
    <w:rsid w:val="00C21312"/>
    <w:rsid w:val="00C21794"/>
    <w:rsid w:val="00C217A4"/>
    <w:rsid w:val="00C21B0B"/>
    <w:rsid w:val="00C21C26"/>
    <w:rsid w:val="00C21D57"/>
    <w:rsid w:val="00C21EA2"/>
    <w:rsid w:val="00C22224"/>
    <w:rsid w:val="00C22603"/>
    <w:rsid w:val="00C22618"/>
    <w:rsid w:val="00C22846"/>
    <w:rsid w:val="00C22A9C"/>
    <w:rsid w:val="00C22F45"/>
    <w:rsid w:val="00C23155"/>
    <w:rsid w:val="00C2321F"/>
    <w:rsid w:val="00C234E7"/>
    <w:rsid w:val="00C23946"/>
    <w:rsid w:val="00C24ED2"/>
    <w:rsid w:val="00C255EF"/>
    <w:rsid w:val="00C2566A"/>
    <w:rsid w:val="00C25DCD"/>
    <w:rsid w:val="00C26134"/>
    <w:rsid w:val="00C261EB"/>
    <w:rsid w:val="00C264AC"/>
    <w:rsid w:val="00C2665B"/>
    <w:rsid w:val="00C271C6"/>
    <w:rsid w:val="00C277B5"/>
    <w:rsid w:val="00C2788F"/>
    <w:rsid w:val="00C278FB"/>
    <w:rsid w:val="00C30392"/>
    <w:rsid w:val="00C30597"/>
    <w:rsid w:val="00C309A9"/>
    <w:rsid w:val="00C30B4F"/>
    <w:rsid w:val="00C30D15"/>
    <w:rsid w:val="00C30DAF"/>
    <w:rsid w:val="00C31068"/>
    <w:rsid w:val="00C3175C"/>
    <w:rsid w:val="00C31943"/>
    <w:rsid w:val="00C31ACE"/>
    <w:rsid w:val="00C31BB0"/>
    <w:rsid w:val="00C31E76"/>
    <w:rsid w:val="00C32397"/>
    <w:rsid w:val="00C3302D"/>
    <w:rsid w:val="00C3305D"/>
    <w:rsid w:val="00C331FB"/>
    <w:rsid w:val="00C332A2"/>
    <w:rsid w:val="00C33394"/>
    <w:rsid w:val="00C337A3"/>
    <w:rsid w:val="00C33D4A"/>
    <w:rsid w:val="00C341E0"/>
    <w:rsid w:val="00C343B3"/>
    <w:rsid w:val="00C34999"/>
    <w:rsid w:val="00C34B00"/>
    <w:rsid w:val="00C34B90"/>
    <w:rsid w:val="00C34BAB"/>
    <w:rsid w:val="00C34FC6"/>
    <w:rsid w:val="00C352C3"/>
    <w:rsid w:val="00C35427"/>
    <w:rsid w:val="00C35529"/>
    <w:rsid w:val="00C3599C"/>
    <w:rsid w:val="00C35C4D"/>
    <w:rsid w:val="00C36168"/>
    <w:rsid w:val="00C36810"/>
    <w:rsid w:val="00C3689A"/>
    <w:rsid w:val="00C36E66"/>
    <w:rsid w:val="00C373EB"/>
    <w:rsid w:val="00C37556"/>
    <w:rsid w:val="00C40572"/>
    <w:rsid w:val="00C40961"/>
    <w:rsid w:val="00C41570"/>
    <w:rsid w:val="00C41993"/>
    <w:rsid w:val="00C41C5E"/>
    <w:rsid w:val="00C41DD4"/>
    <w:rsid w:val="00C42328"/>
    <w:rsid w:val="00C42686"/>
    <w:rsid w:val="00C428D0"/>
    <w:rsid w:val="00C42C3D"/>
    <w:rsid w:val="00C42D99"/>
    <w:rsid w:val="00C42E9D"/>
    <w:rsid w:val="00C43477"/>
    <w:rsid w:val="00C4395F"/>
    <w:rsid w:val="00C43DE9"/>
    <w:rsid w:val="00C44635"/>
    <w:rsid w:val="00C44C42"/>
    <w:rsid w:val="00C452D3"/>
    <w:rsid w:val="00C453EE"/>
    <w:rsid w:val="00C45572"/>
    <w:rsid w:val="00C456A1"/>
    <w:rsid w:val="00C457CD"/>
    <w:rsid w:val="00C45904"/>
    <w:rsid w:val="00C459D7"/>
    <w:rsid w:val="00C45CB4"/>
    <w:rsid w:val="00C464D4"/>
    <w:rsid w:val="00C471EA"/>
    <w:rsid w:val="00C47271"/>
    <w:rsid w:val="00C472A9"/>
    <w:rsid w:val="00C472C5"/>
    <w:rsid w:val="00C474BD"/>
    <w:rsid w:val="00C47761"/>
    <w:rsid w:val="00C4778E"/>
    <w:rsid w:val="00C47AD3"/>
    <w:rsid w:val="00C47E1B"/>
    <w:rsid w:val="00C50014"/>
    <w:rsid w:val="00C50060"/>
    <w:rsid w:val="00C50523"/>
    <w:rsid w:val="00C50BA8"/>
    <w:rsid w:val="00C50DAA"/>
    <w:rsid w:val="00C50DE5"/>
    <w:rsid w:val="00C50F0C"/>
    <w:rsid w:val="00C512FE"/>
    <w:rsid w:val="00C518FE"/>
    <w:rsid w:val="00C52286"/>
    <w:rsid w:val="00C528BA"/>
    <w:rsid w:val="00C529A9"/>
    <w:rsid w:val="00C52B6F"/>
    <w:rsid w:val="00C53EDD"/>
    <w:rsid w:val="00C5404E"/>
    <w:rsid w:val="00C5423C"/>
    <w:rsid w:val="00C547DC"/>
    <w:rsid w:val="00C548F4"/>
    <w:rsid w:val="00C5492A"/>
    <w:rsid w:val="00C54A93"/>
    <w:rsid w:val="00C54DBB"/>
    <w:rsid w:val="00C54FB2"/>
    <w:rsid w:val="00C5523C"/>
    <w:rsid w:val="00C55865"/>
    <w:rsid w:val="00C55C37"/>
    <w:rsid w:val="00C560E8"/>
    <w:rsid w:val="00C5616B"/>
    <w:rsid w:val="00C56434"/>
    <w:rsid w:val="00C56998"/>
    <w:rsid w:val="00C56DCB"/>
    <w:rsid w:val="00C56ED2"/>
    <w:rsid w:val="00C56F7E"/>
    <w:rsid w:val="00C5752A"/>
    <w:rsid w:val="00C578F9"/>
    <w:rsid w:val="00C57AAF"/>
    <w:rsid w:val="00C57D35"/>
    <w:rsid w:val="00C604C4"/>
    <w:rsid w:val="00C60773"/>
    <w:rsid w:val="00C6082E"/>
    <w:rsid w:val="00C60D9D"/>
    <w:rsid w:val="00C61911"/>
    <w:rsid w:val="00C61AF4"/>
    <w:rsid w:val="00C61DCB"/>
    <w:rsid w:val="00C61F5C"/>
    <w:rsid w:val="00C621C5"/>
    <w:rsid w:val="00C622DC"/>
    <w:rsid w:val="00C626DE"/>
    <w:rsid w:val="00C6289F"/>
    <w:rsid w:val="00C629CD"/>
    <w:rsid w:val="00C62B8C"/>
    <w:rsid w:val="00C632E0"/>
    <w:rsid w:val="00C63400"/>
    <w:rsid w:val="00C635CE"/>
    <w:rsid w:val="00C63D87"/>
    <w:rsid w:val="00C63EF2"/>
    <w:rsid w:val="00C64023"/>
    <w:rsid w:val="00C641DC"/>
    <w:rsid w:val="00C641FA"/>
    <w:rsid w:val="00C64209"/>
    <w:rsid w:val="00C642FC"/>
    <w:rsid w:val="00C64AC8"/>
    <w:rsid w:val="00C64BEE"/>
    <w:rsid w:val="00C64EA9"/>
    <w:rsid w:val="00C65280"/>
    <w:rsid w:val="00C6542B"/>
    <w:rsid w:val="00C65493"/>
    <w:rsid w:val="00C655E9"/>
    <w:rsid w:val="00C65CD9"/>
    <w:rsid w:val="00C65E36"/>
    <w:rsid w:val="00C6605C"/>
    <w:rsid w:val="00C66078"/>
    <w:rsid w:val="00C6613C"/>
    <w:rsid w:val="00C6614C"/>
    <w:rsid w:val="00C6695C"/>
    <w:rsid w:val="00C66BAC"/>
    <w:rsid w:val="00C67489"/>
    <w:rsid w:val="00C67500"/>
    <w:rsid w:val="00C67AF0"/>
    <w:rsid w:val="00C67E2F"/>
    <w:rsid w:val="00C70181"/>
    <w:rsid w:val="00C70295"/>
    <w:rsid w:val="00C7057E"/>
    <w:rsid w:val="00C706CE"/>
    <w:rsid w:val="00C70E2B"/>
    <w:rsid w:val="00C70E63"/>
    <w:rsid w:val="00C713AF"/>
    <w:rsid w:val="00C71C87"/>
    <w:rsid w:val="00C71D05"/>
    <w:rsid w:val="00C71EB9"/>
    <w:rsid w:val="00C723EA"/>
    <w:rsid w:val="00C72527"/>
    <w:rsid w:val="00C72581"/>
    <w:rsid w:val="00C72884"/>
    <w:rsid w:val="00C72BBA"/>
    <w:rsid w:val="00C72E62"/>
    <w:rsid w:val="00C733D6"/>
    <w:rsid w:val="00C734DE"/>
    <w:rsid w:val="00C73AA8"/>
    <w:rsid w:val="00C73B2F"/>
    <w:rsid w:val="00C74638"/>
    <w:rsid w:val="00C74B28"/>
    <w:rsid w:val="00C74ECA"/>
    <w:rsid w:val="00C74F74"/>
    <w:rsid w:val="00C75075"/>
    <w:rsid w:val="00C7541B"/>
    <w:rsid w:val="00C7545B"/>
    <w:rsid w:val="00C75614"/>
    <w:rsid w:val="00C75A5B"/>
    <w:rsid w:val="00C75FC7"/>
    <w:rsid w:val="00C76007"/>
    <w:rsid w:val="00C76037"/>
    <w:rsid w:val="00C765BC"/>
    <w:rsid w:val="00C77182"/>
    <w:rsid w:val="00C771FD"/>
    <w:rsid w:val="00C774CB"/>
    <w:rsid w:val="00C77860"/>
    <w:rsid w:val="00C779E3"/>
    <w:rsid w:val="00C77D43"/>
    <w:rsid w:val="00C77E56"/>
    <w:rsid w:val="00C80432"/>
    <w:rsid w:val="00C80BA9"/>
    <w:rsid w:val="00C80CEE"/>
    <w:rsid w:val="00C8102D"/>
    <w:rsid w:val="00C81486"/>
    <w:rsid w:val="00C814A1"/>
    <w:rsid w:val="00C814AD"/>
    <w:rsid w:val="00C8190B"/>
    <w:rsid w:val="00C82203"/>
    <w:rsid w:val="00C82663"/>
    <w:rsid w:val="00C82965"/>
    <w:rsid w:val="00C82EAF"/>
    <w:rsid w:val="00C83125"/>
    <w:rsid w:val="00C83502"/>
    <w:rsid w:val="00C83963"/>
    <w:rsid w:val="00C83D05"/>
    <w:rsid w:val="00C840AF"/>
    <w:rsid w:val="00C8457C"/>
    <w:rsid w:val="00C8482E"/>
    <w:rsid w:val="00C84838"/>
    <w:rsid w:val="00C849E9"/>
    <w:rsid w:val="00C84DAD"/>
    <w:rsid w:val="00C84E55"/>
    <w:rsid w:val="00C85498"/>
    <w:rsid w:val="00C85617"/>
    <w:rsid w:val="00C85F23"/>
    <w:rsid w:val="00C8603C"/>
    <w:rsid w:val="00C866A0"/>
    <w:rsid w:val="00C867BA"/>
    <w:rsid w:val="00C868CA"/>
    <w:rsid w:val="00C86916"/>
    <w:rsid w:val="00C86C7B"/>
    <w:rsid w:val="00C86F26"/>
    <w:rsid w:val="00C870C0"/>
    <w:rsid w:val="00C873B9"/>
    <w:rsid w:val="00C8752A"/>
    <w:rsid w:val="00C875D7"/>
    <w:rsid w:val="00C878A4"/>
    <w:rsid w:val="00C87996"/>
    <w:rsid w:val="00C87AB1"/>
    <w:rsid w:val="00C87E10"/>
    <w:rsid w:val="00C9017B"/>
    <w:rsid w:val="00C9029C"/>
    <w:rsid w:val="00C904F7"/>
    <w:rsid w:val="00C905D5"/>
    <w:rsid w:val="00C90736"/>
    <w:rsid w:val="00C9073F"/>
    <w:rsid w:val="00C90830"/>
    <w:rsid w:val="00C90ED1"/>
    <w:rsid w:val="00C913EF"/>
    <w:rsid w:val="00C915D8"/>
    <w:rsid w:val="00C91826"/>
    <w:rsid w:val="00C9184B"/>
    <w:rsid w:val="00C91C64"/>
    <w:rsid w:val="00C91C75"/>
    <w:rsid w:val="00C92E29"/>
    <w:rsid w:val="00C92F2B"/>
    <w:rsid w:val="00C92FE7"/>
    <w:rsid w:val="00C93003"/>
    <w:rsid w:val="00C93715"/>
    <w:rsid w:val="00C93A94"/>
    <w:rsid w:val="00C93B40"/>
    <w:rsid w:val="00C93C04"/>
    <w:rsid w:val="00C94298"/>
    <w:rsid w:val="00C94632"/>
    <w:rsid w:val="00C94756"/>
    <w:rsid w:val="00C94971"/>
    <w:rsid w:val="00C94AAF"/>
    <w:rsid w:val="00C94B1D"/>
    <w:rsid w:val="00C9597E"/>
    <w:rsid w:val="00C96505"/>
    <w:rsid w:val="00C96C36"/>
    <w:rsid w:val="00C96C48"/>
    <w:rsid w:val="00C96C9A"/>
    <w:rsid w:val="00C9727A"/>
    <w:rsid w:val="00C974D7"/>
    <w:rsid w:val="00C975E6"/>
    <w:rsid w:val="00C97734"/>
    <w:rsid w:val="00C9776B"/>
    <w:rsid w:val="00C978AA"/>
    <w:rsid w:val="00C97DB6"/>
    <w:rsid w:val="00CA0044"/>
    <w:rsid w:val="00CA06F9"/>
    <w:rsid w:val="00CA099E"/>
    <w:rsid w:val="00CA0E5D"/>
    <w:rsid w:val="00CA11B5"/>
    <w:rsid w:val="00CA11CF"/>
    <w:rsid w:val="00CA13EA"/>
    <w:rsid w:val="00CA1497"/>
    <w:rsid w:val="00CA168C"/>
    <w:rsid w:val="00CA1A0F"/>
    <w:rsid w:val="00CA1B45"/>
    <w:rsid w:val="00CA1CDD"/>
    <w:rsid w:val="00CA1F8B"/>
    <w:rsid w:val="00CA2413"/>
    <w:rsid w:val="00CA2A07"/>
    <w:rsid w:val="00CA2F09"/>
    <w:rsid w:val="00CA3289"/>
    <w:rsid w:val="00CA32AB"/>
    <w:rsid w:val="00CA35C2"/>
    <w:rsid w:val="00CA378B"/>
    <w:rsid w:val="00CA38D8"/>
    <w:rsid w:val="00CA3CC1"/>
    <w:rsid w:val="00CA3F81"/>
    <w:rsid w:val="00CA412D"/>
    <w:rsid w:val="00CA494B"/>
    <w:rsid w:val="00CA4BEF"/>
    <w:rsid w:val="00CA4DF9"/>
    <w:rsid w:val="00CA52F4"/>
    <w:rsid w:val="00CA56EB"/>
    <w:rsid w:val="00CA5BC0"/>
    <w:rsid w:val="00CA5D03"/>
    <w:rsid w:val="00CA5DB8"/>
    <w:rsid w:val="00CA5F4F"/>
    <w:rsid w:val="00CA65FC"/>
    <w:rsid w:val="00CA66B8"/>
    <w:rsid w:val="00CA71D5"/>
    <w:rsid w:val="00CA76D4"/>
    <w:rsid w:val="00CA7D51"/>
    <w:rsid w:val="00CA7FD1"/>
    <w:rsid w:val="00CA7FF1"/>
    <w:rsid w:val="00CB0051"/>
    <w:rsid w:val="00CB0321"/>
    <w:rsid w:val="00CB1257"/>
    <w:rsid w:val="00CB19C4"/>
    <w:rsid w:val="00CB1B08"/>
    <w:rsid w:val="00CB1FE5"/>
    <w:rsid w:val="00CB21A0"/>
    <w:rsid w:val="00CB2ADB"/>
    <w:rsid w:val="00CB2F26"/>
    <w:rsid w:val="00CB3864"/>
    <w:rsid w:val="00CB496D"/>
    <w:rsid w:val="00CB4A4C"/>
    <w:rsid w:val="00CB4DF5"/>
    <w:rsid w:val="00CB4F07"/>
    <w:rsid w:val="00CB52B6"/>
    <w:rsid w:val="00CB52C8"/>
    <w:rsid w:val="00CB5720"/>
    <w:rsid w:val="00CB584F"/>
    <w:rsid w:val="00CB5C25"/>
    <w:rsid w:val="00CB5F8B"/>
    <w:rsid w:val="00CB636A"/>
    <w:rsid w:val="00CB6615"/>
    <w:rsid w:val="00CB682D"/>
    <w:rsid w:val="00CB687E"/>
    <w:rsid w:val="00CB69C0"/>
    <w:rsid w:val="00CB74DE"/>
    <w:rsid w:val="00CB7795"/>
    <w:rsid w:val="00CB783A"/>
    <w:rsid w:val="00CC01EF"/>
    <w:rsid w:val="00CC027B"/>
    <w:rsid w:val="00CC0353"/>
    <w:rsid w:val="00CC042B"/>
    <w:rsid w:val="00CC0766"/>
    <w:rsid w:val="00CC080D"/>
    <w:rsid w:val="00CC0C83"/>
    <w:rsid w:val="00CC0D94"/>
    <w:rsid w:val="00CC1D9F"/>
    <w:rsid w:val="00CC1DF3"/>
    <w:rsid w:val="00CC1EBD"/>
    <w:rsid w:val="00CC21CD"/>
    <w:rsid w:val="00CC27AE"/>
    <w:rsid w:val="00CC2B74"/>
    <w:rsid w:val="00CC2E1F"/>
    <w:rsid w:val="00CC3404"/>
    <w:rsid w:val="00CC35E0"/>
    <w:rsid w:val="00CC3B81"/>
    <w:rsid w:val="00CC3F7E"/>
    <w:rsid w:val="00CC4504"/>
    <w:rsid w:val="00CC48AC"/>
    <w:rsid w:val="00CC4C33"/>
    <w:rsid w:val="00CC4C6C"/>
    <w:rsid w:val="00CC4F3D"/>
    <w:rsid w:val="00CC5249"/>
    <w:rsid w:val="00CC5927"/>
    <w:rsid w:val="00CC5A59"/>
    <w:rsid w:val="00CC5BB3"/>
    <w:rsid w:val="00CC5E39"/>
    <w:rsid w:val="00CC5FF0"/>
    <w:rsid w:val="00CC6201"/>
    <w:rsid w:val="00CC6270"/>
    <w:rsid w:val="00CC6375"/>
    <w:rsid w:val="00CC6376"/>
    <w:rsid w:val="00CC6632"/>
    <w:rsid w:val="00CC668A"/>
    <w:rsid w:val="00CC68DB"/>
    <w:rsid w:val="00CC6A73"/>
    <w:rsid w:val="00CC6D2A"/>
    <w:rsid w:val="00CC6D4C"/>
    <w:rsid w:val="00CC6DDB"/>
    <w:rsid w:val="00CC6E55"/>
    <w:rsid w:val="00CC75B1"/>
    <w:rsid w:val="00CC7697"/>
    <w:rsid w:val="00CC7921"/>
    <w:rsid w:val="00CC7F0B"/>
    <w:rsid w:val="00CD0AC7"/>
    <w:rsid w:val="00CD1301"/>
    <w:rsid w:val="00CD133E"/>
    <w:rsid w:val="00CD13A7"/>
    <w:rsid w:val="00CD178C"/>
    <w:rsid w:val="00CD1F59"/>
    <w:rsid w:val="00CD201A"/>
    <w:rsid w:val="00CD24AF"/>
    <w:rsid w:val="00CD2784"/>
    <w:rsid w:val="00CD29F7"/>
    <w:rsid w:val="00CD3363"/>
    <w:rsid w:val="00CD3E8C"/>
    <w:rsid w:val="00CD4A67"/>
    <w:rsid w:val="00CD5559"/>
    <w:rsid w:val="00CD5956"/>
    <w:rsid w:val="00CD59D7"/>
    <w:rsid w:val="00CD5A45"/>
    <w:rsid w:val="00CD5C25"/>
    <w:rsid w:val="00CD5D16"/>
    <w:rsid w:val="00CD608D"/>
    <w:rsid w:val="00CD6094"/>
    <w:rsid w:val="00CD659C"/>
    <w:rsid w:val="00CD6A5D"/>
    <w:rsid w:val="00CD70E1"/>
    <w:rsid w:val="00CD70FC"/>
    <w:rsid w:val="00CD7763"/>
    <w:rsid w:val="00CD79B8"/>
    <w:rsid w:val="00CD7B45"/>
    <w:rsid w:val="00CD7D8C"/>
    <w:rsid w:val="00CE00A0"/>
    <w:rsid w:val="00CE0132"/>
    <w:rsid w:val="00CE03A9"/>
    <w:rsid w:val="00CE08FC"/>
    <w:rsid w:val="00CE09E0"/>
    <w:rsid w:val="00CE148A"/>
    <w:rsid w:val="00CE1B4B"/>
    <w:rsid w:val="00CE239B"/>
    <w:rsid w:val="00CE2D8F"/>
    <w:rsid w:val="00CE2EC7"/>
    <w:rsid w:val="00CE3171"/>
    <w:rsid w:val="00CE3699"/>
    <w:rsid w:val="00CE3A96"/>
    <w:rsid w:val="00CE3EB6"/>
    <w:rsid w:val="00CE40FD"/>
    <w:rsid w:val="00CE4178"/>
    <w:rsid w:val="00CE4D40"/>
    <w:rsid w:val="00CE5231"/>
    <w:rsid w:val="00CE5653"/>
    <w:rsid w:val="00CE61B7"/>
    <w:rsid w:val="00CE654F"/>
    <w:rsid w:val="00CE66B9"/>
    <w:rsid w:val="00CE68C8"/>
    <w:rsid w:val="00CE6E82"/>
    <w:rsid w:val="00CE6EC8"/>
    <w:rsid w:val="00CE710C"/>
    <w:rsid w:val="00CE73EA"/>
    <w:rsid w:val="00CE760D"/>
    <w:rsid w:val="00CE767C"/>
    <w:rsid w:val="00CE77B1"/>
    <w:rsid w:val="00CE7A7F"/>
    <w:rsid w:val="00CE7BC6"/>
    <w:rsid w:val="00CE7C2F"/>
    <w:rsid w:val="00CE7CB0"/>
    <w:rsid w:val="00CF0145"/>
    <w:rsid w:val="00CF044C"/>
    <w:rsid w:val="00CF092F"/>
    <w:rsid w:val="00CF1470"/>
    <w:rsid w:val="00CF1477"/>
    <w:rsid w:val="00CF17FB"/>
    <w:rsid w:val="00CF1C9C"/>
    <w:rsid w:val="00CF1EF8"/>
    <w:rsid w:val="00CF22C9"/>
    <w:rsid w:val="00CF249B"/>
    <w:rsid w:val="00CF29BC"/>
    <w:rsid w:val="00CF2A45"/>
    <w:rsid w:val="00CF2E5C"/>
    <w:rsid w:val="00CF440C"/>
    <w:rsid w:val="00CF46D6"/>
    <w:rsid w:val="00CF47A6"/>
    <w:rsid w:val="00CF482E"/>
    <w:rsid w:val="00CF50BE"/>
    <w:rsid w:val="00CF5297"/>
    <w:rsid w:val="00CF5399"/>
    <w:rsid w:val="00CF53EF"/>
    <w:rsid w:val="00CF5415"/>
    <w:rsid w:val="00CF59A3"/>
    <w:rsid w:val="00CF5B47"/>
    <w:rsid w:val="00CF5CEB"/>
    <w:rsid w:val="00CF633D"/>
    <w:rsid w:val="00CF64E1"/>
    <w:rsid w:val="00CF6E52"/>
    <w:rsid w:val="00CF73B9"/>
    <w:rsid w:val="00CF7751"/>
    <w:rsid w:val="00CF78C4"/>
    <w:rsid w:val="00CF7AC6"/>
    <w:rsid w:val="00D00175"/>
    <w:rsid w:val="00D00464"/>
    <w:rsid w:val="00D00590"/>
    <w:rsid w:val="00D006F4"/>
    <w:rsid w:val="00D00C32"/>
    <w:rsid w:val="00D00E38"/>
    <w:rsid w:val="00D00F06"/>
    <w:rsid w:val="00D01841"/>
    <w:rsid w:val="00D01902"/>
    <w:rsid w:val="00D01C3A"/>
    <w:rsid w:val="00D01C87"/>
    <w:rsid w:val="00D01F3F"/>
    <w:rsid w:val="00D02625"/>
    <w:rsid w:val="00D02AE8"/>
    <w:rsid w:val="00D02BB5"/>
    <w:rsid w:val="00D02E60"/>
    <w:rsid w:val="00D02FF4"/>
    <w:rsid w:val="00D03B09"/>
    <w:rsid w:val="00D03B67"/>
    <w:rsid w:val="00D03E80"/>
    <w:rsid w:val="00D0447A"/>
    <w:rsid w:val="00D04756"/>
    <w:rsid w:val="00D04946"/>
    <w:rsid w:val="00D04DA3"/>
    <w:rsid w:val="00D04F73"/>
    <w:rsid w:val="00D05117"/>
    <w:rsid w:val="00D051A0"/>
    <w:rsid w:val="00D05461"/>
    <w:rsid w:val="00D055CA"/>
    <w:rsid w:val="00D05B50"/>
    <w:rsid w:val="00D06658"/>
    <w:rsid w:val="00D06AF2"/>
    <w:rsid w:val="00D06E94"/>
    <w:rsid w:val="00D071B5"/>
    <w:rsid w:val="00D0727F"/>
    <w:rsid w:val="00D0735B"/>
    <w:rsid w:val="00D07409"/>
    <w:rsid w:val="00D0764A"/>
    <w:rsid w:val="00D07895"/>
    <w:rsid w:val="00D07A1D"/>
    <w:rsid w:val="00D07A96"/>
    <w:rsid w:val="00D1035D"/>
    <w:rsid w:val="00D104D3"/>
    <w:rsid w:val="00D10664"/>
    <w:rsid w:val="00D10867"/>
    <w:rsid w:val="00D1092E"/>
    <w:rsid w:val="00D1094E"/>
    <w:rsid w:val="00D109E9"/>
    <w:rsid w:val="00D1123B"/>
    <w:rsid w:val="00D112D8"/>
    <w:rsid w:val="00D11624"/>
    <w:rsid w:val="00D11ADC"/>
    <w:rsid w:val="00D11F81"/>
    <w:rsid w:val="00D1258B"/>
    <w:rsid w:val="00D12822"/>
    <w:rsid w:val="00D12BDF"/>
    <w:rsid w:val="00D1333B"/>
    <w:rsid w:val="00D13441"/>
    <w:rsid w:val="00D139D6"/>
    <w:rsid w:val="00D13E1F"/>
    <w:rsid w:val="00D14209"/>
    <w:rsid w:val="00D14450"/>
    <w:rsid w:val="00D14974"/>
    <w:rsid w:val="00D14989"/>
    <w:rsid w:val="00D14AEB"/>
    <w:rsid w:val="00D14E09"/>
    <w:rsid w:val="00D14E9B"/>
    <w:rsid w:val="00D155A6"/>
    <w:rsid w:val="00D1563B"/>
    <w:rsid w:val="00D1591F"/>
    <w:rsid w:val="00D166FE"/>
    <w:rsid w:val="00D16838"/>
    <w:rsid w:val="00D17497"/>
    <w:rsid w:val="00D177FF"/>
    <w:rsid w:val="00D179FD"/>
    <w:rsid w:val="00D17AA0"/>
    <w:rsid w:val="00D17CFE"/>
    <w:rsid w:val="00D202C2"/>
    <w:rsid w:val="00D20381"/>
    <w:rsid w:val="00D209C0"/>
    <w:rsid w:val="00D2153D"/>
    <w:rsid w:val="00D21549"/>
    <w:rsid w:val="00D2225A"/>
    <w:rsid w:val="00D2246B"/>
    <w:rsid w:val="00D22550"/>
    <w:rsid w:val="00D226C8"/>
    <w:rsid w:val="00D22C6F"/>
    <w:rsid w:val="00D22DEB"/>
    <w:rsid w:val="00D23008"/>
    <w:rsid w:val="00D23343"/>
    <w:rsid w:val="00D2370B"/>
    <w:rsid w:val="00D23896"/>
    <w:rsid w:val="00D239E8"/>
    <w:rsid w:val="00D23BD1"/>
    <w:rsid w:val="00D23E89"/>
    <w:rsid w:val="00D2427B"/>
    <w:rsid w:val="00D24910"/>
    <w:rsid w:val="00D24ADE"/>
    <w:rsid w:val="00D24F07"/>
    <w:rsid w:val="00D25053"/>
    <w:rsid w:val="00D251A2"/>
    <w:rsid w:val="00D25C9B"/>
    <w:rsid w:val="00D25F15"/>
    <w:rsid w:val="00D260AB"/>
    <w:rsid w:val="00D26122"/>
    <w:rsid w:val="00D2615E"/>
    <w:rsid w:val="00D261EC"/>
    <w:rsid w:val="00D26514"/>
    <w:rsid w:val="00D26543"/>
    <w:rsid w:val="00D26D6B"/>
    <w:rsid w:val="00D27276"/>
    <w:rsid w:val="00D27942"/>
    <w:rsid w:val="00D3031E"/>
    <w:rsid w:val="00D307DE"/>
    <w:rsid w:val="00D30816"/>
    <w:rsid w:val="00D3094C"/>
    <w:rsid w:val="00D30A43"/>
    <w:rsid w:val="00D30AE9"/>
    <w:rsid w:val="00D30D21"/>
    <w:rsid w:val="00D31221"/>
    <w:rsid w:val="00D314A9"/>
    <w:rsid w:val="00D31883"/>
    <w:rsid w:val="00D31BAD"/>
    <w:rsid w:val="00D31E75"/>
    <w:rsid w:val="00D324BC"/>
    <w:rsid w:val="00D328AB"/>
    <w:rsid w:val="00D32B3E"/>
    <w:rsid w:val="00D32B41"/>
    <w:rsid w:val="00D338F8"/>
    <w:rsid w:val="00D33D80"/>
    <w:rsid w:val="00D34688"/>
    <w:rsid w:val="00D34C67"/>
    <w:rsid w:val="00D34DE0"/>
    <w:rsid w:val="00D34F39"/>
    <w:rsid w:val="00D35029"/>
    <w:rsid w:val="00D35814"/>
    <w:rsid w:val="00D35B07"/>
    <w:rsid w:val="00D35B4C"/>
    <w:rsid w:val="00D35B93"/>
    <w:rsid w:val="00D35F0B"/>
    <w:rsid w:val="00D360FC"/>
    <w:rsid w:val="00D36979"/>
    <w:rsid w:val="00D36B49"/>
    <w:rsid w:val="00D36CD3"/>
    <w:rsid w:val="00D3702E"/>
    <w:rsid w:val="00D37409"/>
    <w:rsid w:val="00D374F2"/>
    <w:rsid w:val="00D375D2"/>
    <w:rsid w:val="00D401CF"/>
    <w:rsid w:val="00D4035B"/>
    <w:rsid w:val="00D407D7"/>
    <w:rsid w:val="00D408FC"/>
    <w:rsid w:val="00D40B3C"/>
    <w:rsid w:val="00D40F6B"/>
    <w:rsid w:val="00D411F4"/>
    <w:rsid w:val="00D4148C"/>
    <w:rsid w:val="00D41A71"/>
    <w:rsid w:val="00D41A7B"/>
    <w:rsid w:val="00D41B79"/>
    <w:rsid w:val="00D41C6F"/>
    <w:rsid w:val="00D41E20"/>
    <w:rsid w:val="00D41E22"/>
    <w:rsid w:val="00D4222D"/>
    <w:rsid w:val="00D42649"/>
    <w:rsid w:val="00D42721"/>
    <w:rsid w:val="00D43161"/>
    <w:rsid w:val="00D43515"/>
    <w:rsid w:val="00D4371F"/>
    <w:rsid w:val="00D4386E"/>
    <w:rsid w:val="00D43945"/>
    <w:rsid w:val="00D4402A"/>
    <w:rsid w:val="00D44C8C"/>
    <w:rsid w:val="00D4538C"/>
    <w:rsid w:val="00D45AFC"/>
    <w:rsid w:val="00D46057"/>
    <w:rsid w:val="00D46614"/>
    <w:rsid w:val="00D46E39"/>
    <w:rsid w:val="00D47711"/>
    <w:rsid w:val="00D478BD"/>
    <w:rsid w:val="00D47CED"/>
    <w:rsid w:val="00D47EA5"/>
    <w:rsid w:val="00D50738"/>
    <w:rsid w:val="00D50BBB"/>
    <w:rsid w:val="00D5142B"/>
    <w:rsid w:val="00D51791"/>
    <w:rsid w:val="00D518A6"/>
    <w:rsid w:val="00D518B9"/>
    <w:rsid w:val="00D519E2"/>
    <w:rsid w:val="00D51D29"/>
    <w:rsid w:val="00D5203C"/>
    <w:rsid w:val="00D521BA"/>
    <w:rsid w:val="00D5271B"/>
    <w:rsid w:val="00D52743"/>
    <w:rsid w:val="00D528B9"/>
    <w:rsid w:val="00D52DE7"/>
    <w:rsid w:val="00D5333A"/>
    <w:rsid w:val="00D536DB"/>
    <w:rsid w:val="00D538AC"/>
    <w:rsid w:val="00D53CE8"/>
    <w:rsid w:val="00D53EE9"/>
    <w:rsid w:val="00D53F0E"/>
    <w:rsid w:val="00D54221"/>
    <w:rsid w:val="00D54291"/>
    <w:rsid w:val="00D54305"/>
    <w:rsid w:val="00D5471C"/>
    <w:rsid w:val="00D54803"/>
    <w:rsid w:val="00D54C04"/>
    <w:rsid w:val="00D55235"/>
    <w:rsid w:val="00D5531E"/>
    <w:rsid w:val="00D556AD"/>
    <w:rsid w:val="00D556C3"/>
    <w:rsid w:val="00D55872"/>
    <w:rsid w:val="00D55953"/>
    <w:rsid w:val="00D55A02"/>
    <w:rsid w:val="00D55D72"/>
    <w:rsid w:val="00D56830"/>
    <w:rsid w:val="00D569E6"/>
    <w:rsid w:val="00D570ED"/>
    <w:rsid w:val="00D57410"/>
    <w:rsid w:val="00D57608"/>
    <w:rsid w:val="00D5763B"/>
    <w:rsid w:val="00D5771E"/>
    <w:rsid w:val="00D57931"/>
    <w:rsid w:val="00D57CF7"/>
    <w:rsid w:val="00D6021E"/>
    <w:rsid w:val="00D6086F"/>
    <w:rsid w:val="00D60DDE"/>
    <w:rsid w:val="00D60F60"/>
    <w:rsid w:val="00D6120B"/>
    <w:rsid w:val="00D616B2"/>
    <w:rsid w:val="00D616B6"/>
    <w:rsid w:val="00D61768"/>
    <w:rsid w:val="00D618C2"/>
    <w:rsid w:val="00D61AEB"/>
    <w:rsid w:val="00D61CBA"/>
    <w:rsid w:val="00D61D9F"/>
    <w:rsid w:val="00D621C5"/>
    <w:rsid w:val="00D62A36"/>
    <w:rsid w:val="00D630EB"/>
    <w:rsid w:val="00D63B8D"/>
    <w:rsid w:val="00D64034"/>
    <w:rsid w:val="00D64093"/>
    <w:rsid w:val="00D6429C"/>
    <w:rsid w:val="00D647FA"/>
    <w:rsid w:val="00D6497C"/>
    <w:rsid w:val="00D649F8"/>
    <w:rsid w:val="00D64A39"/>
    <w:rsid w:val="00D64B15"/>
    <w:rsid w:val="00D64BB6"/>
    <w:rsid w:val="00D65233"/>
    <w:rsid w:val="00D6524F"/>
    <w:rsid w:val="00D65255"/>
    <w:rsid w:val="00D65310"/>
    <w:rsid w:val="00D65462"/>
    <w:rsid w:val="00D6574D"/>
    <w:rsid w:val="00D65881"/>
    <w:rsid w:val="00D65F3F"/>
    <w:rsid w:val="00D663C1"/>
    <w:rsid w:val="00D666D9"/>
    <w:rsid w:val="00D66879"/>
    <w:rsid w:val="00D66B5C"/>
    <w:rsid w:val="00D66CEF"/>
    <w:rsid w:val="00D670E3"/>
    <w:rsid w:val="00D6711F"/>
    <w:rsid w:val="00D67507"/>
    <w:rsid w:val="00D67B36"/>
    <w:rsid w:val="00D67BE6"/>
    <w:rsid w:val="00D70B31"/>
    <w:rsid w:val="00D70CBE"/>
    <w:rsid w:val="00D70CE7"/>
    <w:rsid w:val="00D71157"/>
    <w:rsid w:val="00D714F5"/>
    <w:rsid w:val="00D715BA"/>
    <w:rsid w:val="00D71844"/>
    <w:rsid w:val="00D718D7"/>
    <w:rsid w:val="00D71A04"/>
    <w:rsid w:val="00D71C03"/>
    <w:rsid w:val="00D723C1"/>
    <w:rsid w:val="00D72623"/>
    <w:rsid w:val="00D726AB"/>
    <w:rsid w:val="00D72B9E"/>
    <w:rsid w:val="00D72BF4"/>
    <w:rsid w:val="00D72CD7"/>
    <w:rsid w:val="00D72D87"/>
    <w:rsid w:val="00D72ECD"/>
    <w:rsid w:val="00D73136"/>
    <w:rsid w:val="00D7318C"/>
    <w:rsid w:val="00D7325D"/>
    <w:rsid w:val="00D73385"/>
    <w:rsid w:val="00D733AC"/>
    <w:rsid w:val="00D7351C"/>
    <w:rsid w:val="00D736DC"/>
    <w:rsid w:val="00D73A30"/>
    <w:rsid w:val="00D73C5A"/>
    <w:rsid w:val="00D73EB1"/>
    <w:rsid w:val="00D744CD"/>
    <w:rsid w:val="00D747CB"/>
    <w:rsid w:val="00D748FD"/>
    <w:rsid w:val="00D74AAD"/>
    <w:rsid w:val="00D74B22"/>
    <w:rsid w:val="00D74F65"/>
    <w:rsid w:val="00D75A0F"/>
    <w:rsid w:val="00D75A7D"/>
    <w:rsid w:val="00D764AB"/>
    <w:rsid w:val="00D7653E"/>
    <w:rsid w:val="00D76634"/>
    <w:rsid w:val="00D76D91"/>
    <w:rsid w:val="00D76EC8"/>
    <w:rsid w:val="00D76F4B"/>
    <w:rsid w:val="00D770F7"/>
    <w:rsid w:val="00D7772A"/>
    <w:rsid w:val="00D779F7"/>
    <w:rsid w:val="00D77A87"/>
    <w:rsid w:val="00D77AF5"/>
    <w:rsid w:val="00D77E34"/>
    <w:rsid w:val="00D80993"/>
    <w:rsid w:val="00D80ABA"/>
    <w:rsid w:val="00D80BDA"/>
    <w:rsid w:val="00D81286"/>
    <w:rsid w:val="00D812F7"/>
    <w:rsid w:val="00D8133B"/>
    <w:rsid w:val="00D81548"/>
    <w:rsid w:val="00D81569"/>
    <w:rsid w:val="00D824A0"/>
    <w:rsid w:val="00D8261C"/>
    <w:rsid w:val="00D82B5D"/>
    <w:rsid w:val="00D82E2B"/>
    <w:rsid w:val="00D83504"/>
    <w:rsid w:val="00D83B68"/>
    <w:rsid w:val="00D84178"/>
    <w:rsid w:val="00D84CAC"/>
    <w:rsid w:val="00D85016"/>
    <w:rsid w:val="00D855C9"/>
    <w:rsid w:val="00D858F6"/>
    <w:rsid w:val="00D8635B"/>
    <w:rsid w:val="00D86456"/>
    <w:rsid w:val="00D86635"/>
    <w:rsid w:val="00D866AA"/>
    <w:rsid w:val="00D86E62"/>
    <w:rsid w:val="00D86E81"/>
    <w:rsid w:val="00D8709E"/>
    <w:rsid w:val="00D87301"/>
    <w:rsid w:val="00D874ED"/>
    <w:rsid w:val="00D87DFB"/>
    <w:rsid w:val="00D9010A"/>
    <w:rsid w:val="00D90249"/>
    <w:rsid w:val="00D90650"/>
    <w:rsid w:val="00D90C1B"/>
    <w:rsid w:val="00D90EDA"/>
    <w:rsid w:val="00D90F47"/>
    <w:rsid w:val="00D91A1A"/>
    <w:rsid w:val="00D91E7D"/>
    <w:rsid w:val="00D91F88"/>
    <w:rsid w:val="00D9210C"/>
    <w:rsid w:val="00D922A6"/>
    <w:rsid w:val="00D92323"/>
    <w:rsid w:val="00D923C2"/>
    <w:rsid w:val="00D927FE"/>
    <w:rsid w:val="00D92854"/>
    <w:rsid w:val="00D92A12"/>
    <w:rsid w:val="00D92BE5"/>
    <w:rsid w:val="00D92D66"/>
    <w:rsid w:val="00D9302B"/>
    <w:rsid w:val="00D932BB"/>
    <w:rsid w:val="00D9338C"/>
    <w:rsid w:val="00D93B15"/>
    <w:rsid w:val="00D93B56"/>
    <w:rsid w:val="00D94008"/>
    <w:rsid w:val="00D9480F"/>
    <w:rsid w:val="00D9484D"/>
    <w:rsid w:val="00D94B19"/>
    <w:rsid w:val="00D94B8A"/>
    <w:rsid w:val="00D94C58"/>
    <w:rsid w:val="00D94D95"/>
    <w:rsid w:val="00D94DD5"/>
    <w:rsid w:val="00D94FE4"/>
    <w:rsid w:val="00D95B4C"/>
    <w:rsid w:val="00D96007"/>
    <w:rsid w:val="00D961C3"/>
    <w:rsid w:val="00D96212"/>
    <w:rsid w:val="00D96445"/>
    <w:rsid w:val="00D965D8"/>
    <w:rsid w:val="00D969B8"/>
    <w:rsid w:val="00D96A51"/>
    <w:rsid w:val="00D96C38"/>
    <w:rsid w:val="00D97899"/>
    <w:rsid w:val="00DA02E2"/>
    <w:rsid w:val="00DA09EA"/>
    <w:rsid w:val="00DA0DDF"/>
    <w:rsid w:val="00DA0FFD"/>
    <w:rsid w:val="00DA1375"/>
    <w:rsid w:val="00DA1A42"/>
    <w:rsid w:val="00DA21D6"/>
    <w:rsid w:val="00DA2507"/>
    <w:rsid w:val="00DA2917"/>
    <w:rsid w:val="00DA2C3E"/>
    <w:rsid w:val="00DA2DF7"/>
    <w:rsid w:val="00DA2F29"/>
    <w:rsid w:val="00DA3399"/>
    <w:rsid w:val="00DA3416"/>
    <w:rsid w:val="00DA38DD"/>
    <w:rsid w:val="00DA3B5F"/>
    <w:rsid w:val="00DA412E"/>
    <w:rsid w:val="00DA4C3B"/>
    <w:rsid w:val="00DA4C60"/>
    <w:rsid w:val="00DA4E67"/>
    <w:rsid w:val="00DA58C5"/>
    <w:rsid w:val="00DA6179"/>
    <w:rsid w:val="00DA63D0"/>
    <w:rsid w:val="00DA64BD"/>
    <w:rsid w:val="00DA6B79"/>
    <w:rsid w:val="00DA6F70"/>
    <w:rsid w:val="00DA70A0"/>
    <w:rsid w:val="00DA7D71"/>
    <w:rsid w:val="00DB05A8"/>
    <w:rsid w:val="00DB0760"/>
    <w:rsid w:val="00DB0960"/>
    <w:rsid w:val="00DB0A0C"/>
    <w:rsid w:val="00DB0AA4"/>
    <w:rsid w:val="00DB0EF7"/>
    <w:rsid w:val="00DB101C"/>
    <w:rsid w:val="00DB13BA"/>
    <w:rsid w:val="00DB189C"/>
    <w:rsid w:val="00DB1A83"/>
    <w:rsid w:val="00DB1B1C"/>
    <w:rsid w:val="00DB26F1"/>
    <w:rsid w:val="00DB4110"/>
    <w:rsid w:val="00DB4365"/>
    <w:rsid w:val="00DB4445"/>
    <w:rsid w:val="00DB486C"/>
    <w:rsid w:val="00DB4943"/>
    <w:rsid w:val="00DB4BDC"/>
    <w:rsid w:val="00DB4DB2"/>
    <w:rsid w:val="00DB4DC0"/>
    <w:rsid w:val="00DB52E7"/>
    <w:rsid w:val="00DB53C6"/>
    <w:rsid w:val="00DB5B60"/>
    <w:rsid w:val="00DB5E97"/>
    <w:rsid w:val="00DB637C"/>
    <w:rsid w:val="00DB68D1"/>
    <w:rsid w:val="00DB6C34"/>
    <w:rsid w:val="00DB6FA4"/>
    <w:rsid w:val="00DB7115"/>
    <w:rsid w:val="00DB716C"/>
    <w:rsid w:val="00DB737D"/>
    <w:rsid w:val="00DB76DE"/>
    <w:rsid w:val="00DB79F9"/>
    <w:rsid w:val="00DB7A84"/>
    <w:rsid w:val="00DB7AF1"/>
    <w:rsid w:val="00DB7D08"/>
    <w:rsid w:val="00DC0092"/>
    <w:rsid w:val="00DC0C37"/>
    <w:rsid w:val="00DC0F94"/>
    <w:rsid w:val="00DC1236"/>
    <w:rsid w:val="00DC12D9"/>
    <w:rsid w:val="00DC166B"/>
    <w:rsid w:val="00DC1C15"/>
    <w:rsid w:val="00DC1C19"/>
    <w:rsid w:val="00DC1EA3"/>
    <w:rsid w:val="00DC2266"/>
    <w:rsid w:val="00DC23A3"/>
    <w:rsid w:val="00DC23CD"/>
    <w:rsid w:val="00DC272F"/>
    <w:rsid w:val="00DC2F8F"/>
    <w:rsid w:val="00DC375C"/>
    <w:rsid w:val="00DC37B0"/>
    <w:rsid w:val="00DC3A88"/>
    <w:rsid w:val="00DC3C42"/>
    <w:rsid w:val="00DC3CB6"/>
    <w:rsid w:val="00DC3FFC"/>
    <w:rsid w:val="00DC4208"/>
    <w:rsid w:val="00DC4482"/>
    <w:rsid w:val="00DC4C17"/>
    <w:rsid w:val="00DC5300"/>
    <w:rsid w:val="00DC556C"/>
    <w:rsid w:val="00DC59F7"/>
    <w:rsid w:val="00DC5A80"/>
    <w:rsid w:val="00DC5D5C"/>
    <w:rsid w:val="00DC6175"/>
    <w:rsid w:val="00DC629C"/>
    <w:rsid w:val="00DC6476"/>
    <w:rsid w:val="00DC649C"/>
    <w:rsid w:val="00DC689F"/>
    <w:rsid w:val="00DC6AFD"/>
    <w:rsid w:val="00DC6BE8"/>
    <w:rsid w:val="00DC6CAA"/>
    <w:rsid w:val="00DC73E8"/>
    <w:rsid w:val="00DC73EE"/>
    <w:rsid w:val="00DC7ABD"/>
    <w:rsid w:val="00DC7B3A"/>
    <w:rsid w:val="00DC7FA2"/>
    <w:rsid w:val="00DD0587"/>
    <w:rsid w:val="00DD0C7A"/>
    <w:rsid w:val="00DD10E6"/>
    <w:rsid w:val="00DD12DB"/>
    <w:rsid w:val="00DD1F7F"/>
    <w:rsid w:val="00DD20AA"/>
    <w:rsid w:val="00DD26EC"/>
    <w:rsid w:val="00DD29F5"/>
    <w:rsid w:val="00DD2C6D"/>
    <w:rsid w:val="00DD2CAA"/>
    <w:rsid w:val="00DD2E30"/>
    <w:rsid w:val="00DD2E7B"/>
    <w:rsid w:val="00DD36F3"/>
    <w:rsid w:val="00DD3FA2"/>
    <w:rsid w:val="00DD4018"/>
    <w:rsid w:val="00DD4187"/>
    <w:rsid w:val="00DD45D8"/>
    <w:rsid w:val="00DD48D3"/>
    <w:rsid w:val="00DD4E22"/>
    <w:rsid w:val="00DD5031"/>
    <w:rsid w:val="00DD59B7"/>
    <w:rsid w:val="00DD5D8D"/>
    <w:rsid w:val="00DD5DD7"/>
    <w:rsid w:val="00DD652C"/>
    <w:rsid w:val="00DD684C"/>
    <w:rsid w:val="00DD6A82"/>
    <w:rsid w:val="00DD6B44"/>
    <w:rsid w:val="00DD6FED"/>
    <w:rsid w:val="00DD7133"/>
    <w:rsid w:val="00DD761C"/>
    <w:rsid w:val="00DD76E5"/>
    <w:rsid w:val="00DD7F2B"/>
    <w:rsid w:val="00DE0080"/>
    <w:rsid w:val="00DE00C7"/>
    <w:rsid w:val="00DE0683"/>
    <w:rsid w:val="00DE0922"/>
    <w:rsid w:val="00DE10AE"/>
    <w:rsid w:val="00DE181D"/>
    <w:rsid w:val="00DE195F"/>
    <w:rsid w:val="00DE208F"/>
    <w:rsid w:val="00DE2382"/>
    <w:rsid w:val="00DE2432"/>
    <w:rsid w:val="00DE25F8"/>
    <w:rsid w:val="00DE2B73"/>
    <w:rsid w:val="00DE3170"/>
    <w:rsid w:val="00DE3844"/>
    <w:rsid w:val="00DE43FC"/>
    <w:rsid w:val="00DE464F"/>
    <w:rsid w:val="00DE476E"/>
    <w:rsid w:val="00DE47C8"/>
    <w:rsid w:val="00DE4877"/>
    <w:rsid w:val="00DE4EA6"/>
    <w:rsid w:val="00DE50BB"/>
    <w:rsid w:val="00DE50FD"/>
    <w:rsid w:val="00DE5F57"/>
    <w:rsid w:val="00DE66D6"/>
    <w:rsid w:val="00DE6719"/>
    <w:rsid w:val="00DE6F6F"/>
    <w:rsid w:val="00DE72EB"/>
    <w:rsid w:val="00DE730A"/>
    <w:rsid w:val="00DE7444"/>
    <w:rsid w:val="00DE7912"/>
    <w:rsid w:val="00DE7D00"/>
    <w:rsid w:val="00DF00E9"/>
    <w:rsid w:val="00DF03B4"/>
    <w:rsid w:val="00DF03DB"/>
    <w:rsid w:val="00DF0433"/>
    <w:rsid w:val="00DF07C1"/>
    <w:rsid w:val="00DF0AAE"/>
    <w:rsid w:val="00DF1115"/>
    <w:rsid w:val="00DF154D"/>
    <w:rsid w:val="00DF179F"/>
    <w:rsid w:val="00DF17DE"/>
    <w:rsid w:val="00DF18AC"/>
    <w:rsid w:val="00DF1D98"/>
    <w:rsid w:val="00DF2010"/>
    <w:rsid w:val="00DF212A"/>
    <w:rsid w:val="00DF21D5"/>
    <w:rsid w:val="00DF2643"/>
    <w:rsid w:val="00DF2731"/>
    <w:rsid w:val="00DF2B5F"/>
    <w:rsid w:val="00DF2C4D"/>
    <w:rsid w:val="00DF34F1"/>
    <w:rsid w:val="00DF3504"/>
    <w:rsid w:val="00DF3521"/>
    <w:rsid w:val="00DF3912"/>
    <w:rsid w:val="00DF3AA9"/>
    <w:rsid w:val="00DF400E"/>
    <w:rsid w:val="00DF43EF"/>
    <w:rsid w:val="00DF448F"/>
    <w:rsid w:val="00DF461E"/>
    <w:rsid w:val="00DF4AED"/>
    <w:rsid w:val="00DF50B1"/>
    <w:rsid w:val="00DF56D3"/>
    <w:rsid w:val="00DF583F"/>
    <w:rsid w:val="00DF5CD8"/>
    <w:rsid w:val="00DF5D02"/>
    <w:rsid w:val="00DF6077"/>
    <w:rsid w:val="00DF69E6"/>
    <w:rsid w:val="00DF6C99"/>
    <w:rsid w:val="00DF7816"/>
    <w:rsid w:val="00DF7CC0"/>
    <w:rsid w:val="00DF7D84"/>
    <w:rsid w:val="00E0023D"/>
    <w:rsid w:val="00E00722"/>
    <w:rsid w:val="00E00CBD"/>
    <w:rsid w:val="00E01409"/>
    <w:rsid w:val="00E014F6"/>
    <w:rsid w:val="00E01B02"/>
    <w:rsid w:val="00E02360"/>
    <w:rsid w:val="00E023E5"/>
    <w:rsid w:val="00E025A2"/>
    <w:rsid w:val="00E0296E"/>
    <w:rsid w:val="00E02F2A"/>
    <w:rsid w:val="00E02FBB"/>
    <w:rsid w:val="00E03667"/>
    <w:rsid w:val="00E03985"/>
    <w:rsid w:val="00E03DF2"/>
    <w:rsid w:val="00E04022"/>
    <w:rsid w:val="00E04160"/>
    <w:rsid w:val="00E0463A"/>
    <w:rsid w:val="00E047EF"/>
    <w:rsid w:val="00E04ACE"/>
    <w:rsid w:val="00E04C0B"/>
    <w:rsid w:val="00E04D12"/>
    <w:rsid w:val="00E0517A"/>
    <w:rsid w:val="00E056EC"/>
    <w:rsid w:val="00E05706"/>
    <w:rsid w:val="00E05AD0"/>
    <w:rsid w:val="00E05D1C"/>
    <w:rsid w:val="00E05EFD"/>
    <w:rsid w:val="00E066AD"/>
    <w:rsid w:val="00E0686E"/>
    <w:rsid w:val="00E068BA"/>
    <w:rsid w:val="00E077D6"/>
    <w:rsid w:val="00E078C7"/>
    <w:rsid w:val="00E07A42"/>
    <w:rsid w:val="00E07AF7"/>
    <w:rsid w:val="00E07B42"/>
    <w:rsid w:val="00E07FC4"/>
    <w:rsid w:val="00E1049C"/>
    <w:rsid w:val="00E1060C"/>
    <w:rsid w:val="00E1072C"/>
    <w:rsid w:val="00E109DE"/>
    <w:rsid w:val="00E10DBB"/>
    <w:rsid w:val="00E1139D"/>
    <w:rsid w:val="00E11CD8"/>
    <w:rsid w:val="00E11CE3"/>
    <w:rsid w:val="00E1201C"/>
    <w:rsid w:val="00E12102"/>
    <w:rsid w:val="00E12124"/>
    <w:rsid w:val="00E1222E"/>
    <w:rsid w:val="00E12302"/>
    <w:rsid w:val="00E12764"/>
    <w:rsid w:val="00E12795"/>
    <w:rsid w:val="00E129FC"/>
    <w:rsid w:val="00E130F7"/>
    <w:rsid w:val="00E135A1"/>
    <w:rsid w:val="00E13659"/>
    <w:rsid w:val="00E13A3D"/>
    <w:rsid w:val="00E13F1C"/>
    <w:rsid w:val="00E144CC"/>
    <w:rsid w:val="00E145F2"/>
    <w:rsid w:val="00E146FA"/>
    <w:rsid w:val="00E1476D"/>
    <w:rsid w:val="00E1481A"/>
    <w:rsid w:val="00E14B1D"/>
    <w:rsid w:val="00E15B65"/>
    <w:rsid w:val="00E15D6B"/>
    <w:rsid w:val="00E16043"/>
    <w:rsid w:val="00E16354"/>
    <w:rsid w:val="00E163B5"/>
    <w:rsid w:val="00E16DCB"/>
    <w:rsid w:val="00E170BE"/>
    <w:rsid w:val="00E179A5"/>
    <w:rsid w:val="00E179E5"/>
    <w:rsid w:val="00E17CFA"/>
    <w:rsid w:val="00E17E84"/>
    <w:rsid w:val="00E17F87"/>
    <w:rsid w:val="00E20010"/>
    <w:rsid w:val="00E20861"/>
    <w:rsid w:val="00E20941"/>
    <w:rsid w:val="00E20AAA"/>
    <w:rsid w:val="00E215C1"/>
    <w:rsid w:val="00E21BBE"/>
    <w:rsid w:val="00E2217F"/>
    <w:rsid w:val="00E221A6"/>
    <w:rsid w:val="00E2293B"/>
    <w:rsid w:val="00E22A18"/>
    <w:rsid w:val="00E22B72"/>
    <w:rsid w:val="00E22C36"/>
    <w:rsid w:val="00E22D31"/>
    <w:rsid w:val="00E233B6"/>
    <w:rsid w:val="00E23574"/>
    <w:rsid w:val="00E23A17"/>
    <w:rsid w:val="00E23ED2"/>
    <w:rsid w:val="00E2405F"/>
    <w:rsid w:val="00E24234"/>
    <w:rsid w:val="00E245B2"/>
    <w:rsid w:val="00E24C83"/>
    <w:rsid w:val="00E250EA"/>
    <w:rsid w:val="00E2517F"/>
    <w:rsid w:val="00E254E7"/>
    <w:rsid w:val="00E25511"/>
    <w:rsid w:val="00E256C4"/>
    <w:rsid w:val="00E25776"/>
    <w:rsid w:val="00E2578B"/>
    <w:rsid w:val="00E2591A"/>
    <w:rsid w:val="00E25CE3"/>
    <w:rsid w:val="00E25EA6"/>
    <w:rsid w:val="00E26268"/>
    <w:rsid w:val="00E265FE"/>
    <w:rsid w:val="00E26604"/>
    <w:rsid w:val="00E269DA"/>
    <w:rsid w:val="00E26FD5"/>
    <w:rsid w:val="00E27645"/>
    <w:rsid w:val="00E27B1E"/>
    <w:rsid w:val="00E27E61"/>
    <w:rsid w:val="00E27F0B"/>
    <w:rsid w:val="00E27F64"/>
    <w:rsid w:val="00E30E54"/>
    <w:rsid w:val="00E312BF"/>
    <w:rsid w:val="00E31306"/>
    <w:rsid w:val="00E3141E"/>
    <w:rsid w:val="00E3147A"/>
    <w:rsid w:val="00E318DE"/>
    <w:rsid w:val="00E3258E"/>
    <w:rsid w:val="00E32788"/>
    <w:rsid w:val="00E3296D"/>
    <w:rsid w:val="00E32B38"/>
    <w:rsid w:val="00E32E22"/>
    <w:rsid w:val="00E33197"/>
    <w:rsid w:val="00E331F8"/>
    <w:rsid w:val="00E33804"/>
    <w:rsid w:val="00E339A3"/>
    <w:rsid w:val="00E339C5"/>
    <w:rsid w:val="00E33A45"/>
    <w:rsid w:val="00E33ABA"/>
    <w:rsid w:val="00E33D02"/>
    <w:rsid w:val="00E342A3"/>
    <w:rsid w:val="00E34427"/>
    <w:rsid w:val="00E3447F"/>
    <w:rsid w:val="00E347E8"/>
    <w:rsid w:val="00E34BCC"/>
    <w:rsid w:val="00E34F1C"/>
    <w:rsid w:val="00E35532"/>
    <w:rsid w:val="00E356A3"/>
    <w:rsid w:val="00E35738"/>
    <w:rsid w:val="00E358EB"/>
    <w:rsid w:val="00E36627"/>
    <w:rsid w:val="00E3665D"/>
    <w:rsid w:val="00E3669B"/>
    <w:rsid w:val="00E36C34"/>
    <w:rsid w:val="00E36CB0"/>
    <w:rsid w:val="00E36E5D"/>
    <w:rsid w:val="00E36F52"/>
    <w:rsid w:val="00E37703"/>
    <w:rsid w:val="00E37905"/>
    <w:rsid w:val="00E4008B"/>
    <w:rsid w:val="00E401E2"/>
    <w:rsid w:val="00E4068C"/>
    <w:rsid w:val="00E4072F"/>
    <w:rsid w:val="00E40808"/>
    <w:rsid w:val="00E40E32"/>
    <w:rsid w:val="00E40E48"/>
    <w:rsid w:val="00E40FF2"/>
    <w:rsid w:val="00E41079"/>
    <w:rsid w:val="00E41225"/>
    <w:rsid w:val="00E41363"/>
    <w:rsid w:val="00E419DD"/>
    <w:rsid w:val="00E422BB"/>
    <w:rsid w:val="00E423EA"/>
    <w:rsid w:val="00E42423"/>
    <w:rsid w:val="00E42B14"/>
    <w:rsid w:val="00E43507"/>
    <w:rsid w:val="00E435C7"/>
    <w:rsid w:val="00E43BC2"/>
    <w:rsid w:val="00E43BF2"/>
    <w:rsid w:val="00E43CEE"/>
    <w:rsid w:val="00E44118"/>
    <w:rsid w:val="00E44121"/>
    <w:rsid w:val="00E4438C"/>
    <w:rsid w:val="00E445DE"/>
    <w:rsid w:val="00E4478D"/>
    <w:rsid w:val="00E449A6"/>
    <w:rsid w:val="00E44CF7"/>
    <w:rsid w:val="00E44D58"/>
    <w:rsid w:val="00E44D7F"/>
    <w:rsid w:val="00E44EA2"/>
    <w:rsid w:val="00E450F8"/>
    <w:rsid w:val="00E4523A"/>
    <w:rsid w:val="00E454B9"/>
    <w:rsid w:val="00E45B6B"/>
    <w:rsid w:val="00E45BDD"/>
    <w:rsid w:val="00E46011"/>
    <w:rsid w:val="00E46123"/>
    <w:rsid w:val="00E463C9"/>
    <w:rsid w:val="00E464A0"/>
    <w:rsid w:val="00E464D9"/>
    <w:rsid w:val="00E46597"/>
    <w:rsid w:val="00E4673B"/>
    <w:rsid w:val="00E46E17"/>
    <w:rsid w:val="00E47266"/>
    <w:rsid w:val="00E4726E"/>
    <w:rsid w:val="00E478F1"/>
    <w:rsid w:val="00E4797E"/>
    <w:rsid w:val="00E479F7"/>
    <w:rsid w:val="00E47C7E"/>
    <w:rsid w:val="00E47DFB"/>
    <w:rsid w:val="00E50F1B"/>
    <w:rsid w:val="00E51DF1"/>
    <w:rsid w:val="00E51F0B"/>
    <w:rsid w:val="00E51F51"/>
    <w:rsid w:val="00E51F5B"/>
    <w:rsid w:val="00E5269C"/>
    <w:rsid w:val="00E52DCC"/>
    <w:rsid w:val="00E53132"/>
    <w:rsid w:val="00E531E4"/>
    <w:rsid w:val="00E53459"/>
    <w:rsid w:val="00E5365C"/>
    <w:rsid w:val="00E537D2"/>
    <w:rsid w:val="00E541E0"/>
    <w:rsid w:val="00E543DB"/>
    <w:rsid w:val="00E545A4"/>
    <w:rsid w:val="00E549CE"/>
    <w:rsid w:val="00E554B8"/>
    <w:rsid w:val="00E55C4C"/>
    <w:rsid w:val="00E56022"/>
    <w:rsid w:val="00E5670A"/>
    <w:rsid w:val="00E56988"/>
    <w:rsid w:val="00E56BB7"/>
    <w:rsid w:val="00E573B5"/>
    <w:rsid w:val="00E574EA"/>
    <w:rsid w:val="00E57BB7"/>
    <w:rsid w:val="00E57FF6"/>
    <w:rsid w:val="00E608F6"/>
    <w:rsid w:val="00E60ADB"/>
    <w:rsid w:val="00E611C4"/>
    <w:rsid w:val="00E611D3"/>
    <w:rsid w:val="00E6169B"/>
    <w:rsid w:val="00E621D9"/>
    <w:rsid w:val="00E6298C"/>
    <w:rsid w:val="00E62E42"/>
    <w:rsid w:val="00E634C9"/>
    <w:rsid w:val="00E63782"/>
    <w:rsid w:val="00E63931"/>
    <w:rsid w:val="00E63A47"/>
    <w:rsid w:val="00E63F4D"/>
    <w:rsid w:val="00E63FAB"/>
    <w:rsid w:val="00E641CB"/>
    <w:rsid w:val="00E643E7"/>
    <w:rsid w:val="00E6480F"/>
    <w:rsid w:val="00E65A04"/>
    <w:rsid w:val="00E65EB7"/>
    <w:rsid w:val="00E669F8"/>
    <w:rsid w:val="00E66CB2"/>
    <w:rsid w:val="00E670B7"/>
    <w:rsid w:val="00E67178"/>
    <w:rsid w:val="00E672A6"/>
    <w:rsid w:val="00E6745D"/>
    <w:rsid w:val="00E67C3B"/>
    <w:rsid w:val="00E70161"/>
    <w:rsid w:val="00E702DE"/>
    <w:rsid w:val="00E705E2"/>
    <w:rsid w:val="00E70AEA"/>
    <w:rsid w:val="00E70B51"/>
    <w:rsid w:val="00E70BFA"/>
    <w:rsid w:val="00E70D02"/>
    <w:rsid w:val="00E70E11"/>
    <w:rsid w:val="00E70E27"/>
    <w:rsid w:val="00E70FEF"/>
    <w:rsid w:val="00E7136D"/>
    <w:rsid w:val="00E7155E"/>
    <w:rsid w:val="00E719F2"/>
    <w:rsid w:val="00E71A2B"/>
    <w:rsid w:val="00E71DF6"/>
    <w:rsid w:val="00E71FFD"/>
    <w:rsid w:val="00E7250F"/>
    <w:rsid w:val="00E7254E"/>
    <w:rsid w:val="00E7271C"/>
    <w:rsid w:val="00E72B12"/>
    <w:rsid w:val="00E72C13"/>
    <w:rsid w:val="00E72C6C"/>
    <w:rsid w:val="00E735E6"/>
    <w:rsid w:val="00E73709"/>
    <w:rsid w:val="00E73732"/>
    <w:rsid w:val="00E737F2"/>
    <w:rsid w:val="00E73E0C"/>
    <w:rsid w:val="00E73E6A"/>
    <w:rsid w:val="00E74B29"/>
    <w:rsid w:val="00E74B45"/>
    <w:rsid w:val="00E74DDF"/>
    <w:rsid w:val="00E751DF"/>
    <w:rsid w:val="00E7542C"/>
    <w:rsid w:val="00E75584"/>
    <w:rsid w:val="00E7597F"/>
    <w:rsid w:val="00E75A21"/>
    <w:rsid w:val="00E75ABB"/>
    <w:rsid w:val="00E75BD6"/>
    <w:rsid w:val="00E76070"/>
    <w:rsid w:val="00E768A5"/>
    <w:rsid w:val="00E76F45"/>
    <w:rsid w:val="00E77933"/>
    <w:rsid w:val="00E77E13"/>
    <w:rsid w:val="00E800EA"/>
    <w:rsid w:val="00E808D8"/>
    <w:rsid w:val="00E80ACA"/>
    <w:rsid w:val="00E80AD2"/>
    <w:rsid w:val="00E80E9A"/>
    <w:rsid w:val="00E811DD"/>
    <w:rsid w:val="00E8163E"/>
    <w:rsid w:val="00E819A6"/>
    <w:rsid w:val="00E81B36"/>
    <w:rsid w:val="00E81B7F"/>
    <w:rsid w:val="00E81CE2"/>
    <w:rsid w:val="00E81EBB"/>
    <w:rsid w:val="00E8204D"/>
    <w:rsid w:val="00E822B7"/>
    <w:rsid w:val="00E82420"/>
    <w:rsid w:val="00E8245A"/>
    <w:rsid w:val="00E82780"/>
    <w:rsid w:val="00E8283A"/>
    <w:rsid w:val="00E82D2C"/>
    <w:rsid w:val="00E82F17"/>
    <w:rsid w:val="00E8335A"/>
    <w:rsid w:val="00E83405"/>
    <w:rsid w:val="00E83524"/>
    <w:rsid w:val="00E8373B"/>
    <w:rsid w:val="00E83B17"/>
    <w:rsid w:val="00E83F3A"/>
    <w:rsid w:val="00E84165"/>
    <w:rsid w:val="00E841F7"/>
    <w:rsid w:val="00E844BB"/>
    <w:rsid w:val="00E84658"/>
    <w:rsid w:val="00E847A5"/>
    <w:rsid w:val="00E84B00"/>
    <w:rsid w:val="00E84E08"/>
    <w:rsid w:val="00E854ED"/>
    <w:rsid w:val="00E8589B"/>
    <w:rsid w:val="00E859D8"/>
    <w:rsid w:val="00E85BE6"/>
    <w:rsid w:val="00E862A9"/>
    <w:rsid w:val="00E8688B"/>
    <w:rsid w:val="00E8712E"/>
    <w:rsid w:val="00E879B0"/>
    <w:rsid w:val="00E9010B"/>
    <w:rsid w:val="00E903D6"/>
    <w:rsid w:val="00E90470"/>
    <w:rsid w:val="00E9082F"/>
    <w:rsid w:val="00E9093E"/>
    <w:rsid w:val="00E90BDD"/>
    <w:rsid w:val="00E90F31"/>
    <w:rsid w:val="00E91B71"/>
    <w:rsid w:val="00E91D34"/>
    <w:rsid w:val="00E91EEA"/>
    <w:rsid w:val="00E92FF6"/>
    <w:rsid w:val="00E934A8"/>
    <w:rsid w:val="00E934AB"/>
    <w:rsid w:val="00E938EE"/>
    <w:rsid w:val="00E939CD"/>
    <w:rsid w:val="00E94432"/>
    <w:rsid w:val="00E9451E"/>
    <w:rsid w:val="00E94F73"/>
    <w:rsid w:val="00E95232"/>
    <w:rsid w:val="00E9532F"/>
    <w:rsid w:val="00E96251"/>
    <w:rsid w:val="00E9639C"/>
    <w:rsid w:val="00E96778"/>
    <w:rsid w:val="00E9699F"/>
    <w:rsid w:val="00E9702B"/>
    <w:rsid w:val="00E973F1"/>
    <w:rsid w:val="00E974B4"/>
    <w:rsid w:val="00E9766F"/>
    <w:rsid w:val="00EA0621"/>
    <w:rsid w:val="00EA0707"/>
    <w:rsid w:val="00EA09FA"/>
    <w:rsid w:val="00EA12B4"/>
    <w:rsid w:val="00EA1371"/>
    <w:rsid w:val="00EA160D"/>
    <w:rsid w:val="00EA181B"/>
    <w:rsid w:val="00EA2320"/>
    <w:rsid w:val="00EA2342"/>
    <w:rsid w:val="00EA2628"/>
    <w:rsid w:val="00EA2948"/>
    <w:rsid w:val="00EA2F0D"/>
    <w:rsid w:val="00EA391C"/>
    <w:rsid w:val="00EA3A3A"/>
    <w:rsid w:val="00EA3AE6"/>
    <w:rsid w:val="00EA3B53"/>
    <w:rsid w:val="00EA443C"/>
    <w:rsid w:val="00EA446D"/>
    <w:rsid w:val="00EA4D7F"/>
    <w:rsid w:val="00EA4D80"/>
    <w:rsid w:val="00EA4EF3"/>
    <w:rsid w:val="00EA4FCE"/>
    <w:rsid w:val="00EA554C"/>
    <w:rsid w:val="00EA5752"/>
    <w:rsid w:val="00EA5966"/>
    <w:rsid w:val="00EA598E"/>
    <w:rsid w:val="00EA59EA"/>
    <w:rsid w:val="00EA5B0C"/>
    <w:rsid w:val="00EA5E86"/>
    <w:rsid w:val="00EA60E2"/>
    <w:rsid w:val="00EA62C3"/>
    <w:rsid w:val="00EA65E4"/>
    <w:rsid w:val="00EA66E0"/>
    <w:rsid w:val="00EA6717"/>
    <w:rsid w:val="00EA67BA"/>
    <w:rsid w:val="00EA67C8"/>
    <w:rsid w:val="00EA6E37"/>
    <w:rsid w:val="00EA6F29"/>
    <w:rsid w:val="00EA7539"/>
    <w:rsid w:val="00EA7549"/>
    <w:rsid w:val="00EA7A18"/>
    <w:rsid w:val="00EB08D2"/>
    <w:rsid w:val="00EB098A"/>
    <w:rsid w:val="00EB0C74"/>
    <w:rsid w:val="00EB0D82"/>
    <w:rsid w:val="00EB0E06"/>
    <w:rsid w:val="00EB1321"/>
    <w:rsid w:val="00EB15BA"/>
    <w:rsid w:val="00EB1986"/>
    <w:rsid w:val="00EB1A9F"/>
    <w:rsid w:val="00EB2188"/>
    <w:rsid w:val="00EB2322"/>
    <w:rsid w:val="00EB2385"/>
    <w:rsid w:val="00EB2694"/>
    <w:rsid w:val="00EB2B00"/>
    <w:rsid w:val="00EB3255"/>
    <w:rsid w:val="00EB3642"/>
    <w:rsid w:val="00EB3AB4"/>
    <w:rsid w:val="00EB3B19"/>
    <w:rsid w:val="00EB3F54"/>
    <w:rsid w:val="00EB3FA5"/>
    <w:rsid w:val="00EB4332"/>
    <w:rsid w:val="00EB4481"/>
    <w:rsid w:val="00EB4519"/>
    <w:rsid w:val="00EB454E"/>
    <w:rsid w:val="00EB47D6"/>
    <w:rsid w:val="00EB4920"/>
    <w:rsid w:val="00EB496A"/>
    <w:rsid w:val="00EB497E"/>
    <w:rsid w:val="00EB4BAB"/>
    <w:rsid w:val="00EB4ECE"/>
    <w:rsid w:val="00EB53EB"/>
    <w:rsid w:val="00EB5963"/>
    <w:rsid w:val="00EB5D1B"/>
    <w:rsid w:val="00EB627E"/>
    <w:rsid w:val="00EB62E1"/>
    <w:rsid w:val="00EB6498"/>
    <w:rsid w:val="00EB6874"/>
    <w:rsid w:val="00EB69F6"/>
    <w:rsid w:val="00EB6C9F"/>
    <w:rsid w:val="00EB6FC7"/>
    <w:rsid w:val="00EB7228"/>
    <w:rsid w:val="00EB773F"/>
    <w:rsid w:val="00EB7B08"/>
    <w:rsid w:val="00EC0963"/>
    <w:rsid w:val="00EC0B1A"/>
    <w:rsid w:val="00EC0F57"/>
    <w:rsid w:val="00EC0F71"/>
    <w:rsid w:val="00EC1DDB"/>
    <w:rsid w:val="00EC22E6"/>
    <w:rsid w:val="00EC24BE"/>
    <w:rsid w:val="00EC2795"/>
    <w:rsid w:val="00EC28F2"/>
    <w:rsid w:val="00EC2967"/>
    <w:rsid w:val="00EC2C7A"/>
    <w:rsid w:val="00EC2CBA"/>
    <w:rsid w:val="00EC30DB"/>
    <w:rsid w:val="00EC3CB4"/>
    <w:rsid w:val="00EC3D45"/>
    <w:rsid w:val="00EC3DE5"/>
    <w:rsid w:val="00EC3FBC"/>
    <w:rsid w:val="00EC45D7"/>
    <w:rsid w:val="00EC48C2"/>
    <w:rsid w:val="00EC4AB7"/>
    <w:rsid w:val="00EC4C80"/>
    <w:rsid w:val="00EC4CCE"/>
    <w:rsid w:val="00EC4E9B"/>
    <w:rsid w:val="00EC5331"/>
    <w:rsid w:val="00EC5622"/>
    <w:rsid w:val="00EC598E"/>
    <w:rsid w:val="00EC5A18"/>
    <w:rsid w:val="00EC5E6A"/>
    <w:rsid w:val="00EC665F"/>
    <w:rsid w:val="00EC6714"/>
    <w:rsid w:val="00EC68A5"/>
    <w:rsid w:val="00EC68B2"/>
    <w:rsid w:val="00EC70F6"/>
    <w:rsid w:val="00EC77B0"/>
    <w:rsid w:val="00EC7DBE"/>
    <w:rsid w:val="00EC7F44"/>
    <w:rsid w:val="00ED004D"/>
    <w:rsid w:val="00ED0B12"/>
    <w:rsid w:val="00ED15BB"/>
    <w:rsid w:val="00ED16FA"/>
    <w:rsid w:val="00ED184B"/>
    <w:rsid w:val="00ED196E"/>
    <w:rsid w:val="00ED1BCA"/>
    <w:rsid w:val="00ED1D95"/>
    <w:rsid w:val="00ED29A5"/>
    <w:rsid w:val="00ED29CA"/>
    <w:rsid w:val="00ED2EDB"/>
    <w:rsid w:val="00ED32F0"/>
    <w:rsid w:val="00ED34E6"/>
    <w:rsid w:val="00ED3572"/>
    <w:rsid w:val="00ED36C4"/>
    <w:rsid w:val="00ED3BB9"/>
    <w:rsid w:val="00ED404F"/>
    <w:rsid w:val="00ED4214"/>
    <w:rsid w:val="00ED434D"/>
    <w:rsid w:val="00ED4494"/>
    <w:rsid w:val="00ED497F"/>
    <w:rsid w:val="00ED4D10"/>
    <w:rsid w:val="00ED4D43"/>
    <w:rsid w:val="00ED502F"/>
    <w:rsid w:val="00ED51D7"/>
    <w:rsid w:val="00ED553F"/>
    <w:rsid w:val="00ED5599"/>
    <w:rsid w:val="00ED579C"/>
    <w:rsid w:val="00ED59A4"/>
    <w:rsid w:val="00ED6781"/>
    <w:rsid w:val="00ED7336"/>
    <w:rsid w:val="00ED7997"/>
    <w:rsid w:val="00ED7E4E"/>
    <w:rsid w:val="00EDADA9"/>
    <w:rsid w:val="00EE09D7"/>
    <w:rsid w:val="00EE09DE"/>
    <w:rsid w:val="00EE15C1"/>
    <w:rsid w:val="00EE1814"/>
    <w:rsid w:val="00EE193C"/>
    <w:rsid w:val="00EE23D8"/>
    <w:rsid w:val="00EE26BF"/>
    <w:rsid w:val="00EE296A"/>
    <w:rsid w:val="00EE2DBB"/>
    <w:rsid w:val="00EE2DC7"/>
    <w:rsid w:val="00EE2FB5"/>
    <w:rsid w:val="00EE3404"/>
    <w:rsid w:val="00EE3ADB"/>
    <w:rsid w:val="00EE40CC"/>
    <w:rsid w:val="00EE4200"/>
    <w:rsid w:val="00EE4D7D"/>
    <w:rsid w:val="00EE54DE"/>
    <w:rsid w:val="00EE55FE"/>
    <w:rsid w:val="00EE5AFB"/>
    <w:rsid w:val="00EE5B20"/>
    <w:rsid w:val="00EE62B8"/>
    <w:rsid w:val="00EE632C"/>
    <w:rsid w:val="00EE6529"/>
    <w:rsid w:val="00EE683E"/>
    <w:rsid w:val="00EE6CBA"/>
    <w:rsid w:val="00EE727A"/>
    <w:rsid w:val="00EE742D"/>
    <w:rsid w:val="00EE74E7"/>
    <w:rsid w:val="00EE785B"/>
    <w:rsid w:val="00EE7AC1"/>
    <w:rsid w:val="00EE7ACF"/>
    <w:rsid w:val="00EE7BC2"/>
    <w:rsid w:val="00EF00E4"/>
    <w:rsid w:val="00EF014D"/>
    <w:rsid w:val="00EF0D68"/>
    <w:rsid w:val="00EF13B1"/>
    <w:rsid w:val="00EF1574"/>
    <w:rsid w:val="00EF2046"/>
    <w:rsid w:val="00EF2443"/>
    <w:rsid w:val="00EF246F"/>
    <w:rsid w:val="00EF284B"/>
    <w:rsid w:val="00EF2AC5"/>
    <w:rsid w:val="00EF2C73"/>
    <w:rsid w:val="00EF2E02"/>
    <w:rsid w:val="00EF3063"/>
    <w:rsid w:val="00EF3360"/>
    <w:rsid w:val="00EF3AEB"/>
    <w:rsid w:val="00EF3D1B"/>
    <w:rsid w:val="00EF3ED7"/>
    <w:rsid w:val="00EF43D6"/>
    <w:rsid w:val="00EF48D5"/>
    <w:rsid w:val="00EF54AD"/>
    <w:rsid w:val="00EF581D"/>
    <w:rsid w:val="00EF5D30"/>
    <w:rsid w:val="00EF6039"/>
    <w:rsid w:val="00EF6252"/>
    <w:rsid w:val="00EF62B6"/>
    <w:rsid w:val="00EF6314"/>
    <w:rsid w:val="00EF66A4"/>
    <w:rsid w:val="00EF6CBA"/>
    <w:rsid w:val="00EF6EC5"/>
    <w:rsid w:val="00EF6F46"/>
    <w:rsid w:val="00EF71D2"/>
    <w:rsid w:val="00EF727F"/>
    <w:rsid w:val="00EF729C"/>
    <w:rsid w:val="00EF748E"/>
    <w:rsid w:val="00EF751F"/>
    <w:rsid w:val="00EF7A58"/>
    <w:rsid w:val="00EF7F56"/>
    <w:rsid w:val="00EF7FC8"/>
    <w:rsid w:val="00EFCA1B"/>
    <w:rsid w:val="00F00172"/>
    <w:rsid w:val="00F0041A"/>
    <w:rsid w:val="00F00896"/>
    <w:rsid w:val="00F0099F"/>
    <w:rsid w:val="00F015E3"/>
    <w:rsid w:val="00F01A19"/>
    <w:rsid w:val="00F01E2A"/>
    <w:rsid w:val="00F02436"/>
    <w:rsid w:val="00F02548"/>
    <w:rsid w:val="00F0275A"/>
    <w:rsid w:val="00F027C8"/>
    <w:rsid w:val="00F02C9A"/>
    <w:rsid w:val="00F02DD6"/>
    <w:rsid w:val="00F03495"/>
    <w:rsid w:val="00F03809"/>
    <w:rsid w:val="00F038C7"/>
    <w:rsid w:val="00F04276"/>
    <w:rsid w:val="00F0429A"/>
    <w:rsid w:val="00F044DF"/>
    <w:rsid w:val="00F04891"/>
    <w:rsid w:val="00F04DEB"/>
    <w:rsid w:val="00F05043"/>
    <w:rsid w:val="00F0551B"/>
    <w:rsid w:val="00F05553"/>
    <w:rsid w:val="00F05792"/>
    <w:rsid w:val="00F0587F"/>
    <w:rsid w:val="00F05CFC"/>
    <w:rsid w:val="00F07345"/>
    <w:rsid w:val="00F074C4"/>
    <w:rsid w:val="00F07527"/>
    <w:rsid w:val="00F07BF3"/>
    <w:rsid w:val="00F07F75"/>
    <w:rsid w:val="00F10207"/>
    <w:rsid w:val="00F10385"/>
    <w:rsid w:val="00F1078E"/>
    <w:rsid w:val="00F10C0A"/>
    <w:rsid w:val="00F111CC"/>
    <w:rsid w:val="00F11668"/>
    <w:rsid w:val="00F117EB"/>
    <w:rsid w:val="00F118F3"/>
    <w:rsid w:val="00F11BF0"/>
    <w:rsid w:val="00F121C5"/>
    <w:rsid w:val="00F124EE"/>
    <w:rsid w:val="00F1275A"/>
    <w:rsid w:val="00F1297A"/>
    <w:rsid w:val="00F1298D"/>
    <w:rsid w:val="00F12B8B"/>
    <w:rsid w:val="00F12ED2"/>
    <w:rsid w:val="00F134FF"/>
    <w:rsid w:val="00F138AD"/>
    <w:rsid w:val="00F13B53"/>
    <w:rsid w:val="00F140D5"/>
    <w:rsid w:val="00F143ED"/>
    <w:rsid w:val="00F145FA"/>
    <w:rsid w:val="00F14B80"/>
    <w:rsid w:val="00F14C48"/>
    <w:rsid w:val="00F151AB"/>
    <w:rsid w:val="00F151FF"/>
    <w:rsid w:val="00F152FD"/>
    <w:rsid w:val="00F15541"/>
    <w:rsid w:val="00F15559"/>
    <w:rsid w:val="00F15AA2"/>
    <w:rsid w:val="00F15F8A"/>
    <w:rsid w:val="00F162F7"/>
    <w:rsid w:val="00F164C8"/>
    <w:rsid w:val="00F164D9"/>
    <w:rsid w:val="00F165C5"/>
    <w:rsid w:val="00F16766"/>
    <w:rsid w:val="00F16DAC"/>
    <w:rsid w:val="00F179E9"/>
    <w:rsid w:val="00F17C5B"/>
    <w:rsid w:val="00F206E4"/>
    <w:rsid w:val="00F20FA7"/>
    <w:rsid w:val="00F2128E"/>
    <w:rsid w:val="00F21307"/>
    <w:rsid w:val="00F21469"/>
    <w:rsid w:val="00F223F5"/>
    <w:rsid w:val="00F22D24"/>
    <w:rsid w:val="00F22F3B"/>
    <w:rsid w:val="00F2371D"/>
    <w:rsid w:val="00F23863"/>
    <w:rsid w:val="00F23BC5"/>
    <w:rsid w:val="00F23CB2"/>
    <w:rsid w:val="00F23CDA"/>
    <w:rsid w:val="00F240F5"/>
    <w:rsid w:val="00F2437F"/>
    <w:rsid w:val="00F24B38"/>
    <w:rsid w:val="00F254A7"/>
    <w:rsid w:val="00F2562C"/>
    <w:rsid w:val="00F25929"/>
    <w:rsid w:val="00F260AF"/>
    <w:rsid w:val="00F26274"/>
    <w:rsid w:val="00F26774"/>
    <w:rsid w:val="00F26866"/>
    <w:rsid w:val="00F26B0B"/>
    <w:rsid w:val="00F27A4C"/>
    <w:rsid w:val="00F27D89"/>
    <w:rsid w:val="00F30369"/>
    <w:rsid w:val="00F303DD"/>
    <w:rsid w:val="00F30467"/>
    <w:rsid w:val="00F30822"/>
    <w:rsid w:val="00F30EB1"/>
    <w:rsid w:val="00F31FB2"/>
    <w:rsid w:val="00F321DB"/>
    <w:rsid w:val="00F327E3"/>
    <w:rsid w:val="00F32D1D"/>
    <w:rsid w:val="00F32DB7"/>
    <w:rsid w:val="00F32E47"/>
    <w:rsid w:val="00F331A3"/>
    <w:rsid w:val="00F337DB"/>
    <w:rsid w:val="00F33835"/>
    <w:rsid w:val="00F33B9A"/>
    <w:rsid w:val="00F33CFB"/>
    <w:rsid w:val="00F33D57"/>
    <w:rsid w:val="00F33F83"/>
    <w:rsid w:val="00F34727"/>
    <w:rsid w:val="00F34FD7"/>
    <w:rsid w:val="00F351C6"/>
    <w:rsid w:val="00F352C2"/>
    <w:rsid w:val="00F35467"/>
    <w:rsid w:val="00F35600"/>
    <w:rsid w:val="00F35A76"/>
    <w:rsid w:val="00F3624D"/>
    <w:rsid w:val="00F36424"/>
    <w:rsid w:val="00F364DC"/>
    <w:rsid w:val="00F365A9"/>
    <w:rsid w:val="00F36819"/>
    <w:rsid w:val="00F36DCF"/>
    <w:rsid w:val="00F375A6"/>
    <w:rsid w:val="00F3796D"/>
    <w:rsid w:val="00F37D4E"/>
    <w:rsid w:val="00F40655"/>
    <w:rsid w:val="00F40DB6"/>
    <w:rsid w:val="00F412DE"/>
    <w:rsid w:val="00F4138D"/>
    <w:rsid w:val="00F41425"/>
    <w:rsid w:val="00F414FC"/>
    <w:rsid w:val="00F41747"/>
    <w:rsid w:val="00F41EBB"/>
    <w:rsid w:val="00F4221A"/>
    <w:rsid w:val="00F423E9"/>
    <w:rsid w:val="00F42466"/>
    <w:rsid w:val="00F424F0"/>
    <w:rsid w:val="00F4269C"/>
    <w:rsid w:val="00F4292B"/>
    <w:rsid w:val="00F42F0E"/>
    <w:rsid w:val="00F43123"/>
    <w:rsid w:val="00F438B3"/>
    <w:rsid w:val="00F43E13"/>
    <w:rsid w:val="00F443B7"/>
    <w:rsid w:val="00F44414"/>
    <w:rsid w:val="00F44482"/>
    <w:rsid w:val="00F44602"/>
    <w:rsid w:val="00F44640"/>
    <w:rsid w:val="00F44DC2"/>
    <w:rsid w:val="00F4503C"/>
    <w:rsid w:val="00F45386"/>
    <w:rsid w:val="00F45467"/>
    <w:rsid w:val="00F454BB"/>
    <w:rsid w:val="00F4593A"/>
    <w:rsid w:val="00F4595E"/>
    <w:rsid w:val="00F45B1F"/>
    <w:rsid w:val="00F45C53"/>
    <w:rsid w:val="00F45DA3"/>
    <w:rsid w:val="00F46081"/>
    <w:rsid w:val="00F46129"/>
    <w:rsid w:val="00F46671"/>
    <w:rsid w:val="00F4690B"/>
    <w:rsid w:val="00F469D5"/>
    <w:rsid w:val="00F471DE"/>
    <w:rsid w:val="00F47941"/>
    <w:rsid w:val="00F502AE"/>
    <w:rsid w:val="00F5054B"/>
    <w:rsid w:val="00F505A3"/>
    <w:rsid w:val="00F5078E"/>
    <w:rsid w:val="00F50935"/>
    <w:rsid w:val="00F5100B"/>
    <w:rsid w:val="00F51684"/>
    <w:rsid w:val="00F51979"/>
    <w:rsid w:val="00F51C02"/>
    <w:rsid w:val="00F51DA3"/>
    <w:rsid w:val="00F52233"/>
    <w:rsid w:val="00F5259A"/>
    <w:rsid w:val="00F527A3"/>
    <w:rsid w:val="00F529EE"/>
    <w:rsid w:val="00F52A07"/>
    <w:rsid w:val="00F52F23"/>
    <w:rsid w:val="00F52FE7"/>
    <w:rsid w:val="00F5305C"/>
    <w:rsid w:val="00F5310C"/>
    <w:rsid w:val="00F53163"/>
    <w:rsid w:val="00F534DD"/>
    <w:rsid w:val="00F53924"/>
    <w:rsid w:val="00F53B71"/>
    <w:rsid w:val="00F53C24"/>
    <w:rsid w:val="00F53E62"/>
    <w:rsid w:val="00F53EA2"/>
    <w:rsid w:val="00F5412C"/>
    <w:rsid w:val="00F542FC"/>
    <w:rsid w:val="00F54650"/>
    <w:rsid w:val="00F54885"/>
    <w:rsid w:val="00F54915"/>
    <w:rsid w:val="00F54C5A"/>
    <w:rsid w:val="00F54F06"/>
    <w:rsid w:val="00F54F87"/>
    <w:rsid w:val="00F5544E"/>
    <w:rsid w:val="00F55E4B"/>
    <w:rsid w:val="00F566BF"/>
    <w:rsid w:val="00F56C20"/>
    <w:rsid w:val="00F56C77"/>
    <w:rsid w:val="00F56CAA"/>
    <w:rsid w:val="00F56DAD"/>
    <w:rsid w:val="00F5731F"/>
    <w:rsid w:val="00F574A9"/>
    <w:rsid w:val="00F5755F"/>
    <w:rsid w:val="00F575A3"/>
    <w:rsid w:val="00F578F2"/>
    <w:rsid w:val="00F57BD8"/>
    <w:rsid w:val="00F57E51"/>
    <w:rsid w:val="00F605DB"/>
    <w:rsid w:val="00F609C9"/>
    <w:rsid w:val="00F60C0F"/>
    <w:rsid w:val="00F60E2C"/>
    <w:rsid w:val="00F610D4"/>
    <w:rsid w:val="00F610F9"/>
    <w:rsid w:val="00F614D1"/>
    <w:rsid w:val="00F6168F"/>
    <w:rsid w:val="00F61760"/>
    <w:rsid w:val="00F618D3"/>
    <w:rsid w:val="00F61DB4"/>
    <w:rsid w:val="00F620D3"/>
    <w:rsid w:val="00F634B4"/>
    <w:rsid w:val="00F635AE"/>
    <w:rsid w:val="00F6389E"/>
    <w:rsid w:val="00F639E8"/>
    <w:rsid w:val="00F6401E"/>
    <w:rsid w:val="00F641BB"/>
    <w:rsid w:val="00F64246"/>
    <w:rsid w:val="00F64296"/>
    <w:rsid w:val="00F64453"/>
    <w:rsid w:val="00F646C9"/>
    <w:rsid w:val="00F64801"/>
    <w:rsid w:val="00F65287"/>
    <w:rsid w:val="00F655C3"/>
    <w:rsid w:val="00F65C1E"/>
    <w:rsid w:val="00F66981"/>
    <w:rsid w:val="00F66B46"/>
    <w:rsid w:val="00F672BD"/>
    <w:rsid w:val="00F6751F"/>
    <w:rsid w:val="00F67949"/>
    <w:rsid w:val="00F67FB6"/>
    <w:rsid w:val="00F704E7"/>
    <w:rsid w:val="00F7067E"/>
    <w:rsid w:val="00F7077F"/>
    <w:rsid w:val="00F70952"/>
    <w:rsid w:val="00F70D30"/>
    <w:rsid w:val="00F7147D"/>
    <w:rsid w:val="00F71757"/>
    <w:rsid w:val="00F71C03"/>
    <w:rsid w:val="00F72F7C"/>
    <w:rsid w:val="00F73A4B"/>
    <w:rsid w:val="00F7440C"/>
    <w:rsid w:val="00F7473C"/>
    <w:rsid w:val="00F74837"/>
    <w:rsid w:val="00F74860"/>
    <w:rsid w:val="00F756D9"/>
    <w:rsid w:val="00F75E01"/>
    <w:rsid w:val="00F7651C"/>
    <w:rsid w:val="00F76A78"/>
    <w:rsid w:val="00F76B67"/>
    <w:rsid w:val="00F76D43"/>
    <w:rsid w:val="00F775C9"/>
    <w:rsid w:val="00F779CB"/>
    <w:rsid w:val="00F77A12"/>
    <w:rsid w:val="00F77EFA"/>
    <w:rsid w:val="00F77F2F"/>
    <w:rsid w:val="00F8016F"/>
    <w:rsid w:val="00F80176"/>
    <w:rsid w:val="00F8024B"/>
    <w:rsid w:val="00F8048E"/>
    <w:rsid w:val="00F805DD"/>
    <w:rsid w:val="00F8132D"/>
    <w:rsid w:val="00F8168E"/>
    <w:rsid w:val="00F82049"/>
    <w:rsid w:val="00F8209C"/>
    <w:rsid w:val="00F8252F"/>
    <w:rsid w:val="00F8260C"/>
    <w:rsid w:val="00F82782"/>
    <w:rsid w:val="00F82F4A"/>
    <w:rsid w:val="00F83CAC"/>
    <w:rsid w:val="00F83CB6"/>
    <w:rsid w:val="00F83F84"/>
    <w:rsid w:val="00F840EC"/>
    <w:rsid w:val="00F842E3"/>
    <w:rsid w:val="00F84323"/>
    <w:rsid w:val="00F844AB"/>
    <w:rsid w:val="00F84770"/>
    <w:rsid w:val="00F84832"/>
    <w:rsid w:val="00F8484F"/>
    <w:rsid w:val="00F84A0D"/>
    <w:rsid w:val="00F84AB4"/>
    <w:rsid w:val="00F84E6E"/>
    <w:rsid w:val="00F854A0"/>
    <w:rsid w:val="00F85968"/>
    <w:rsid w:val="00F85AE1"/>
    <w:rsid w:val="00F85EF3"/>
    <w:rsid w:val="00F85F39"/>
    <w:rsid w:val="00F85FD0"/>
    <w:rsid w:val="00F86C4F"/>
    <w:rsid w:val="00F86D08"/>
    <w:rsid w:val="00F86E4E"/>
    <w:rsid w:val="00F86F68"/>
    <w:rsid w:val="00F8720B"/>
    <w:rsid w:val="00F87404"/>
    <w:rsid w:val="00F87B13"/>
    <w:rsid w:val="00F87F24"/>
    <w:rsid w:val="00F87FE8"/>
    <w:rsid w:val="00F900D3"/>
    <w:rsid w:val="00F901A5"/>
    <w:rsid w:val="00F907F1"/>
    <w:rsid w:val="00F90A47"/>
    <w:rsid w:val="00F90B25"/>
    <w:rsid w:val="00F90B7F"/>
    <w:rsid w:val="00F91190"/>
    <w:rsid w:val="00F9147E"/>
    <w:rsid w:val="00F914B8"/>
    <w:rsid w:val="00F9150B"/>
    <w:rsid w:val="00F91592"/>
    <w:rsid w:val="00F916DD"/>
    <w:rsid w:val="00F91D43"/>
    <w:rsid w:val="00F91E19"/>
    <w:rsid w:val="00F92362"/>
    <w:rsid w:val="00F92451"/>
    <w:rsid w:val="00F924B5"/>
    <w:rsid w:val="00F927D6"/>
    <w:rsid w:val="00F92BFB"/>
    <w:rsid w:val="00F93359"/>
    <w:rsid w:val="00F935BE"/>
    <w:rsid w:val="00F93622"/>
    <w:rsid w:val="00F93733"/>
    <w:rsid w:val="00F93B0A"/>
    <w:rsid w:val="00F93C82"/>
    <w:rsid w:val="00F94509"/>
    <w:rsid w:val="00F94B79"/>
    <w:rsid w:val="00F94CF7"/>
    <w:rsid w:val="00F94D03"/>
    <w:rsid w:val="00F94DD0"/>
    <w:rsid w:val="00F94E96"/>
    <w:rsid w:val="00F94F32"/>
    <w:rsid w:val="00F952D7"/>
    <w:rsid w:val="00F952F9"/>
    <w:rsid w:val="00F95775"/>
    <w:rsid w:val="00F95AFC"/>
    <w:rsid w:val="00F9608D"/>
    <w:rsid w:val="00F960A2"/>
    <w:rsid w:val="00F961EC"/>
    <w:rsid w:val="00F96299"/>
    <w:rsid w:val="00F96B06"/>
    <w:rsid w:val="00F96D41"/>
    <w:rsid w:val="00F96DB8"/>
    <w:rsid w:val="00F97146"/>
    <w:rsid w:val="00F97CB6"/>
    <w:rsid w:val="00F97D89"/>
    <w:rsid w:val="00FA014C"/>
    <w:rsid w:val="00FA045B"/>
    <w:rsid w:val="00FA0538"/>
    <w:rsid w:val="00FA057A"/>
    <w:rsid w:val="00FA08AB"/>
    <w:rsid w:val="00FA0AD1"/>
    <w:rsid w:val="00FA0DE2"/>
    <w:rsid w:val="00FA1338"/>
    <w:rsid w:val="00FA15F7"/>
    <w:rsid w:val="00FA179A"/>
    <w:rsid w:val="00FA180E"/>
    <w:rsid w:val="00FA1B3D"/>
    <w:rsid w:val="00FA1CE0"/>
    <w:rsid w:val="00FA214F"/>
    <w:rsid w:val="00FA2689"/>
    <w:rsid w:val="00FA2E38"/>
    <w:rsid w:val="00FA2EAA"/>
    <w:rsid w:val="00FA2F15"/>
    <w:rsid w:val="00FA3A62"/>
    <w:rsid w:val="00FA3B7F"/>
    <w:rsid w:val="00FA4436"/>
    <w:rsid w:val="00FA481F"/>
    <w:rsid w:val="00FA4991"/>
    <w:rsid w:val="00FA4A35"/>
    <w:rsid w:val="00FA4B1A"/>
    <w:rsid w:val="00FA4F47"/>
    <w:rsid w:val="00FA503F"/>
    <w:rsid w:val="00FA5655"/>
    <w:rsid w:val="00FA5962"/>
    <w:rsid w:val="00FA5B69"/>
    <w:rsid w:val="00FA5ED1"/>
    <w:rsid w:val="00FA6297"/>
    <w:rsid w:val="00FA687C"/>
    <w:rsid w:val="00FA70D2"/>
    <w:rsid w:val="00FA731B"/>
    <w:rsid w:val="00FA74CF"/>
    <w:rsid w:val="00FA76EC"/>
    <w:rsid w:val="00FA7AD7"/>
    <w:rsid w:val="00FA7DBE"/>
    <w:rsid w:val="00FB001D"/>
    <w:rsid w:val="00FB00FC"/>
    <w:rsid w:val="00FB0178"/>
    <w:rsid w:val="00FB01F7"/>
    <w:rsid w:val="00FB0289"/>
    <w:rsid w:val="00FB147E"/>
    <w:rsid w:val="00FB16B2"/>
    <w:rsid w:val="00FB17F7"/>
    <w:rsid w:val="00FB1940"/>
    <w:rsid w:val="00FB1A0E"/>
    <w:rsid w:val="00FB1F25"/>
    <w:rsid w:val="00FB20BD"/>
    <w:rsid w:val="00FB2AD5"/>
    <w:rsid w:val="00FB2D19"/>
    <w:rsid w:val="00FB31D3"/>
    <w:rsid w:val="00FB36C7"/>
    <w:rsid w:val="00FB3901"/>
    <w:rsid w:val="00FB3963"/>
    <w:rsid w:val="00FB3C57"/>
    <w:rsid w:val="00FB3D94"/>
    <w:rsid w:val="00FB3EB4"/>
    <w:rsid w:val="00FB404E"/>
    <w:rsid w:val="00FB43A4"/>
    <w:rsid w:val="00FB43FC"/>
    <w:rsid w:val="00FB4516"/>
    <w:rsid w:val="00FB5409"/>
    <w:rsid w:val="00FB61C8"/>
    <w:rsid w:val="00FB6549"/>
    <w:rsid w:val="00FB6FAA"/>
    <w:rsid w:val="00FB765E"/>
    <w:rsid w:val="00FB767F"/>
    <w:rsid w:val="00FB7689"/>
    <w:rsid w:val="00FB7A7D"/>
    <w:rsid w:val="00FB7B0A"/>
    <w:rsid w:val="00FB7B85"/>
    <w:rsid w:val="00FB7B99"/>
    <w:rsid w:val="00FC0835"/>
    <w:rsid w:val="00FC0878"/>
    <w:rsid w:val="00FC0952"/>
    <w:rsid w:val="00FC0AE6"/>
    <w:rsid w:val="00FC0B8D"/>
    <w:rsid w:val="00FC0BEE"/>
    <w:rsid w:val="00FC0E71"/>
    <w:rsid w:val="00FC132F"/>
    <w:rsid w:val="00FC16E2"/>
    <w:rsid w:val="00FC192C"/>
    <w:rsid w:val="00FC1D29"/>
    <w:rsid w:val="00FC2060"/>
    <w:rsid w:val="00FC24A4"/>
    <w:rsid w:val="00FC27DE"/>
    <w:rsid w:val="00FC289D"/>
    <w:rsid w:val="00FC2A9D"/>
    <w:rsid w:val="00FC34B2"/>
    <w:rsid w:val="00FC38F8"/>
    <w:rsid w:val="00FC3C78"/>
    <w:rsid w:val="00FC3DA4"/>
    <w:rsid w:val="00FC3E2D"/>
    <w:rsid w:val="00FC41BE"/>
    <w:rsid w:val="00FC433A"/>
    <w:rsid w:val="00FC44F6"/>
    <w:rsid w:val="00FC4757"/>
    <w:rsid w:val="00FC478D"/>
    <w:rsid w:val="00FC530E"/>
    <w:rsid w:val="00FC533A"/>
    <w:rsid w:val="00FC5854"/>
    <w:rsid w:val="00FC58E1"/>
    <w:rsid w:val="00FC5E29"/>
    <w:rsid w:val="00FC601D"/>
    <w:rsid w:val="00FC6055"/>
    <w:rsid w:val="00FC63C3"/>
    <w:rsid w:val="00FC6514"/>
    <w:rsid w:val="00FC6A1B"/>
    <w:rsid w:val="00FC6F38"/>
    <w:rsid w:val="00FC71B7"/>
    <w:rsid w:val="00FC7AB0"/>
    <w:rsid w:val="00FD0004"/>
    <w:rsid w:val="00FD031B"/>
    <w:rsid w:val="00FD071F"/>
    <w:rsid w:val="00FD08E7"/>
    <w:rsid w:val="00FD0A5F"/>
    <w:rsid w:val="00FD0AF5"/>
    <w:rsid w:val="00FD0B2C"/>
    <w:rsid w:val="00FD0E83"/>
    <w:rsid w:val="00FD10CF"/>
    <w:rsid w:val="00FD1506"/>
    <w:rsid w:val="00FD1939"/>
    <w:rsid w:val="00FD1940"/>
    <w:rsid w:val="00FD1D26"/>
    <w:rsid w:val="00FD2C3B"/>
    <w:rsid w:val="00FD2CD3"/>
    <w:rsid w:val="00FD3074"/>
    <w:rsid w:val="00FD3623"/>
    <w:rsid w:val="00FD36A3"/>
    <w:rsid w:val="00FD3B14"/>
    <w:rsid w:val="00FD3BD9"/>
    <w:rsid w:val="00FD3E59"/>
    <w:rsid w:val="00FD3E8E"/>
    <w:rsid w:val="00FD417C"/>
    <w:rsid w:val="00FD4461"/>
    <w:rsid w:val="00FD45CB"/>
    <w:rsid w:val="00FD4621"/>
    <w:rsid w:val="00FD4D41"/>
    <w:rsid w:val="00FD4EE4"/>
    <w:rsid w:val="00FD500A"/>
    <w:rsid w:val="00FD5115"/>
    <w:rsid w:val="00FD5C3A"/>
    <w:rsid w:val="00FD6530"/>
    <w:rsid w:val="00FD6DCC"/>
    <w:rsid w:val="00FD6DD0"/>
    <w:rsid w:val="00FD6FB2"/>
    <w:rsid w:val="00FD717C"/>
    <w:rsid w:val="00FD7512"/>
    <w:rsid w:val="00FD7545"/>
    <w:rsid w:val="00FD757B"/>
    <w:rsid w:val="00FD7C06"/>
    <w:rsid w:val="00FE008A"/>
    <w:rsid w:val="00FE05BE"/>
    <w:rsid w:val="00FE10AD"/>
    <w:rsid w:val="00FE17F4"/>
    <w:rsid w:val="00FE1DEC"/>
    <w:rsid w:val="00FE1E17"/>
    <w:rsid w:val="00FE2062"/>
    <w:rsid w:val="00FE24E8"/>
    <w:rsid w:val="00FE24EF"/>
    <w:rsid w:val="00FE274D"/>
    <w:rsid w:val="00FE2835"/>
    <w:rsid w:val="00FE28C5"/>
    <w:rsid w:val="00FE2913"/>
    <w:rsid w:val="00FE33BB"/>
    <w:rsid w:val="00FE3423"/>
    <w:rsid w:val="00FE3EED"/>
    <w:rsid w:val="00FE3F2B"/>
    <w:rsid w:val="00FE4090"/>
    <w:rsid w:val="00FE4456"/>
    <w:rsid w:val="00FE44EE"/>
    <w:rsid w:val="00FE4774"/>
    <w:rsid w:val="00FE5100"/>
    <w:rsid w:val="00FE5248"/>
    <w:rsid w:val="00FE53B4"/>
    <w:rsid w:val="00FE5A0B"/>
    <w:rsid w:val="00FE5A17"/>
    <w:rsid w:val="00FE5FA2"/>
    <w:rsid w:val="00FE672A"/>
    <w:rsid w:val="00FE6B39"/>
    <w:rsid w:val="00FE6D3C"/>
    <w:rsid w:val="00FE754B"/>
    <w:rsid w:val="00FE797A"/>
    <w:rsid w:val="00FE7987"/>
    <w:rsid w:val="00FE7A7B"/>
    <w:rsid w:val="00FE7AFE"/>
    <w:rsid w:val="00FE7C1C"/>
    <w:rsid w:val="00FE7CF7"/>
    <w:rsid w:val="00FF0157"/>
    <w:rsid w:val="00FF0636"/>
    <w:rsid w:val="00FF0716"/>
    <w:rsid w:val="00FF0B88"/>
    <w:rsid w:val="00FF0BB4"/>
    <w:rsid w:val="00FF0BBE"/>
    <w:rsid w:val="00FF0E4D"/>
    <w:rsid w:val="00FF149C"/>
    <w:rsid w:val="00FF1663"/>
    <w:rsid w:val="00FF1A0B"/>
    <w:rsid w:val="00FF2139"/>
    <w:rsid w:val="00FF29F9"/>
    <w:rsid w:val="00FF2A22"/>
    <w:rsid w:val="00FF3522"/>
    <w:rsid w:val="00FF3778"/>
    <w:rsid w:val="00FF3991"/>
    <w:rsid w:val="00FF39D0"/>
    <w:rsid w:val="00FF3D8C"/>
    <w:rsid w:val="00FF41B1"/>
    <w:rsid w:val="00FF423B"/>
    <w:rsid w:val="00FF4653"/>
    <w:rsid w:val="00FF4986"/>
    <w:rsid w:val="00FF4BE9"/>
    <w:rsid w:val="00FF4D2B"/>
    <w:rsid w:val="00FF4D49"/>
    <w:rsid w:val="00FF4DFA"/>
    <w:rsid w:val="00FF507E"/>
    <w:rsid w:val="00FF56BC"/>
    <w:rsid w:val="00FF57F9"/>
    <w:rsid w:val="00FF5AF0"/>
    <w:rsid w:val="00FF5B06"/>
    <w:rsid w:val="00FF5F1F"/>
    <w:rsid w:val="00FF6B63"/>
    <w:rsid w:val="00FF6DBC"/>
    <w:rsid w:val="00FF74E4"/>
    <w:rsid w:val="00FF75E9"/>
    <w:rsid w:val="00FF7650"/>
    <w:rsid w:val="00FF7FC1"/>
    <w:rsid w:val="01131F93"/>
    <w:rsid w:val="01257470"/>
    <w:rsid w:val="014BD6E0"/>
    <w:rsid w:val="014C6C63"/>
    <w:rsid w:val="0153E6DA"/>
    <w:rsid w:val="017126CA"/>
    <w:rsid w:val="0173D3FC"/>
    <w:rsid w:val="01751900"/>
    <w:rsid w:val="01FB58E3"/>
    <w:rsid w:val="02053F3B"/>
    <w:rsid w:val="027A1109"/>
    <w:rsid w:val="027CC0D5"/>
    <w:rsid w:val="0282ED69"/>
    <w:rsid w:val="02B1AC6C"/>
    <w:rsid w:val="02BEF7BD"/>
    <w:rsid w:val="02C46A2A"/>
    <w:rsid w:val="0322B42B"/>
    <w:rsid w:val="033B1FBF"/>
    <w:rsid w:val="0340B416"/>
    <w:rsid w:val="0343E626"/>
    <w:rsid w:val="0398C4B8"/>
    <w:rsid w:val="03B4DC40"/>
    <w:rsid w:val="03BEC753"/>
    <w:rsid w:val="040F70A4"/>
    <w:rsid w:val="0420268D"/>
    <w:rsid w:val="046D0288"/>
    <w:rsid w:val="046E76D3"/>
    <w:rsid w:val="0491CC48"/>
    <w:rsid w:val="04A365D8"/>
    <w:rsid w:val="04C00872"/>
    <w:rsid w:val="04F63038"/>
    <w:rsid w:val="052292C4"/>
    <w:rsid w:val="052D0707"/>
    <w:rsid w:val="0531E701"/>
    <w:rsid w:val="05360006"/>
    <w:rsid w:val="05499D38"/>
    <w:rsid w:val="0552DEDE"/>
    <w:rsid w:val="056208C2"/>
    <w:rsid w:val="05711847"/>
    <w:rsid w:val="057DAFB7"/>
    <w:rsid w:val="0589DF72"/>
    <w:rsid w:val="05966E6E"/>
    <w:rsid w:val="059AC05C"/>
    <w:rsid w:val="05A2771F"/>
    <w:rsid w:val="05B2648F"/>
    <w:rsid w:val="05D1C0BD"/>
    <w:rsid w:val="05D21E0A"/>
    <w:rsid w:val="05DFD543"/>
    <w:rsid w:val="061A57FC"/>
    <w:rsid w:val="0623F8C0"/>
    <w:rsid w:val="0624E97F"/>
    <w:rsid w:val="0627DF05"/>
    <w:rsid w:val="06667217"/>
    <w:rsid w:val="067FC9EE"/>
    <w:rsid w:val="06846DCA"/>
    <w:rsid w:val="06AE269C"/>
    <w:rsid w:val="06B01F5E"/>
    <w:rsid w:val="06BED68D"/>
    <w:rsid w:val="0707D320"/>
    <w:rsid w:val="071E08CA"/>
    <w:rsid w:val="077E3B6D"/>
    <w:rsid w:val="077EB059"/>
    <w:rsid w:val="07C9DF5F"/>
    <w:rsid w:val="07D4766C"/>
    <w:rsid w:val="07EA5A1B"/>
    <w:rsid w:val="07EB5C9F"/>
    <w:rsid w:val="07FCDA5F"/>
    <w:rsid w:val="07FEB881"/>
    <w:rsid w:val="0815B732"/>
    <w:rsid w:val="081685FC"/>
    <w:rsid w:val="083FD90E"/>
    <w:rsid w:val="084224BA"/>
    <w:rsid w:val="084624F6"/>
    <w:rsid w:val="084D81A5"/>
    <w:rsid w:val="085A8CE4"/>
    <w:rsid w:val="0883B880"/>
    <w:rsid w:val="08AA8634"/>
    <w:rsid w:val="08AD5D04"/>
    <w:rsid w:val="08F4FCFA"/>
    <w:rsid w:val="0915783C"/>
    <w:rsid w:val="0934AC8A"/>
    <w:rsid w:val="0939B6A0"/>
    <w:rsid w:val="09AAC9CE"/>
    <w:rsid w:val="09ABE556"/>
    <w:rsid w:val="09B187A4"/>
    <w:rsid w:val="09E3A80D"/>
    <w:rsid w:val="09FD3D69"/>
    <w:rsid w:val="0A018959"/>
    <w:rsid w:val="0A021773"/>
    <w:rsid w:val="0A09CE3C"/>
    <w:rsid w:val="0A1FE182"/>
    <w:rsid w:val="0A1FF464"/>
    <w:rsid w:val="0A29CBE5"/>
    <w:rsid w:val="0A2DE7B7"/>
    <w:rsid w:val="0A65EBC5"/>
    <w:rsid w:val="0A84D8D7"/>
    <w:rsid w:val="0A8687C5"/>
    <w:rsid w:val="0A8786E8"/>
    <w:rsid w:val="0A87A343"/>
    <w:rsid w:val="0A8AA9B4"/>
    <w:rsid w:val="0ABEBDF7"/>
    <w:rsid w:val="0AE51FA4"/>
    <w:rsid w:val="0B505398"/>
    <w:rsid w:val="0B70FCB2"/>
    <w:rsid w:val="0BBACD32"/>
    <w:rsid w:val="0BE85F80"/>
    <w:rsid w:val="0C29B805"/>
    <w:rsid w:val="0C482988"/>
    <w:rsid w:val="0C5F8CCF"/>
    <w:rsid w:val="0C64C7DE"/>
    <w:rsid w:val="0C676844"/>
    <w:rsid w:val="0CC9EE7B"/>
    <w:rsid w:val="0CD734DB"/>
    <w:rsid w:val="0CDD4FE2"/>
    <w:rsid w:val="0CEE306B"/>
    <w:rsid w:val="0CF49FBD"/>
    <w:rsid w:val="0D0189BC"/>
    <w:rsid w:val="0D1173B3"/>
    <w:rsid w:val="0D1B899A"/>
    <w:rsid w:val="0D1C4B77"/>
    <w:rsid w:val="0D4D43BA"/>
    <w:rsid w:val="0D53D603"/>
    <w:rsid w:val="0D5D0895"/>
    <w:rsid w:val="0D6EAE43"/>
    <w:rsid w:val="0D7EE55F"/>
    <w:rsid w:val="0D95A6DB"/>
    <w:rsid w:val="0DC86DF9"/>
    <w:rsid w:val="0DCE2086"/>
    <w:rsid w:val="0E0ADB69"/>
    <w:rsid w:val="0E12DB52"/>
    <w:rsid w:val="0E276261"/>
    <w:rsid w:val="0E2B7832"/>
    <w:rsid w:val="0E2CAB2C"/>
    <w:rsid w:val="0E3CEA4F"/>
    <w:rsid w:val="0E43DCFF"/>
    <w:rsid w:val="0F0D852C"/>
    <w:rsid w:val="0F153295"/>
    <w:rsid w:val="0F31E6CE"/>
    <w:rsid w:val="0F408B31"/>
    <w:rsid w:val="0F47783B"/>
    <w:rsid w:val="0F947A16"/>
    <w:rsid w:val="0FB3633A"/>
    <w:rsid w:val="0FC7FE27"/>
    <w:rsid w:val="100E37D2"/>
    <w:rsid w:val="1022CED9"/>
    <w:rsid w:val="104578D0"/>
    <w:rsid w:val="104EF3EA"/>
    <w:rsid w:val="1072CF96"/>
    <w:rsid w:val="107880E5"/>
    <w:rsid w:val="107C53E1"/>
    <w:rsid w:val="107F7320"/>
    <w:rsid w:val="10AF0FCA"/>
    <w:rsid w:val="10E1A1DD"/>
    <w:rsid w:val="10E55E6E"/>
    <w:rsid w:val="10F241EA"/>
    <w:rsid w:val="10F58706"/>
    <w:rsid w:val="10F671C1"/>
    <w:rsid w:val="11034837"/>
    <w:rsid w:val="11034EA2"/>
    <w:rsid w:val="110FBEEB"/>
    <w:rsid w:val="112507DD"/>
    <w:rsid w:val="112B7915"/>
    <w:rsid w:val="112E4902"/>
    <w:rsid w:val="1146924A"/>
    <w:rsid w:val="114CE8B2"/>
    <w:rsid w:val="11686C9E"/>
    <w:rsid w:val="1188DF96"/>
    <w:rsid w:val="118B5844"/>
    <w:rsid w:val="11A753CF"/>
    <w:rsid w:val="11BCCC1C"/>
    <w:rsid w:val="11E6F4B4"/>
    <w:rsid w:val="11EA10D2"/>
    <w:rsid w:val="120DA21C"/>
    <w:rsid w:val="12212B3E"/>
    <w:rsid w:val="1231CC8E"/>
    <w:rsid w:val="123372D3"/>
    <w:rsid w:val="127AEDBD"/>
    <w:rsid w:val="12843864"/>
    <w:rsid w:val="129BF1AA"/>
    <w:rsid w:val="12B6CD46"/>
    <w:rsid w:val="12BCBCDD"/>
    <w:rsid w:val="12D0592C"/>
    <w:rsid w:val="12D426F5"/>
    <w:rsid w:val="12E9249B"/>
    <w:rsid w:val="12EF5B5B"/>
    <w:rsid w:val="12F1E9C1"/>
    <w:rsid w:val="12FFB35F"/>
    <w:rsid w:val="1301892E"/>
    <w:rsid w:val="1313C793"/>
    <w:rsid w:val="1316EF9B"/>
    <w:rsid w:val="131FF2DB"/>
    <w:rsid w:val="132689AA"/>
    <w:rsid w:val="133050D7"/>
    <w:rsid w:val="13995D11"/>
    <w:rsid w:val="13C8E99C"/>
    <w:rsid w:val="13D09350"/>
    <w:rsid w:val="13D50E17"/>
    <w:rsid w:val="13E5B7EC"/>
    <w:rsid w:val="13ECD182"/>
    <w:rsid w:val="13F5500B"/>
    <w:rsid w:val="13FA6E9F"/>
    <w:rsid w:val="141248FD"/>
    <w:rsid w:val="1417B917"/>
    <w:rsid w:val="14230493"/>
    <w:rsid w:val="14468320"/>
    <w:rsid w:val="146E14F2"/>
    <w:rsid w:val="1482BD75"/>
    <w:rsid w:val="148E322B"/>
    <w:rsid w:val="14C602FD"/>
    <w:rsid w:val="14E1D58C"/>
    <w:rsid w:val="14E38F1A"/>
    <w:rsid w:val="14E4AE0F"/>
    <w:rsid w:val="14F33B58"/>
    <w:rsid w:val="15141FA5"/>
    <w:rsid w:val="1519A32F"/>
    <w:rsid w:val="1524A5FA"/>
    <w:rsid w:val="152C27E5"/>
    <w:rsid w:val="155B768A"/>
    <w:rsid w:val="155E34C3"/>
    <w:rsid w:val="15BBA678"/>
    <w:rsid w:val="16067DE6"/>
    <w:rsid w:val="16166A81"/>
    <w:rsid w:val="161FDFA8"/>
    <w:rsid w:val="162DEE0C"/>
    <w:rsid w:val="162E94E3"/>
    <w:rsid w:val="1633EF47"/>
    <w:rsid w:val="164D773C"/>
    <w:rsid w:val="164DDEEF"/>
    <w:rsid w:val="1653B41B"/>
    <w:rsid w:val="1689B169"/>
    <w:rsid w:val="169FB172"/>
    <w:rsid w:val="17042C7F"/>
    <w:rsid w:val="171C5F36"/>
    <w:rsid w:val="17404624"/>
    <w:rsid w:val="17434F01"/>
    <w:rsid w:val="175248DB"/>
    <w:rsid w:val="176E38F6"/>
    <w:rsid w:val="17843D86"/>
    <w:rsid w:val="17C6B8EF"/>
    <w:rsid w:val="17DB005A"/>
    <w:rsid w:val="17DC190D"/>
    <w:rsid w:val="17DC229F"/>
    <w:rsid w:val="17DF63CE"/>
    <w:rsid w:val="17E48E45"/>
    <w:rsid w:val="18167880"/>
    <w:rsid w:val="181E94A5"/>
    <w:rsid w:val="1838DC5D"/>
    <w:rsid w:val="1861BD41"/>
    <w:rsid w:val="186E9EB7"/>
    <w:rsid w:val="18D4D930"/>
    <w:rsid w:val="1918AD0E"/>
    <w:rsid w:val="1920FE3C"/>
    <w:rsid w:val="193244C3"/>
    <w:rsid w:val="19577FB6"/>
    <w:rsid w:val="19721BDD"/>
    <w:rsid w:val="197E29A5"/>
    <w:rsid w:val="19906FF9"/>
    <w:rsid w:val="19BEC615"/>
    <w:rsid w:val="19CAB343"/>
    <w:rsid w:val="19F109D7"/>
    <w:rsid w:val="19FF04DA"/>
    <w:rsid w:val="1A14A85C"/>
    <w:rsid w:val="1A2C8323"/>
    <w:rsid w:val="1A6673DA"/>
    <w:rsid w:val="1A683B0A"/>
    <w:rsid w:val="1A687330"/>
    <w:rsid w:val="1A6F03D8"/>
    <w:rsid w:val="1A9A27BE"/>
    <w:rsid w:val="1ABD8217"/>
    <w:rsid w:val="1AC866D0"/>
    <w:rsid w:val="1B109374"/>
    <w:rsid w:val="1B1A82B2"/>
    <w:rsid w:val="1B314676"/>
    <w:rsid w:val="1B502834"/>
    <w:rsid w:val="1B99CF30"/>
    <w:rsid w:val="1B9FFB5A"/>
    <w:rsid w:val="1BB5B85A"/>
    <w:rsid w:val="1C00DA90"/>
    <w:rsid w:val="1C191A4B"/>
    <w:rsid w:val="1C245D0C"/>
    <w:rsid w:val="1C4FCBB7"/>
    <w:rsid w:val="1C69DD3D"/>
    <w:rsid w:val="1C7EDAF8"/>
    <w:rsid w:val="1C8F2EEB"/>
    <w:rsid w:val="1C911924"/>
    <w:rsid w:val="1C982DFD"/>
    <w:rsid w:val="1C9EAABF"/>
    <w:rsid w:val="1CE45829"/>
    <w:rsid w:val="1CFEE85B"/>
    <w:rsid w:val="1D099BDF"/>
    <w:rsid w:val="1D0B94EF"/>
    <w:rsid w:val="1D2657DC"/>
    <w:rsid w:val="1D2C64B9"/>
    <w:rsid w:val="1D43356A"/>
    <w:rsid w:val="1D4CB5BC"/>
    <w:rsid w:val="1D5B919A"/>
    <w:rsid w:val="1D90F6F3"/>
    <w:rsid w:val="1DE2FD6F"/>
    <w:rsid w:val="1DEE8F47"/>
    <w:rsid w:val="1DF88476"/>
    <w:rsid w:val="1E2E3161"/>
    <w:rsid w:val="1E386EB9"/>
    <w:rsid w:val="1E4E0AD8"/>
    <w:rsid w:val="1E5B9B0A"/>
    <w:rsid w:val="1E65DB30"/>
    <w:rsid w:val="1E79C111"/>
    <w:rsid w:val="1E8576DA"/>
    <w:rsid w:val="1E8EF4C6"/>
    <w:rsid w:val="1EBB6070"/>
    <w:rsid w:val="1EC22CB6"/>
    <w:rsid w:val="1ED48CA1"/>
    <w:rsid w:val="1EF078C6"/>
    <w:rsid w:val="1F0B78F1"/>
    <w:rsid w:val="1F1E5FD4"/>
    <w:rsid w:val="1F24BBFE"/>
    <w:rsid w:val="1F35D740"/>
    <w:rsid w:val="1F4F3907"/>
    <w:rsid w:val="1F7361CD"/>
    <w:rsid w:val="1F8E83ED"/>
    <w:rsid w:val="1F955F37"/>
    <w:rsid w:val="1FA9C3EE"/>
    <w:rsid w:val="1FBB687D"/>
    <w:rsid w:val="1FDAA7AF"/>
    <w:rsid w:val="1FE77820"/>
    <w:rsid w:val="1FF26699"/>
    <w:rsid w:val="1FF5FFD3"/>
    <w:rsid w:val="202F35E2"/>
    <w:rsid w:val="2050E867"/>
    <w:rsid w:val="20A4255D"/>
    <w:rsid w:val="20B0EBFB"/>
    <w:rsid w:val="20B6AD36"/>
    <w:rsid w:val="215A2684"/>
    <w:rsid w:val="21769555"/>
    <w:rsid w:val="2181F882"/>
    <w:rsid w:val="21A4C959"/>
    <w:rsid w:val="21B11207"/>
    <w:rsid w:val="21B4267D"/>
    <w:rsid w:val="21D67D4A"/>
    <w:rsid w:val="21D92BB7"/>
    <w:rsid w:val="21DEC0C9"/>
    <w:rsid w:val="221432A4"/>
    <w:rsid w:val="221D3DCE"/>
    <w:rsid w:val="222EE068"/>
    <w:rsid w:val="22531C6A"/>
    <w:rsid w:val="22768F84"/>
    <w:rsid w:val="227AAD2B"/>
    <w:rsid w:val="2286A97F"/>
    <w:rsid w:val="22989A52"/>
    <w:rsid w:val="229CE53E"/>
    <w:rsid w:val="22B19FB8"/>
    <w:rsid w:val="22D3EC49"/>
    <w:rsid w:val="23176C9C"/>
    <w:rsid w:val="231B208D"/>
    <w:rsid w:val="231B9E21"/>
    <w:rsid w:val="2320E62F"/>
    <w:rsid w:val="23590A13"/>
    <w:rsid w:val="23AB44B4"/>
    <w:rsid w:val="23E1862A"/>
    <w:rsid w:val="23F8D6ED"/>
    <w:rsid w:val="2481AB13"/>
    <w:rsid w:val="248262B1"/>
    <w:rsid w:val="24869C02"/>
    <w:rsid w:val="24903B30"/>
    <w:rsid w:val="24BD73FB"/>
    <w:rsid w:val="24CAD3AD"/>
    <w:rsid w:val="24DEA108"/>
    <w:rsid w:val="2530ACFE"/>
    <w:rsid w:val="253274E1"/>
    <w:rsid w:val="254B84E4"/>
    <w:rsid w:val="255766E9"/>
    <w:rsid w:val="2580F7A1"/>
    <w:rsid w:val="259EC7EB"/>
    <w:rsid w:val="25BFC0B2"/>
    <w:rsid w:val="25DD96BF"/>
    <w:rsid w:val="260A7150"/>
    <w:rsid w:val="260BA5B0"/>
    <w:rsid w:val="26148099"/>
    <w:rsid w:val="26238604"/>
    <w:rsid w:val="267265FA"/>
    <w:rsid w:val="2686E5FA"/>
    <w:rsid w:val="26A86F40"/>
    <w:rsid w:val="26BCA09E"/>
    <w:rsid w:val="26C62C38"/>
    <w:rsid w:val="27109ABC"/>
    <w:rsid w:val="2727387E"/>
    <w:rsid w:val="27432B1F"/>
    <w:rsid w:val="2787D6A7"/>
    <w:rsid w:val="2793AC30"/>
    <w:rsid w:val="27AA929B"/>
    <w:rsid w:val="27B26723"/>
    <w:rsid w:val="27B9CAE2"/>
    <w:rsid w:val="2803C7E6"/>
    <w:rsid w:val="280A731D"/>
    <w:rsid w:val="281E0C5A"/>
    <w:rsid w:val="284874A7"/>
    <w:rsid w:val="28617CBB"/>
    <w:rsid w:val="286BACF3"/>
    <w:rsid w:val="288532D4"/>
    <w:rsid w:val="2889EB95"/>
    <w:rsid w:val="28A3D91F"/>
    <w:rsid w:val="28A90B35"/>
    <w:rsid w:val="28B6D244"/>
    <w:rsid w:val="28C6A9EB"/>
    <w:rsid w:val="28CA81F1"/>
    <w:rsid w:val="28E85639"/>
    <w:rsid w:val="2921BC44"/>
    <w:rsid w:val="2967093F"/>
    <w:rsid w:val="297EEA21"/>
    <w:rsid w:val="29B0AE74"/>
    <w:rsid w:val="29F1D86B"/>
    <w:rsid w:val="29F2603A"/>
    <w:rsid w:val="29F59B07"/>
    <w:rsid w:val="2A4E9460"/>
    <w:rsid w:val="2A828313"/>
    <w:rsid w:val="2A861D93"/>
    <w:rsid w:val="2A8C63EC"/>
    <w:rsid w:val="2A9FF5C9"/>
    <w:rsid w:val="2AA8D2CB"/>
    <w:rsid w:val="2AADA5AE"/>
    <w:rsid w:val="2AE0ABBE"/>
    <w:rsid w:val="2AE5D168"/>
    <w:rsid w:val="2AE805EE"/>
    <w:rsid w:val="2AF54329"/>
    <w:rsid w:val="2AFFEFF9"/>
    <w:rsid w:val="2B014CBE"/>
    <w:rsid w:val="2B44C8B2"/>
    <w:rsid w:val="2B510E88"/>
    <w:rsid w:val="2B9CE195"/>
    <w:rsid w:val="2B9E5B7E"/>
    <w:rsid w:val="2BCC14F8"/>
    <w:rsid w:val="2BCC3A97"/>
    <w:rsid w:val="2BD65070"/>
    <w:rsid w:val="2BF818B6"/>
    <w:rsid w:val="2BF83AC5"/>
    <w:rsid w:val="2C01629F"/>
    <w:rsid w:val="2C3EF03F"/>
    <w:rsid w:val="2C5949C5"/>
    <w:rsid w:val="2C7CE478"/>
    <w:rsid w:val="2C81E06A"/>
    <w:rsid w:val="2C8C72F4"/>
    <w:rsid w:val="2CC12B6A"/>
    <w:rsid w:val="2CC4C6A0"/>
    <w:rsid w:val="2CCB9E67"/>
    <w:rsid w:val="2CD38365"/>
    <w:rsid w:val="2CD4A783"/>
    <w:rsid w:val="2CFE27FD"/>
    <w:rsid w:val="2D0EAB59"/>
    <w:rsid w:val="2D163129"/>
    <w:rsid w:val="2D2B8A23"/>
    <w:rsid w:val="2D327C7C"/>
    <w:rsid w:val="2D8FF5D8"/>
    <w:rsid w:val="2D97DBBC"/>
    <w:rsid w:val="2D98481A"/>
    <w:rsid w:val="2D9A1834"/>
    <w:rsid w:val="2DC3452F"/>
    <w:rsid w:val="2DCD231C"/>
    <w:rsid w:val="2DE5E6FA"/>
    <w:rsid w:val="2DF42267"/>
    <w:rsid w:val="2DF94866"/>
    <w:rsid w:val="2E2E0596"/>
    <w:rsid w:val="2E2E7A6F"/>
    <w:rsid w:val="2E36AC88"/>
    <w:rsid w:val="2E37701F"/>
    <w:rsid w:val="2E61E6CF"/>
    <w:rsid w:val="2E7FF20E"/>
    <w:rsid w:val="2E955D02"/>
    <w:rsid w:val="2E96C999"/>
    <w:rsid w:val="2EAEBC60"/>
    <w:rsid w:val="2EB890C6"/>
    <w:rsid w:val="2F1B8E6B"/>
    <w:rsid w:val="2F278BC5"/>
    <w:rsid w:val="2F347B3E"/>
    <w:rsid w:val="2F36EA43"/>
    <w:rsid w:val="2F57E1E5"/>
    <w:rsid w:val="2F81AF03"/>
    <w:rsid w:val="2FB2D061"/>
    <w:rsid w:val="2FBFA7B8"/>
    <w:rsid w:val="2FC69E71"/>
    <w:rsid w:val="2FE44F2C"/>
    <w:rsid w:val="30112FE5"/>
    <w:rsid w:val="301C2E19"/>
    <w:rsid w:val="30366E7E"/>
    <w:rsid w:val="303B9D17"/>
    <w:rsid w:val="306C881C"/>
    <w:rsid w:val="306D4974"/>
    <w:rsid w:val="308EEEB2"/>
    <w:rsid w:val="30BAA138"/>
    <w:rsid w:val="30D554EE"/>
    <w:rsid w:val="30E95440"/>
    <w:rsid w:val="3107D83F"/>
    <w:rsid w:val="310A5D07"/>
    <w:rsid w:val="3116E8CC"/>
    <w:rsid w:val="31183F2E"/>
    <w:rsid w:val="314407F8"/>
    <w:rsid w:val="316C9146"/>
    <w:rsid w:val="318068D0"/>
    <w:rsid w:val="31865099"/>
    <w:rsid w:val="31CC5894"/>
    <w:rsid w:val="31E6545C"/>
    <w:rsid w:val="31F708DF"/>
    <w:rsid w:val="32010201"/>
    <w:rsid w:val="3292E911"/>
    <w:rsid w:val="3293FEB2"/>
    <w:rsid w:val="32DDD6B8"/>
    <w:rsid w:val="32F85912"/>
    <w:rsid w:val="33053E92"/>
    <w:rsid w:val="333100B9"/>
    <w:rsid w:val="3357FA70"/>
    <w:rsid w:val="3368972D"/>
    <w:rsid w:val="33917020"/>
    <w:rsid w:val="33A0A59B"/>
    <w:rsid w:val="33B153C3"/>
    <w:rsid w:val="33BCB819"/>
    <w:rsid w:val="33D0142A"/>
    <w:rsid w:val="33E79EB5"/>
    <w:rsid w:val="3405826D"/>
    <w:rsid w:val="3405E664"/>
    <w:rsid w:val="343B025A"/>
    <w:rsid w:val="34632322"/>
    <w:rsid w:val="34858FA6"/>
    <w:rsid w:val="34926BC4"/>
    <w:rsid w:val="34AAB19A"/>
    <w:rsid w:val="34C690B3"/>
    <w:rsid w:val="34E2621A"/>
    <w:rsid w:val="34E7E980"/>
    <w:rsid w:val="35006579"/>
    <w:rsid w:val="3510D521"/>
    <w:rsid w:val="35272DC1"/>
    <w:rsid w:val="355A1067"/>
    <w:rsid w:val="356E13DC"/>
    <w:rsid w:val="35790025"/>
    <w:rsid w:val="35834618"/>
    <w:rsid w:val="3599809E"/>
    <w:rsid w:val="359D2242"/>
    <w:rsid w:val="35C4673E"/>
    <w:rsid w:val="35CEDE8D"/>
    <w:rsid w:val="35D4BC19"/>
    <w:rsid w:val="35E647CE"/>
    <w:rsid w:val="35E7C6D0"/>
    <w:rsid w:val="35F40FD7"/>
    <w:rsid w:val="35F56B86"/>
    <w:rsid w:val="35F89FC9"/>
    <w:rsid w:val="3602A391"/>
    <w:rsid w:val="361E861E"/>
    <w:rsid w:val="364A8631"/>
    <w:rsid w:val="364AF6BB"/>
    <w:rsid w:val="3663B6D4"/>
    <w:rsid w:val="36C3B851"/>
    <w:rsid w:val="36C9556D"/>
    <w:rsid w:val="36FC09D1"/>
    <w:rsid w:val="371CDAFE"/>
    <w:rsid w:val="3726D0FA"/>
    <w:rsid w:val="373F992A"/>
    <w:rsid w:val="37470CA5"/>
    <w:rsid w:val="377D737F"/>
    <w:rsid w:val="3788274E"/>
    <w:rsid w:val="378A035C"/>
    <w:rsid w:val="37943621"/>
    <w:rsid w:val="379633C2"/>
    <w:rsid w:val="379BF550"/>
    <w:rsid w:val="37A35683"/>
    <w:rsid w:val="37AF257B"/>
    <w:rsid w:val="37B2CE5F"/>
    <w:rsid w:val="37CEBE44"/>
    <w:rsid w:val="37D3B7BB"/>
    <w:rsid w:val="37DE235E"/>
    <w:rsid w:val="37EF431E"/>
    <w:rsid w:val="38158393"/>
    <w:rsid w:val="3831E695"/>
    <w:rsid w:val="38484033"/>
    <w:rsid w:val="384BBF02"/>
    <w:rsid w:val="3860255A"/>
    <w:rsid w:val="386D0100"/>
    <w:rsid w:val="387A4BC4"/>
    <w:rsid w:val="387A94A8"/>
    <w:rsid w:val="387D13A6"/>
    <w:rsid w:val="3880C403"/>
    <w:rsid w:val="388C7012"/>
    <w:rsid w:val="3897C1DD"/>
    <w:rsid w:val="389911B3"/>
    <w:rsid w:val="38A7D09C"/>
    <w:rsid w:val="39204162"/>
    <w:rsid w:val="3922E1C6"/>
    <w:rsid w:val="3925CDAA"/>
    <w:rsid w:val="39262762"/>
    <w:rsid w:val="392C14C5"/>
    <w:rsid w:val="393D36F5"/>
    <w:rsid w:val="39432C8A"/>
    <w:rsid w:val="3949616B"/>
    <w:rsid w:val="394B0AE5"/>
    <w:rsid w:val="394D2229"/>
    <w:rsid w:val="395526BF"/>
    <w:rsid w:val="39603E76"/>
    <w:rsid w:val="3960F47D"/>
    <w:rsid w:val="39748EAF"/>
    <w:rsid w:val="397BBA23"/>
    <w:rsid w:val="3981B136"/>
    <w:rsid w:val="3987437E"/>
    <w:rsid w:val="39CF5F38"/>
    <w:rsid w:val="39DCF673"/>
    <w:rsid w:val="39E19D68"/>
    <w:rsid w:val="39EC8CB4"/>
    <w:rsid w:val="39F746B7"/>
    <w:rsid w:val="3A0C1694"/>
    <w:rsid w:val="3A61478E"/>
    <w:rsid w:val="3A64C3EE"/>
    <w:rsid w:val="3AA8F381"/>
    <w:rsid w:val="3AE1EFD2"/>
    <w:rsid w:val="3AE71BF5"/>
    <w:rsid w:val="3AFD8DE2"/>
    <w:rsid w:val="3B053F29"/>
    <w:rsid w:val="3B20E099"/>
    <w:rsid w:val="3B301D11"/>
    <w:rsid w:val="3B3B9688"/>
    <w:rsid w:val="3B48A983"/>
    <w:rsid w:val="3B5B1A95"/>
    <w:rsid w:val="3B5E02AF"/>
    <w:rsid w:val="3B877D93"/>
    <w:rsid w:val="3BC75DBB"/>
    <w:rsid w:val="3BE10503"/>
    <w:rsid w:val="3C12975F"/>
    <w:rsid w:val="3C17BFFE"/>
    <w:rsid w:val="3C62F674"/>
    <w:rsid w:val="3C65B3B8"/>
    <w:rsid w:val="3C757149"/>
    <w:rsid w:val="3C93F962"/>
    <w:rsid w:val="3C94F59F"/>
    <w:rsid w:val="3CA762B8"/>
    <w:rsid w:val="3CBF2CB6"/>
    <w:rsid w:val="3CD7BABB"/>
    <w:rsid w:val="3CD845E6"/>
    <w:rsid w:val="3CF1A7EF"/>
    <w:rsid w:val="3CFA3238"/>
    <w:rsid w:val="3D3AF4D3"/>
    <w:rsid w:val="3D71D2C3"/>
    <w:rsid w:val="3D830225"/>
    <w:rsid w:val="3D9B04F0"/>
    <w:rsid w:val="3DAA3C0F"/>
    <w:rsid w:val="3DCDCC64"/>
    <w:rsid w:val="3DE35154"/>
    <w:rsid w:val="3DFF16C3"/>
    <w:rsid w:val="3E4B60E7"/>
    <w:rsid w:val="3E734F64"/>
    <w:rsid w:val="3E9A25F4"/>
    <w:rsid w:val="3EA0DC31"/>
    <w:rsid w:val="3ECC6585"/>
    <w:rsid w:val="3EECAF5D"/>
    <w:rsid w:val="3EF0C9F1"/>
    <w:rsid w:val="3EFC9BC6"/>
    <w:rsid w:val="3F10EC50"/>
    <w:rsid w:val="3F5DBA30"/>
    <w:rsid w:val="3F710BF8"/>
    <w:rsid w:val="3F7C322E"/>
    <w:rsid w:val="3FA4360D"/>
    <w:rsid w:val="3FBE2390"/>
    <w:rsid w:val="3FD4FFB9"/>
    <w:rsid w:val="3FF4C313"/>
    <w:rsid w:val="4007AAED"/>
    <w:rsid w:val="4012A682"/>
    <w:rsid w:val="4020082F"/>
    <w:rsid w:val="4038CD29"/>
    <w:rsid w:val="40418221"/>
    <w:rsid w:val="404D5712"/>
    <w:rsid w:val="406D3067"/>
    <w:rsid w:val="4079DD2D"/>
    <w:rsid w:val="408A6AB1"/>
    <w:rsid w:val="40CF34DD"/>
    <w:rsid w:val="40D92B96"/>
    <w:rsid w:val="40ED78B2"/>
    <w:rsid w:val="40F593D0"/>
    <w:rsid w:val="4100D6E2"/>
    <w:rsid w:val="41058654"/>
    <w:rsid w:val="4117638F"/>
    <w:rsid w:val="412A3E01"/>
    <w:rsid w:val="414139F3"/>
    <w:rsid w:val="415295AC"/>
    <w:rsid w:val="418ED107"/>
    <w:rsid w:val="4191A3BB"/>
    <w:rsid w:val="41B10164"/>
    <w:rsid w:val="41B97FC1"/>
    <w:rsid w:val="41CB0F48"/>
    <w:rsid w:val="41DA77C4"/>
    <w:rsid w:val="41E280E6"/>
    <w:rsid w:val="41EF3B49"/>
    <w:rsid w:val="41F6A694"/>
    <w:rsid w:val="42147BFB"/>
    <w:rsid w:val="422524B2"/>
    <w:rsid w:val="426E2F32"/>
    <w:rsid w:val="4273186A"/>
    <w:rsid w:val="427DF8A7"/>
    <w:rsid w:val="4283D1D8"/>
    <w:rsid w:val="428A3795"/>
    <w:rsid w:val="428DF8D1"/>
    <w:rsid w:val="429FC4A6"/>
    <w:rsid w:val="42B4DBF2"/>
    <w:rsid w:val="42BC6D40"/>
    <w:rsid w:val="42E0087D"/>
    <w:rsid w:val="430D226A"/>
    <w:rsid w:val="4316FDC6"/>
    <w:rsid w:val="431EA1D6"/>
    <w:rsid w:val="4330AD76"/>
    <w:rsid w:val="434BE712"/>
    <w:rsid w:val="4351FDBC"/>
    <w:rsid w:val="4367EC1B"/>
    <w:rsid w:val="43744008"/>
    <w:rsid w:val="43C18F00"/>
    <w:rsid w:val="43CB145B"/>
    <w:rsid w:val="43DA3B72"/>
    <w:rsid w:val="43EF7D38"/>
    <w:rsid w:val="43FAF40B"/>
    <w:rsid w:val="44082E40"/>
    <w:rsid w:val="440CD116"/>
    <w:rsid w:val="4422D71F"/>
    <w:rsid w:val="4439A214"/>
    <w:rsid w:val="445AC19B"/>
    <w:rsid w:val="445B62FE"/>
    <w:rsid w:val="44831B54"/>
    <w:rsid w:val="448DB43B"/>
    <w:rsid w:val="4495530C"/>
    <w:rsid w:val="44C215D5"/>
    <w:rsid w:val="44C68835"/>
    <w:rsid w:val="45004FF9"/>
    <w:rsid w:val="45162387"/>
    <w:rsid w:val="4517901E"/>
    <w:rsid w:val="4520DAB4"/>
    <w:rsid w:val="4532C3B6"/>
    <w:rsid w:val="453680C4"/>
    <w:rsid w:val="456900CC"/>
    <w:rsid w:val="456DE203"/>
    <w:rsid w:val="4571B0FE"/>
    <w:rsid w:val="45774CE9"/>
    <w:rsid w:val="45922F0E"/>
    <w:rsid w:val="45B45151"/>
    <w:rsid w:val="45B8F9F1"/>
    <w:rsid w:val="45CBBDCF"/>
    <w:rsid w:val="45E48D8A"/>
    <w:rsid w:val="45E5B4A1"/>
    <w:rsid w:val="45E7226F"/>
    <w:rsid w:val="45FA333B"/>
    <w:rsid w:val="460C1B45"/>
    <w:rsid w:val="462FFCB9"/>
    <w:rsid w:val="46401ECC"/>
    <w:rsid w:val="4654DB85"/>
    <w:rsid w:val="46588CB2"/>
    <w:rsid w:val="46638024"/>
    <w:rsid w:val="466F6C8F"/>
    <w:rsid w:val="468592FB"/>
    <w:rsid w:val="4695B148"/>
    <w:rsid w:val="469C1AC3"/>
    <w:rsid w:val="46B1BCEB"/>
    <w:rsid w:val="46CB19A4"/>
    <w:rsid w:val="46D08736"/>
    <w:rsid w:val="46D7FA21"/>
    <w:rsid w:val="46E446A6"/>
    <w:rsid w:val="47028CE4"/>
    <w:rsid w:val="472A6E09"/>
    <w:rsid w:val="47371F57"/>
    <w:rsid w:val="47432F47"/>
    <w:rsid w:val="475AB294"/>
    <w:rsid w:val="47D1FA1C"/>
    <w:rsid w:val="47EEA675"/>
    <w:rsid w:val="47EF2627"/>
    <w:rsid w:val="47F21724"/>
    <w:rsid w:val="47F48128"/>
    <w:rsid w:val="4838BC5F"/>
    <w:rsid w:val="487CD7FC"/>
    <w:rsid w:val="48943D53"/>
    <w:rsid w:val="48B54DD2"/>
    <w:rsid w:val="493688BC"/>
    <w:rsid w:val="4944EB88"/>
    <w:rsid w:val="49602C05"/>
    <w:rsid w:val="49704D7E"/>
    <w:rsid w:val="4975A516"/>
    <w:rsid w:val="49ECFA7B"/>
    <w:rsid w:val="49F20C42"/>
    <w:rsid w:val="4A48BA41"/>
    <w:rsid w:val="4A7E34FF"/>
    <w:rsid w:val="4A8DA7A4"/>
    <w:rsid w:val="4A8F11C5"/>
    <w:rsid w:val="4AA51F95"/>
    <w:rsid w:val="4ACC6824"/>
    <w:rsid w:val="4AF562CD"/>
    <w:rsid w:val="4AFBE2A2"/>
    <w:rsid w:val="4B0A028B"/>
    <w:rsid w:val="4B0DDC3B"/>
    <w:rsid w:val="4B0F08AA"/>
    <w:rsid w:val="4B129B4B"/>
    <w:rsid w:val="4B1EF333"/>
    <w:rsid w:val="4B24089B"/>
    <w:rsid w:val="4B2B4744"/>
    <w:rsid w:val="4B479B77"/>
    <w:rsid w:val="4B4D5816"/>
    <w:rsid w:val="4B721D02"/>
    <w:rsid w:val="4B7EB0AA"/>
    <w:rsid w:val="4B85793D"/>
    <w:rsid w:val="4B9F35DA"/>
    <w:rsid w:val="4BAB5064"/>
    <w:rsid w:val="4BC03C32"/>
    <w:rsid w:val="4BDB7684"/>
    <w:rsid w:val="4BE33B4E"/>
    <w:rsid w:val="4BE3E3CB"/>
    <w:rsid w:val="4BE57C65"/>
    <w:rsid w:val="4C0B660B"/>
    <w:rsid w:val="4C1B3854"/>
    <w:rsid w:val="4C1B92BA"/>
    <w:rsid w:val="4C427837"/>
    <w:rsid w:val="4C497DE2"/>
    <w:rsid w:val="4C71ECEA"/>
    <w:rsid w:val="4CA49624"/>
    <w:rsid w:val="4CC32F9E"/>
    <w:rsid w:val="4CDC3F3C"/>
    <w:rsid w:val="4CED3F2B"/>
    <w:rsid w:val="4CFCEB05"/>
    <w:rsid w:val="4D04D016"/>
    <w:rsid w:val="4D22D54A"/>
    <w:rsid w:val="4D24F97C"/>
    <w:rsid w:val="4D30B8F2"/>
    <w:rsid w:val="4D4D1DCB"/>
    <w:rsid w:val="4D55536C"/>
    <w:rsid w:val="4D8F76C6"/>
    <w:rsid w:val="4D9129EF"/>
    <w:rsid w:val="4D99D95F"/>
    <w:rsid w:val="4DD48ECA"/>
    <w:rsid w:val="4DE28E56"/>
    <w:rsid w:val="4DE8BA65"/>
    <w:rsid w:val="4DEBE521"/>
    <w:rsid w:val="4E30A0DD"/>
    <w:rsid w:val="4E54D9E4"/>
    <w:rsid w:val="4E5E5F3D"/>
    <w:rsid w:val="4E5F1F41"/>
    <w:rsid w:val="4E69B90C"/>
    <w:rsid w:val="4E6E0020"/>
    <w:rsid w:val="4E810AD3"/>
    <w:rsid w:val="4EA13587"/>
    <w:rsid w:val="4EA34AAA"/>
    <w:rsid w:val="4EB8D398"/>
    <w:rsid w:val="4EBC18B1"/>
    <w:rsid w:val="4ED2D8E8"/>
    <w:rsid w:val="4EE326E1"/>
    <w:rsid w:val="4EE40343"/>
    <w:rsid w:val="4F216F13"/>
    <w:rsid w:val="4F309C91"/>
    <w:rsid w:val="4F3B049C"/>
    <w:rsid w:val="4F4F5D78"/>
    <w:rsid w:val="4F5757A7"/>
    <w:rsid w:val="4F60C459"/>
    <w:rsid w:val="4F69B801"/>
    <w:rsid w:val="4F7A23F7"/>
    <w:rsid w:val="4F7B4319"/>
    <w:rsid w:val="4F8D3B6F"/>
    <w:rsid w:val="4F8E914E"/>
    <w:rsid w:val="4F90C562"/>
    <w:rsid w:val="4F96F6C2"/>
    <w:rsid w:val="4F9D33BF"/>
    <w:rsid w:val="4F9F621C"/>
    <w:rsid w:val="4FCDF142"/>
    <w:rsid w:val="4FECBC44"/>
    <w:rsid w:val="507A9900"/>
    <w:rsid w:val="50BB4F0F"/>
    <w:rsid w:val="50DE24FE"/>
    <w:rsid w:val="50E270F8"/>
    <w:rsid w:val="513545E3"/>
    <w:rsid w:val="51657F99"/>
    <w:rsid w:val="517028D7"/>
    <w:rsid w:val="51A6ACC4"/>
    <w:rsid w:val="51C09A02"/>
    <w:rsid w:val="51D8D603"/>
    <w:rsid w:val="51EE6DFA"/>
    <w:rsid w:val="5204F02B"/>
    <w:rsid w:val="522E5227"/>
    <w:rsid w:val="52886401"/>
    <w:rsid w:val="52B346A9"/>
    <w:rsid w:val="52C9E1FC"/>
    <w:rsid w:val="52F95804"/>
    <w:rsid w:val="531DB844"/>
    <w:rsid w:val="534EB007"/>
    <w:rsid w:val="53506CD5"/>
    <w:rsid w:val="5350C8ED"/>
    <w:rsid w:val="535C09EC"/>
    <w:rsid w:val="5368B581"/>
    <w:rsid w:val="5374E7E9"/>
    <w:rsid w:val="537EAA74"/>
    <w:rsid w:val="538C2E6D"/>
    <w:rsid w:val="538C3D14"/>
    <w:rsid w:val="53A86915"/>
    <w:rsid w:val="53BA533A"/>
    <w:rsid w:val="53C6ABD6"/>
    <w:rsid w:val="53CF4B7E"/>
    <w:rsid w:val="5406A905"/>
    <w:rsid w:val="54185745"/>
    <w:rsid w:val="54386897"/>
    <w:rsid w:val="54582E11"/>
    <w:rsid w:val="5468CADB"/>
    <w:rsid w:val="547E3DAA"/>
    <w:rsid w:val="54918E49"/>
    <w:rsid w:val="54A02C4C"/>
    <w:rsid w:val="550CA3A4"/>
    <w:rsid w:val="551D38CA"/>
    <w:rsid w:val="5531CE09"/>
    <w:rsid w:val="555E88E1"/>
    <w:rsid w:val="5578E55F"/>
    <w:rsid w:val="5582CA06"/>
    <w:rsid w:val="558FBDF7"/>
    <w:rsid w:val="55A48222"/>
    <w:rsid w:val="55A9A480"/>
    <w:rsid w:val="562F4805"/>
    <w:rsid w:val="5652607E"/>
    <w:rsid w:val="5655964A"/>
    <w:rsid w:val="5660281B"/>
    <w:rsid w:val="567B9ED5"/>
    <w:rsid w:val="56950BB8"/>
    <w:rsid w:val="56CC961A"/>
    <w:rsid w:val="56D1F13D"/>
    <w:rsid w:val="56FCB652"/>
    <w:rsid w:val="57148234"/>
    <w:rsid w:val="576140DE"/>
    <w:rsid w:val="57638E2B"/>
    <w:rsid w:val="57667AED"/>
    <w:rsid w:val="5769420C"/>
    <w:rsid w:val="578B4CC9"/>
    <w:rsid w:val="57A3311E"/>
    <w:rsid w:val="57AE38A0"/>
    <w:rsid w:val="57CCBF70"/>
    <w:rsid w:val="5805DCD4"/>
    <w:rsid w:val="5884C616"/>
    <w:rsid w:val="589CB6DA"/>
    <w:rsid w:val="58A73512"/>
    <w:rsid w:val="58AA4AFA"/>
    <w:rsid w:val="58B0FA0F"/>
    <w:rsid w:val="58C0183C"/>
    <w:rsid w:val="58F6EAD8"/>
    <w:rsid w:val="590864A9"/>
    <w:rsid w:val="591C2725"/>
    <w:rsid w:val="59484749"/>
    <w:rsid w:val="5957A863"/>
    <w:rsid w:val="595DBA95"/>
    <w:rsid w:val="5962E146"/>
    <w:rsid w:val="59655894"/>
    <w:rsid w:val="597453E0"/>
    <w:rsid w:val="59794094"/>
    <w:rsid w:val="597EF351"/>
    <w:rsid w:val="5999A5B0"/>
    <w:rsid w:val="599F271A"/>
    <w:rsid w:val="59ABD011"/>
    <w:rsid w:val="59B14552"/>
    <w:rsid w:val="59C8959E"/>
    <w:rsid w:val="59E36861"/>
    <w:rsid w:val="59F77A34"/>
    <w:rsid w:val="5A09AE70"/>
    <w:rsid w:val="5A367A08"/>
    <w:rsid w:val="5A549E2B"/>
    <w:rsid w:val="5A922ACB"/>
    <w:rsid w:val="5AABA3BA"/>
    <w:rsid w:val="5ACBE281"/>
    <w:rsid w:val="5AF1D1AB"/>
    <w:rsid w:val="5B026886"/>
    <w:rsid w:val="5B06A2D8"/>
    <w:rsid w:val="5B10C2F2"/>
    <w:rsid w:val="5B157FEB"/>
    <w:rsid w:val="5B1B36A9"/>
    <w:rsid w:val="5B37D23F"/>
    <w:rsid w:val="5B4DB19A"/>
    <w:rsid w:val="5B55E189"/>
    <w:rsid w:val="5B564FBE"/>
    <w:rsid w:val="5B830800"/>
    <w:rsid w:val="5B8CCC41"/>
    <w:rsid w:val="5BABF4EB"/>
    <w:rsid w:val="5BAEC56E"/>
    <w:rsid w:val="5BBD9A23"/>
    <w:rsid w:val="5BF57C48"/>
    <w:rsid w:val="5BFB2DDE"/>
    <w:rsid w:val="5C1BA59C"/>
    <w:rsid w:val="5C274198"/>
    <w:rsid w:val="5C2FD15E"/>
    <w:rsid w:val="5C4ABF48"/>
    <w:rsid w:val="5C576D30"/>
    <w:rsid w:val="5C6B7560"/>
    <w:rsid w:val="5C7832FA"/>
    <w:rsid w:val="5C7B44FC"/>
    <w:rsid w:val="5C887288"/>
    <w:rsid w:val="5C97A016"/>
    <w:rsid w:val="5CD34631"/>
    <w:rsid w:val="5CFAC1CC"/>
    <w:rsid w:val="5D14BDE9"/>
    <w:rsid w:val="5D1DC2A3"/>
    <w:rsid w:val="5D1E29D5"/>
    <w:rsid w:val="5D39B2D4"/>
    <w:rsid w:val="5D3CAD9E"/>
    <w:rsid w:val="5D403DC1"/>
    <w:rsid w:val="5D6D42D9"/>
    <w:rsid w:val="5D80B08B"/>
    <w:rsid w:val="5DA693AD"/>
    <w:rsid w:val="5DB4B2C7"/>
    <w:rsid w:val="5DB935E4"/>
    <w:rsid w:val="5DFFC4C2"/>
    <w:rsid w:val="5E147EC1"/>
    <w:rsid w:val="5E233699"/>
    <w:rsid w:val="5E3BEB11"/>
    <w:rsid w:val="5E662259"/>
    <w:rsid w:val="5E73CD3F"/>
    <w:rsid w:val="5E8E4156"/>
    <w:rsid w:val="5EA7D231"/>
    <w:rsid w:val="5EADB4AA"/>
    <w:rsid w:val="5EAF5D76"/>
    <w:rsid w:val="5EB494D2"/>
    <w:rsid w:val="5EC879BA"/>
    <w:rsid w:val="5EEE3386"/>
    <w:rsid w:val="5EFBEDDE"/>
    <w:rsid w:val="5F2B42EA"/>
    <w:rsid w:val="5F475D0B"/>
    <w:rsid w:val="5F5615DC"/>
    <w:rsid w:val="5F9BE93C"/>
    <w:rsid w:val="5FB2DD55"/>
    <w:rsid w:val="5FD9DAAB"/>
    <w:rsid w:val="5FE03B35"/>
    <w:rsid w:val="5FE1FC5D"/>
    <w:rsid w:val="5FF6651E"/>
    <w:rsid w:val="5FFC71C8"/>
    <w:rsid w:val="5FFC7B27"/>
    <w:rsid w:val="60000836"/>
    <w:rsid w:val="60189626"/>
    <w:rsid w:val="60250799"/>
    <w:rsid w:val="60319D38"/>
    <w:rsid w:val="604D6DBF"/>
    <w:rsid w:val="604F2E8B"/>
    <w:rsid w:val="6051BE71"/>
    <w:rsid w:val="605D1C60"/>
    <w:rsid w:val="60669A03"/>
    <w:rsid w:val="60700799"/>
    <w:rsid w:val="60A4538B"/>
    <w:rsid w:val="60C0480B"/>
    <w:rsid w:val="60CAB2E5"/>
    <w:rsid w:val="60F17E0C"/>
    <w:rsid w:val="60FE1AA5"/>
    <w:rsid w:val="61175051"/>
    <w:rsid w:val="61203BD3"/>
    <w:rsid w:val="612836EA"/>
    <w:rsid w:val="612F4B9F"/>
    <w:rsid w:val="6151FF8C"/>
    <w:rsid w:val="6159CBCC"/>
    <w:rsid w:val="6182FE79"/>
    <w:rsid w:val="6184F185"/>
    <w:rsid w:val="61997380"/>
    <w:rsid w:val="61A14337"/>
    <w:rsid w:val="61AFDBDE"/>
    <w:rsid w:val="61B9C97B"/>
    <w:rsid w:val="61CFE533"/>
    <w:rsid w:val="61E418E0"/>
    <w:rsid w:val="6237B290"/>
    <w:rsid w:val="623CB007"/>
    <w:rsid w:val="6261EAC2"/>
    <w:rsid w:val="62673EB2"/>
    <w:rsid w:val="62A88968"/>
    <w:rsid w:val="62A8D892"/>
    <w:rsid w:val="62B61F47"/>
    <w:rsid w:val="62EF4F9E"/>
    <w:rsid w:val="62F2738E"/>
    <w:rsid w:val="63062948"/>
    <w:rsid w:val="636C725F"/>
    <w:rsid w:val="637D6A47"/>
    <w:rsid w:val="63A1CF12"/>
    <w:rsid w:val="63BDBD37"/>
    <w:rsid w:val="63E8ED45"/>
    <w:rsid w:val="640D2883"/>
    <w:rsid w:val="6411B6BC"/>
    <w:rsid w:val="641C2624"/>
    <w:rsid w:val="641D604E"/>
    <w:rsid w:val="641E316D"/>
    <w:rsid w:val="642FB307"/>
    <w:rsid w:val="6472C6FB"/>
    <w:rsid w:val="64765780"/>
    <w:rsid w:val="6486CFDC"/>
    <w:rsid w:val="64871E7F"/>
    <w:rsid w:val="64B08509"/>
    <w:rsid w:val="64F641B5"/>
    <w:rsid w:val="65046559"/>
    <w:rsid w:val="650DAF3E"/>
    <w:rsid w:val="650F071F"/>
    <w:rsid w:val="6521D047"/>
    <w:rsid w:val="653EB8DE"/>
    <w:rsid w:val="655B957D"/>
    <w:rsid w:val="65680212"/>
    <w:rsid w:val="657B47E3"/>
    <w:rsid w:val="65851DCD"/>
    <w:rsid w:val="6599C5AA"/>
    <w:rsid w:val="65A49ED5"/>
    <w:rsid w:val="65D70609"/>
    <w:rsid w:val="65D7EFF9"/>
    <w:rsid w:val="65DA1300"/>
    <w:rsid w:val="65E1E045"/>
    <w:rsid w:val="65EFB03E"/>
    <w:rsid w:val="66019799"/>
    <w:rsid w:val="66064847"/>
    <w:rsid w:val="660A3172"/>
    <w:rsid w:val="662F97F7"/>
    <w:rsid w:val="66318660"/>
    <w:rsid w:val="6652BE19"/>
    <w:rsid w:val="6653ECB5"/>
    <w:rsid w:val="66570BB1"/>
    <w:rsid w:val="666B250F"/>
    <w:rsid w:val="66849B66"/>
    <w:rsid w:val="668C70AA"/>
    <w:rsid w:val="66C06746"/>
    <w:rsid w:val="66F83A05"/>
    <w:rsid w:val="67097E3F"/>
    <w:rsid w:val="67292BF2"/>
    <w:rsid w:val="67504A00"/>
    <w:rsid w:val="6791E739"/>
    <w:rsid w:val="67A8535D"/>
    <w:rsid w:val="67B4BB97"/>
    <w:rsid w:val="67BEBA64"/>
    <w:rsid w:val="67E01676"/>
    <w:rsid w:val="67E07CF8"/>
    <w:rsid w:val="680A7432"/>
    <w:rsid w:val="681EC5C2"/>
    <w:rsid w:val="6839A099"/>
    <w:rsid w:val="685CE830"/>
    <w:rsid w:val="68876466"/>
    <w:rsid w:val="68A2053F"/>
    <w:rsid w:val="68B57862"/>
    <w:rsid w:val="68D13552"/>
    <w:rsid w:val="6904003F"/>
    <w:rsid w:val="690F5B63"/>
    <w:rsid w:val="69196BC4"/>
    <w:rsid w:val="69373CEF"/>
    <w:rsid w:val="6958D386"/>
    <w:rsid w:val="696C1DAA"/>
    <w:rsid w:val="6970D809"/>
    <w:rsid w:val="699E1209"/>
    <w:rsid w:val="69B0CF45"/>
    <w:rsid w:val="69B811CD"/>
    <w:rsid w:val="69CD092E"/>
    <w:rsid w:val="69CEB88B"/>
    <w:rsid w:val="6A01B753"/>
    <w:rsid w:val="6A320CF9"/>
    <w:rsid w:val="6A411038"/>
    <w:rsid w:val="6A653D43"/>
    <w:rsid w:val="6A6FDAC5"/>
    <w:rsid w:val="6A7C1620"/>
    <w:rsid w:val="6A983F81"/>
    <w:rsid w:val="6AA9D81B"/>
    <w:rsid w:val="6AB00E96"/>
    <w:rsid w:val="6ABF2BB5"/>
    <w:rsid w:val="6AC177B1"/>
    <w:rsid w:val="6AD597FB"/>
    <w:rsid w:val="6AD9F8C6"/>
    <w:rsid w:val="6B0A0309"/>
    <w:rsid w:val="6B1A03D1"/>
    <w:rsid w:val="6B3A4E73"/>
    <w:rsid w:val="6B63BA71"/>
    <w:rsid w:val="6B6CB149"/>
    <w:rsid w:val="6B778972"/>
    <w:rsid w:val="6B899FE3"/>
    <w:rsid w:val="6BB73292"/>
    <w:rsid w:val="6BED1122"/>
    <w:rsid w:val="6BEFFE87"/>
    <w:rsid w:val="6C0F40DC"/>
    <w:rsid w:val="6C1AB482"/>
    <w:rsid w:val="6C49CDDC"/>
    <w:rsid w:val="6C58E736"/>
    <w:rsid w:val="6C5CCB22"/>
    <w:rsid w:val="6C6803B1"/>
    <w:rsid w:val="6C86534F"/>
    <w:rsid w:val="6C94EB2E"/>
    <w:rsid w:val="6CA0DE22"/>
    <w:rsid w:val="6CAD9911"/>
    <w:rsid w:val="6CB8319D"/>
    <w:rsid w:val="6CE1CE88"/>
    <w:rsid w:val="6D019F9F"/>
    <w:rsid w:val="6D1D0DCE"/>
    <w:rsid w:val="6D3637F9"/>
    <w:rsid w:val="6D66EC79"/>
    <w:rsid w:val="6D72894C"/>
    <w:rsid w:val="6D7CC198"/>
    <w:rsid w:val="6D82E50B"/>
    <w:rsid w:val="6DA5BA3F"/>
    <w:rsid w:val="6DA8496C"/>
    <w:rsid w:val="6DB9FFE7"/>
    <w:rsid w:val="6DBEA673"/>
    <w:rsid w:val="6DF150F7"/>
    <w:rsid w:val="6DF74ED8"/>
    <w:rsid w:val="6DFE987F"/>
    <w:rsid w:val="6E0D3D1F"/>
    <w:rsid w:val="6E4A323E"/>
    <w:rsid w:val="6E578A5D"/>
    <w:rsid w:val="6E656DB8"/>
    <w:rsid w:val="6E6DAC28"/>
    <w:rsid w:val="6E8410E9"/>
    <w:rsid w:val="6ED21990"/>
    <w:rsid w:val="6ED69033"/>
    <w:rsid w:val="6EE2408E"/>
    <w:rsid w:val="6EE8FD64"/>
    <w:rsid w:val="6F0E7233"/>
    <w:rsid w:val="6F235D19"/>
    <w:rsid w:val="6FC30CCC"/>
    <w:rsid w:val="6FE5F8FF"/>
    <w:rsid w:val="6FF33D15"/>
    <w:rsid w:val="6FF51008"/>
    <w:rsid w:val="70175AB7"/>
    <w:rsid w:val="701ABF0D"/>
    <w:rsid w:val="701E528D"/>
    <w:rsid w:val="701E98BA"/>
    <w:rsid w:val="70238096"/>
    <w:rsid w:val="7024F5C4"/>
    <w:rsid w:val="70459FE7"/>
    <w:rsid w:val="70609E1A"/>
    <w:rsid w:val="706BC6CD"/>
    <w:rsid w:val="70816290"/>
    <w:rsid w:val="7082949E"/>
    <w:rsid w:val="70A29FF4"/>
    <w:rsid w:val="70A603E7"/>
    <w:rsid w:val="70C4B535"/>
    <w:rsid w:val="70C8B559"/>
    <w:rsid w:val="713199EC"/>
    <w:rsid w:val="71341D4C"/>
    <w:rsid w:val="714B237E"/>
    <w:rsid w:val="71B7FAF7"/>
    <w:rsid w:val="71F9EFEF"/>
    <w:rsid w:val="7230CC4C"/>
    <w:rsid w:val="7245778D"/>
    <w:rsid w:val="725203C9"/>
    <w:rsid w:val="7273EE83"/>
    <w:rsid w:val="7279ECD6"/>
    <w:rsid w:val="72AA055C"/>
    <w:rsid w:val="72D34BF8"/>
    <w:rsid w:val="72EDDEDB"/>
    <w:rsid w:val="730521BE"/>
    <w:rsid w:val="7324FA02"/>
    <w:rsid w:val="7335433E"/>
    <w:rsid w:val="73696937"/>
    <w:rsid w:val="73793FFA"/>
    <w:rsid w:val="737D12F1"/>
    <w:rsid w:val="73800D52"/>
    <w:rsid w:val="739026B0"/>
    <w:rsid w:val="73A5BDAA"/>
    <w:rsid w:val="73AED7C6"/>
    <w:rsid w:val="73D43594"/>
    <w:rsid w:val="740219A3"/>
    <w:rsid w:val="7406595A"/>
    <w:rsid w:val="74255F8A"/>
    <w:rsid w:val="74275B02"/>
    <w:rsid w:val="7435305C"/>
    <w:rsid w:val="74454768"/>
    <w:rsid w:val="7446B94F"/>
    <w:rsid w:val="744CD43A"/>
    <w:rsid w:val="745968D5"/>
    <w:rsid w:val="7460E0BB"/>
    <w:rsid w:val="749A503C"/>
    <w:rsid w:val="74C817DA"/>
    <w:rsid w:val="74ECE468"/>
    <w:rsid w:val="74FD1C36"/>
    <w:rsid w:val="75180AD3"/>
    <w:rsid w:val="75452891"/>
    <w:rsid w:val="75ADA83C"/>
    <w:rsid w:val="7621750D"/>
    <w:rsid w:val="76321F27"/>
    <w:rsid w:val="7652AAAA"/>
    <w:rsid w:val="76538B84"/>
    <w:rsid w:val="768664FD"/>
    <w:rsid w:val="769C6B09"/>
    <w:rsid w:val="76AA7241"/>
    <w:rsid w:val="76C94E65"/>
    <w:rsid w:val="76F42D24"/>
    <w:rsid w:val="76F4E33A"/>
    <w:rsid w:val="7731356A"/>
    <w:rsid w:val="77392FC5"/>
    <w:rsid w:val="773E02A4"/>
    <w:rsid w:val="77B21658"/>
    <w:rsid w:val="77B32BDC"/>
    <w:rsid w:val="77B8A5B7"/>
    <w:rsid w:val="77BC12FF"/>
    <w:rsid w:val="77C7D2C3"/>
    <w:rsid w:val="77CD071A"/>
    <w:rsid w:val="77F4580A"/>
    <w:rsid w:val="7818486E"/>
    <w:rsid w:val="7894C685"/>
    <w:rsid w:val="78B636F2"/>
    <w:rsid w:val="78BB5985"/>
    <w:rsid w:val="78CB801A"/>
    <w:rsid w:val="78D542D9"/>
    <w:rsid w:val="78D74206"/>
    <w:rsid w:val="79085C09"/>
    <w:rsid w:val="790F9701"/>
    <w:rsid w:val="7922565C"/>
    <w:rsid w:val="792DC7AE"/>
    <w:rsid w:val="7930E8D1"/>
    <w:rsid w:val="7936BCCB"/>
    <w:rsid w:val="7939064C"/>
    <w:rsid w:val="795D0967"/>
    <w:rsid w:val="79718B35"/>
    <w:rsid w:val="79898490"/>
    <w:rsid w:val="799AED7B"/>
    <w:rsid w:val="799F4988"/>
    <w:rsid w:val="79A0B2BD"/>
    <w:rsid w:val="79B42AE3"/>
    <w:rsid w:val="79E5FF56"/>
    <w:rsid w:val="79F72863"/>
    <w:rsid w:val="79FD0E5F"/>
    <w:rsid w:val="7A017F1E"/>
    <w:rsid w:val="7A24D302"/>
    <w:rsid w:val="7A26070A"/>
    <w:rsid w:val="7A62B2C1"/>
    <w:rsid w:val="7A696B6C"/>
    <w:rsid w:val="7A7517D4"/>
    <w:rsid w:val="7AAB9D03"/>
    <w:rsid w:val="7ABB0C13"/>
    <w:rsid w:val="7B074490"/>
    <w:rsid w:val="7B0E3D5D"/>
    <w:rsid w:val="7B0FF52B"/>
    <w:rsid w:val="7B2248E6"/>
    <w:rsid w:val="7B2721CA"/>
    <w:rsid w:val="7B3C9CCA"/>
    <w:rsid w:val="7B3F4547"/>
    <w:rsid w:val="7B50BE7F"/>
    <w:rsid w:val="7B53C6F7"/>
    <w:rsid w:val="7B6255EF"/>
    <w:rsid w:val="7B63B70A"/>
    <w:rsid w:val="7B65D976"/>
    <w:rsid w:val="7B762584"/>
    <w:rsid w:val="7B879334"/>
    <w:rsid w:val="7B8D8F5D"/>
    <w:rsid w:val="7BAC634E"/>
    <w:rsid w:val="7BBBAE5B"/>
    <w:rsid w:val="7BCD94B2"/>
    <w:rsid w:val="7BD23D80"/>
    <w:rsid w:val="7BDD88BE"/>
    <w:rsid w:val="7BF92210"/>
    <w:rsid w:val="7C07951D"/>
    <w:rsid w:val="7C1400D8"/>
    <w:rsid w:val="7C461FF6"/>
    <w:rsid w:val="7C532E15"/>
    <w:rsid w:val="7C8D529F"/>
    <w:rsid w:val="7C939674"/>
    <w:rsid w:val="7CA0F8C7"/>
    <w:rsid w:val="7CA18E82"/>
    <w:rsid w:val="7CB09665"/>
    <w:rsid w:val="7CD354DB"/>
    <w:rsid w:val="7D19666E"/>
    <w:rsid w:val="7D1C4000"/>
    <w:rsid w:val="7D3A80EF"/>
    <w:rsid w:val="7D565953"/>
    <w:rsid w:val="7D82DF66"/>
    <w:rsid w:val="7D9CC38C"/>
    <w:rsid w:val="7DA0F314"/>
    <w:rsid w:val="7DC7F2CF"/>
    <w:rsid w:val="7DDFC4A3"/>
    <w:rsid w:val="7DF006DE"/>
    <w:rsid w:val="7E117D93"/>
    <w:rsid w:val="7E1313E7"/>
    <w:rsid w:val="7E2E16E9"/>
    <w:rsid w:val="7E47A50E"/>
    <w:rsid w:val="7E5DB57B"/>
    <w:rsid w:val="7E64DEA8"/>
    <w:rsid w:val="7E6ECE81"/>
    <w:rsid w:val="7E83FF82"/>
    <w:rsid w:val="7E92D280"/>
    <w:rsid w:val="7E99D409"/>
    <w:rsid w:val="7E9C2683"/>
    <w:rsid w:val="7EAD1626"/>
    <w:rsid w:val="7EC26294"/>
    <w:rsid w:val="7EF394F2"/>
    <w:rsid w:val="7F0222C5"/>
    <w:rsid w:val="7F24A4CE"/>
    <w:rsid w:val="7F44B4F8"/>
    <w:rsid w:val="7F74F84D"/>
    <w:rsid w:val="7FF96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4E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4655CA"/>
    <w:pPr>
      <w:numPr>
        <w:numId w:val="2"/>
      </w:numPr>
      <w:tabs>
        <w:tab w:val="num" w:pos="360"/>
      </w:tabs>
      <w:ind w:left="0" w:firstLine="0"/>
    </w:pPr>
    <w:rPr>
      <w:rFonts w:eastAsia="Times New Roman"/>
      <w:lang w:eastAsia="de-DE"/>
    </w:rPr>
  </w:style>
  <w:style w:type="paragraph" w:styleId="ListNumber">
    <w:name w:val="List Number"/>
    <w:basedOn w:val="Normal"/>
    <w:rsid w:val="004655CA"/>
    <w:pPr>
      <w:numPr>
        <w:numId w:val="6"/>
      </w:numPr>
    </w:pPr>
    <w:rPr>
      <w:rFonts w:eastAsia="Times New Roman"/>
      <w:lang w:eastAsia="de-DE"/>
    </w:rPr>
  </w:style>
  <w:style w:type="paragraph" w:customStyle="1" w:styleId="ListBullet1">
    <w:name w:val="List Bullet 1"/>
    <w:basedOn w:val="Normal"/>
    <w:rsid w:val="004655CA"/>
    <w:pPr>
      <w:numPr>
        <w:numId w:val="1"/>
      </w:numPr>
    </w:pPr>
    <w:rPr>
      <w:rFonts w:eastAsia="Times New Roman"/>
      <w:lang w:eastAsia="de-DE"/>
    </w:rPr>
  </w:style>
  <w:style w:type="paragraph" w:customStyle="1" w:styleId="ListDash">
    <w:name w:val="List Dash"/>
    <w:basedOn w:val="Normal"/>
    <w:rsid w:val="004655CA"/>
    <w:pPr>
      <w:numPr>
        <w:numId w:val="3"/>
      </w:numPr>
    </w:pPr>
    <w:rPr>
      <w:rFonts w:eastAsia="Times New Roman"/>
      <w:lang w:eastAsia="de-DE"/>
    </w:rPr>
  </w:style>
  <w:style w:type="paragraph" w:customStyle="1" w:styleId="ListDash1">
    <w:name w:val="List Dash 1"/>
    <w:basedOn w:val="Normal"/>
    <w:rsid w:val="004655CA"/>
    <w:pPr>
      <w:numPr>
        <w:numId w:val="4"/>
      </w:numPr>
    </w:pPr>
    <w:rPr>
      <w:rFonts w:eastAsia="Times New Roman"/>
      <w:lang w:eastAsia="de-DE"/>
    </w:rPr>
  </w:style>
  <w:style w:type="paragraph" w:customStyle="1" w:styleId="ListDash2">
    <w:name w:val="List Dash 2"/>
    <w:basedOn w:val="Normal"/>
    <w:rsid w:val="004655CA"/>
    <w:pPr>
      <w:numPr>
        <w:numId w:val="5"/>
      </w:numPr>
    </w:pPr>
    <w:rPr>
      <w:rFonts w:eastAsia="Times New Roman"/>
      <w:lang w:eastAsia="de-DE"/>
    </w:rPr>
  </w:style>
  <w:style w:type="paragraph" w:customStyle="1" w:styleId="ListNumberLevel2">
    <w:name w:val="List Number (Level 2)"/>
    <w:basedOn w:val="Normal"/>
    <w:rsid w:val="004655CA"/>
    <w:pPr>
      <w:numPr>
        <w:ilvl w:val="1"/>
        <w:numId w:val="6"/>
      </w:numPr>
    </w:pPr>
    <w:rPr>
      <w:rFonts w:eastAsia="Times New Roman"/>
      <w:lang w:eastAsia="de-DE"/>
    </w:rPr>
  </w:style>
  <w:style w:type="paragraph" w:customStyle="1" w:styleId="ListNumberLevel3">
    <w:name w:val="List Number (Level 3)"/>
    <w:basedOn w:val="Normal"/>
    <w:rsid w:val="004655CA"/>
    <w:pPr>
      <w:numPr>
        <w:ilvl w:val="2"/>
        <w:numId w:val="6"/>
      </w:numPr>
    </w:pPr>
    <w:rPr>
      <w:rFonts w:eastAsia="Times New Roman"/>
      <w:lang w:eastAsia="de-DE"/>
    </w:rPr>
  </w:style>
  <w:style w:type="paragraph" w:customStyle="1" w:styleId="ListNumberLevel4">
    <w:name w:val="List Number (Level 4)"/>
    <w:basedOn w:val="Normal"/>
    <w:rsid w:val="004655CA"/>
    <w:pPr>
      <w:numPr>
        <w:ilvl w:val="3"/>
        <w:numId w:val="6"/>
      </w:numPr>
    </w:pPr>
    <w:rPr>
      <w:rFonts w:eastAsia="Times New Roman"/>
      <w:lang w:eastAsia="de-DE"/>
    </w:rPr>
  </w:style>
  <w:style w:type="table" w:styleId="TableGrid">
    <w:name w:val="Table Grid"/>
    <w:basedOn w:val="TableNormal"/>
    <w:uiPriority w:val="39"/>
    <w:rsid w:val="004655CA"/>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55CA"/>
    <w:rPr>
      <w:color w:val="0000FF"/>
      <w:u w:val="single"/>
    </w:rPr>
  </w:style>
  <w:style w:type="paragraph" w:styleId="ListBullet">
    <w:name w:val="List Bullet"/>
    <w:basedOn w:val="Normal"/>
    <w:rsid w:val="004655CA"/>
    <w:pPr>
      <w:numPr>
        <w:numId w:val="7"/>
      </w:numPr>
    </w:pPr>
    <w:rPr>
      <w:rFonts w:eastAsia="Times New Roman"/>
      <w:lang w:eastAsia="en-GB"/>
    </w:rPr>
  </w:style>
  <w:style w:type="paragraph" w:styleId="ListBullet2">
    <w:name w:val="List Bullet 2"/>
    <w:basedOn w:val="Normal"/>
    <w:rsid w:val="004655CA"/>
    <w:pPr>
      <w:numPr>
        <w:numId w:val="8"/>
      </w:numPr>
    </w:pPr>
    <w:rPr>
      <w:rFonts w:eastAsia="Times New Roman"/>
      <w:lang w:eastAsia="en-GB"/>
    </w:rPr>
  </w:style>
  <w:style w:type="paragraph" w:styleId="ListBullet3">
    <w:name w:val="List Bullet 3"/>
    <w:basedOn w:val="Normal"/>
    <w:rsid w:val="004655CA"/>
    <w:pPr>
      <w:numPr>
        <w:numId w:val="9"/>
      </w:numPr>
    </w:pPr>
    <w:rPr>
      <w:rFonts w:eastAsia="Times New Roman"/>
      <w:lang w:eastAsia="en-GB"/>
    </w:rPr>
  </w:style>
  <w:style w:type="paragraph" w:styleId="ListNumber2">
    <w:name w:val="List Number 2"/>
    <w:basedOn w:val="Normal"/>
    <w:rsid w:val="004655CA"/>
    <w:pPr>
      <w:numPr>
        <w:numId w:val="13"/>
      </w:numPr>
    </w:pPr>
    <w:rPr>
      <w:rFonts w:eastAsia="Times New Roman"/>
      <w:lang w:eastAsia="en-GB"/>
    </w:rPr>
  </w:style>
  <w:style w:type="paragraph" w:styleId="ListNumber3">
    <w:name w:val="List Number 3"/>
    <w:basedOn w:val="Normal"/>
    <w:rsid w:val="004655CA"/>
    <w:pPr>
      <w:numPr>
        <w:numId w:val="14"/>
      </w:numPr>
    </w:pPr>
    <w:rPr>
      <w:rFonts w:eastAsia="Times New Roman"/>
      <w:lang w:eastAsia="en-GB"/>
    </w:rPr>
  </w:style>
  <w:style w:type="paragraph" w:styleId="ListNumber4">
    <w:name w:val="List Number 4"/>
    <w:basedOn w:val="Normal"/>
    <w:rsid w:val="004655CA"/>
    <w:pPr>
      <w:numPr>
        <w:numId w:val="15"/>
      </w:numPr>
    </w:pPr>
    <w:rPr>
      <w:rFonts w:eastAsia="Times New Roman"/>
      <w:lang w:eastAsia="en-GB"/>
    </w:rPr>
  </w:style>
  <w:style w:type="paragraph" w:customStyle="1" w:styleId="ListDash3">
    <w:name w:val="List Dash 3"/>
    <w:basedOn w:val="Normal"/>
    <w:rsid w:val="004655CA"/>
    <w:pPr>
      <w:numPr>
        <w:numId w:val="10"/>
      </w:numPr>
    </w:pPr>
    <w:rPr>
      <w:rFonts w:eastAsia="Times New Roman"/>
      <w:lang w:eastAsia="en-GB"/>
    </w:rPr>
  </w:style>
  <w:style w:type="paragraph" w:customStyle="1" w:styleId="ListDash4">
    <w:name w:val="List Dash 4"/>
    <w:basedOn w:val="Normal"/>
    <w:rsid w:val="004655CA"/>
    <w:pPr>
      <w:numPr>
        <w:numId w:val="11"/>
      </w:numPr>
    </w:pPr>
    <w:rPr>
      <w:rFonts w:eastAsia="Times New Roman"/>
      <w:lang w:eastAsia="en-GB"/>
    </w:rPr>
  </w:style>
  <w:style w:type="paragraph" w:customStyle="1" w:styleId="ListNumber1">
    <w:name w:val="List Number 1"/>
    <w:basedOn w:val="Text1"/>
    <w:rsid w:val="004655CA"/>
    <w:pPr>
      <w:numPr>
        <w:numId w:val="12"/>
      </w:numPr>
    </w:pPr>
    <w:rPr>
      <w:rFonts w:eastAsia="Times New Roman"/>
      <w:lang w:eastAsia="en-GB"/>
    </w:rPr>
  </w:style>
  <w:style w:type="paragraph" w:customStyle="1" w:styleId="ListNumber1Level2">
    <w:name w:val="List Number 1 (Level 2)"/>
    <w:basedOn w:val="Text1"/>
    <w:rsid w:val="004655CA"/>
    <w:pPr>
      <w:numPr>
        <w:ilvl w:val="1"/>
        <w:numId w:val="12"/>
      </w:numPr>
    </w:pPr>
    <w:rPr>
      <w:rFonts w:eastAsia="Times New Roman"/>
      <w:lang w:eastAsia="en-GB"/>
    </w:rPr>
  </w:style>
  <w:style w:type="paragraph" w:customStyle="1" w:styleId="ListNumber2Level2">
    <w:name w:val="List Number 2 (Level 2)"/>
    <w:basedOn w:val="Text2"/>
    <w:rsid w:val="004655CA"/>
    <w:pPr>
      <w:numPr>
        <w:ilvl w:val="1"/>
        <w:numId w:val="13"/>
      </w:numPr>
    </w:pPr>
    <w:rPr>
      <w:rFonts w:eastAsia="Times New Roman"/>
      <w:lang w:eastAsia="en-GB"/>
    </w:rPr>
  </w:style>
  <w:style w:type="paragraph" w:customStyle="1" w:styleId="ListNumber3Level2">
    <w:name w:val="List Number 3 (Level 2)"/>
    <w:basedOn w:val="Text3"/>
    <w:rsid w:val="004655CA"/>
    <w:pPr>
      <w:numPr>
        <w:ilvl w:val="1"/>
        <w:numId w:val="14"/>
      </w:numPr>
    </w:pPr>
    <w:rPr>
      <w:rFonts w:eastAsia="Times New Roman"/>
      <w:lang w:eastAsia="en-GB"/>
    </w:rPr>
  </w:style>
  <w:style w:type="paragraph" w:customStyle="1" w:styleId="ListNumber4Level2">
    <w:name w:val="List Number 4 (Level 2)"/>
    <w:basedOn w:val="Text4"/>
    <w:rsid w:val="004655CA"/>
    <w:pPr>
      <w:numPr>
        <w:ilvl w:val="1"/>
        <w:numId w:val="15"/>
      </w:numPr>
    </w:pPr>
    <w:rPr>
      <w:rFonts w:eastAsia="Times New Roman"/>
      <w:lang w:eastAsia="en-GB"/>
    </w:rPr>
  </w:style>
  <w:style w:type="paragraph" w:customStyle="1" w:styleId="ListNumber1Level3">
    <w:name w:val="List Number 1 (Level 3)"/>
    <w:basedOn w:val="Text1"/>
    <w:rsid w:val="004655CA"/>
    <w:pPr>
      <w:numPr>
        <w:ilvl w:val="2"/>
        <w:numId w:val="12"/>
      </w:numPr>
    </w:pPr>
    <w:rPr>
      <w:rFonts w:eastAsia="Times New Roman"/>
      <w:lang w:eastAsia="en-GB"/>
    </w:rPr>
  </w:style>
  <w:style w:type="paragraph" w:customStyle="1" w:styleId="ListNumber2Level3">
    <w:name w:val="List Number 2 (Level 3)"/>
    <w:basedOn w:val="Text2"/>
    <w:rsid w:val="004655CA"/>
    <w:pPr>
      <w:numPr>
        <w:ilvl w:val="2"/>
        <w:numId w:val="13"/>
      </w:numPr>
    </w:pPr>
    <w:rPr>
      <w:rFonts w:eastAsia="Times New Roman"/>
      <w:lang w:eastAsia="en-GB"/>
    </w:rPr>
  </w:style>
  <w:style w:type="paragraph" w:customStyle="1" w:styleId="ListNumber3Level3">
    <w:name w:val="List Number 3 (Level 3)"/>
    <w:basedOn w:val="Text3"/>
    <w:rsid w:val="004655CA"/>
    <w:pPr>
      <w:numPr>
        <w:ilvl w:val="2"/>
        <w:numId w:val="14"/>
      </w:numPr>
    </w:pPr>
    <w:rPr>
      <w:rFonts w:eastAsia="Times New Roman"/>
      <w:lang w:eastAsia="en-GB"/>
    </w:rPr>
  </w:style>
  <w:style w:type="paragraph" w:customStyle="1" w:styleId="ListNumber4Level3">
    <w:name w:val="List Number 4 (Level 3)"/>
    <w:basedOn w:val="Text4"/>
    <w:rsid w:val="004655CA"/>
    <w:pPr>
      <w:numPr>
        <w:ilvl w:val="2"/>
        <w:numId w:val="15"/>
      </w:numPr>
    </w:pPr>
    <w:rPr>
      <w:rFonts w:eastAsia="Times New Roman"/>
      <w:lang w:eastAsia="en-GB"/>
    </w:rPr>
  </w:style>
  <w:style w:type="paragraph" w:customStyle="1" w:styleId="ListNumber1Level4">
    <w:name w:val="List Number 1 (Level 4)"/>
    <w:basedOn w:val="Text1"/>
    <w:rsid w:val="004655CA"/>
    <w:pPr>
      <w:numPr>
        <w:ilvl w:val="3"/>
        <w:numId w:val="12"/>
      </w:numPr>
    </w:pPr>
    <w:rPr>
      <w:rFonts w:eastAsia="Times New Roman"/>
      <w:lang w:eastAsia="en-GB"/>
    </w:rPr>
  </w:style>
  <w:style w:type="paragraph" w:customStyle="1" w:styleId="ListNumber2Level4">
    <w:name w:val="List Number 2 (Level 4)"/>
    <w:basedOn w:val="Text2"/>
    <w:rsid w:val="004655CA"/>
    <w:pPr>
      <w:numPr>
        <w:ilvl w:val="3"/>
        <w:numId w:val="13"/>
      </w:numPr>
    </w:pPr>
    <w:rPr>
      <w:rFonts w:eastAsia="Times New Roman"/>
      <w:lang w:eastAsia="en-GB"/>
    </w:rPr>
  </w:style>
  <w:style w:type="paragraph" w:customStyle="1" w:styleId="ListNumber3Level4">
    <w:name w:val="List Number 3 (Level 4)"/>
    <w:basedOn w:val="Text3"/>
    <w:rsid w:val="004655CA"/>
    <w:pPr>
      <w:numPr>
        <w:ilvl w:val="3"/>
        <w:numId w:val="14"/>
      </w:numPr>
    </w:pPr>
    <w:rPr>
      <w:rFonts w:eastAsia="Times New Roman"/>
      <w:lang w:eastAsia="en-GB"/>
    </w:rPr>
  </w:style>
  <w:style w:type="paragraph" w:customStyle="1" w:styleId="ListNumber4Level4">
    <w:name w:val="List Number 4 (Level 4)"/>
    <w:basedOn w:val="Text4"/>
    <w:rsid w:val="004655CA"/>
    <w:pPr>
      <w:numPr>
        <w:ilvl w:val="3"/>
        <w:numId w:val="15"/>
      </w:numPr>
    </w:pPr>
    <w:rPr>
      <w:rFonts w:eastAsia="Times New Roman"/>
      <w:lang w:eastAsia="en-GB"/>
    </w:rPr>
  </w:style>
  <w:style w:type="paragraph" w:customStyle="1" w:styleId="Annexetitreacte">
    <w:name w:val="Annexe titre (acte)"/>
    <w:basedOn w:val="Normal"/>
    <w:next w:val="Normal"/>
    <w:rsid w:val="004655CA"/>
    <w:pPr>
      <w:jc w:val="center"/>
    </w:pPr>
    <w:rPr>
      <w:rFonts w:eastAsia="Times New Roman"/>
      <w:b/>
      <w:u w:val="single"/>
      <w:lang w:eastAsia="en-GB"/>
    </w:rPr>
  </w:style>
  <w:style w:type="paragraph" w:customStyle="1" w:styleId="Annexetitreexposglobal">
    <w:name w:val="Annexe titre (exposé global)"/>
    <w:basedOn w:val="Normal"/>
    <w:next w:val="Normal"/>
    <w:rsid w:val="004655CA"/>
    <w:pPr>
      <w:jc w:val="center"/>
    </w:pPr>
    <w:rPr>
      <w:rFonts w:eastAsia="Times New Roman"/>
      <w:b/>
      <w:u w:val="single"/>
      <w:lang w:eastAsia="en-GB"/>
    </w:rPr>
  </w:style>
  <w:style w:type="paragraph" w:customStyle="1" w:styleId="Annexetitrefichefinacte">
    <w:name w:val="Annexe titre (fiche fin. acte)"/>
    <w:basedOn w:val="Normal"/>
    <w:next w:val="Normal"/>
    <w:rsid w:val="004655CA"/>
    <w:pPr>
      <w:jc w:val="center"/>
    </w:pPr>
    <w:rPr>
      <w:rFonts w:eastAsia="Times New Roman"/>
      <w:b/>
      <w:u w:val="single"/>
      <w:lang w:eastAsia="en-GB"/>
    </w:rPr>
  </w:style>
  <w:style w:type="paragraph" w:customStyle="1" w:styleId="Annexetitrefichefinglobale">
    <w:name w:val="Annexe titre (fiche fin. globale)"/>
    <w:basedOn w:val="Normal"/>
    <w:next w:val="Normal"/>
    <w:rsid w:val="004655CA"/>
    <w:pPr>
      <w:jc w:val="center"/>
    </w:pPr>
    <w:rPr>
      <w:rFonts w:eastAsia="Times New Roman"/>
      <w:b/>
      <w:u w:val="single"/>
      <w:lang w:eastAsia="en-GB"/>
    </w:rPr>
  </w:style>
  <w:style w:type="paragraph" w:customStyle="1" w:styleId="Annexetitreglobale">
    <w:name w:val="Annexe titre (globale)"/>
    <w:basedOn w:val="Normal"/>
    <w:next w:val="Normal"/>
    <w:rsid w:val="004655CA"/>
    <w:pPr>
      <w:jc w:val="center"/>
    </w:pPr>
    <w:rPr>
      <w:rFonts w:eastAsia="Times New Roman"/>
      <w:b/>
      <w:u w:val="single"/>
      <w:lang w:eastAsia="en-GB"/>
    </w:rPr>
  </w:style>
  <w:style w:type="paragraph" w:customStyle="1" w:styleId="Exposdesmotifstitreglobal">
    <w:name w:val="Exposé des motifs titre (global)"/>
    <w:basedOn w:val="Normal"/>
    <w:next w:val="Normal"/>
    <w:rsid w:val="004655CA"/>
    <w:pPr>
      <w:jc w:val="center"/>
    </w:pPr>
    <w:rPr>
      <w:rFonts w:eastAsia="Times New Roman"/>
      <w:b/>
      <w:u w:val="single"/>
      <w:lang w:eastAsia="en-GB"/>
    </w:rPr>
  </w:style>
  <w:style w:type="paragraph" w:customStyle="1" w:styleId="Langueoriginale">
    <w:name w:val="Langue originale"/>
    <w:basedOn w:val="Normal"/>
    <w:rsid w:val="004655CA"/>
    <w:pPr>
      <w:spacing w:before="360"/>
      <w:jc w:val="center"/>
    </w:pPr>
    <w:rPr>
      <w:rFonts w:eastAsia="Times New Roman"/>
      <w:caps/>
      <w:lang w:eastAsia="en-GB"/>
    </w:rPr>
  </w:style>
  <w:style w:type="paragraph" w:customStyle="1" w:styleId="Phrasefinale">
    <w:name w:val="Phrase finale"/>
    <w:basedOn w:val="Normal"/>
    <w:next w:val="Normal"/>
    <w:rsid w:val="004655CA"/>
    <w:pPr>
      <w:spacing w:before="360" w:after="0"/>
      <w:jc w:val="center"/>
    </w:pPr>
    <w:rPr>
      <w:rFonts w:eastAsia="Times New Roman"/>
      <w:lang w:eastAsia="en-GB"/>
    </w:rPr>
  </w:style>
  <w:style w:type="paragraph" w:customStyle="1" w:styleId="Prliminairetitre">
    <w:name w:val="Préliminaire titre"/>
    <w:basedOn w:val="Normal"/>
    <w:next w:val="Normal"/>
    <w:rsid w:val="004655CA"/>
    <w:pPr>
      <w:spacing w:before="360" w:after="360"/>
      <w:jc w:val="center"/>
    </w:pPr>
    <w:rPr>
      <w:rFonts w:eastAsia="Times New Roman"/>
      <w:b/>
      <w:lang w:eastAsia="en-GB"/>
    </w:rPr>
  </w:style>
  <w:style w:type="paragraph" w:customStyle="1" w:styleId="Prliminairetype">
    <w:name w:val="Préliminaire type"/>
    <w:basedOn w:val="Normal"/>
    <w:next w:val="Normal"/>
    <w:rsid w:val="004655CA"/>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655CA"/>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655CA"/>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655CA"/>
    <w:pPr>
      <w:spacing w:before="0" w:after="0"/>
      <w:ind w:left="5103"/>
      <w:jc w:val="left"/>
    </w:pPr>
    <w:rPr>
      <w:rFonts w:eastAsia="Times New Roman"/>
      <w:lang w:eastAsia="en-GB"/>
    </w:rPr>
  </w:style>
  <w:style w:type="paragraph" w:customStyle="1" w:styleId="Sous-titreobjetprliminaire">
    <w:name w:val="Sous-titre objet (préliminaire)"/>
    <w:basedOn w:val="Normal"/>
    <w:rsid w:val="004655CA"/>
    <w:pPr>
      <w:spacing w:before="0" w:after="0"/>
      <w:jc w:val="center"/>
    </w:pPr>
    <w:rPr>
      <w:rFonts w:eastAsia="Times New Roman"/>
      <w:b/>
      <w:lang w:eastAsia="en-GB"/>
    </w:rPr>
  </w:style>
  <w:style w:type="paragraph" w:customStyle="1" w:styleId="Statutprliminaire">
    <w:name w:val="Statut (préliminaire)"/>
    <w:basedOn w:val="Normal"/>
    <w:next w:val="Normal"/>
    <w:rsid w:val="004655CA"/>
    <w:pPr>
      <w:spacing w:before="360" w:after="0"/>
      <w:jc w:val="center"/>
    </w:pPr>
    <w:rPr>
      <w:rFonts w:eastAsia="Times New Roman"/>
      <w:lang w:eastAsia="en-GB"/>
    </w:rPr>
  </w:style>
  <w:style w:type="paragraph" w:customStyle="1" w:styleId="Titreobjetprliminaire">
    <w:name w:val="Titre objet (préliminaire)"/>
    <w:basedOn w:val="Normal"/>
    <w:next w:val="Normal"/>
    <w:rsid w:val="004655CA"/>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655CA"/>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655CA"/>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655CA"/>
    <w:pPr>
      <w:jc w:val="center"/>
    </w:pPr>
    <w:rPr>
      <w:rFonts w:eastAsia="Times New Roman"/>
      <w:b/>
      <w:u w:val="single"/>
      <w:lang w:eastAsia="en-GB"/>
    </w:rPr>
  </w:style>
  <w:style w:type="paragraph" w:customStyle="1" w:styleId="Fichefinanciretravailtitre">
    <w:name w:val="Fiche financière (travail) titre"/>
    <w:basedOn w:val="Normal"/>
    <w:next w:val="Normal"/>
    <w:rsid w:val="004655CA"/>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655CA"/>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655CA"/>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655CA"/>
    <w:pPr>
      <w:jc w:val="center"/>
    </w:pPr>
    <w:rPr>
      <w:rFonts w:eastAsia="Times New Roman"/>
      <w:b/>
      <w:u w:val="single"/>
      <w:lang w:eastAsia="en-GB"/>
    </w:rPr>
  </w:style>
  <w:style w:type="character" w:styleId="CommentReference">
    <w:name w:val="annotation reference"/>
    <w:rsid w:val="004655CA"/>
    <w:rPr>
      <w:rFonts w:cs="Times New Roman"/>
      <w:sz w:val="16"/>
      <w:szCs w:val="16"/>
    </w:rPr>
  </w:style>
  <w:style w:type="paragraph" w:styleId="CommentText">
    <w:name w:val="annotation text"/>
    <w:basedOn w:val="Normal"/>
    <w:link w:val="CommentTextChar"/>
    <w:rsid w:val="004655CA"/>
    <w:rPr>
      <w:rFonts w:eastAsia="Times New Roman"/>
      <w:sz w:val="20"/>
      <w:szCs w:val="20"/>
      <w:lang w:eastAsia="en-GB"/>
    </w:rPr>
  </w:style>
  <w:style w:type="character" w:customStyle="1" w:styleId="CommentTextChar">
    <w:name w:val="Comment Text Char"/>
    <w:basedOn w:val="DefaultParagraphFont"/>
    <w:link w:val="CommentText"/>
    <w:rsid w:val="004655CA"/>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sid w:val="004655CA"/>
    <w:rPr>
      <w:b/>
      <w:bCs/>
    </w:rPr>
  </w:style>
  <w:style w:type="character" w:customStyle="1" w:styleId="CommentSubjectChar">
    <w:name w:val="Comment Subject Char"/>
    <w:basedOn w:val="CommentTextChar"/>
    <w:link w:val="CommentSubject"/>
    <w:rsid w:val="004655CA"/>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sid w:val="004655CA"/>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4655CA"/>
    <w:rPr>
      <w:rFonts w:ascii="Tahoma" w:eastAsia="Times New Roman" w:hAnsi="Tahoma" w:cs="Tahoma"/>
      <w:sz w:val="16"/>
      <w:szCs w:val="16"/>
      <w:lang w:val="pl-PL" w:eastAsia="en-GB"/>
    </w:rPr>
  </w:style>
  <w:style w:type="paragraph" w:styleId="Caption">
    <w:name w:val="caption"/>
    <w:basedOn w:val="Normal"/>
    <w:next w:val="Normal"/>
    <w:qFormat/>
    <w:rsid w:val="004655CA"/>
    <w:rPr>
      <w:rFonts w:eastAsia="Times New Roman"/>
      <w:b/>
      <w:bCs/>
      <w:sz w:val="20"/>
      <w:szCs w:val="20"/>
      <w:lang w:eastAsia="en-GB"/>
    </w:rPr>
  </w:style>
  <w:style w:type="paragraph" w:styleId="TableofFigures">
    <w:name w:val="table of figures"/>
    <w:basedOn w:val="Normal"/>
    <w:next w:val="Normal"/>
    <w:rsid w:val="004655CA"/>
    <w:rPr>
      <w:rFonts w:eastAsia="Times New Roman"/>
      <w:lang w:eastAsia="en-GB"/>
    </w:rPr>
  </w:style>
  <w:style w:type="character" w:styleId="PageNumber">
    <w:name w:val="page number"/>
    <w:rsid w:val="004655CA"/>
  </w:style>
  <w:style w:type="character" w:customStyle="1" w:styleId="tw4winMark">
    <w:name w:val="tw4winMark"/>
    <w:rsid w:val="004655CA"/>
    <w:rPr>
      <w:vanish/>
      <w:color w:val="800080"/>
      <w:vertAlign w:val="subscript"/>
    </w:rPr>
  </w:style>
  <w:style w:type="character" w:styleId="FollowedHyperlink">
    <w:name w:val="FollowedHyperlink"/>
    <w:rsid w:val="004655CA"/>
    <w:rPr>
      <w:color w:val="800080"/>
      <w:u w:val="single"/>
    </w:rPr>
  </w:style>
  <w:style w:type="paragraph" w:customStyle="1" w:styleId="Sous-titreobjet">
    <w:name w:val="Sous-titre objet"/>
    <w:basedOn w:val="Normal"/>
    <w:rsid w:val="004655C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655CA"/>
  </w:style>
  <w:style w:type="paragraph" w:styleId="Revision">
    <w:name w:val="Revision"/>
    <w:hidden/>
    <w:uiPriority w:val="99"/>
    <w:semiHidden/>
    <w:rsid w:val="004655CA"/>
    <w:rPr>
      <w:rFonts w:ascii="Calibri" w:eastAsia="Calibri" w:hAnsi="Calibri" w:cs="Times New Roman"/>
      <w:sz w:val="24"/>
      <w:lang w:eastAsia="en-GB"/>
    </w:rPr>
  </w:style>
  <w:style w:type="paragraph" w:customStyle="1" w:styleId="FooterCoverPage">
    <w:name w:val="Footer Cover Page"/>
    <w:basedOn w:val="Normal"/>
    <w:link w:val="FooterCoverPageChar"/>
    <w:rsid w:val="004655C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4655CA"/>
    <w:rPr>
      <w:rFonts w:ascii="Times New Roman" w:hAnsi="Times New Roman" w:cs="Times New Roman"/>
      <w:b/>
      <w:sz w:val="28"/>
      <w:lang w:val="pl-PL"/>
    </w:rPr>
  </w:style>
  <w:style w:type="character" w:customStyle="1" w:styleId="FooterCoverPageChar">
    <w:name w:val="Footer Cover Page Char"/>
    <w:link w:val="FooterCoverPage"/>
    <w:rsid w:val="004655CA"/>
    <w:rPr>
      <w:rFonts w:ascii="Times New Roman" w:eastAsia="Calibri" w:hAnsi="Times New Roman" w:cs="Times New Roman"/>
      <w:sz w:val="24"/>
      <w:lang w:val="pl-PL" w:eastAsia="en-GB"/>
    </w:rPr>
  </w:style>
  <w:style w:type="paragraph" w:customStyle="1" w:styleId="HeaderCoverPage">
    <w:name w:val="Header Cover Page"/>
    <w:basedOn w:val="Normal"/>
    <w:link w:val="HeaderCoverPageChar"/>
    <w:rsid w:val="004655C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4655CA"/>
    <w:rPr>
      <w:rFonts w:ascii="Times New Roman" w:eastAsia="Calibri" w:hAnsi="Times New Roman" w:cs="Times New Roman"/>
      <w:sz w:val="24"/>
      <w:lang w:val="pl-PL" w:eastAsia="en-GB"/>
    </w:rPr>
  </w:style>
  <w:style w:type="character" w:customStyle="1" w:styleId="FooterSensitivityChar">
    <w:name w:val="Footer Sensitivity Char"/>
    <w:rsid w:val="004655CA"/>
    <w:rPr>
      <w:rFonts w:ascii="Times New Roman" w:hAnsi="Times New Roman" w:cs="Times New Roman"/>
      <w:b/>
      <w:sz w:val="32"/>
      <w:lang w:val="pl-PL"/>
    </w:rPr>
  </w:style>
  <w:style w:type="character" w:customStyle="1" w:styleId="HeaderSensitivityChar">
    <w:name w:val="Header Sensitivity Char"/>
    <w:rsid w:val="004655CA"/>
    <w:rPr>
      <w:rFonts w:ascii="Times New Roman" w:hAnsi="Times New Roman" w:cs="Times New Roman"/>
      <w:b/>
      <w:sz w:val="32"/>
      <w:lang w:val="pl-PL"/>
    </w:rPr>
  </w:style>
  <w:style w:type="character" w:customStyle="1" w:styleId="HeaderSensitivityRightChar">
    <w:name w:val="Header Sensitivity Right Char"/>
    <w:rsid w:val="004655CA"/>
    <w:rPr>
      <w:rFonts w:ascii="Times New Roman" w:hAnsi="Times New Roman" w:cs="Times New Roman"/>
      <w:sz w:val="28"/>
      <w:lang w:val="pl-PL"/>
    </w:rPr>
  </w:style>
  <w:style w:type="paragraph" w:customStyle="1" w:styleId="LegalNumPar">
    <w:name w:val="LegalNumPar"/>
    <w:basedOn w:val="Normal"/>
    <w:rsid w:val="004655CA"/>
    <w:pPr>
      <w:numPr>
        <w:numId w:val="16"/>
      </w:numPr>
      <w:spacing w:line="360" w:lineRule="auto"/>
    </w:pPr>
    <w:rPr>
      <w:rFonts w:eastAsia="Times New Roman"/>
      <w:lang w:eastAsia="en-GB"/>
    </w:rPr>
  </w:style>
  <w:style w:type="paragraph" w:customStyle="1" w:styleId="LegalNumPar2">
    <w:name w:val="LegalNumPar2"/>
    <w:basedOn w:val="Normal"/>
    <w:rsid w:val="004655CA"/>
    <w:pPr>
      <w:numPr>
        <w:ilvl w:val="1"/>
        <w:numId w:val="16"/>
      </w:numPr>
      <w:spacing w:line="360" w:lineRule="auto"/>
    </w:pPr>
    <w:rPr>
      <w:rFonts w:eastAsia="Times New Roman"/>
      <w:lang w:eastAsia="en-GB"/>
    </w:rPr>
  </w:style>
  <w:style w:type="paragraph" w:customStyle="1" w:styleId="LegalNumPar3">
    <w:name w:val="LegalNumPar3"/>
    <w:basedOn w:val="Normal"/>
    <w:rsid w:val="004655CA"/>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4655CA"/>
    <w:pPr>
      <w:ind w:left="720"/>
      <w:contextualSpacing/>
    </w:pPr>
    <w:rPr>
      <w:rFonts w:eastAsia="Times New Roman"/>
      <w:lang w:eastAsia="en-GB"/>
    </w:rPr>
  </w:style>
  <w:style w:type="character" w:customStyle="1" w:styleId="UnresolvedMention">
    <w:name w:val="Unresolved Mention"/>
    <w:basedOn w:val="DefaultParagraphFont"/>
    <w:uiPriority w:val="99"/>
    <w:semiHidden/>
    <w:unhideWhenUsed/>
    <w:rsid w:val="004655CA"/>
    <w:rPr>
      <w:color w:val="605E5C"/>
      <w:shd w:val="clear" w:color="auto" w:fill="E1DFDD"/>
    </w:rPr>
  </w:style>
  <w:style w:type="character" w:styleId="Strong">
    <w:name w:val="Strong"/>
    <w:basedOn w:val="DefaultParagraphFont"/>
    <w:qFormat/>
    <w:rsid w:val="004655CA"/>
    <w:rPr>
      <w:b/>
      <w:bCs/>
    </w:rPr>
  </w:style>
  <w:style w:type="character" w:styleId="Emphasis">
    <w:name w:val="Emphasis"/>
    <w:basedOn w:val="DefaultParagraphFont"/>
    <w:qFormat/>
    <w:rsid w:val="004655CA"/>
    <w:rPr>
      <w:i/>
      <w:iCs/>
    </w:rPr>
  </w:style>
  <w:style w:type="character" w:customStyle="1" w:styleId="Mention">
    <w:name w:val="Mention"/>
    <w:basedOn w:val="DefaultParagraphFont"/>
    <w:uiPriority w:val="99"/>
    <w:unhideWhenUsed/>
    <w:rsid w:val="004655CA"/>
    <w:rPr>
      <w:color w:val="2B579A"/>
      <w:shd w:val="clear" w:color="auto" w:fill="E1DFDD"/>
    </w:rPr>
  </w:style>
  <w:style w:type="character" w:customStyle="1" w:styleId="normaltextrun">
    <w:name w:val="normaltextrun"/>
    <w:basedOn w:val="DefaultParagraphFont"/>
    <w:rsid w:val="004655CA"/>
  </w:style>
  <w:style w:type="character" w:customStyle="1" w:styleId="eop">
    <w:name w:val="eop"/>
    <w:basedOn w:val="DefaultParagraphFont"/>
    <w:rsid w:val="004655CA"/>
  </w:style>
  <w:style w:type="paragraph" w:customStyle="1" w:styleId="oj-normal">
    <w:name w:val="oj-normal"/>
    <w:basedOn w:val="Normal"/>
    <w:rsid w:val="00571BA4"/>
    <w:pPr>
      <w:spacing w:before="100" w:beforeAutospacing="1" w:after="100" w:afterAutospacing="1"/>
      <w:jc w:val="left"/>
    </w:pPr>
    <w:rPr>
      <w:rFonts w:eastAsia="Times New Roman"/>
      <w:szCs w:val="24"/>
      <w:lang w:eastAsia="en-IE"/>
    </w:rPr>
  </w:style>
  <w:style w:type="character" w:customStyle="1" w:styleId="HeaderChar">
    <w:name w:val="Header Char"/>
    <w:basedOn w:val="DefaultParagraphFont"/>
    <w:link w:val="Header"/>
    <w:uiPriority w:val="99"/>
    <w:rsid w:val="006D6E16"/>
    <w:rPr>
      <w:rFonts w:ascii="Times New Roman" w:hAnsi="Times New Roman" w:cs="Times New Roman"/>
      <w:sz w:val="24"/>
      <w:lang w:val="pl-PL"/>
    </w:rPr>
  </w:style>
  <w:style w:type="character" w:customStyle="1" w:styleId="FooterChar">
    <w:name w:val="Footer Char"/>
    <w:basedOn w:val="DefaultParagraphFont"/>
    <w:link w:val="Footer"/>
    <w:uiPriority w:val="99"/>
    <w:rsid w:val="006D6E16"/>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D6E1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D6E16"/>
    <w:pPr>
      <w:spacing w:before="0"/>
      <w:jc w:val="right"/>
    </w:pPr>
    <w:rPr>
      <w:sz w:val="28"/>
    </w:rPr>
  </w:style>
  <w:style w:type="paragraph" w:customStyle="1" w:styleId="FooterSensitivity">
    <w:name w:val="Footer Sensitivity"/>
    <w:basedOn w:val="Normal"/>
    <w:rsid w:val="006D6E1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D6E16"/>
    <w:pPr>
      <w:tabs>
        <w:tab w:val="center" w:pos="4535"/>
        <w:tab w:val="right" w:pos="9071"/>
      </w:tabs>
      <w:spacing w:before="0"/>
    </w:pPr>
  </w:style>
  <w:style w:type="paragraph" w:customStyle="1" w:styleId="HeaderLandscape">
    <w:name w:val="HeaderLandscape"/>
    <w:basedOn w:val="Normal"/>
    <w:rsid w:val="006D6E16"/>
    <w:pPr>
      <w:tabs>
        <w:tab w:val="center" w:pos="7285"/>
        <w:tab w:val="right" w:pos="14003"/>
      </w:tabs>
      <w:spacing w:before="0"/>
    </w:pPr>
  </w:style>
  <w:style w:type="paragraph" w:styleId="Footer">
    <w:name w:val="footer"/>
    <w:basedOn w:val="Normal"/>
    <w:link w:val="FooterChar"/>
    <w:uiPriority w:val="99"/>
    <w:unhideWhenUsed/>
    <w:rsid w:val="006D6E16"/>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D6E16"/>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248">
      <w:bodyDiv w:val="1"/>
      <w:marLeft w:val="0"/>
      <w:marRight w:val="0"/>
      <w:marTop w:val="0"/>
      <w:marBottom w:val="0"/>
      <w:divBdr>
        <w:top w:val="none" w:sz="0" w:space="0" w:color="auto"/>
        <w:left w:val="none" w:sz="0" w:space="0" w:color="auto"/>
        <w:bottom w:val="none" w:sz="0" w:space="0" w:color="auto"/>
        <w:right w:val="none" w:sz="0" w:space="0" w:color="auto"/>
      </w:divBdr>
    </w:div>
    <w:div w:id="251089169">
      <w:bodyDiv w:val="1"/>
      <w:marLeft w:val="0"/>
      <w:marRight w:val="0"/>
      <w:marTop w:val="0"/>
      <w:marBottom w:val="0"/>
      <w:divBdr>
        <w:top w:val="none" w:sz="0" w:space="0" w:color="auto"/>
        <w:left w:val="none" w:sz="0" w:space="0" w:color="auto"/>
        <w:bottom w:val="none" w:sz="0" w:space="0" w:color="auto"/>
        <w:right w:val="none" w:sz="0" w:space="0" w:color="auto"/>
      </w:divBdr>
    </w:div>
    <w:div w:id="409155143">
      <w:bodyDiv w:val="1"/>
      <w:marLeft w:val="0"/>
      <w:marRight w:val="0"/>
      <w:marTop w:val="0"/>
      <w:marBottom w:val="0"/>
      <w:divBdr>
        <w:top w:val="none" w:sz="0" w:space="0" w:color="auto"/>
        <w:left w:val="none" w:sz="0" w:space="0" w:color="auto"/>
        <w:bottom w:val="none" w:sz="0" w:space="0" w:color="auto"/>
        <w:right w:val="none" w:sz="0" w:space="0" w:color="auto"/>
      </w:divBdr>
    </w:div>
    <w:div w:id="453405830">
      <w:bodyDiv w:val="1"/>
      <w:marLeft w:val="0"/>
      <w:marRight w:val="0"/>
      <w:marTop w:val="0"/>
      <w:marBottom w:val="0"/>
      <w:divBdr>
        <w:top w:val="none" w:sz="0" w:space="0" w:color="auto"/>
        <w:left w:val="none" w:sz="0" w:space="0" w:color="auto"/>
        <w:bottom w:val="none" w:sz="0" w:space="0" w:color="auto"/>
        <w:right w:val="none" w:sz="0" w:space="0" w:color="auto"/>
      </w:divBdr>
    </w:div>
    <w:div w:id="454569961">
      <w:bodyDiv w:val="1"/>
      <w:marLeft w:val="0"/>
      <w:marRight w:val="0"/>
      <w:marTop w:val="0"/>
      <w:marBottom w:val="0"/>
      <w:divBdr>
        <w:top w:val="none" w:sz="0" w:space="0" w:color="auto"/>
        <w:left w:val="none" w:sz="0" w:space="0" w:color="auto"/>
        <w:bottom w:val="none" w:sz="0" w:space="0" w:color="auto"/>
        <w:right w:val="none" w:sz="0" w:space="0" w:color="auto"/>
      </w:divBdr>
    </w:div>
    <w:div w:id="909770837">
      <w:bodyDiv w:val="1"/>
      <w:marLeft w:val="0"/>
      <w:marRight w:val="0"/>
      <w:marTop w:val="0"/>
      <w:marBottom w:val="0"/>
      <w:divBdr>
        <w:top w:val="none" w:sz="0" w:space="0" w:color="auto"/>
        <w:left w:val="none" w:sz="0" w:space="0" w:color="auto"/>
        <w:bottom w:val="none" w:sz="0" w:space="0" w:color="auto"/>
        <w:right w:val="none" w:sz="0" w:space="0" w:color="auto"/>
      </w:divBdr>
    </w:div>
    <w:div w:id="971834279">
      <w:bodyDiv w:val="1"/>
      <w:marLeft w:val="0"/>
      <w:marRight w:val="0"/>
      <w:marTop w:val="0"/>
      <w:marBottom w:val="0"/>
      <w:divBdr>
        <w:top w:val="none" w:sz="0" w:space="0" w:color="auto"/>
        <w:left w:val="none" w:sz="0" w:space="0" w:color="auto"/>
        <w:bottom w:val="none" w:sz="0" w:space="0" w:color="auto"/>
        <w:right w:val="none" w:sz="0" w:space="0" w:color="auto"/>
      </w:divBdr>
    </w:div>
    <w:div w:id="1004091160">
      <w:bodyDiv w:val="1"/>
      <w:marLeft w:val="0"/>
      <w:marRight w:val="0"/>
      <w:marTop w:val="0"/>
      <w:marBottom w:val="0"/>
      <w:divBdr>
        <w:top w:val="none" w:sz="0" w:space="0" w:color="auto"/>
        <w:left w:val="none" w:sz="0" w:space="0" w:color="auto"/>
        <w:bottom w:val="none" w:sz="0" w:space="0" w:color="auto"/>
        <w:right w:val="none" w:sz="0" w:space="0" w:color="auto"/>
      </w:divBdr>
    </w:div>
    <w:div w:id="1124039447">
      <w:bodyDiv w:val="1"/>
      <w:marLeft w:val="0"/>
      <w:marRight w:val="0"/>
      <w:marTop w:val="0"/>
      <w:marBottom w:val="0"/>
      <w:divBdr>
        <w:top w:val="none" w:sz="0" w:space="0" w:color="auto"/>
        <w:left w:val="none" w:sz="0" w:space="0" w:color="auto"/>
        <w:bottom w:val="none" w:sz="0" w:space="0" w:color="auto"/>
        <w:right w:val="none" w:sz="0" w:space="0" w:color="auto"/>
      </w:divBdr>
    </w:div>
    <w:div w:id="1392803593">
      <w:bodyDiv w:val="1"/>
      <w:marLeft w:val="0"/>
      <w:marRight w:val="0"/>
      <w:marTop w:val="0"/>
      <w:marBottom w:val="0"/>
      <w:divBdr>
        <w:top w:val="none" w:sz="0" w:space="0" w:color="auto"/>
        <w:left w:val="none" w:sz="0" w:space="0" w:color="auto"/>
        <w:bottom w:val="none" w:sz="0" w:space="0" w:color="auto"/>
        <w:right w:val="none" w:sz="0" w:space="0" w:color="auto"/>
      </w:divBdr>
    </w:div>
    <w:div w:id="1516111275">
      <w:bodyDiv w:val="1"/>
      <w:marLeft w:val="0"/>
      <w:marRight w:val="0"/>
      <w:marTop w:val="0"/>
      <w:marBottom w:val="0"/>
      <w:divBdr>
        <w:top w:val="none" w:sz="0" w:space="0" w:color="auto"/>
        <w:left w:val="none" w:sz="0" w:space="0" w:color="auto"/>
        <w:bottom w:val="none" w:sz="0" w:space="0" w:color="auto"/>
        <w:right w:val="none" w:sz="0" w:space="0" w:color="auto"/>
      </w:divBdr>
      <w:divsChild>
        <w:div w:id="1239635336">
          <w:marLeft w:val="0"/>
          <w:marRight w:val="0"/>
          <w:marTop w:val="0"/>
          <w:marBottom w:val="0"/>
          <w:divBdr>
            <w:top w:val="none" w:sz="0" w:space="0" w:color="auto"/>
            <w:left w:val="none" w:sz="0" w:space="0" w:color="auto"/>
            <w:bottom w:val="none" w:sz="0" w:space="0" w:color="auto"/>
            <w:right w:val="none" w:sz="0" w:space="0" w:color="auto"/>
          </w:divBdr>
        </w:div>
        <w:div w:id="1797026453">
          <w:marLeft w:val="0"/>
          <w:marRight w:val="0"/>
          <w:marTop w:val="0"/>
          <w:marBottom w:val="0"/>
          <w:divBdr>
            <w:top w:val="none" w:sz="0" w:space="0" w:color="auto"/>
            <w:left w:val="none" w:sz="0" w:space="0" w:color="auto"/>
            <w:bottom w:val="none" w:sz="0" w:space="0" w:color="auto"/>
            <w:right w:val="none" w:sz="0" w:space="0" w:color="auto"/>
          </w:divBdr>
        </w:div>
        <w:div w:id="1817649456">
          <w:marLeft w:val="0"/>
          <w:marRight w:val="0"/>
          <w:marTop w:val="0"/>
          <w:marBottom w:val="0"/>
          <w:divBdr>
            <w:top w:val="none" w:sz="0" w:space="0" w:color="auto"/>
            <w:left w:val="none" w:sz="0" w:space="0" w:color="auto"/>
            <w:bottom w:val="none" w:sz="0" w:space="0" w:color="auto"/>
            <w:right w:val="none" w:sz="0" w:space="0" w:color="auto"/>
          </w:divBdr>
          <w:divsChild>
            <w:div w:id="18942533">
              <w:marLeft w:val="0"/>
              <w:marRight w:val="0"/>
              <w:marTop w:val="0"/>
              <w:marBottom w:val="0"/>
              <w:divBdr>
                <w:top w:val="none" w:sz="0" w:space="0" w:color="auto"/>
                <w:left w:val="none" w:sz="0" w:space="0" w:color="auto"/>
                <w:bottom w:val="none" w:sz="0" w:space="0" w:color="auto"/>
                <w:right w:val="none" w:sz="0" w:space="0" w:color="auto"/>
              </w:divBdr>
            </w:div>
            <w:div w:id="206796632">
              <w:marLeft w:val="0"/>
              <w:marRight w:val="0"/>
              <w:marTop w:val="0"/>
              <w:marBottom w:val="0"/>
              <w:divBdr>
                <w:top w:val="none" w:sz="0" w:space="0" w:color="auto"/>
                <w:left w:val="none" w:sz="0" w:space="0" w:color="auto"/>
                <w:bottom w:val="none" w:sz="0" w:space="0" w:color="auto"/>
                <w:right w:val="none" w:sz="0" w:space="0" w:color="auto"/>
              </w:divBdr>
            </w:div>
            <w:div w:id="457601281">
              <w:marLeft w:val="0"/>
              <w:marRight w:val="0"/>
              <w:marTop w:val="0"/>
              <w:marBottom w:val="0"/>
              <w:divBdr>
                <w:top w:val="none" w:sz="0" w:space="0" w:color="auto"/>
                <w:left w:val="none" w:sz="0" w:space="0" w:color="auto"/>
                <w:bottom w:val="none" w:sz="0" w:space="0" w:color="auto"/>
                <w:right w:val="none" w:sz="0" w:space="0" w:color="auto"/>
              </w:divBdr>
            </w:div>
            <w:div w:id="474762993">
              <w:marLeft w:val="0"/>
              <w:marRight w:val="0"/>
              <w:marTop w:val="0"/>
              <w:marBottom w:val="0"/>
              <w:divBdr>
                <w:top w:val="none" w:sz="0" w:space="0" w:color="auto"/>
                <w:left w:val="none" w:sz="0" w:space="0" w:color="auto"/>
                <w:bottom w:val="none" w:sz="0" w:space="0" w:color="auto"/>
                <w:right w:val="none" w:sz="0" w:space="0" w:color="auto"/>
              </w:divBdr>
            </w:div>
            <w:div w:id="520634010">
              <w:marLeft w:val="0"/>
              <w:marRight w:val="0"/>
              <w:marTop w:val="0"/>
              <w:marBottom w:val="0"/>
              <w:divBdr>
                <w:top w:val="none" w:sz="0" w:space="0" w:color="auto"/>
                <w:left w:val="none" w:sz="0" w:space="0" w:color="auto"/>
                <w:bottom w:val="none" w:sz="0" w:space="0" w:color="auto"/>
                <w:right w:val="none" w:sz="0" w:space="0" w:color="auto"/>
              </w:divBdr>
            </w:div>
            <w:div w:id="664672741">
              <w:marLeft w:val="0"/>
              <w:marRight w:val="0"/>
              <w:marTop w:val="0"/>
              <w:marBottom w:val="0"/>
              <w:divBdr>
                <w:top w:val="none" w:sz="0" w:space="0" w:color="auto"/>
                <w:left w:val="none" w:sz="0" w:space="0" w:color="auto"/>
                <w:bottom w:val="none" w:sz="0" w:space="0" w:color="auto"/>
                <w:right w:val="none" w:sz="0" w:space="0" w:color="auto"/>
              </w:divBdr>
            </w:div>
            <w:div w:id="931205685">
              <w:marLeft w:val="0"/>
              <w:marRight w:val="0"/>
              <w:marTop w:val="0"/>
              <w:marBottom w:val="0"/>
              <w:divBdr>
                <w:top w:val="none" w:sz="0" w:space="0" w:color="auto"/>
                <w:left w:val="none" w:sz="0" w:space="0" w:color="auto"/>
                <w:bottom w:val="none" w:sz="0" w:space="0" w:color="auto"/>
                <w:right w:val="none" w:sz="0" w:space="0" w:color="auto"/>
              </w:divBdr>
            </w:div>
            <w:div w:id="1121458505">
              <w:marLeft w:val="0"/>
              <w:marRight w:val="0"/>
              <w:marTop w:val="0"/>
              <w:marBottom w:val="0"/>
              <w:divBdr>
                <w:top w:val="none" w:sz="0" w:space="0" w:color="auto"/>
                <w:left w:val="none" w:sz="0" w:space="0" w:color="auto"/>
                <w:bottom w:val="none" w:sz="0" w:space="0" w:color="auto"/>
                <w:right w:val="none" w:sz="0" w:space="0" w:color="auto"/>
              </w:divBdr>
            </w:div>
            <w:div w:id="1201089307">
              <w:marLeft w:val="0"/>
              <w:marRight w:val="0"/>
              <w:marTop w:val="0"/>
              <w:marBottom w:val="0"/>
              <w:divBdr>
                <w:top w:val="none" w:sz="0" w:space="0" w:color="auto"/>
                <w:left w:val="none" w:sz="0" w:space="0" w:color="auto"/>
                <w:bottom w:val="none" w:sz="0" w:space="0" w:color="auto"/>
                <w:right w:val="none" w:sz="0" w:space="0" w:color="auto"/>
              </w:divBdr>
            </w:div>
            <w:div w:id="1210262792">
              <w:marLeft w:val="0"/>
              <w:marRight w:val="0"/>
              <w:marTop w:val="0"/>
              <w:marBottom w:val="0"/>
              <w:divBdr>
                <w:top w:val="none" w:sz="0" w:space="0" w:color="auto"/>
                <w:left w:val="none" w:sz="0" w:space="0" w:color="auto"/>
                <w:bottom w:val="none" w:sz="0" w:space="0" w:color="auto"/>
                <w:right w:val="none" w:sz="0" w:space="0" w:color="auto"/>
              </w:divBdr>
            </w:div>
            <w:div w:id="1212578212">
              <w:marLeft w:val="0"/>
              <w:marRight w:val="0"/>
              <w:marTop w:val="0"/>
              <w:marBottom w:val="0"/>
              <w:divBdr>
                <w:top w:val="none" w:sz="0" w:space="0" w:color="auto"/>
                <w:left w:val="none" w:sz="0" w:space="0" w:color="auto"/>
                <w:bottom w:val="none" w:sz="0" w:space="0" w:color="auto"/>
                <w:right w:val="none" w:sz="0" w:space="0" w:color="auto"/>
              </w:divBdr>
            </w:div>
            <w:div w:id="1270889678">
              <w:marLeft w:val="0"/>
              <w:marRight w:val="0"/>
              <w:marTop w:val="0"/>
              <w:marBottom w:val="0"/>
              <w:divBdr>
                <w:top w:val="none" w:sz="0" w:space="0" w:color="auto"/>
                <w:left w:val="none" w:sz="0" w:space="0" w:color="auto"/>
                <w:bottom w:val="none" w:sz="0" w:space="0" w:color="auto"/>
                <w:right w:val="none" w:sz="0" w:space="0" w:color="auto"/>
              </w:divBdr>
            </w:div>
            <w:div w:id="1352799449">
              <w:marLeft w:val="0"/>
              <w:marRight w:val="0"/>
              <w:marTop w:val="0"/>
              <w:marBottom w:val="0"/>
              <w:divBdr>
                <w:top w:val="none" w:sz="0" w:space="0" w:color="auto"/>
                <w:left w:val="none" w:sz="0" w:space="0" w:color="auto"/>
                <w:bottom w:val="none" w:sz="0" w:space="0" w:color="auto"/>
                <w:right w:val="none" w:sz="0" w:space="0" w:color="auto"/>
              </w:divBdr>
            </w:div>
            <w:div w:id="1357463889">
              <w:marLeft w:val="0"/>
              <w:marRight w:val="0"/>
              <w:marTop w:val="0"/>
              <w:marBottom w:val="0"/>
              <w:divBdr>
                <w:top w:val="none" w:sz="0" w:space="0" w:color="auto"/>
                <w:left w:val="none" w:sz="0" w:space="0" w:color="auto"/>
                <w:bottom w:val="none" w:sz="0" w:space="0" w:color="auto"/>
                <w:right w:val="none" w:sz="0" w:space="0" w:color="auto"/>
              </w:divBdr>
            </w:div>
            <w:div w:id="1681392268">
              <w:marLeft w:val="0"/>
              <w:marRight w:val="0"/>
              <w:marTop w:val="0"/>
              <w:marBottom w:val="0"/>
              <w:divBdr>
                <w:top w:val="none" w:sz="0" w:space="0" w:color="auto"/>
                <w:left w:val="none" w:sz="0" w:space="0" w:color="auto"/>
                <w:bottom w:val="none" w:sz="0" w:space="0" w:color="auto"/>
                <w:right w:val="none" w:sz="0" w:space="0" w:color="auto"/>
              </w:divBdr>
            </w:div>
            <w:div w:id="1694114225">
              <w:marLeft w:val="0"/>
              <w:marRight w:val="0"/>
              <w:marTop w:val="0"/>
              <w:marBottom w:val="0"/>
              <w:divBdr>
                <w:top w:val="none" w:sz="0" w:space="0" w:color="auto"/>
                <w:left w:val="none" w:sz="0" w:space="0" w:color="auto"/>
                <w:bottom w:val="none" w:sz="0" w:space="0" w:color="auto"/>
                <w:right w:val="none" w:sz="0" w:space="0" w:color="auto"/>
              </w:divBdr>
            </w:div>
            <w:div w:id="1702364519">
              <w:marLeft w:val="0"/>
              <w:marRight w:val="0"/>
              <w:marTop w:val="0"/>
              <w:marBottom w:val="0"/>
              <w:divBdr>
                <w:top w:val="none" w:sz="0" w:space="0" w:color="auto"/>
                <w:left w:val="none" w:sz="0" w:space="0" w:color="auto"/>
                <w:bottom w:val="none" w:sz="0" w:space="0" w:color="auto"/>
                <w:right w:val="none" w:sz="0" w:space="0" w:color="auto"/>
              </w:divBdr>
            </w:div>
            <w:div w:id="1758407969">
              <w:marLeft w:val="0"/>
              <w:marRight w:val="0"/>
              <w:marTop w:val="0"/>
              <w:marBottom w:val="0"/>
              <w:divBdr>
                <w:top w:val="none" w:sz="0" w:space="0" w:color="auto"/>
                <w:left w:val="none" w:sz="0" w:space="0" w:color="auto"/>
                <w:bottom w:val="none" w:sz="0" w:space="0" w:color="auto"/>
                <w:right w:val="none" w:sz="0" w:space="0" w:color="auto"/>
              </w:divBdr>
            </w:div>
            <w:div w:id="1942300360">
              <w:marLeft w:val="0"/>
              <w:marRight w:val="0"/>
              <w:marTop w:val="0"/>
              <w:marBottom w:val="0"/>
              <w:divBdr>
                <w:top w:val="none" w:sz="0" w:space="0" w:color="auto"/>
                <w:left w:val="none" w:sz="0" w:space="0" w:color="auto"/>
                <w:bottom w:val="none" w:sz="0" w:space="0" w:color="auto"/>
                <w:right w:val="none" w:sz="0" w:space="0" w:color="auto"/>
              </w:divBdr>
            </w:div>
            <w:div w:id="2036030196">
              <w:marLeft w:val="0"/>
              <w:marRight w:val="0"/>
              <w:marTop w:val="0"/>
              <w:marBottom w:val="0"/>
              <w:divBdr>
                <w:top w:val="none" w:sz="0" w:space="0" w:color="auto"/>
                <w:left w:val="none" w:sz="0" w:space="0" w:color="auto"/>
                <w:bottom w:val="none" w:sz="0" w:space="0" w:color="auto"/>
                <w:right w:val="none" w:sz="0" w:space="0" w:color="auto"/>
              </w:divBdr>
            </w:div>
          </w:divsChild>
        </w:div>
        <w:div w:id="1974435518">
          <w:marLeft w:val="0"/>
          <w:marRight w:val="0"/>
          <w:marTop w:val="0"/>
          <w:marBottom w:val="0"/>
          <w:divBdr>
            <w:top w:val="none" w:sz="0" w:space="0" w:color="auto"/>
            <w:left w:val="none" w:sz="0" w:space="0" w:color="auto"/>
            <w:bottom w:val="none" w:sz="0" w:space="0" w:color="auto"/>
            <w:right w:val="none" w:sz="0" w:space="0" w:color="auto"/>
          </w:divBdr>
        </w:div>
        <w:div w:id="2039046367">
          <w:marLeft w:val="0"/>
          <w:marRight w:val="0"/>
          <w:marTop w:val="0"/>
          <w:marBottom w:val="0"/>
          <w:divBdr>
            <w:top w:val="none" w:sz="0" w:space="0" w:color="auto"/>
            <w:left w:val="none" w:sz="0" w:space="0" w:color="auto"/>
            <w:bottom w:val="none" w:sz="0" w:space="0" w:color="auto"/>
            <w:right w:val="none" w:sz="0" w:space="0" w:color="auto"/>
          </w:divBdr>
        </w:div>
      </w:divsChild>
    </w:div>
    <w:div w:id="1526091399">
      <w:bodyDiv w:val="1"/>
      <w:marLeft w:val="0"/>
      <w:marRight w:val="0"/>
      <w:marTop w:val="0"/>
      <w:marBottom w:val="0"/>
      <w:divBdr>
        <w:top w:val="none" w:sz="0" w:space="0" w:color="auto"/>
        <w:left w:val="none" w:sz="0" w:space="0" w:color="auto"/>
        <w:bottom w:val="none" w:sz="0" w:space="0" w:color="auto"/>
        <w:right w:val="none" w:sz="0" w:space="0" w:color="auto"/>
      </w:divBdr>
    </w:div>
    <w:div w:id="1550728127">
      <w:bodyDiv w:val="1"/>
      <w:marLeft w:val="0"/>
      <w:marRight w:val="0"/>
      <w:marTop w:val="0"/>
      <w:marBottom w:val="0"/>
      <w:divBdr>
        <w:top w:val="none" w:sz="0" w:space="0" w:color="auto"/>
        <w:left w:val="none" w:sz="0" w:space="0" w:color="auto"/>
        <w:bottom w:val="none" w:sz="0" w:space="0" w:color="auto"/>
        <w:right w:val="none" w:sz="0" w:space="0" w:color="auto"/>
      </w:divBdr>
      <w:divsChild>
        <w:div w:id="73674216">
          <w:marLeft w:val="0"/>
          <w:marRight w:val="0"/>
          <w:marTop w:val="0"/>
          <w:marBottom w:val="0"/>
          <w:divBdr>
            <w:top w:val="none" w:sz="0" w:space="0" w:color="auto"/>
            <w:left w:val="none" w:sz="0" w:space="0" w:color="auto"/>
            <w:bottom w:val="none" w:sz="0" w:space="0" w:color="auto"/>
            <w:right w:val="none" w:sz="0" w:space="0" w:color="auto"/>
          </w:divBdr>
          <w:divsChild>
            <w:div w:id="67768543">
              <w:marLeft w:val="0"/>
              <w:marRight w:val="0"/>
              <w:marTop w:val="0"/>
              <w:marBottom w:val="0"/>
              <w:divBdr>
                <w:top w:val="none" w:sz="0" w:space="0" w:color="auto"/>
                <w:left w:val="none" w:sz="0" w:space="0" w:color="auto"/>
                <w:bottom w:val="none" w:sz="0" w:space="0" w:color="auto"/>
                <w:right w:val="none" w:sz="0" w:space="0" w:color="auto"/>
              </w:divBdr>
            </w:div>
            <w:div w:id="231505576">
              <w:marLeft w:val="0"/>
              <w:marRight w:val="0"/>
              <w:marTop w:val="0"/>
              <w:marBottom w:val="0"/>
              <w:divBdr>
                <w:top w:val="none" w:sz="0" w:space="0" w:color="auto"/>
                <w:left w:val="none" w:sz="0" w:space="0" w:color="auto"/>
                <w:bottom w:val="none" w:sz="0" w:space="0" w:color="auto"/>
                <w:right w:val="none" w:sz="0" w:space="0" w:color="auto"/>
              </w:divBdr>
            </w:div>
            <w:div w:id="404836939">
              <w:marLeft w:val="0"/>
              <w:marRight w:val="0"/>
              <w:marTop w:val="0"/>
              <w:marBottom w:val="0"/>
              <w:divBdr>
                <w:top w:val="none" w:sz="0" w:space="0" w:color="auto"/>
                <w:left w:val="none" w:sz="0" w:space="0" w:color="auto"/>
                <w:bottom w:val="none" w:sz="0" w:space="0" w:color="auto"/>
                <w:right w:val="none" w:sz="0" w:space="0" w:color="auto"/>
              </w:divBdr>
            </w:div>
            <w:div w:id="407197387">
              <w:marLeft w:val="0"/>
              <w:marRight w:val="0"/>
              <w:marTop w:val="0"/>
              <w:marBottom w:val="0"/>
              <w:divBdr>
                <w:top w:val="none" w:sz="0" w:space="0" w:color="auto"/>
                <w:left w:val="none" w:sz="0" w:space="0" w:color="auto"/>
                <w:bottom w:val="none" w:sz="0" w:space="0" w:color="auto"/>
                <w:right w:val="none" w:sz="0" w:space="0" w:color="auto"/>
              </w:divBdr>
            </w:div>
            <w:div w:id="428426218">
              <w:marLeft w:val="0"/>
              <w:marRight w:val="0"/>
              <w:marTop w:val="0"/>
              <w:marBottom w:val="0"/>
              <w:divBdr>
                <w:top w:val="none" w:sz="0" w:space="0" w:color="auto"/>
                <w:left w:val="none" w:sz="0" w:space="0" w:color="auto"/>
                <w:bottom w:val="none" w:sz="0" w:space="0" w:color="auto"/>
                <w:right w:val="none" w:sz="0" w:space="0" w:color="auto"/>
              </w:divBdr>
            </w:div>
            <w:div w:id="674386410">
              <w:marLeft w:val="0"/>
              <w:marRight w:val="0"/>
              <w:marTop w:val="0"/>
              <w:marBottom w:val="0"/>
              <w:divBdr>
                <w:top w:val="none" w:sz="0" w:space="0" w:color="auto"/>
                <w:left w:val="none" w:sz="0" w:space="0" w:color="auto"/>
                <w:bottom w:val="none" w:sz="0" w:space="0" w:color="auto"/>
                <w:right w:val="none" w:sz="0" w:space="0" w:color="auto"/>
              </w:divBdr>
            </w:div>
            <w:div w:id="697782127">
              <w:marLeft w:val="0"/>
              <w:marRight w:val="0"/>
              <w:marTop w:val="0"/>
              <w:marBottom w:val="0"/>
              <w:divBdr>
                <w:top w:val="none" w:sz="0" w:space="0" w:color="auto"/>
                <w:left w:val="none" w:sz="0" w:space="0" w:color="auto"/>
                <w:bottom w:val="none" w:sz="0" w:space="0" w:color="auto"/>
                <w:right w:val="none" w:sz="0" w:space="0" w:color="auto"/>
              </w:divBdr>
            </w:div>
            <w:div w:id="759717756">
              <w:marLeft w:val="0"/>
              <w:marRight w:val="0"/>
              <w:marTop w:val="0"/>
              <w:marBottom w:val="0"/>
              <w:divBdr>
                <w:top w:val="none" w:sz="0" w:space="0" w:color="auto"/>
                <w:left w:val="none" w:sz="0" w:space="0" w:color="auto"/>
                <w:bottom w:val="none" w:sz="0" w:space="0" w:color="auto"/>
                <w:right w:val="none" w:sz="0" w:space="0" w:color="auto"/>
              </w:divBdr>
            </w:div>
            <w:div w:id="875700525">
              <w:marLeft w:val="0"/>
              <w:marRight w:val="0"/>
              <w:marTop w:val="0"/>
              <w:marBottom w:val="0"/>
              <w:divBdr>
                <w:top w:val="none" w:sz="0" w:space="0" w:color="auto"/>
                <w:left w:val="none" w:sz="0" w:space="0" w:color="auto"/>
                <w:bottom w:val="none" w:sz="0" w:space="0" w:color="auto"/>
                <w:right w:val="none" w:sz="0" w:space="0" w:color="auto"/>
              </w:divBdr>
            </w:div>
            <w:div w:id="916088803">
              <w:marLeft w:val="0"/>
              <w:marRight w:val="0"/>
              <w:marTop w:val="0"/>
              <w:marBottom w:val="0"/>
              <w:divBdr>
                <w:top w:val="none" w:sz="0" w:space="0" w:color="auto"/>
                <w:left w:val="none" w:sz="0" w:space="0" w:color="auto"/>
                <w:bottom w:val="none" w:sz="0" w:space="0" w:color="auto"/>
                <w:right w:val="none" w:sz="0" w:space="0" w:color="auto"/>
              </w:divBdr>
            </w:div>
            <w:div w:id="920453222">
              <w:marLeft w:val="0"/>
              <w:marRight w:val="0"/>
              <w:marTop w:val="0"/>
              <w:marBottom w:val="0"/>
              <w:divBdr>
                <w:top w:val="none" w:sz="0" w:space="0" w:color="auto"/>
                <w:left w:val="none" w:sz="0" w:space="0" w:color="auto"/>
                <w:bottom w:val="none" w:sz="0" w:space="0" w:color="auto"/>
                <w:right w:val="none" w:sz="0" w:space="0" w:color="auto"/>
              </w:divBdr>
            </w:div>
            <w:div w:id="957687550">
              <w:marLeft w:val="0"/>
              <w:marRight w:val="0"/>
              <w:marTop w:val="0"/>
              <w:marBottom w:val="0"/>
              <w:divBdr>
                <w:top w:val="none" w:sz="0" w:space="0" w:color="auto"/>
                <w:left w:val="none" w:sz="0" w:space="0" w:color="auto"/>
                <w:bottom w:val="none" w:sz="0" w:space="0" w:color="auto"/>
                <w:right w:val="none" w:sz="0" w:space="0" w:color="auto"/>
              </w:divBdr>
            </w:div>
            <w:div w:id="1301377168">
              <w:marLeft w:val="0"/>
              <w:marRight w:val="0"/>
              <w:marTop w:val="0"/>
              <w:marBottom w:val="0"/>
              <w:divBdr>
                <w:top w:val="none" w:sz="0" w:space="0" w:color="auto"/>
                <w:left w:val="none" w:sz="0" w:space="0" w:color="auto"/>
                <w:bottom w:val="none" w:sz="0" w:space="0" w:color="auto"/>
                <w:right w:val="none" w:sz="0" w:space="0" w:color="auto"/>
              </w:divBdr>
            </w:div>
            <w:div w:id="1315794298">
              <w:marLeft w:val="0"/>
              <w:marRight w:val="0"/>
              <w:marTop w:val="0"/>
              <w:marBottom w:val="0"/>
              <w:divBdr>
                <w:top w:val="none" w:sz="0" w:space="0" w:color="auto"/>
                <w:left w:val="none" w:sz="0" w:space="0" w:color="auto"/>
                <w:bottom w:val="none" w:sz="0" w:space="0" w:color="auto"/>
                <w:right w:val="none" w:sz="0" w:space="0" w:color="auto"/>
              </w:divBdr>
            </w:div>
            <w:div w:id="1357852689">
              <w:marLeft w:val="0"/>
              <w:marRight w:val="0"/>
              <w:marTop w:val="0"/>
              <w:marBottom w:val="0"/>
              <w:divBdr>
                <w:top w:val="none" w:sz="0" w:space="0" w:color="auto"/>
                <w:left w:val="none" w:sz="0" w:space="0" w:color="auto"/>
                <w:bottom w:val="none" w:sz="0" w:space="0" w:color="auto"/>
                <w:right w:val="none" w:sz="0" w:space="0" w:color="auto"/>
              </w:divBdr>
            </w:div>
            <w:div w:id="1398046451">
              <w:marLeft w:val="0"/>
              <w:marRight w:val="0"/>
              <w:marTop w:val="0"/>
              <w:marBottom w:val="0"/>
              <w:divBdr>
                <w:top w:val="none" w:sz="0" w:space="0" w:color="auto"/>
                <w:left w:val="none" w:sz="0" w:space="0" w:color="auto"/>
                <w:bottom w:val="none" w:sz="0" w:space="0" w:color="auto"/>
                <w:right w:val="none" w:sz="0" w:space="0" w:color="auto"/>
              </w:divBdr>
            </w:div>
            <w:div w:id="1457674583">
              <w:marLeft w:val="0"/>
              <w:marRight w:val="0"/>
              <w:marTop w:val="0"/>
              <w:marBottom w:val="0"/>
              <w:divBdr>
                <w:top w:val="none" w:sz="0" w:space="0" w:color="auto"/>
                <w:left w:val="none" w:sz="0" w:space="0" w:color="auto"/>
                <w:bottom w:val="none" w:sz="0" w:space="0" w:color="auto"/>
                <w:right w:val="none" w:sz="0" w:space="0" w:color="auto"/>
              </w:divBdr>
            </w:div>
            <w:div w:id="1598632780">
              <w:marLeft w:val="0"/>
              <w:marRight w:val="0"/>
              <w:marTop w:val="0"/>
              <w:marBottom w:val="0"/>
              <w:divBdr>
                <w:top w:val="none" w:sz="0" w:space="0" w:color="auto"/>
                <w:left w:val="none" w:sz="0" w:space="0" w:color="auto"/>
                <w:bottom w:val="none" w:sz="0" w:space="0" w:color="auto"/>
                <w:right w:val="none" w:sz="0" w:space="0" w:color="auto"/>
              </w:divBdr>
            </w:div>
            <w:div w:id="1616253991">
              <w:marLeft w:val="0"/>
              <w:marRight w:val="0"/>
              <w:marTop w:val="0"/>
              <w:marBottom w:val="0"/>
              <w:divBdr>
                <w:top w:val="none" w:sz="0" w:space="0" w:color="auto"/>
                <w:left w:val="none" w:sz="0" w:space="0" w:color="auto"/>
                <w:bottom w:val="none" w:sz="0" w:space="0" w:color="auto"/>
                <w:right w:val="none" w:sz="0" w:space="0" w:color="auto"/>
              </w:divBdr>
            </w:div>
            <w:div w:id="1854420467">
              <w:marLeft w:val="0"/>
              <w:marRight w:val="0"/>
              <w:marTop w:val="0"/>
              <w:marBottom w:val="0"/>
              <w:divBdr>
                <w:top w:val="none" w:sz="0" w:space="0" w:color="auto"/>
                <w:left w:val="none" w:sz="0" w:space="0" w:color="auto"/>
                <w:bottom w:val="none" w:sz="0" w:space="0" w:color="auto"/>
                <w:right w:val="none" w:sz="0" w:space="0" w:color="auto"/>
              </w:divBdr>
            </w:div>
          </w:divsChild>
        </w:div>
        <w:div w:id="281617196">
          <w:marLeft w:val="0"/>
          <w:marRight w:val="0"/>
          <w:marTop w:val="0"/>
          <w:marBottom w:val="0"/>
          <w:divBdr>
            <w:top w:val="none" w:sz="0" w:space="0" w:color="auto"/>
            <w:left w:val="none" w:sz="0" w:space="0" w:color="auto"/>
            <w:bottom w:val="none" w:sz="0" w:space="0" w:color="auto"/>
            <w:right w:val="none" w:sz="0" w:space="0" w:color="auto"/>
          </w:divBdr>
        </w:div>
        <w:div w:id="745416985">
          <w:marLeft w:val="0"/>
          <w:marRight w:val="0"/>
          <w:marTop w:val="0"/>
          <w:marBottom w:val="0"/>
          <w:divBdr>
            <w:top w:val="none" w:sz="0" w:space="0" w:color="auto"/>
            <w:left w:val="none" w:sz="0" w:space="0" w:color="auto"/>
            <w:bottom w:val="none" w:sz="0" w:space="0" w:color="auto"/>
            <w:right w:val="none" w:sz="0" w:space="0" w:color="auto"/>
          </w:divBdr>
        </w:div>
        <w:div w:id="963854149">
          <w:marLeft w:val="0"/>
          <w:marRight w:val="0"/>
          <w:marTop w:val="0"/>
          <w:marBottom w:val="0"/>
          <w:divBdr>
            <w:top w:val="none" w:sz="0" w:space="0" w:color="auto"/>
            <w:left w:val="none" w:sz="0" w:space="0" w:color="auto"/>
            <w:bottom w:val="none" w:sz="0" w:space="0" w:color="auto"/>
            <w:right w:val="none" w:sz="0" w:space="0" w:color="auto"/>
          </w:divBdr>
        </w:div>
        <w:div w:id="1104109011">
          <w:marLeft w:val="0"/>
          <w:marRight w:val="0"/>
          <w:marTop w:val="0"/>
          <w:marBottom w:val="0"/>
          <w:divBdr>
            <w:top w:val="none" w:sz="0" w:space="0" w:color="auto"/>
            <w:left w:val="none" w:sz="0" w:space="0" w:color="auto"/>
            <w:bottom w:val="none" w:sz="0" w:space="0" w:color="auto"/>
            <w:right w:val="none" w:sz="0" w:space="0" w:color="auto"/>
          </w:divBdr>
        </w:div>
      </w:divsChild>
    </w:div>
    <w:div w:id="1605108413">
      <w:bodyDiv w:val="1"/>
      <w:marLeft w:val="0"/>
      <w:marRight w:val="0"/>
      <w:marTop w:val="0"/>
      <w:marBottom w:val="0"/>
      <w:divBdr>
        <w:top w:val="none" w:sz="0" w:space="0" w:color="auto"/>
        <w:left w:val="none" w:sz="0" w:space="0" w:color="auto"/>
        <w:bottom w:val="none" w:sz="0" w:space="0" w:color="auto"/>
        <w:right w:val="none" w:sz="0" w:space="0" w:color="auto"/>
      </w:divBdr>
      <w:divsChild>
        <w:div w:id="204801390">
          <w:marLeft w:val="0"/>
          <w:marRight w:val="0"/>
          <w:marTop w:val="0"/>
          <w:marBottom w:val="0"/>
          <w:divBdr>
            <w:top w:val="none" w:sz="0" w:space="0" w:color="auto"/>
            <w:left w:val="none" w:sz="0" w:space="0" w:color="auto"/>
            <w:bottom w:val="none" w:sz="0" w:space="0" w:color="auto"/>
            <w:right w:val="none" w:sz="0" w:space="0" w:color="auto"/>
          </w:divBdr>
        </w:div>
        <w:div w:id="916592534">
          <w:marLeft w:val="0"/>
          <w:marRight w:val="0"/>
          <w:marTop w:val="0"/>
          <w:marBottom w:val="0"/>
          <w:divBdr>
            <w:top w:val="none" w:sz="0" w:space="0" w:color="auto"/>
            <w:left w:val="none" w:sz="0" w:space="0" w:color="auto"/>
            <w:bottom w:val="none" w:sz="0" w:space="0" w:color="auto"/>
            <w:right w:val="none" w:sz="0" w:space="0" w:color="auto"/>
          </w:divBdr>
        </w:div>
        <w:div w:id="1350375263">
          <w:marLeft w:val="0"/>
          <w:marRight w:val="0"/>
          <w:marTop w:val="0"/>
          <w:marBottom w:val="0"/>
          <w:divBdr>
            <w:top w:val="none" w:sz="0" w:space="0" w:color="auto"/>
            <w:left w:val="none" w:sz="0" w:space="0" w:color="auto"/>
            <w:bottom w:val="none" w:sz="0" w:space="0" w:color="auto"/>
            <w:right w:val="none" w:sz="0" w:space="0" w:color="auto"/>
          </w:divBdr>
        </w:div>
      </w:divsChild>
    </w:div>
    <w:div w:id="1759978320">
      <w:bodyDiv w:val="1"/>
      <w:marLeft w:val="0"/>
      <w:marRight w:val="0"/>
      <w:marTop w:val="0"/>
      <w:marBottom w:val="0"/>
      <w:divBdr>
        <w:top w:val="none" w:sz="0" w:space="0" w:color="auto"/>
        <w:left w:val="none" w:sz="0" w:space="0" w:color="auto"/>
        <w:bottom w:val="none" w:sz="0" w:space="0" w:color="auto"/>
        <w:right w:val="none" w:sz="0" w:space="0" w:color="auto"/>
      </w:divBdr>
      <w:divsChild>
        <w:div w:id="1150706481">
          <w:marLeft w:val="0"/>
          <w:marRight w:val="0"/>
          <w:marTop w:val="0"/>
          <w:marBottom w:val="0"/>
          <w:divBdr>
            <w:top w:val="none" w:sz="0" w:space="0" w:color="auto"/>
            <w:left w:val="none" w:sz="0" w:space="0" w:color="auto"/>
            <w:bottom w:val="none" w:sz="0" w:space="0" w:color="auto"/>
            <w:right w:val="none" w:sz="0" w:space="0" w:color="auto"/>
          </w:divBdr>
        </w:div>
        <w:div w:id="1847865529">
          <w:marLeft w:val="0"/>
          <w:marRight w:val="0"/>
          <w:marTop w:val="0"/>
          <w:marBottom w:val="0"/>
          <w:divBdr>
            <w:top w:val="none" w:sz="0" w:space="0" w:color="auto"/>
            <w:left w:val="none" w:sz="0" w:space="0" w:color="auto"/>
            <w:bottom w:val="none" w:sz="0" w:space="0" w:color="auto"/>
            <w:right w:val="none" w:sz="0" w:space="0" w:color="auto"/>
          </w:divBdr>
        </w:div>
        <w:div w:id="1886289421">
          <w:marLeft w:val="0"/>
          <w:marRight w:val="0"/>
          <w:marTop w:val="0"/>
          <w:marBottom w:val="0"/>
          <w:divBdr>
            <w:top w:val="none" w:sz="0" w:space="0" w:color="auto"/>
            <w:left w:val="none" w:sz="0" w:space="0" w:color="auto"/>
            <w:bottom w:val="none" w:sz="0" w:space="0" w:color="auto"/>
            <w:right w:val="none" w:sz="0" w:space="0" w:color="auto"/>
          </w:divBdr>
        </w:div>
      </w:divsChild>
    </w:div>
    <w:div w:id="1875580829">
      <w:bodyDiv w:val="1"/>
      <w:marLeft w:val="0"/>
      <w:marRight w:val="0"/>
      <w:marTop w:val="0"/>
      <w:marBottom w:val="0"/>
      <w:divBdr>
        <w:top w:val="none" w:sz="0" w:space="0" w:color="auto"/>
        <w:left w:val="none" w:sz="0" w:space="0" w:color="auto"/>
        <w:bottom w:val="none" w:sz="0" w:space="0" w:color="auto"/>
        <w:right w:val="none" w:sz="0" w:space="0" w:color="auto"/>
      </w:divBdr>
      <w:divsChild>
        <w:div w:id="466437569">
          <w:marLeft w:val="0"/>
          <w:marRight w:val="0"/>
          <w:marTop w:val="0"/>
          <w:marBottom w:val="0"/>
          <w:divBdr>
            <w:top w:val="none" w:sz="0" w:space="0" w:color="auto"/>
            <w:left w:val="none" w:sz="0" w:space="0" w:color="auto"/>
            <w:bottom w:val="none" w:sz="0" w:space="0" w:color="auto"/>
            <w:right w:val="none" w:sz="0" w:space="0" w:color="auto"/>
          </w:divBdr>
        </w:div>
        <w:div w:id="552156269">
          <w:marLeft w:val="0"/>
          <w:marRight w:val="0"/>
          <w:marTop w:val="0"/>
          <w:marBottom w:val="0"/>
          <w:divBdr>
            <w:top w:val="none" w:sz="0" w:space="0" w:color="auto"/>
            <w:left w:val="none" w:sz="0" w:space="0" w:color="auto"/>
            <w:bottom w:val="none" w:sz="0" w:space="0" w:color="auto"/>
            <w:right w:val="none" w:sz="0" w:space="0" w:color="auto"/>
          </w:divBdr>
        </w:div>
        <w:div w:id="874852825">
          <w:marLeft w:val="0"/>
          <w:marRight w:val="0"/>
          <w:marTop w:val="0"/>
          <w:marBottom w:val="0"/>
          <w:divBdr>
            <w:top w:val="none" w:sz="0" w:space="0" w:color="auto"/>
            <w:left w:val="none" w:sz="0" w:space="0" w:color="auto"/>
            <w:bottom w:val="none" w:sz="0" w:space="0" w:color="auto"/>
            <w:right w:val="none" w:sz="0" w:space="0" w:color="auto"/>
          </w:divBdr>
          <w:divsChild>
            <w:div w:id="98766634">
              <w:marLeft w:val="0"/>
              <w:marRight w:val="0"/>
              <w:marTop w:val="0"/>
              <w:marBottom w:val="0"/>
              <w:divBdr>
                <w:top w:val="none" w:sz="0" w:space="0" w:color="auto"/>
                <w:left w:val="none" w:sz="0" w:space="0" w:color="auto"/>
                <w:bottom w:val="none" w:sz="0" w:space="0" w:color="auto"/>
                <w:right w:val="none" w:sz="0" w:space="0" w:color="auto"/>
              </w:divBdr>
            </w:div>
            <w:div w:id="326328084">
              <w:marLeft w:val="0"/>
              <w:marRight w:val="0"/>
              <w:marTop w:val="0"/>
              <w:marBottom w:val="0"/>
              <w:divBdr>
                <w:top w:val="none" w:sz="0" w:space="0" w:color="auto"/>
                <w:left w:val="none" w:sz="0" w:space="0" w:color="auto"/>
                <w:bottom w:val="none" w:sz="0" w:space="0" w:color="auto"/>
                <w:right w:val="none" w:sz="0" w:space="0" w:color="auto"/>
              </w:divBdr>
            </w:div>
            <w:div w:id="439490838">
              <w:marLeft w:val="0"/>
              <w:marRight w:val="0"/>
              <w:marTop w:val="0"/>
              <w:marBottom w:val="0"/>
              <w:divBdr>
                <w:top w:val="none" w:sz="0" w:space="0" w:color="auto"/>
                <w:left w:val="none" w:sz="0" w:space="0" w:color="auto"/>
                <w:bottom w:val="none" w:sz="0" w:space="0" w:color="auto"/>
                <w:right w:val="none" w:sz="0" w:space="0" w:color="auto"/>
              </w:divBdr>
            </w:div>
            <w:div w:id="448744001">
              <w:marLeft w:val="0"/>
              <w:marRight w:val="0"/>
              <w:marTop w:val="0"/>
              <w:marBottom w:val="0"/>
              <w:divBdr>
                <w:top w:val="none" w:sz="0" w:space="0" w:color="auto"/>
                <w:left w:val="none" w:sz="0" w:space="0" w:color="auto"/>
                <w:bottom w:val="none" w:sz="0" w:space="0" w:color="auto"/>
                <w:right w:val="none" w:sz="0" w:space="0" w:color="auto"/>
              </w:divBdr>
            </w:div>
            <w:div w:id="453060840">
              <w:marLeft w:val="0"/>
              <w:marRight w:val="0"/>
              <w:marTop w:val="0"/>
              <w:marBottom w:val="0"/>
              <w:divBdr>
                <w:top w:val="none" w:sz="0" w:space="0" w:color="auto"/>
                <w:left w:val="none" w:sz="0" w:space="0" w:color="auto"/>
                <w:bottom w:val="none" w:sz="0" w:space="0" w:color="auto"/>
                <w:right w:val="none" w:sz="0" w:space="0" w:color="auto"/>
              </w:divBdr>
            </w:div>
            <w:div w:id="510800360">
              <w:marLeft w:val="0"/>
              <w:marRight w:val="0"/>
              <w:marTop w:val="0"/>
              <w:marBottom w:val="0"/>
              <w:divBdr>
                <w:top w:val="none" w:sz="0" w:space="0" w:color="auto"/>
                <w:left w:val="none" w:sz="0" w:space="0" w:color="auto"/>
                <w:bottom w:val="none" w:sz="0" w:space="0" w:color="auto"/>
                <w:right w:val="none" w:sz="0" w:space="0" w:color="auto"/>
              </w:divBdr>
            </w:div>
            <w:div w:id="647780593">
              <w:marLeft w:val="0"/>
              <w:marRight w:val="0"/>
              <w:marTop w:val="0"/>
              <w:marBottom w:val="0"/>
              <w:divBdr>
                <w:top w:val="none" w:sz="0" w:space="0" w:color="auto"/>
                <w:left w:val="none" w:sz="0" w:space="0" w:color="auto"/>
                <w:bottom w:val="none" w:sz="0" w:space="0" w:color="auto"/>
                <w:right w:val="none" w:sz="0" w:space="0" w:color="auto"/>
              </w:divBdr>
            </w:div>
            <w:div w:id="752355687">
              <w:marLeft w:val="0"/>
              <w:marRight w:val="0"/>
              <w:marTop w:val="0"/>
              <w:marBottom w:val="0"/>
              <w:divBdr>
                <w:top w:val="none" w:sz="0" w:space="0" w:color="auto"/>
                <w:left w:val="none" w:sz="0" w:space="0" w:color="auto"/>
                <w:bottom w:val="none" w:sz="0" w:space="0" w:color="auto"/>
                <w:right w:val="none" w:sz="0" w:space="0" w:color="auto"/>
              </w:divBdr>
            </w:div>
            <w:div w:id="758065797">
              <w:marLeft w:val="0"/>
              <w:marRight w:val="0"/>
              <w:marTop w:val="0"/>
              <w:marBottom w:val="0"/>
              <w:divBdr>
                <w:top w:val="none" w:sz="0" w:space="0" w:color="auto"/>
                <w:left w:val="none" w:sz="0" w:space="0" w:color="auto"/>
                <w:bottom w:val="none" w:sz="0" w:space="0" w:color="auto"/>
                <w:right w:val="none" w:sz="0" w:space="0" w:color="auto"/>
              </w:divBdr>
            </w:div>
            <w:div w:id="766972500">
              <w:marLeft w:val="0"/>
              <w:marRight w:val="0"/>
              <w:marTop w:val="0"/>
              <w:marBottom w:val="0"/>
              <w:divBdr>
                <w:top w:val="none" w:sz="0" w:space="0" w:color="auto"/>
                <w:left w:val="none" w:sz="0" w:space="0" w:color="auto"/>
                <w:bottom w:val="none" w:sz="0" w:space="0" w:color="auto"/>
                <w:right w:val="none" w:sz="0" w:space="0" w:color="auto"/>
              </w:divBdr>
            </w:div>
            <w:div w:id="771244606">
              <w:marLeft w:val="0"/>
              <w:marRight w:val="0"/>
              <w:marTop w:val="0"/>
              <w:marBottom w:val="0"/>
              <w:divBdr>
                <w:top w:val="none" w:sz="0" w:space="0" w:color="auto"/>
                <w:left w:val="none" w:sz="0" w:space="0" w:color="auto"/>
                <w:bottom w:val="none" w:sz="0" w:space="0" w:color="auto"/>
                <w:right w:val="none" w:sz="0" w:space="0" w:color="auto"/>
              </w:divBdr>
            </w:div>
            <w:div w:id="799346094">
              <w:marLeft w:val="0"/>
              <w:marRight w:val="0"/>
              <w:marTop w:val="0"/>
              <w:marBottom w:val="0"/>
              <w:divBdr>
                <w:top w:val="none" w:sz="0" w:space="0" w:color="auto"/>
                <w:left w:val="none" w:sz="0" w:space="0" w:color="auto"/>
                <w:bottom w:val="none" w:sz="0" w:space="0" w:color="auto"/>
                <w:right w:val="none" w:sz="0" w:space="0" w:color="auto"/>
              </w:divBdr>
            </w:div>
            <w:div w:id="1011374730">
              <w:marLeft w:val="0"/>
              <w:marRight w:val="0"/>
              <w:marTop w:val="0"/>
              <w:marBottom w:val="0"/>
              <w:divBdr>
                <w:top w:val="none" w:sz="0" w:space="0" w:color="auto"/>
                <w:left w:val="none" w:sz="0" w:space="0" w:color="auto"/>
                <w:bottom w:val="none" w:sz="0" w:space="0" w:color="auto"/>
                <w:right w:val="none" w:sz="0" w:space="0" w:color="auto"/>
              </w:divBdr>
            </w:div>
            <w:div w:id="1089231058">
              <w:marLeft w:val="0"/>
              <w:marRight w:val="0"/>
              <w:marTop w:val="0"/>
              <w:marBottom w:val="0"/>
              <w:divBdr>
                <w:top w:val="none" w:sz="0" w:space="0" w:color="auto"/>
                <w:left w:val="none" w:sz="0" w:space="0" w:color="auto"/>
                <w:bottom w:val="none" w:sz="0" w:space="0" w:color="auto"/>
                <w:right w:val="none" w:sz="0" w:space="0" w:color="auto"/>
              </w:divBdr>
            </w:div>
            <w:div w:id="1194226090">
              <w:marLeft w:val="0"/>
              <w:marRight w:val="0"/>
              <w:marTop w:val="0"/>
              <w:marBottom w:val="0"/>
              <w:divBdr>
                <w:top w:val="none" w:sz="0" w:space="0" w:color="auto"/>
                <w:left w:val="none" w:sz="0" w:space="0" w:color="auto"/>
                <w:bottom w:val="none" w:sz="0" w:space="0" w:color="auto"/>
                <w:right w:val="none" w:sz="0" w:space="0" w:color="auto"/>
              </w:divBdr>
            </w:div>
            <w:div w:id="1345205686">
              <w:marLeft w:val="0"/>
              <w:marRight w:val="0"/>
              <w:marTop w:val="0"/>
              <w:marBottom w:val="0"/>
              <w:divBdr>
                <w:top w:val="none" w:sz="0" w:space="0" w:color="auto"/>
                <w:left w:val="none" w:sz="0" w:space="0" w:color="auto"/>
                <w:bottom w:val="none" w:sz="0" w:space="0" w:color="auto"/>
                <w:right w:val="none" w:sz="0" w:space="0" w:color="auto"/>
              </w:divBdr>
            </w:div>
            <w:div w:id="1404139070">
              <w:marLeft w:val="0"/>
              <w:marRight w:val="0"/>
              <w:marTop w:val="0"/>
              <w:marBottom w:val="0"/>
              <w:divBdr>
                <w:top w:val="none" w:sz="0" w:space="0" w:color="auto"/>
                <w:left w:val="none" w:sz="0" w:space="0" w:color="auto"/>
                <w:bottom w:val="none" w:sz="0" w:space="0" w:color="auto"/>
                <w:right w:val="none" w:sz="0" w:space="0" w:color="auto"/>
              </w:divBdr>
            </w:div>
            <w:div w:id="1440176972">
              <w:marLeft w:val="0"/>
              <w:marRight w:val="0"/>
              <w:marTop w:val="0"/>
              <w:marBottom w:val="0"/>
              <w:divBdr>
                <w:top w:val="none" w:sz="0" w:space="0" w:color="auto"/>
                <w:left w:val="none" w:sz="0" w:space="0" w:color="auto"/>
                <w:bottom w:val="none" w:sz="0" w:space="0" w:color="auto"/>
                <w:right w:val="none" w:sz="0" w:space="0" w:color="auto"/>
              </w:divBdr>
            </w:div>
            <w:div w:id="1500729567">
              <w:marLeft w:val="0"/>
              <w:marRight w:val="0"/>
              <w:marTop w:val="0"/>
              <w:marBottom w:val="0"/>
              <w:divBdr>
                <w:top w:val="none" w:sz="0" w:space="0" w:color="auto"/>
                <w:left w:val="none" w:sz="0" w:space="0" w:color="auto"/>
                <w:bottom w:val="none" w:sz="0" w:space="0" w:color="auto"/>
                <w:right w:val="none" w:sz="0" w:space="0" w:color="auto"/>
              </w:divBdr>
            </w:div>
            <w:div w:id="1761294408">
              <w:marLeft w:val="0"/>
              <w:marRight w:val="0"/>
              <w:marTop w:val="0"/>
              <w:marBottom w:val="0"/>
              <w:divBdr>
                <w:top w:val="none" w:sz="0" w:space="0" w:color="auto"/>
                <w:left w:val="none" w:sz="0" w:space="0" w:color="auto"/>
                <w:bottom w:val="none" w:sz="0" w:space="0" w:color="auto"/>
                <w:right w:val="none" w:sz="0" w:space="0" w:color="auto"/>
              </w:divBdr>
            </w:div>
          </w:divsChild>
        </w:div>
        <w:div w:id="1234125161">
          <w:marLeft w:val="0"/>
          <w:marRight w:val="0"/>
          <w:marTop w:val="0"/>
          <w:marBottom w:val="0"/>
          <w:divBdr>
            <w:top w:val="none" w:sz="0" w:space="0" w:color="auto"/>
            <w:left w:val="none" w:sz="0" w:space="0" w:color="auto"/>
            <w:bottom w:val="none" w:sz="0" w:space="0" w:color="auto"/>
            <w:right w:val="none" w:sz="0" w:space="0" w:color="auto"/>
          </w:divBdr>
        </w:div>
        <w:div w:id="2022589659">
          <w:marLeft w:val="0"/>
          <w:marRight w:val="0"/>
          <w:marTop w:val="0"/>
          <w:marBottom w:val="0"/>
          <w:divBdr>
            <w:top w:val="none" w:sz="0" w:space="0" w:color="auto"/>
            <w:left w:val="none" w:sz="0" w:space="0" w:color="auto"/>
            <w:bottom w:val="none" w:sz="0" w:space="0" w:color="auto"/>
            <w:right w:val="none" w:sz="0" w:space="0" w:color="auto"/>
          </w:divBdr>
        </w:div>
      </w:divsChild>
    </w:div>
    <w:div w:id="1963875473">
      <w:bodyDiv w:val="1"/>
      <w:marLeft w:val="0"/>
      <w:marRight w:val="0"/>
      <w:marTop w:val="0"/>
      <w:marBottom w:val="0"/>
      <w:divBdr>
        <w:top w:val="none" w:sz="0" w:space="0" w:color="auto"/>
        <w:left w:val="none" w:sz="0" w:space="0" w:color="auto"/>
        <w:bottom w:val="none" w:sz="0" w:space="0" w:color="auto"/>
        <w:right w:val="none" w:sz="0" w:space="0" w:color="auto"/>
      </w:divBdr>
      <w:divsChild>
        <w:div w:id="296373126">
          <w:marLeft w:val="0"/>
          <w:marRight w:val="0"/>
          <w:marTop w:val="0"/>
          <w:marBottom w:val="0"/>
          <w:divBdr>
            <w:top w:val="none" w:sz="0" w:space="0" w:color="auto"/>
            <w:left w:val="none" w:sz="0" w:space="0" w:color="auto"/>
            <w:bottom w:val="none" w:sz="0" w:space="0" w:color="auto"/>
            <w:right w:val="none" w:sz="0" w:space="0" w:color="auto"/>
          </w:divBdr>
        </w:div>
        <w:div w:id="107003658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11E4-39A4-4850-81A3-66A95866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6908</Words>
  <Characters>39382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2025-07-16T07:40:00Z</dcterms:created>
  <dcterms:modified xsi:type="dcterms:W3CDTF">2025-07-18T14:30:00Z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9.1, Build 20240808</vt:lpwstr>
  </property>
  <property fmtid="{D5CDD505-2E9C-101B-9397-08002B2CF9AE}" pid="3" name="MSIP_Label_6bd9ddd1-4d20-43f6-abfa-fc3c07406f94_Enabled">
    <vt:lpwstr>true</vt:lpwstr>
  </property>
  <property fmtid="{D5CDD505-2E9C-101B-9397-08002B2CF9AE}" pid="4" name="MSIP_Label_6bd9ddd1-4d20-43f6-abfa-fc3c07406f94_SetDate">
    <vt:lpwstr>2025-07-15T23:37:57Z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2bc92f3f-2f8f-4f0e-b92e-3f3c47dd65b1</vt:lpwstr>
  </property>
  <property fmtid="{D5CDD505-2E9C-101B-9397-08002B2CF9AE}" pid="9" name="MSIP_Label_6bd9ddd1-4d20-43f6-abfa-fc3c07406f94_ContentBits">
    <vt:lpwstr>0</vt:lpwstr>
  </property>
  <property fmtid="{D5CDD505-2E9C-101B-9397-08002B2CF9AE}" pid="10" name="MSIP_Label_6bd9ddd1-4d20-43f6-abfa-fc3c07406f94_Tag">
    <vt:lpwstr>10, 3, 0, 1</vt:lpwstr>
  </property>
  <property fmtid="{D5CDD505-2E9C-101B-9397-08002B2CF9AE}" pid="11" name="Category">
    <vt:lpwstr>COM/PL/ORG</vt:lpwstr>
  </property>
  <property fmtid="{D5CDD505-2E9C-101B-9397-08002B2CF9AE}" pid="12" name="Level of sensitivity">
    <vt:lpwstr>Sensitive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SJ-019</vt:lpwstr>
  </property>
  <property fmtid="{D5CDD505-2E9C-101B-9397-08002B2CF9AE}" pid="16" name="DQCStatus">
    <vt:lpwstr>Green (DQC version 03)</vt:lpwstr>
  </property>
</Properties>
</file>