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60F4F8" w14:textId="01E2C34C" w:rsidR="00597B54" w:rsidRDefault="00071207" w:rsidP="00071207">
      <w:pPr>
        <w:pStyle w:val="Pagedecouverture"/>
        <w:rPr>
          <w:noProof/>
        </w:rPr>
      </w:pPr>
      <w:bookmarkStart w:id="0" w:name="LW_BM_COVERPAGE"/>
      <w:r>
        <w:rPr>
          <w:noProof/>
        </w:rPr>
        <w:pict w14:anchorId="760D6B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A6652A9E-3F36-4A74-9936-1FD3DBC53F33" style="width:455.25pt;height:365.25pt">
            <v:imagedata r:id="rId11" o:title=""/>
          </v:shape>
        </w:pict>
      </w:r>
    </w:p>
    <w:bookmarkEnd w:id="0"/>
    <w:p w14:paraId="4983912E" w14:textId="77777777" w:rsidR="00597B54" w:rsidRDefault="00597B54" w:rsidP="00597B54">
      <w:pPr>
        <w:rPr>
          <w:noProof/>
        </w:rPr>
        <w:sectPr w:rsidR="00597B54" w:rsidSect="00071207">
          <w:headerReference w:type="even" r:id="rId12"/>
          <w:headerReference w:type="default" r:id="rId13"/>
          <w:footerReference w:type="even" r:id="rId14"/>
          <w:footerReference w:type="default" r:id="rId15"/>
          <w:headerReference w:type="first" r:id="rId16"/>
          <w:footerReference w:type="first" r:id="rId17"/>
          <w:pgSz w:w="11906" w:h="16838"/>
          <w:pgMar w:top="1134" w:right="1417" w:bottom="1134" w:left="1417" w:header="709" w:footer="709" w:gutter="0"/>
          <w:pgNumType w:start="0"/>
          <w:cols w:space="720"/>
          <w:docGrid w:linePitch="360"/>
        </w:sectPr>
      </w:pPr>
    </w:p>
    <w:p w14:paraId="767DAB93" w14:textId="4E2C1E10" w:rsidR="004C35F5" w:rsidRPr="004C35F5" w:rsidRDefault="004C35F5" w:rsidP="004C35F5">
      <w:pPr>
        <w:pStyle w:val="Typedudocument"/>
        <w:rPr>
          <w:noProof/>
        </w:rPr>
      </w:pPr>
      <w:bookmarkStart w:id="1" w:name="_GoBack"/>
      <w:bookmarkEnd w:id="1"/>
      <w:r w:rsidRPr="004C35F5">
        <w:rPr>
          <w:noProof/>
        </w:rPr>
        <w:lastRenderedPageBreak/>
        <w:t>KOMISIJOS KOMUNIKATAS EUROPOS PARLAMENTUI, TARYBAI, EUROPOS EKONOMIKOS IR SOCIALINIŲ REIKALŲ KOMITETUI IR REGIONŲ KOMITETUI</w:t>
      </w:r>
    </w:p>
    <w:p w14:paraId="6E749860" w14:textId="1215CBEA" w:rsidR="004C35F5" w:rsidRPr="004C35F5" w:rsidRDefault="004C35F5" w:rsidP="004C35F5">
      <w:pPr>
        <w:pStyle w:val="Titreobjet"/>
        <w:rPr>
          <w:noProof/>
        </w:rPr>
      </w:pPr>
      <w:r w:rsidRPr="004C35F5">
        <w:rPr>
          <w:noProof/>
        </w:rPr>
        <w:t xml:space="preserve">Galutinių atnaujintų nacionalinių energetikos ir klimato srities veiksmų planų vertinimas ES mastu </w:t>
      </w:r>
      <w:r w:rsidRPr="004C35F5">
        <w:rPr>
          <w:noProof/>
        </w:rPr>
        <w:br/>
        <w:t>Sąjungos 2030 m. energetikos ir klimato srities tikslų įgyvendinimas</w:t>
      </w:r>
    </w:p>
    <w:p w14:paraId="11742C04" w14:textId="673EC767" w:rsidR="005E019D" w:rsidRPr="005E019D" w:rsidRDefault="005E019D" w:rsidP="005E019D">
      <w:pPr>
        <w:keepNext/>
        <w:keepLines/>
        <w:spacing w:before="40" w:after="240" w:line="240" w:lineRule="auto"/>
        <w:ind w:left="432" w:hanging="432"/>
        <w:jc w:val="both"/>
        <w:outlineLvl w:val="0"/>
        <w:rPr>
          <w:rFonts w:ascii="Times New Roman" w:eastAsia="Yu Gothic Light" w:hAnsi="Times New Roman" w:cs="Times New Roman"/>
          <w:b/>
          <w:bCs/>
          <w:caps/>
          <w:noProof/>
          <w:color w:val="000000"/>
          <w:kern w:val="0"/>
          <w14:ligatures w14:val="none"/>
        </w:rPr>
      </w:pPr>
      <w:r>
        <w:rPr>
          <w:rFonts w:ascii="Times New Roman" w:hAnsi="Times New Roman"/>
          <w:b/>
          <w:caps/>
          <w:noProof/>
          <w:color w:val="000000"/>
        </w:rPr>
        <w:t>Įžanga. 2030 m. politikos strategijos ĮGYVENDINIMAS</w:t>
      </w:r>
    </w:p>
    <w:p w14:paraId="30C93E24" w14:textId="77777777" w:rsidR="005E019D" w:rsidRPr="005E019D" w:rsidRDefault="005E019D" w:rsidP="005E019D">
      <w:pPr>
        <w:spacing w:after="120" w:line="264" w:lineRule="auto"/>
        <w:jc w:val="both"/>
        <w:rPr>
          <w:rFonts w:ascii="Times New Roman" w:eastAsia="Yu Mincho" w:hAnsi="Times New Roman" w:cs="Times New Roman"/>
          <w:noProof/>
          <w:kern w:val="0"/>
          <w14:ligatures w14:val="none"/>
        </w:rPr>
      </w:pPr>
      <w:r>
        <w:rPr>
          <w:rFonts w:ascii="Times New Roman" w:hAnsi="Times New Roman"/>
          <w:b/>
          <w:noProof/>
        </w:rPr>
        <w:t>Europos Sąjungos (ES) tikslas iki 2050 m. tapti neutralaus poveikio klimatui Sąjunga taip pat yra būdas pasiekti energetinį savarankiškumą ir padidinti mūsų konkurencingumą.</w:t>
      </w:r>
      <w:r>
        <w:rPr>
          <w:rFonts w:ascii="Times New Roman" w:hAnsi="Times New Roman"/>
          <w:noProof/>
        </w:rPr>
        <w:t xml:space="preserve"> Likus vos penkeriems metams iki 2030 m. tarpinio tikslo įgyvendinant ES energetikos ir klimato srities tikslus, poreikis mažinti mūsų priklausomybę nuo iškastinio kuro kaip niekada yra aktualus, nes naudojant iškastinį kurą didėja energijos kaštai ir mūsų priklausomybė nuo trečiųjų šalių bei spartėja klimato kaitos poveikis, kuris jau ir taip stipriai juntamas visoje Europoje. Vien 2023 m. ES importavo iškastinio kuro už daugiau kaip 430 mlrd. EUR. Ta 430 mlrd. EUR suma galėtų būti nukreipta investicijoms į perėjimą prie švarios energijos, vedantį į autonomiškesnę ir saugesnę ES.</w:t>
      </w:r>
    </w:p>
    <w:p w14:paraId="3361B6C2" w14:textId="77777777" w:rsidR="005E019D" w:rsidRPr="005E019D" w:rsidRDefault="005E019D" w:rsidP="005E019D">
      <w:pPr>
        <w:spacing w:after="120" w:line="264" w:lineRule="auto"/>
        <w:jc w:val="both"/>
        <w:rPr>
          <w:rFonts w:ascii="Times New Roman" w:eastAsia="Yu Mincho" w:hAnsi="Times New Roman" w:cs="Times New Roman"/>
          <w:noProof/>
          <w:kern w:val="0"/>
          <w14:ligatures w14:val="none"/>
        </w:rPr>
      </w:pPr>
      <w:r>
        <w:rPr>
          <w:rFonts w:ascii="Times New Roman" w:hAnsi="Times New Roman"/>
          <w:b/>
          <w:noProof/>
        </w:rPr>
        <w:t>ES turi tapti inovacijų centru, kuriame kuriamos, gaminamos ir parduodamos ateities technologijos, paslaugos ir ekologiški produktai</w:t>
      </w:r>
      <w:r w:rsidRPr="005E019D">
        <w:rPr>
          <w:rFonts w:ascii="Times New Roman" w:eastAsia="Yu Mincho" w:hAnsi="Times New Roman" w:cs="Times New Roman"/>
          <w:noProof/>
          <w:kern w:val="0"/>
          <w:vertAlign w:val="superscript"/>
          <w:lang w:val="en-GB"/>
        </w:rPr>
        <w:footnoteReference w:id="2"/>
      </w:r>
      <w:r>
        <w:rPr>
          <w:rFonts w:ascii="Times New Roman" w:hAnsi="Times New Roman"/>
          <w:b/>
          <w:noProof/>
        </w:rPr>
        <w:t xml:space="preserve">. </w:t>
      </w:r>
      <w:r>
        <w:rPr>
          <w:rFonts w:ascii="Times New Roman" w:hAnsi="Times New Roman"/>
          <w:noProof/>
        </w:rPr>
        <w:t>Komunikatuose „Konkurencingumo kelrodis“</w:t>
      </w:r>
      <w:r w:rsidRPr="005E019D">
        <w:rPr>
          <w:rFonts w:ascii="Times New Roman" w:eastAsia="Yu Mincho" w:hAnsi="Times New Roman" w:cs="Times New Roman"/>
          <w:noProof/>
          <w:kern w:val="0"/>
          <w:vertAlign w:val="superscript"/>
          <w:lang w:val="en-GB"/>
        </w:rPr>
        <w:footnoteReference w:id="3"/>
      </w:r>
      <w:r>
        <w:rPr>
          <w:rFonts w:ascii="Times New Roman" w:hAnsi="Times New Roman"/>
          <w:noProof/>
        </w:rPr>
        <w:t xml:space="preserve"> ir „Švarios pramonės kursas“</w:t>
      </w:r>
      <w:r w:rsidRPr="005E019D">
        <w:rPr>
          <w:rFonts w:ascii="Times New Roman" w:eastAsia="Yu Mincho" w:hAnsi="Times New Roman" w:cs="Times New Roman"/>
          <w:noProof/>
          <w:kern w:val="0"/>
          <w:vertAlign w:val="superscript"/>
          <w:lang w:val="en-GB"/>
        </w:rPr>
        <w:footnoteReference w:id="4"/>
      </w:r>
      <w:r>
        <w:rPr>
          <w:rFonts w:ascii="Times New Roman" w:hAnsi="Times New Roman"/>
          <w:noProof/>
        </w:rPr>
        <w:t xml:space="preserve"> Komisija nustatė kryptį, kaip įpūsti į ES ekonomiką naujos gyvybės, įgyvendinant ekonomikos augimo ir klestėjimo strategiją, apimančią ir klimato, ir konkurencingumo klausimus. Švarios pramonės kurse išdėstytas planas, kaip priklausomybės nuo iškastinio kuro mažinimą paversti Europos pramonės augimo varomąja jėga, siūlant aiškias verslo paskatas energijai imliems sektoriams ir švarių technologijų gamybai, be kita ko, įgyvendinant rekomenduojamą tarpinį 2040 m. tikslą 90 proc. sumažinti grynąjį išmetamą šiltnamio efektą sukeliančių dujų (ŠESD) kiekį</w:t>
      </w:r>
      <w:r w:rsidRPr="005E019D">
        <w:rPr>
          <w:rFonts w:ascii="Times New Roman" w:eastAsia="Yu Mincho" w:hAnsi="Times New Roman" w:cs="Times New Roman"/>
          <w:noProof/>
          <w:kern w:val="0"/>
          <w:vertAlign w:val="superscript"/>
          <w:lang w:val="en-GB"/>
        </w:rPr>
        <w:footnoteReference w:id="5"/>
      </w:r>
      <w:r>
        <w:rPr>
          <w:rFonts w:ascii="Times New Roman" w:hAnsi="Times New Roman"/>
          <w:noProof/>
        </w:rPr>
        <w:t>. Įperkamos energijos veiksmų plane</w:t>
      </w:r>
      <w:r w:rsidRPr="005E019D">
        <w:rPr>
          <w:rFonts w:ascii="Times New Roman" w:eastAsia="Yu Mincho" w:hAnsi="Times New Roman" w:cs="Times New Roman"/>
          <w:noProof/>
          <w:kern w:val="0"/>
          <w:vertAlign w:val="superscript"/>
          <w:lang w:val="en-GB"/>
        </w:rPr>
        <w:footnoteReference w:id="6"/>
      </w:r>
      <w:r>
        <w:rPr>
          <w:rFonts w:ascii="Times New Roman" w:hAnsi="Times New Roman"/>
          <w:noProof/>
        </w:rPr>
        <w:t>, kuris yra energetikai skirta tų strateginių dokumentų dalis, daugiausia dėmesio skiriama piliečių, įmonių, pramonės šakų ir bendruomenių visoje ES patiriamų energijos kaštų mažinimui.</w:t>
      </w:r>
    </w:p>
    <w:p w14:paraId="46ACF57C" w14:textId="77777777" w:rsidR="005E019D" w:rsidRPr="005E019D" w:rsidRDefault="005E019D" w:rsidP="005E019D">
      <w:pPr>
        <w:spacing w:after="120" w:line="264" w:lineRule="auto"/>
        <w:jc w:val="both"/>
        <w:rPr>
          <w:rFonts w:ascii="Times New Roman" w:eastAsia="Yu Mincho" w:hAnsi="Times New Roman" w:cs="Times New Roman"/>
          <w:noProof/>
          <w:kern w:val="0"/>
          <w14:ligatures w14:val="none"/>
        </w:rPr>
      </w:pPr>
      <w:r>
        <w:rPr>
          <w:rFonts w:ascii="Times New Roman" w:hAnsi="Times New Roman"/>
          <w:b/>
          <w:noProof/>
        </w:rPr>
        <w:t>ES sukūrė plataus užmojo sistemą, kad iki 2050 m. galėtų tapti nuo iškastinio kuro nepriklausoma ekonomika.</w:t>
      </w:r>
      <w:r>
        <w:rPr>
          <w:rFonts w:ascii="Times New Roman" w:hAnsi="Times New Roman"/>
          <w:noProof/>
        </w:rPr>
        <w:t xml:space="preserve">  Norint, kad ES, siekdama iki 2050 m. neutralizuoti poveikį klimatui, nenukryptų nuo 2040 m. tikslo kurso ir išnaudotų visą pertvarkos potencialą, būtina visapusiškai ir be esminių pakeitimų įgyvendinti turimą 2030 m. klimato politikos ir energetikos tikslams skirtą teisinę sistemą.</w:t>
      </w:r>
    </w:p>
    <w:p w14:paraId="74527B0C" w14:textId="77777777" w:rsidR="005E019D" w:rsidRPr="005E019D" w:rsidRDefault="005E019D" w:rsidP="005E019D">
      <w:pPr>
        <w:spacing w:after="120" w:line="264" w:lineRule="auto"/>
        <w:jc w:val="both"/>
        <w:rPr>
          <w:rFonts w:ascii="Times New Roman" w:eastAsia="Yu Mincho" w:hAnsi="Times New Roman" w:cs="Times New Roman"/>
          <w:noProof/>
          <w:kern w:val="0"/>
          <w14:ligatures w14:val="none"/>
        </w:rPr>
      </w:pPr>
      <w:r>
        <w:rPr>
          <w:rFonts w:ascii="Times New Roman" w:hAnsi="Times New Roman"/>
          <w:b/>
          <w:noProof/>
        </w:rPr>
        <w:t xml:space="preserve">Dabartinės 2030 m. teisinės sistemos įgyvendinimas paprasčiausiu, sąžiningiausiu ir ekonomiškai efektyviausiu būdu yra vienas iš Komisijos politinių prioritetų. </w:t>
      </w:r>
      <w:r>
        <w:rPr>
          <w:rFonts w:ascii="Times New Roman" w:hAnsi="Times New Roman"/>
          <w:noProof/>
        </w:rPr>
        <w:t>Nacionaliniai energetikos ir klimato srities veiksmų planai (NEKSVP)</w:t>
      </w:r>
      <w:r w:rsidRPr="005E019D">
        <w:rPr>
          <w:rFonts w:ascii="Times New Roman" w:eastAsia="Yu Mincho" w:hAnsi="Times New Roman" w:cs="Times New Roman"/>
          <w:noProof/>
          <w:kern w:val="0"/>
          <w:vertAlign w:val="superscript"/>
        </w:rPr>
        <w:footnoteReference w:id="7"/>
      </w:r>
      <w:r>
        <w:rPr>
          <w:rFonts w:ascii="Times New Roman" w:hAnsi="Times New Roman"/>
          <w:noProof/>
        </w:rPr>
        <w:t xml:space="preserve"> yra strateginės įgyvendinimo priemonės, kuriomis naudodamosi ES ir jos valstybės narės gali bendrai pasiekti 2030 m. energetikos ir klimato politikos tikslus ir padėti pagrindą tikrai energetikos sąjungai. Įgyvendinimo ramsčiai yra valstybės narės, viešojo administravimo institucijos ir visų lygmenų suinteresuotieji subjektai. NEKSVP nustato prioritetus ir užmojus, parodo su energetika ir klimatu susijusius iššūkius ir pateikia būtinos politikos ir investicijų planą, tuo prisidedami prie konkurencingai Europos pramonei palankios patikimos ir nuspėjamos aplinkos kūrimo ir prie energijos kaštų mažinimo, kartu integruojant būtinybę mažinti su klimatu susijusią riziką ir užtikrinti pasirengimą krizėms. Jie užtikrina geresnį politikos koordinavimą visose valstybėse narėse ir įvairiose politikos srityse, kad būtų skatinamas augimas, didinamas atsparumas ir užtikrinama teisinga pertvarka. </w:t>
      </w:r>
    </w:p>
    <w:p w14:paraId="1B4775DF" w14:textId="77777777" w:rsidR="005E019D" w:rsidRPr="005E019D" w:rsidRDefault="005E019D" w:rsidP="005E019D">
      <w:pPr>
        <w:spacing w:after="120" w:line="264" w:lineRule="auto"/>
        <w:jc w:val="both"/>
        <w:rPr>
          <w:rFonts w:ascii="Times New Roman" w:eastAsia="Times New Roman" w:hAnsi="Times New Roman" w:cs="Times New Roman"/>
          <w:noProof/>
          <w:kern w:val="0"/>
          <w14:ligatures w14:val="none"/>
        </w:rPr>
      </w:pPr>
      <w:r>
        <w:rPr>
          <w:rFonts w:ascii="Times New Roman" w:hAnsi="Times New Roman"/>
          <w:b/>
          <w:noProof/>
        </w:rPr>
        <w:t>ES jau įrodė, kad konkurencingumas, energetikos pertvarka ir klimato politikos veiksmai gali būti neatsiejami.</w:t>
      </w:r>
      <w:r>
        <w:rPr>
          <w:rFonts w:ascii="Times New Roman" w:hAnsi="Times New Roman"/>
          <w:noProof/>
        </w:rPr>
        <w:t xml:space="preserve"> 2023 m. grynasis išmetamas šiltnamio efektą sukeliančių dujų kiekis buvo 37 proc. mažesnis nei 1990 m., o ES BVP per tą patį laikotarpį padidėjo 68 proc. Tai lėmė nuolatinis energijos vartojimo efektyvumo didinimas, atsinaujinančiųjų išteklių energijos diegimas, naujos technologijos ir novatoriški pramonės procesai. 2023 m. atsinaujinančiųjų išteklių energija buvo pagrindinis ES elektros energijos šaltinis, siekęs 24 proc. visos energijos gamybos, o galutinis energijos suvartojimas sudarė 894 mln. tonų naftos ekvivalento (mln. tne), kai 2030 m. galutinės energijos suvartojimo tikslas yra 763 mln. tne.  2023 m. ES suvartojo 2 proc. mažiau galutinės energijos, palyginti su 2014 m., o jos BVP per tą patį laikotarpį padidėjo 38 proc.</w:t>
      </w:r>
      <w:r w:rsidRPr="005E019D">
        <w:rPr>
          <w:rFonts w:ascii="Times New Roman" w:eastAsia="Times New Roman" w:hAnsi="Times New Roman" w:cs="Times New Roman"/>
          <w:noProof/>
          <w:kern w:val="0"/>
          <w:vertAlign w:val="superscript"/>
        </w:rPr>
        <w:footnoteReference w:id="8"/>
      </w:r>
      <w:r>
        <w:rPr>
          <w:rFonts w:ascii="Times New Roman" w:hAnsi="Times New Roman"/>
          <w:noProof/>
        </w:rPr>
        <w:t xml:space="preserve"> Sparčiai diegiant švarią energiją ES, Europos namų ūkiai ir įmonės bus apsaugomi nuo nepastovumo, susijusio su iškastiniu kuru, stiprės konkurencingumas ir pirmavimas švarių technologijų srityje ir galės labiau didėti energetinis savarankiškumas. Plataus užmojo 2030 m. strategija, grindžiama aiškiais tikslais ir strateginiu planavimu, jau padėjo artinti ES prie mūsų klimato politikos ir energetikos tikslų.</w:t>
      </w:r>
    </w:p>
    <w:p w14:paraId="1F819EE4" w14:textId="558C34FF" w:rsidR="005E019D" w:rsidRPr="005E019D" w:rsidRDefault="005E019D" w:rsidP="005E019D">
      <w:pPr>
        <w:spacing w:after="120" w:line="264" w:lineRule="auto"/>
        <w:jc w:val="both"/>
        <w:rPr>
          <w:rFonts w:ascii="Times New Roman" w:eastAsia="Yu Mincho" w:hAnsi="Times New Roman" w:cs="Times New Roman"/>
          <w:noProof/>
          <w:kern w:val="0"/>
          <w14:ligatures w14:val="none"/>
        </w:rPr>
      </w:pPr>
      <w:r>
        <w:rPr>
          <w:rFonts w:ascii="Times New Roman" w:hAnsi="Times New Roman"/>
          <w:b/>
          <w:noProof/>
        </w:rPr>
        <w:t>Iš galutinių atnaujintų NEKSVP vertinimo matyti, kad juos visiškai įgyvendinus ES priartėtų prie savo tikslų įgyvendinimo.</w:t>
      </w:r>
      <w:r>
        <w:rPr>
          <w:rFonts w:ascii="Times New Roman" w:hAnsi="Times New Roman"/>
          <w:noProof/>
        </w:rPr>
        <w:t xml:space="preserve"> Šiame komunikate apibendrintoje analizėje atskleidžiama, kad padaryta svarbių patobulinimų, palyginti su planų projektais, ir nurodoma, kad ES sėkmingai siekia 2030 m. tikslų grynąjį išmetamą ŠESD kiekį sumažinti bent 55 proc., palyginti su 1990 m., ir padidinti atsinaujinančiųjų išteklių energijos dalį bent iki 42,5 proc., puoselėjant lūkestį pasiekti 45 proc., nors reikia dėti daugiau pastangų, kad energijos suvartojimas būtų sumažintas 11,7 proc. Nepaisant šių patobulinimų, tebėra tam tikrų spragų. Nustačius tarpinį 2040 m. klimato srities tikslą gali padaugėti nuspėjamumo ir sustiprėti ekonominiai argumentai už planuose apibūdintą perėjimą prie švarios energijos, taigi tas tikslas gali padėti mums pasiekti 2030 m. tikslus. </w:t>
      </w:r>
    </w:p>
    <w:p w14:paraId="4AB9511E" w14:textId="77777777" w:rsidR="005E019D" w:rsidRPr="005E019D" w:rsidDel="00C97DFB" w:rsidRDefault="005E019D" w:rsidP="005E019D">
      <w:pPr>
        <w:spacing w:after="120" w:line="264" w:lineRule="auto"/>
        <w:jc w:val="both"/>
        <w:rPr>
          <w:rFonts w:ascii="Times New Roman" w:eastAsia="Yu Mincho" w:hAnsi="Times New Roman" w:cs="Times New Roman"/>
          <w:noProof/>
          <w:kern w:val="0"/>
          <w14:ligatures w14:val="none"/>
        </w:rPr>
      </w:pPr>
      <w:r>
        <w:rPr>
          <w:rFonts w:ascii="Times New Roman" w:hAnsi="Times New Roman"/>
          <w:b/>
          <w:noProof/>
        </w:rPr>
        <w:t>Galutiniai atnaujinti NEKSVP buvo parengti po išsamių konsultacijų</w:t>
      </w:r>
      <w:r>
        <w:rPr>
          <w:rFonts w:ascii="Times New Roman" w:hAnsi="Times New Roman"/>
          <w:noProof/>
        </w:rPr>
        <w:t xml:space="preserve"> nacionaliniu ir regioniniu lygmenimis, apimančių kartotinį bendravimo su Komisija procesą, per kurį buvo vertinami planų projektai ir teikiamos rekomendacijos valstybėms narėms, kaip galutinius planus parengti plataus užmojo ir patikimus</w:t>
      </w:r>
      <w:r w:rsidRPr="005E019D">
        <w:rPr>
          <w:rFonts w:ascii="Times New Roman" w:eastAsia="Yu Mincho" w:hAnsi="Times New Roman" w:cs="Times New Roman"/>
          <w:noProof/>
          <w:kern w:val="0"/>
          <w:vertAlign w:val="superscript"/>
        </w:rPr>
        <w:footnoteReference w:id="9"/>
      </w:r>
      <w:r>
        <w:rPr>
          <w:rFonts w:ascii="Times New Roman" w:hAnsi="Times New Roman"/>
          <w:noProof/>
        </w:rPr>
        <w:t>. Balandžio mėn. pabaigoje galutinius atnaujintus NEKSVP buvo pateikusios 24 valstybės narės</w:t>
      </w:r>
      <w:r w:rsidRPr="005E019D">
        <w:rPr>
          <w:rFonts w:ascii="Times New Roman" w:eastAsia="Yu Mincho" w:hAnsi="Times New Roman" w:cs="Times New Roman"/>
          <w:noProof/>
          <w:kern w:val="0"/>
          <w:vertAlign w:val="superscript"/>
        </w:rPr>
        <w:footnoteReference w:id="10"/>
      </w:r>
      <w:r>
        <w:rPr>
          <w:rFonts w:ascii="Times New Roman" w:hAnsi="Times New Roman"/>
          <w:noProof/>
        </w:rPr>
        <w:t>. Valstybės narės, kurios to dar nepadarė – Belgija, Estija ir Lenkija – raginamos</w:t>
      </w:r>
      <w:r w:rsidRPr="005E019D">
        <w:rPr>
          <w:rFonts w:ascii="Times New Roman" w:eastAsia="Yu Mincho" w:hAnsi="Times New Roman" w:cs="Times New Roman"/>
          <w:noProof/>
          <w:kern w:val="0"/>
          <w:vertAlign w:val="superscript"/>
        </w:rPr>
        <w:footnoteReference w:id="11"/>
      </w:r>
      <w:r>
        <w:rPr>
          <w:rFonts w:ascii="Times New Roman" w:hAnsi="Times New Roman"/>
          <w:noProof/>
        </w:rPr>
        <w:t xml:space="preserve"> kuo greičiau užbaigti rengti savo planus.</w:t>
      </w:r>
    </w:p>
    <w:p w14:paraId="4269BFE5" w14:textId="77777777" w:rsidR="005E019D" w:rsidRPr="005E019D" w:rsidRDefault="005E019D" w:rsidP="005E019D">
      <w:pPr>
        <w:spacing w:after="120" w:line="264" w:lineRule="auto"/>
        <w:jc w:val="both"/>
        <w:rPr>
          <w:rFonts w:ascii="Times New Roman" w:eastAsia="Yu Mincho" w:hAnsi="Times New Roman" w:cs="Times New Roman"/>
          <w:noProof/>
          <w:kern w:val="0"/>
          <w14:ligatures w14:val="none"/>
        </w:rPr>
      </w:pPr>
      <w:r>
        <w:rPr>
          <w:rFonts w:ascii="Times New Roman" w:hAnsi="Times New Roman"/>
          <w:noProof/>
        </w:rPr>
        <w:t>Šiame ES masto vertinime aptariami kolektyviniai valstybių narių užmojai</w:t>
      </w:r>
      <w:r w:rsidRPr="005E019D">
        <w:rPr>
          <w:rFonts w:ascii="Times New Roman" w:eastAsia="Yu Mincho" w:hAnsi="Times New Roman" w:cs="Times New Roman"/>
          <w:noProof/>
          <w:kern w:val="0"/>
          <w:vertAlign w:val="superscript"/>
          <w:lang w:val="en-GB"/>
        </w:rPr>
        <w:footnoteReference w:id="12"/>
      </w:r>
      <w:r>
        <w:rPr>
          <w:rFonts w:ascii="Times New Roman" w:hAnsi="Times New Roman"/>
          <w:noProof/>
        </w:rPr>
        <w:t>, nustatomi užmojų trūkumai, kuriuos reikia skubiai pašalinti, ir aprašomi bendri uždaviniai ir pažangos galimybės. Prie jo pridedamas Komisijos tarnybų darbinis dokumentas, kuriame pateikiami atskirų valstybių narių galutinių NEKSVP</w:t>
      </w:r>
      <w:r w:rsidRPr="005E019D">
        <w:rPr>
          <w:rFonts w:ascii="Times New Roman" w:eastAsia="Yu Mincho" w:hAnsi="Times New Roman" w:cs="Times New Roman"/>
          <w:noProof/>
          <w:kern w:val="0"/>
          <w:vertAlign w:val="superscript"/>
          <w:lang w:val="en-GB"/>
        </w:rPr>
        <w:footnoteReference w:id="13"/>
      </w:r>
      <w:r>
        <w:rPr>
          <w:rFonts w:ascii="Times New Roman" w:hAnsi="Times New Roman"/>
          <w:noProof/>
        </w:rPr>
        <w:t xml:space="preserve"> vertinimai ir tikslinės gairės, kuriomis siekiama palengvinti įgyvendinimą.</w:t>
      </w:r>
    </w:p>
    <w:p w14:paraId="6DF37F6B" w14:textId="77777777" w:rsidR="005E019D" w:rsidRPr="005E019D" w:rsidRDefault="005E019D" w:rsidP="005E019D">
      <w:pPr>
        <w:pBdr>
          <w:top w:val="single" w:sz="4" w:space="1" w:color="auto"/>
          <w:left w:val="single" w:sz="4" w:space="4" w:color="auto"/>
          <w:bottom w:val="single" w:sz="4" w:space="0" w:color="auto"/>
          <w:right w:val="single" w:sz="4" w:space="4" w:color="auto"/>
        </w:pBdr>
        <w:spacing w:after="120" w:line="264" w:lineRule="auto"/>
        <w:rPr>
          <w:rFonts w:ascii="Times New Roman" w:eastAsia="Yu Mincho" w:hAnsi="Times New Roman" w:cs="Times New Roman"/>
          <w:noProof/>
          <w:kern w:val="0"/>
          <w14:ligatures w14:val="none"/>
        </w:rPr>
      </w:pPr>
      <w:r>
        <w:rPr>
          <w:rFonts w:ascii="Times New Roman" w:hAnsi="Times New Roman"/>
          <w:b/>
          <w:i/>
          <w:noProof/>
        </w:rPr>
        <w:t>Pagrindinės ES masto vertinimo išvados</w:t>
      </w:r>
      <w:r>
        <w:rPr>
          <w:rFonts w:ascii="Times New Roman" w:hAnsi="Times New Roman"/>
          <w:noProof/>
        </w:rPr>
        <w:t xml:space="preserve"> </w:t>
      </w:r>
    </w:p>
    <w:p w14:paraId="316C13CC" w14:textId="77777777" w:rsidR="005E019D" w:rsidRPr="005E019D" w:rsidRDefault="005E019D" w:rsidP="005E019D">
      <w:pPr>
        <w:pBdr>
          <w:top w:val="single" w:sz="4" w:space="1" w:color="auto"/>
          <w:left w:val="single" w:sz="4" w:space="4" w:color="auto"/>
          <w:bottom w:val="single" w:sz="4" w:space="0" w:color="auto"/>
          <w:right w:val="single" w:sz="4" w:space="4" w:color="auto"/>
        </w:pBdr>
        <w:spacing w:after="120" w:line="264" w:lineRule="auto"/>
        <w:jc w:val="both"/>
        <w:rPr>
          <w:rFonts w:ascii="Times New Roman" w:eastAsia="Yu Mincho" w:hAnsi="Times New Roman" w:cs="Times New Roman"/>
          <w:noProof/>
          <w:kern w:val="0"/>
          <w14:ligatures w14:val="none"/>
        </w:rPr>
      </w:pPr>
      <w:r>
        <w:rPr>
          <w:rFonts w:ascii="Times New Roman" w:hAnsi="Times New Roman"/>
          <w:noProof/>
        </w:rPr>
        <w:t xml:space="preserve">Remdamasi valstybių narių projekcijomis, Komisija apskaičiavo, kad 2030 m. bendras </w:t>
      </w:r>
      <w:r>
        <w:rPr>
          <w:rFonts w:ascii="Times New Roman" w:hAnsi="Times New Roman"/>
          <w:b/>
          <w:noProof/>
        </w:rPr>
        <w:t>grynasis išmetamas ŠESD kiekis</w:t>
      </w:r>
      <w:r w:rsidRPr="005E019D">
        <w:rPr>
          <w:rFonts w:ascii="Times New Roman" w:eastAsia="Yu Mincho" w:hAnsi="Times New Roman" w:cs="Times New Roman"/>
          <w:noProof/>
          <w:kern w:val="0"/>
          <w:vertAlign w:val="superscript"/>
          <w:lang w:val="en-US"/>
        </w:rPr>
        <w:footnoteReference w:id="14"/>
      </w:r>
      <w:r>
        <w:rPr>
          <w:rFonts w:ascii="Times New Roman" w:hAnsi="Times New Roman"/>
          <w:noProof/>
        </w:rPr>
        <w:t xml:space="preserve"> sumažės maždaug 54 proc., palyginti su 1990 m. lygiu, o tai reiškia, kad ES sėkmingai siekia 2030 m. tikslo. Tai priklauso nuo visapusiško esamos ir papildomos valstybių narių politikos ir priemonių, taip pat ES politikos įgyvendinimo.</w:t>
      </w:r>
    </w:p>
    <w:p w14:paraId="1A40508E" w14:textId="77777777" w:rsidR="005E019D" w:rsidRPr="005E019D" w:rsidRDefault="005E019D" w:rsidP="005E019D">
      <w:pPr>
        <w:pBdr>
          <w:top w:val="single" w:sz="4" w:space="1" w:color="auto"/>
          <w:left w:val="single" w:sz="4" w:space="4" w:color="auto"/>
          <w:bottom w:val="single" w:sz="4" w:space="0" w:color="auto"/>
          <w:right w:val="single" w:sz="4" w:space="4" w:color="auto"/>
        </w:pBdr>
        <w:spacing w:after="120" w:line="264" w:lineRule="auto"/>
        <w:jc w:val="both"/>
        <w:rPr>
          <w:rFonts w:ascii="Times New Roman" w:eastAsia="Yu Mincho" w:hAnsi="Times New Roman" w:cs="Times New Roman"/>
          <w:noProof/>
          <w:kern w:val="0"/>
          <w14:ligatures w14:val="none"/>
        </w:rPr>
      </w:pPr>
      <w:r>
        <w:rPr>
          <w:rFonts w:ascii="Times New Roman" w:hAnsi="Times New Roman"/>
          <w:noProof/>
        </w:rPr>
        <w:t xml:space="preserve">Numatoma, kad sektoriuose, kuriems taikomas </w:t>
      </w:r>
      <w:r>
        <w:rPr>
          <w:rFonts w:ascii="Times New Roman" w:hAnsi="Times New Roman"/>
          <w:b/>
          <w:noProof/>
        </w:rPr>
        <w:t>Pastangų pasidalijimo reglamentas</w:t>
      </w:r>
      <w:r w:rsidRPr="005E019D">
        <w:rPr>
          <w:rFonts w:ascii="Times New Roman" w:eastAsia="Calibri" w:hAnsi="Times New Roman" w:cs="Times New Roman"/>
          <w:b/>
          <w:bCs/>
          <w:noProof/>
          <w:kern w:val="0"/>
          <w:vertAlign w:val="superscript"/>
          <w:lang w:val="en-GB"/>
        </w:rPr>
        <w:footnoteReference w:id="15"/>
      </w:r>
      <w:r>
        <w:rPr>
          <w:rFonts w:ascii="Times New Roman" w:hAnsi="Times New Roman"/>
          <w:noProof/>
        </w:rPr>
        <w:t xml:space="preserve"> (PPR), išmetamas ŠESD kiekis 2030 m. sumažės maždaug 38 proc., palyginti su 2005 m., t. y. maždaug 2 procentiniais punktais mažiau nei ES 40 proc. tikslas.</w:t>
      </w:r>
    </w:p>
    <w:p w14:paraId="305F0A17" w14:textId="77777777" w:rsidR="005E019D" w:rsidRPr="005E019D" w:rsidRDefault="005E019D" w:rsidP="005E019D">
      <w:pPr>
        <w:pBdr>
          <w:top w:val="single" w:sz="4" w:space="1" w:color="auto"/>
          <w:left w:val="single" w:sz="4" w:space="4" w:color="auto"/>
          <w:bottom w:val="single" w:sz="4" w:space="0" w:color="auto"/>
          <w:right w:val="single" w:sz="4" w:space="4" w:color="auto"/>
        </w:pBdr>
        <w:spacing w:after="120" w:line="264" w:lineRule="auto"/>
        <w:jc w:val="both"/>
        <w:rPr>
          <w:rFonts w:ascii="Times New Roman" w:eastAsia="Yu Mincho" w:hAnsi="Times New Roman" w:cs="Times New Roman"/>
          <w:noProof/>
          <w:kern w:val="0"/>
          <w14:ligatures w14:val="none"/>
        </w:rPr>
      </w:pPr>
      <w:r>
        <w:rPr>
          <w:rFonts w:ascii="Times New Roman" w:hAnsi="Times New Roman"/>
          <w:noProof/>
        </w:rPr>
        <w:t xml:space="preserve">Nors kelios valstybės narės, palyginti su planų projektais, suintensyvino pastangas </w:t>
      </w:r>
      <w:r>
        <w:rPr>
          <w:rFonts w:ascii="Times New Roman" w:hAnsi="Times New Roman"/>
          <w:b/>
          <w:noProof/>
        </w:rPr>
        <w:t>žemės sektoriuje</w:t>
      </w:r>
      <w:r>
        <w:rPr>
          <w:rFonts w:ascii="Times New Roman" w:hAnsi="Times New Roman"/>
          <w:noProof/>
        </w:rPr>
        <w:t>, vis dar yra maždaug 45–60 mln. tonų CO</w:t>
      </w:r>
      <w:r>
        <w:rPr>
          <w:rFonts w:ascii="Times New Roman" w:hAnsi="Times New Roman"/>
          <w:noProof/>
          <w:vertAlign w:val="subscript"/>
        </w:rPr>
        <w:t>2</w:t>
      </w:r>
      <w:r>
        <w:rPr>
          <w:rFonts w:ascii="Times New Roman" w:hAnsi="Times New Roman"/>
          <w:noProof/>
        </w:rPr>
        <w:t>e atotrūkis (atitinka apie 100–140 proc. papildomo absorbuojamo kiekio tikslo), palyginti su 2030 m. tikslu pagal Žemės naudojimo, žemės naudojimo keitimo ir miškininkystės (LULUCF) reglamentą</w:t>
      </w:r>
      <w:r w:rsidRPr="005E019D">
        <w:rPr>
          <w:rFonts w:ascii="Times New Roman" w:eastAsia="Yu Mincho" w:hAnsi="Times New Roman" w:cs="Times New Roman"/>
          <w:noProof/>
          <w:kern w:val="0"/>
          <w:vertAlign w:val="superscript"/>
          <w:lang w:val="en-US"/>
        </w:rPr>
        <w:footnoteReference w:id="16"/>
      </w:r>
      <w:r>
        <w:rPr>
          <w:rFonts w:ascii="Times New Roman" w:hAnsi="Times New Roman"/>
          <w:noProof/>
        </w:rPr>
        <w:t xml:space="preserve">. </w:t>
      </w:r>
    </w:p>
    <w:p w14:paraId="4912D82A" w14:textId="77777777" w:rsidR="005E019D" w:rsidRPr="005E019D" w:rsidRDefault="005E019D" w:rsidP="005E019D">
      <w:pPr>
        <w:pBdr>
          <w:top w:val="single" w:sz="4" w:space="1" w:color="auto"/>
          <w:left w:val="single" w:sz="4" w:space="4" w:color="auto"/>
          <w:bottom w:val="single" w:sz="4" w:space="0" w:color="auto"/>
          <w:right w:val="single" w:sz="4" w:space="4" w:color="auto"/>
        </w:pBdr>
        <w:spacing w:after="120" w:line="264" w:lineRule="auto"/>
        <w:jc w:val="both"/>
        <w:rPr>
          <w:rFonts w:ascii="Times New Roman" w:eastAsia="Yu Mincho" w:hAnsi="Times New Roman" w:cs="Times New Roman"/>
          <w:noProof/>
          <w:kern w:val="0"/>
          <w14:ligatures w14:val="none"/>
        </w:rPr>
      </w:pPr>
      <w:r>
        <w:rPr>
          <w:rFonts w:ascii="Times New Roman" w:hAnsi="Times New Roman"/>
          <w:noProof/>
        </w:rPr>
        <w:t xml:space="preserve">Kalbant apie </w:t>
      </w:r>
      <w:r>
        <w:rPr>
          <w:rFonts w:ascii="Times New Roman" w:hAnsi="Times New Roman"/>
          <w:b/>
          <w:noProof/>
        </w:rPr>
        <w:t>prisitaikymą prie klimato kaitos</w:t>
      </w:r>
      <w:r>
        <w:rPr>
          <w:rFonts w:ascii="Times New Roman" w:hAnsi="Times New Roman"/>
          <w:noProof/>
        </w:rPr>
        <w:t>, tik į kai kuriuos galutinius NEKSVP pakankamai integruoti pasirengimo krizėms ir atsparumo klimato poveikiui klausimai. Kai kuriuose planuose apsvarstytos su hidrologiniu atsparumu susijusios priemonės.</w:t>
      </w:r>
    </w:p>
    <w:p w14:paraId="72FBABDB" w14:textId="0CFD218B" w:rsidR="005E019D" w:rsidRPr="005E019D" w:rsidRDefault="005E019D" w:rsidP="005E019D">
      <w:pPr>
        <w:pBdr>
          <w:top w:val="single" w:sz="4" w:space="1" w:color="auto"/>
          <w:left w:val="single" w:sz="4" w:space="4" w:color="auto"/>
          <w:bottom w:val="single" w:sz="4" w:space="0" w:color="auto"/>
          <w:right w:val="single" w:sz="4" w:space="4" w:color="auto"/>
        </w:pBdr>
        <w:spacing w:after="120" w:line="264" w:lineRule="auto"/>
        <w:jc w:val="both"/>
        <w:rPr>
          <w:rFonts w:ascii="Times New Roman" w:eastAsia="Yu Mincho" w:hAnsi="Times New Roman" w:cs="Times New Roman"/>
          <w:noProof/>
          <w:kern w:val="0"/>
          <w14:ligatures w14:val="none"/>
        </w:rPr>
      </w:pPr>
      <w:r>
        <w:rPr>
          <w:rFonts w:ascii="Times New Roman" w:hAnsi="Times New Roman"/>
          <w:noProof/>
        </w:rPr>
        <w:t xml:space="preserve">Dauguma valstybių narių nurodo nacionalinius įnašus, atitinkančius ES 2030 m. privalomą tikslą, kad </w:t>
      </w:r>
      <w:r>
        <w:rPr>
          <w:rFonts w:ascii="Times New Roman" w:hAnsi="Times New Roman"/>
          <w:b/>
          <w:noProof/>
        </w:rPr>
        <w:t>atsinaujinančiųjų išteklių energijos dalis</w:t>
      </w:r>
      <w:r>
        <w:rPr>
          <w:rFonts w:ascii="Times New Roman" w:hAnsi="Times New Roman"/>
          <w:noProof/>
        </w:rPr>
        <w:t xml:space="preserve"> būtų bent 42,5 proc. Vis dėlto išlieka nedidelis, 1,5 procentinio punkto užmojo atotrūkis. </w:t>
      </w:r>
    </w:p>
    <w:p w14:paraId="3BFCE047" w14:textId="77777777" w:rsidR="005E019D" w:rsidRPr="005E019D" w:rsidRDefault="005E019D" w:rsidP="005E019D">
      <w:pPr>
        <w:pBdr>
          <w:top w:val="single" w:sz="4" w:space="1" w:color="auto"/>
          <w:left w:val="single" w:sz="4" w:space="4" w:color="auto"/>
          <w:bottom w:val="single" w:sz="4" w:space="0" w:color="auto"/>
          <w:right w:val="single" w:sz="4" w:space="4" w:color="auto"/>
        </w:pBdr>
        <w:spacing w:after="120" w:line="264" w:lineRule="auto"/>
        <w:jc w:val="both"/>
        <w:rPr>
          <w:rFonts w:ascii="Times New Roman" w:eastAsia="Times New Roman" w:hAnsi="Times New Roman" w:cs="Times New Roman"/>
          <w:noProof/>
          <w:kern w:val="0"/>
          <w14:ligatures w14:val="none"/>
        </w:rPr>
      </w:pPr>
      <w:r>
        <w:rPr>
          <w:rFonts w:ascii="Times New Roman" w:hAnsi="Times New Roman"/>
          <w:noProof/>
        </w:rPr>
        <w:t xml:space="preserve">Nepaisant to, kad valstybių narių indėlis siekiant ES tikslo iki 2030 m. užtikrinti 11,7 proc. </w:t>
      </w:r>
      <w:r>
        <w:rPr>
          <w:rFonts w:ascii="Times New Roman" w:hAnsi="Times New Roman"/>
          <w:b/>
          <w:noProof/>
        </w:rPr>
        <w:t xml:space="preserve">energijos vartojimo efektyvumą </w:t>
      </w:r>
      <w:r>
        <w:rPr>
          <w:rFonts w:ascii="Times New Roman" w:hAnsi="Times New Roman"/>
          <w:noProof/>
        </w:rPr>
        <w:t>padidėjo, galutinės energijos suvartojimo užmojų atotrūkis tebėra 31,1 mln. tne, o pirminės energijos suvartojimo – 47,3 mln. tne. Galutinės energijos suvartojimo srityje tai reiškia, kad ES užmojai yra 8,1 proc.</w:t>
      </w:r>
    </w:p>
    <w:p w14:paraId="6F34D709" w14:textId="77777777" w:rsidR="005E019D" w:rsidRPr="005E019D" w:rsidRDefault="005E019D" w:rsidP="005E019D">
      <w:pPr>
        <w:pBdr>
          <w:top w:val="single" w:sz="4" w:space="1" w:color="auto"/>
          <w:left w:val="single" w:sz="4" w:space="4" w:color="auto"/>
          <w:bottom w:val="single" w:sz="4" w:space="0" w:color="auto"/>
          <w:right w:val="single" w:sz="4" w:space="4" w:color="auto"/>
        </w:pBdr>
        <w:spacing w:after="120" w:line="264" w:lineRule="auto"/>
        <w:jc w:val="both"/>
        <w:rPr>
          <w:rFonts w:ascii="Times New Roman" w:eastAsia="Yu Mincho" w:hAnsi="Times New Roman" w:cs="Times New Roman"/>
          <w:noProof/>
          <w:kern w:val="0"/>
          <w14:ligatures w14:val="none"/>
        </w:rPr>
      </w:pPr>
      <w:r>
        <w:rPr>
          <w:rFonts w:ascii="Times New Roman" w:hAnsi="Times New Roman"/>
          <w:noProof/>
        </w:rPr>
        <w:t xml:space="preserve">Visuose planuose </w:t>
      </w:r>
      <w:r>
        <w:rPr>
          <w:rFonts w:ascii="Times New Roman" w:hAnsi="Times New Roman"/>
          <w:b/>
          <w:noProof/>
        </w:rPr>
        <w:t>energetinis saugumas</w:t>
      </w:r>
      <w:r>
        <w:rPr>
          <w:rFonts w:ascii="Times New Roman" w:hAnsi="Times New Roman"/>
          <w:noProof/>
        </w:rPr>
        <w:t xml:space="preserve"> paremtas mažesniu dujų suvartojimu ir įvairesniais energijos ištekliais, įskaitant didesnį branduolinės energijos, elektros energijos gamybos ir šilumos gamybos vaidmenį keliose valstybėse narėse. Vis dėlto turime toliau pritaikyti infrastruktūrą prie nuo iškastinio kuro nepriklausomos energetikos sistemos, didesnės elektrifikacijos, grindžiamos kintančiais atsinaujinančiaisiais energijos ištekliais, ir sparčiai kintančių grėsmių, pavyzdžiui, klimato kaitos ir grėsmių kibernetiniam saugumui.</w:t>
      </w:r>
    </w:p>
    <w:p w14:paraId="592A6CE7" w14:textId="77777777" w:rsidR="005E019D" w:rsidRPr="005E019D" w:rsidRDefault="005E019D" w:rsidP="005E019D">
      <w:pPr>
        <w:pBdr>
          <w:top w:val="single" w:sz="4" w:space="1" w:color="auto"/>
          <w:left w:val="single" w:sz="4" w:space="4" w:color="auto"/>
          <w:bottom w:val="single" w:sz="4" w:space="0" w:color="auto"/>
          <w:right w:val="single" w:sz="4" w:space="4" w:color="auto"/>
        </w:pBdr>
        <w:spacing w:after="120" w:line="264" w:lineRule="auto"/>
        <w:jc w:val="both"/>
        <w:rPr>
          <w:rFonts w:ascii="Times New Roman" w:eastAsia="Yu Mincho" w:hAnsi="Times New Roman" w:cs="Times New Roman"/>
          <w:noProof/>
          <w:kern w:val="0"/>
          <w14:ligatures w14:val="none"/>
        </w:rPr>
      </w:pPr>
      <w:r>
        <w:rPr>
          <w:rFonts w:ascii="Times New Roman" w:hAnsi="Times New Roman"/>
          <w:noProof/>
        </w:rPr>
        <w:t xml:space="preserve">Kalbant apie </w:t>
      </w:r>
      <w:r>
        <w:rPr>
          <w:rFonts w:ascii="Times New Roman" w:hAnsi="Times New Roman"/>
          <w:b/>
          <w:noProof/>
        </w:rPr>
        <w:t>energijos vidaus rinką</w:t>
      </w:r>
      <w:r>
        <w:rPr>
          <w:rFonts w:ascii="Times New Roman" w:hAnsi="Times New Roman"/>
          <w:noProof/>
        </w:rPr>
        <w:t>, valstybės narės savo galutiniuose planuose nustatė naujas priemones, kuriomis skatinamas lankstumas, stabilizuojamos rinkos ir sudaromos palankesnės sąlygos atsinaujinančiųjų išteklių energijos skverbčiai. Vis dėlto reikia papildomų priemonių tarpvalstybinių jungčių plėtrai ir tolesnei rinkų integracijai.</w:t>
      </w:r>
    </w:p>
    <w:p w14:paraId="4BA0C4D7" w14:textId="77777777" w:rsidR="005E019D" w:rsidRPr="005E019D" w:rsidRDefault="005E019D" w:rsidP="005E019D">
      <w:pPr>
        <w:pBdr>
          <w:top w:val="single" w:sz="4" w:space="1" w:color="auto"/>
          <w:left w:val="single" w:sz="4" w:space="4" w:color="auto"/>
          <w:bottom w:val="single" w:sz="4" w:space="0" w:color="auto"/>
          <w:right w:val="single" w:sz="4" w:space="4" w:color="auto"/>
        </w:pBdr>
        <w:spacing w:after="120" w:line="264" w:lineRule="auto"/>
        <w:jc w:val="both"/>
        <w:rPr>
          <w:rFonts w:ascii="Times New Roman" w:eastAsia="Yu Mincho" w:hAnsi="Times New Roman" w:cs="Times New Roman"/>
          <w:noProof/>
          <w:kern w:val="0"/>
          <w14:ligatures w14:val="none"/>
        </w:rPr>
      </w:pPr>
      <w:r>
        <w:rPr>
          <w:rFonts w:ascii="Times New Roman" w:hAnsi="Times New Roman"/>
          <w:noProof/>
        </w:rPr>
        <w:t xml:space="preserve">Iš galutinių planų matyti, kad daugiau dėmesio skiriama </w:t>
      </w:r>
      <w:r>
        <w:rPr>
          <w:rFonts w:ascii="Times New Roman" w:hAnsi="Times New Roman"/>
          <w:b/>
          <w:noProof/>
        </w:rPr>
        <w:t>pramonės konkurencingumui, tiekimo grandinių atsparumui, inovacijoms ir įgūdžių ugdymui</w:t>
      </w:r>
      <w:r>
        <w:rPr>
          <w:rFonts w:ascii="Times New Roman" w:hAnsi="Times New Roman"/>
          <w:noProof/>
        </w:rPr>
        <w:t xml:space="preserve">. Vis dėlto, išskyrus tam tikras išimtis, planuose dažnai nėra pakankamai konkrečių ir įgyvendinamų šių sričių tikslų. </w:t>
      </w:r>
    </w:p>
    <w:p w14:paraId="71AC4DA9" w14:textId="77777777" w:rsidR="005E019D" w:rsidRPr="005E019D" w:rsidRDefault="005E019D" w:rsidP="005E019D">
      <w:pPr>
        <w:pBdr>
          <w:top w:val="single" w:sz="4" w:space="1" w:color="auto"/>
          <w:left w:val="single" w:sz="4" w:space="4" w:color="auto"/>
          <w:bottom w:val="single" w:sz="4" w:space="0" w:color="auto"/>
          <w:right w:val="single" w:sz="4" w:space="4" w:color="auto"/>
        </w:pBdr>
        <w:spacing w:after="120" w:line="264" w:lineRule="auto"/>
        <w:jc w:val="both"/>
        <w:rPr>
          <w:rFonts w:ascii="Times New Roman" w:eastAsia="Yu Mincho" w:hAnsi="Times New Roman" w:cs="Times New Roman"/>
          <w:noProof/>
          <w:kern w:val="0"/>
          <w14:ligatures w14:val="none"/>
        </w:rPr>
      </w:pPr>
      <w:r>
        <w:rPr>
          <w:rFonts w:ascii="Times New Roman" w:hAnsi="Times New Roman"/>
          <w:noProof/>
        </w:rPr>
        <w:t>Maždaug pusėje planų pripažįstama, kad svarbu</w:t>
      </w:r>
      <w:r>
        <w:rPr>
          <w:rFonts w:ascii="Times New Roman" w:hAnsi="Times New Roman"/>
          <w:b/>
          <w:noProof/>
        </w:rPr>
        <w:t xml:space="preserve"> laipsniškai panaikinti subsidijas iškastiniam kurui</w:t>
      </w:r>
      <w:r>
        <w:rPr>
          <w:rFonts w:ascii="Times New Roman" w:hAnsi="Times New Roman"/>
          <w:noProof/>
        </w:rPr>
        <w:t>. Nepaisant to, iš esmės trūksta esamų subsidijų iškastiniam kurui sąrašo, konkrečių terminų ir priemonių joms laipsniškai panaikinti.</w:t>
      </w:r>
    </w:p>
    <w:p w14:paraId="7A2C3943" w14:textId="77777777" w:rsidR="005E019D" w:rsidRPr="005E019D" w:rsidRDefault="005E019D" w:rsidP="005E019D">
      <w:pPr>
        <w:pBdr>
          <w:top w:val="single" w:sz="4" w:space="1" w:color="auto"/>
          <w:left w:val="single" w:sz="4" w:space="4" w:color="auto"/>
          <w:bottom w:val="single" w:sz="4" w:space="0" w:color="auto"/>
          <w:right w:val="single" w:sz="4" w:space="4" w:color="auto"/>
        </w:pBdr>
        <w:spacing w:after="120" w:line="264" w:lineRule="auto"/>
        <w:jc w:val="both"/>
        <w:rPr>
          <w:rFonts w:ascii="Times New Roman" w:eastAsia="Yu Mincho" w:hAnsi="Times New Roman" w:cs="Times New Roman"/>
          <w:noProof/>
          <w:kern w:val="0"/>
          <w14:ligatures w14:val="none"/>
        </w:rPr>
      </w:pPr>
      <w:r>
        <w:rPr>
          <w:rFonts w:ascii="Times New Roman" w:hAnsi="Times New Roman"/>
          <w:noProof/>
        </w:rPr>
        <w:t xml:space="preserve">Kalbant apie </w:t>
      </w:r>
      <w:r>
        <w:rPr>
          <w:rFonts w:ascii="Times New Roman" w:hAnsi="Times New Roman"/>
          <w:b/>
          <w:noProof/>
        </w:rPr>
        <w:t>teisingą pertvarką</w:t>
      </w:r>
      <w:r>
        <w:rPr>
          <w:rFonts w:ascii="Times New Roman" w:hAnsi="Times New Roman"/>
          <w:noProof/>
        </w:rPr>
        <w:t>, planuose iš esmės aprašomas energetikos pertvarkos poveikis įgūdžių ir mokymo poreikiams, tačiau trūksta išsamios socialinio poveikio ir poveikio užimtumui, visų pirma pažeidžiamiems namų ūkiams, darbuotojams ir regionams, analizės. Būtų buvę naudinga numatyti konkretesnes priemones ir aiškiai nurodyti lėšas šiam poveikiui sušvelninti. Be to, valstybės narės nepateikia pakankamo analitinio pagrindo savo socialiniams klimato planams parengti.</w:t>
      </w:r>
    </w:p>
    <w:p w14:paraId="0D9DBCB3" w14:textId="77777777" w:rsidR="005E019D" w:rsidRPr="005E019D" w:rsidRDefault="005E019D" w:rsidP="005E019D">
      <w:pPr>
        <w:pBdr>
          <w:top w:val="single" w:sz="4" w:space="1" w:color="auto"/>
          <w:left w:val="single" w:sz="4" w:space="4" w:color="auto"/>
          <w:bottom w:val="single" w:sz="4" w:space="0" w:color="auto"/>
          <w:right w:val="single" w:sz="4" w:space="4" w:color="auto"/>
        </w:pBdr>
        <w:spacing w:after="120" w:line="264" w:lineRule="auto"/>
        <w:jc w:val="both"/>
        <w:rPr>
          <w:rFonts w:ascii="Times New Roman" w:eastAsia="Yu Mincho" w:hAnsi="Times New Roman" w:cs="Times New Roman"/>
          <w:noProof/>
          <w:kern w:val="0"/>
          <w14:ligatures w14:val="none"/>
        </w:rPr>
      </w:pPr>
      <w:r>
        <w:rPr>
          <w:rFonts w:ascii="Times New Roman" w:hAnsi="Times New Roman"/>
          <w:noProof/>
        </w:rPr>
        <w:t xml:space="preserve">Dauguma valstybių narių sprendžia </w:t>
      </w:r>
      <w:r>
        <w:rPr>
          <w:rFonts w:ascii="Times New Roman" w:hAnsi="Times New Roman"/>
          <w:b/>
          <w:noProof/>
        </w:rPr>
        <w:t>energijos nepritekliaus problemą</w:t>
      </w:r>
      <w:r>
        <w:rPr>
          <w:rFonts w:ascii="Times New Roman" w:hAnsi="Times New Roman"/>
          <w:noProof/>
        </w:rPr>
        <w:t xml:space="preserve"> ir apibūdina struktūrines arba pajamų rėmimo priemones, daugiausia dėmesio skirdamos energijos vartojimo efektyvumui, pastatų renovacijai ir priklausomybės nuo iškastinio kuro mažinimui. Vis dėlto tik kelios valstybės narės pateikė aiškias energijos nepritekliaus apibrėžtis arba nustatė konkrečius jo mažinimo tikslus. </w:t>
      </w:r>
    </w:p>
    <w:p w14:paraId="775CCE27" w14:textId="77777777" w:rsidR="005E019D" w:rsidRPr="005E019D" w:rsidRDefault="005E019D" w:rsidP="005E019D">
      <w:pPr>
        <w:pBdr>
          <w:top w:val="single" w:sz="4" w:space="1" w:color="auto"/>
          <w:left w:val="single" w:sz="4" w:space="4" w:color="auto"/>
          <w:bottom w:val="single" w:sz="4" w:space="0" w:color="auto"/>
          <w:right w:val="single" w:sz="4" w:space="4" w:color="auto"/>
        </w:pBdr>
        <w:spacing w:after="120" w:line="264" w:lineRule="auto"/>
        <w:jc w:val="both"/>
        <w:rPr>
          <w:rFonts w:ascii="Times New Roman" w:eastAsia="Yu Mincho" w:hAnsi="Times New Roman" w:cs="Times New Roman"/>
          <w:noProof/>
          <w:color w:val="000000"/>
          <w:kern w:val="0"/>
          <w14:ligatures w14:val="none"/>
        </w:rPr>
      </w:pPr>
      <w:r>
        <w:rPr>
          <w:rFonts w:ascii="Times New Roman" w:hAnsi="Times New Roman"/>
          <w:noProof/>
        </w:rPr>
        <w:t xml:space="preserve">Palyginti su planų projektais, </w:t>
      </w:r>
      <w:r>
        <w:rPr>
          <w:rFonts w:ascii="Times New Roman" w:hAnsi="Times New Roman"/>
          <w:b/>
          <w:noProof/>
        </w:rPr>
        <w:t>valstybių narių investicijų įverčiai</w:t>
      </w:r>
      <w:r>
        <w:rPr>
          <w:rFonts w:ascii="Times New Roman" w:hAnsi="Times New Roman"/>
          <w:noProof/>
        </w:rPr>
        <w:t xml:space="preserve"> gerokai pagerėjo, tačiau reikia dėti daugiau pastangų siekiant juos patikslinti ir </w:t>
      </w:r>
      <w:r>
        <w:rPr>
          <w:rFonts w:ascii="Times New Roman" w:hAnsi="Times New Roman"/>
          <w:noProof/>
          <w:color w:val="000000"/>
        </w:rPr>
        <w:t>parengti išsamią strategiją, kaip sutelkti viešąjį ir privatųjį finansavimą, kad didėtų tikrumas dėl investicijų ir taip NEKSVP taptų veiksmingais investicijų planais.</w:t>
      </w:r>
    </w:p>
    <w:p w14:paraId="3E5DB809" w14:textId="77777777" w:rsidR="005E019D" w:rsidRPr="005E019D" w:rsidRDefault="005E019D" w:rsidP="005E019D">
      <w:pPr>
        <w:pBdr>
          <w:top w:val="single" w:sz="4" w:space="1" w:color="auto"/>
          <w:left w:val="single" w:sz="4" w:space="4" w:color="auto"/>
          <w:bottom w:val="single" w:sz="4" w:space="0" w:color="auto"/>
          <w:right w:val="single" w:sz="4" w:space="4" w:color="auto"/>
        </w:pBdr>
        <w:spacing w:after="120" w:line="264" w:lineRule="auto"/>
        <w:jc w:val="both"/>
        <w:rPr>
          <w:rFonts w:ascii="Times New Roman" w:eastAsia="Yu Mincho" w:hAnsi="Times New Roman" w:cs="Times New Roman"/>
          <w:noProof/>
          <w:kern w:val="0"/>
          <w14:ligatures w14:val="none"/>
        </w:rPr>
      </w:pPr>
      <w:r>
        <w:rPr>
          <w:rFonts w:ascii="Times New Roman" w:hAnsi="Times New Roman"/>
          <w:noProof/>
          <w:color w:val="000000"/>
        </w:rPr>
        <w:t xml:space="preserve">Daugumoje planų pateikiama aiškesnė </w:t>
      </w:r>
      <w:r>
        <w:rPr>
          <w:rFonts w:ascii="Times New Roman" w:hAnsi="Times New Roman"/>
          <w:b/>
          <w:noProof/>
          <w:color w:val="000000"/>
        </w:rPr>
        <w:t>viešų konsultacijų</w:t>
      </w:r>
      <w:r>
        <w:rPr>
          <w:rFonts w:ascii="Times New Roman" w:hAnsi="Times New Roman"/>
          <w:noProof/>
          <w:color w:val="000000"/>
        </w:rPr>
        <w:t xml:space="preserve"> dėl galutinių NEKSVP rengimo </w:t>
      </w:r>
      <w:r>
        <w:rPr>
          <w:rFonts w:ascii="Times New Roman" w:hAnsi="Times New Roman"/>
          <w:b/>
          <w:noProof/>
          <w:color w:val="000000"/>
        </w:rPr>
        <w:t>proceso</w:t>
      </w:r>
      <w:r>
        <w:rPr>
          <w:rFonts w:ascii="Times New Roman" w:hAnsi="Times New Roman"/>
          <w:noProof/>
          <w:color w:val="000000"/>
        </w:rPr>
        <w:t xml:space="preserve"> apžvalga. Dalyvavimo procesai galėjo būti įtraukesni ir </w:t>
      </w:r>
      <w:r>
        <w:rPr>
          <w:rFonts w:ascii="Times New Roman" w:hAnsi="Times New Roman"/>
          <w:noProof/>
        </w:rPr>
        <w:t>veiksmingesni, informatyvesni ir numatyti ilgesnius konsultacijų laikotarpius.</w:t>
      </w:r>
    </w:p>
    <w:p w14:paraId="2C6A1381" w14:textId="77777777" w:rsidR="005E019D" w:rsidRPr="004C35F5" w:rsidRDefault="005E019D" w:rsidP="005E019D">
      <w:pPr>
        <w:spacing w:after="120" w:line="264" w:lineRule="auto"/>
        <w:rPr>
          <w:rFonts w:ascii="Times New Roman" w:eastAsia="Yu Mincho" w:hAnsi="Times New Roman" w:cs="Times New Roman"/>
          <w:noProof/>
          <w:kern w:val="0"/>
          <w14:ligatures w14:val="none"/>
        </w:rPr>
      </w:pPr>
    </w:p>
    <w:p w14:paraId="7C7AF45B" w14:textId="77777777" w:rsidR="005E019D" w:rsidRPr="005E019D" w:rsidRDefault="005E019D" w:rsidP="005E019D">
      <w:pPr>
        <w:keepNext/>
        <w:keepLines/>
        <w:spacing w:before="40" w:after="240" w:line="240" w:lineRule="auto"/>
        <w:ind w:left="432" w:hanging="432"/>
        <w:jc w:val="both"/>
        <w:outlineLvl w:val="0"/>
        <w:rPr>
          <w:rFonts w:ascii="Times New Roman" w:eastAsia="Yu Gothic Light" w:hAnsi="Times New Roman" w:cs="Times New Roman"/>
          <w:b/>
          <w:bCs/>
          <w:caps/>
          <w:noProof/>
          <w:color w:val="000000"/>
          <w:kern w:val="0"/>
          <w14:ligatures w14:val="none"/>
        </w:rPr>
      </w:pPr>
      <w:r>
        <w:rPr>
          <w:rFonts w:ascii="Times New Roman" w:hAnsi="Times New Roman"/>
          <w:b/>
          <w:caps/>
          <w:noProof/>
          <w:color w:val="000000"/>
        </w:rPr>
        <w:t xml:space="preserve">Nuo iškastinio kuro nepriklausoma ekonomika su švariu ir konkurencingu energetikos sektoriumi  </w:t>
      </w:r>
    </w:p>
    <w:p w14:paraId="13FD459E" w14:textId="77777777" w:rsidR="005E019D" w:rsidRPr="005E019D" w:rsidRDefault="005E019D" w:rsidP="005E019D">
      <w:pPr>
        <w:keepNext/>
        <w:keepLines/>
        <w:numPr>
          <w:ilvl w:val="1"/>
          <w:numId w:val="0"/>
        </w:numPr>
        <w:spacing w:before="40" w:after="240" w:line="240" w:lineRule="auto"/>
        <w:ind w:left="576" w:hanging="576"/>
        <w:jc w:val="both"/>
        <w:outlineLvl w:val="1"/>
        <w:rPr>
          <w:rFonts w:ascii="Times New Roman" w:eastAsia="Yu Gothic Light" w:hAnsi="Times New Roman" w:cs="Times New Roman"/>
          <w:b/>
          <w:bCs/>
          <w:noProof/>
          <w:color w:val="000000"/>
          <w:kern w:val="0"/>
          <w14:ligatures w14:val="none"/>
        </w:rPr>
      </w:pPr>
      <w:r>
        <w:rPr>
          <w:rFonts w:ascii="Times New Roman" w:hAnsi="Times New Roman"/>
          <w:b/>
          <w:noProof/>
          <w:color w:val="000000"/>
        </w:rPr>
        <w:t xml:space="preserve">Priklausomybės nuo iškastinio kuro mažinimas </w:t>
      </w:r>
    </w:p>
    <w:p w14:paraId="766469EE" w14:textId="77777777" w:rsidR="005E019D" w:rsidRPr="005E019D" w:rsidRDefault="005E019D" w:rsidP="005E019D">
      <w:pPr>
        <w:spacing w:before="120" w:after="120" w:line="264" w:lineRule="auto"/>
        <w:jc w:val="both"/>
        <w:rPr>
          <w:rFonts w:ascii="Times New Roman" w:eastAsia="Yu Mincho" w:hAnsi="Times New Roman" w:cs="Times New Roman"/>
          <w:bCs/>
          <w:noProof/>
          <w:kern w:val="0"/>
          <w14:ligatures w14:val="none"/>
        </w:rPr>
      </w:pPr>
      <w:r>
        <w:rPr>
          <w:rFonts w:ascii="Times New Roman" w:hAnsi="Times New Roman"/>
          <w:b/>
          <w:noProof/>
        </w:rPr>
        <w:t xml:space="preserve">Galutiniai atnaujinti NEKSVP yra gerokai patobulinti, palyginti su planų projektais, todėl ES gerokai priartėja prie tikslo iki 2030 m. sumažinti išmetamą ŠESD kiekį bent 55 proc. </w:t>
      </w:r>
      <w:r>
        <w:rPr>
          <w:rFonts w:ascii="Times New Roman" w:hAnsi="Times New Roman"/>
          <w:noProof/>
        </w:rPr>
        <w:t>Remdamasi į pateiktus planus įtraukta valstybių narių projekcijų analize, Komisija apskaičiavo, kad bendras grynasis išmetamas ŠESD kiekis 2030 m. sumažės maždaug 54 proc., palyginti su 1990 m.</w:t>
      </w:r>
      <w:r w:rsidRPr="005E019D">
        <w:rPr>
          <w:rFonts w:ascii="Times New Roman" w:eastAsia="Yu Mincho" w:hAnsi="Times New Roman" w:cs="Times New Roman"/>
          <w:noProof/>
          <w:kern w:val="0"/>
          <w:vertAlign w:val="superscript"/>
          <w:lang w:val="en-GB"/>
        </w:rPr>
        <w:footnoteReference w:id="17"/>
      </w:r>
      <w:r>
        <w:rPr>
          <w:rFonts w:ascii="Times New Roman" w:hAnsi="Times New Roman"/>
          <w:noProof/>
        </w:rPr>
        <w:t>, o tai reiškia, kad ES sėkmingai siekia savo 2030 m. tikslo. Nors esamos ir naujos nacionalinės priemonės šį rezultatą gerintų, jo nebūtų galima pasiekti be ES politikos ir priemonių pagal Pasirengimo įgyvendinti 55 % tikslą priemonių rinkinį, pavyzdžiui, ES apyvartinių taršos leidimų prekybos sistemos ir transporto priemonėms taikomų CO</w:t>
      </w:r>
      <w:r>
        <w:rPr>
          <w:rFonts w:ascii="Times New Roman" w:hAnsi="Times New Roman"/>
          <w:noProof/>
          <w:vertAlign w:val="subscript"/>
        </w:rPr>
        <w:t>2</w:t>
      </w:r>
      <w:r>
        <w:rPr>
          <w:rFonts w:ascii="Times New Roman" w:hAnsi="Times New Roman"/>
          <w:noProof/>
        </w:rPr>
        <w:t xml:space="preserve"> standartų. </w:t>
      </w:r>
    </w:p>
    <w:p w14:paraId="0540BDC2" w14:textId="77777777" w:rsidR="005E019D" w:rsidRPr="005E019D" w:rsidRDefault="005E019D" w:rsidP="005E019D">
      <w:pPr>
        <w:spacing w:before="120" w:after="120" w:line="264" w:lineRule="auto"/>
        <w:jc w:val="both"/>
        <w:rPr>
          <w:rFonts w:ascii="Times New Roman" w:eastAsia="Yu Mincho" w:hAnsi="Times New Roman" w:cs="Times New Roman"/>
          <w:noProof/>
          <w:kern w:val="0"/>
          <w14:ligatures w14:val="none"/>
        </w:rPr>
      </w:pPr>
      <w:r>
        <w:rPr>
          <w:rFonts w:ascii="Times New Roman" w:hAnsi="Times New Roman"/>
          <w:b/>
          <w:noProof/>
        </w:rPr>
        <w:t xml:space="preserve">Sektoriuose, kuriems taikomas Pastangų pasidalijimo reglamentas (PPR), nors galutiniai planai yra gerokai platesnio užmojo nei projektai, vis dar esama atotrūkio, palyginti su 2030 m. tikslu. </w:t>
      </w:r>
      <w:r>
        <w:rPr>
          <w:rFonts w:ascii="Times New Roman" w:hAnsi="Times New Roman"/>
          <w:noProof/>
        </w:rPr>
        <w:t>Pagal PPR iki 2030 m. vidaus transporto, pastatų, žemės ūkio, smulkiosios pramonės ir atliekų sektoriuose išmetamas teršalų kiekis turi būti sumažintas 40 proc., palyginti su 2005 m. Remiantis turimomis projekcijomis numatoma, kad 2030 m. išmetamųjų teršalų kiekis sumažės maždaug 38 proc., palyginti su 2005 m. lygiu, o tai yra maždaug 2 procentiniais punktais mažiau už ES tikslą</w:t>
      </w:r>
      <w:r w:rsidRPr="005E019D">
        <w:rPr>
          <w:rFonts w:ascii="Times New Roman" w:eastAsia="Yu Mincho" w:hAnsi="Times New Roman" w:cs="Times New Roman"/>
          <w:noProof/>
          <w:kern w:val="0"/>
          <w:vertAlign w:val="superscript"/>
          <w:lang w:val="en-GB"/>
        </w:rPr>
        <w:footnoteReference w:id="18"/>
      </w:r>
      <w:r>
        <w:rPr>
          <w:rFonts w:ascii="Times New Roman" w:hAnsi="Times New Roman"/>
          <w:noProof/>
        </w:rPr>
        <w:t>. Taikant papildomas arba sustiprintas priemones padaryta didelė pažanga, palyginti su daugiau kaip 6 procentinių punktų atotrūkiu, nustatytu remiantis ES mastu atliktu NEKSVP projektų vertinimu. 12 valstybių narių</w:t>
      </w:r>
      <w:r w:rsidRPr="005E019D">
        <w:rPr>
          <w:rFonts w:ascii="Times New Roman" w:eastAsia="Yu Mincho" w:hAnsi="Times New Roman" w:cs="Times New Roman"/>
          <w:noProof/>
          <w:kern w:val="0"/>
          <w:vertAlign w:val="superscript"/>
          <w:lang w:val="en-GB"/>
        </w:rPr>
        <w:footnoteReference w:id="19"/>
      </w:r>
      <w:r>
        <w:rPr>
          <w:rFonts w:ascii="Times New Roman" w:hAnsi="Times New Roman"/>
          <w:noProof/>
        </w:rPr>
        <w:t xml:space="preserve"> tikisi pasiekti savo 2030 m. tikslus pagal PPR įgyvendindamos esamą ir papildomą politiką ir priemones (plg. su aštuoniomis valstybėmis narėmis pagal planų projektus), o dar šešios valstybės narės</w:t>
      </w:r>
      <w:r w:rsidRPr="005E019D">
        <w:rPr>
          <w:rFonts w:ascii="Times New Roman" w:eastAsia="Yu Mincho" w:hAnsi="Times New Roman" w:cs="Times New Roman"/>
          <w:noProof/>
          <w:kern w:val="0"/>
          <w:vertAlign w:val="superscript"/>
          <w:lang w:val="en-GB"/>
        </w:rPr>
        <w:footnoteReference w:id="20"/>
      </w:r>
      <w:r>
        <w:rPr>
          <w:rFonts w:ascii="Times New Roman" w:hAnsi="Times New Roman"/>
          <w:noProof/>
        </w:rPr>
        <w:t xml:space="preserve"> tikisi pasiekti savo tikslus pasinaudodamos turimomis vidaus lankstumo priemonėmis. Penkios valstybės narės</w:t>
      </w:r>
      <w:r w:rsidRPr="005E019D">
        <w:rPr>
          <w:rFonts w:ascii="Times New Roman" w:eastAsia="Yu Mincho" w:hAnsi="Times New Roman" w:cs="Times New Roman"/>
          <w:noProof/>
          <w:kern w:val="0"/>
          <w:vertAlign w:val="superscript"/>
          <w:lang w:val="en-GB"/>
        </w:rPr>
        <w:footnoteReference w:id="21"/>
      </w:r>
      <w:r>
        <w:rPr>
          <w:rFonts w:ascii="Times New Roman" w:hAnsi="Times New Roman"/>
          <w:noProof/>
        </w:rPr>
        <w:t xml:space="preserve"> numato atotrūkį nuo savo 2030 m. tikslų</w:t>
      </w:r>
      <w:r w:rsidRPr="005E019D">
        <w:rPr>
          <w:rFonts w:ascii="Times New Roman" w:eastAsia="Yu Mincho" w:hAnsi="Times New Roman" w:cs="Times New Roman"/>
          <w:noProof/>
          <w:kern w:val="0"/>
          <w:vertAlign w:val="superscript"/>
          <w:lang w:val="en-GB"/>
        </w:rPr>
        <w:footnoteReference w:id="22"/>
      </w:r>
      <w:r>
        <w:rPr>
          <w:rFonts w:ascii="Times New Roman" w:hAnsi="Times New Roman"/>
          <w:noProof/>
        </w:rPr>
        <w:t xml:space="preserve">. </w:t>
      </w:r>
    </w:p>
    <w:p w14:paraId="1FBC7D57" w14:textId="77777777" w:rsidR="005E019D" w:rsidRPr="005E019D" w:rsidRDefault="005E019D" w:rsidP="005E019D">
      <w:pPr>
        <w:spacing w:before="120" w:after="120" w:line="264" w:lineRule="auto"/>
        <w:jc w:val="both"/>
        <w:rPr>
          <w:rFonts w:ascii="Times New Roman" w:eastAsia="Yu Mincho" w:hAnsi="Times New Roman" w:cs="Times New Roman"/>
          <w:noProof/>
          <w:kern w:val="0"/>
          <w14:ligatures w14:val="none"/>
        </w:rPr>
      </w:pPr>
      <w:r>
        <w:rPr>
          <w:rFonts w:ascii="Times New Roman" w:hAnsi="Times New Roman"/>
          <w:b/>
          <w:noProof/>
        </w:rPr>
        <w:t>Iš</w:t>
      </w:r>
      <w:r>
        <w:rPr>
          <w:rFonts w:ascii="Times New Roman" w:hAnsi="Times New Roman"/>
          <w:noProof/>
        </w:rPr>
        <w:t xml:space="preserve"> </w:t>
      </w:r>
      <w:r>
        <w:rPr>
          <w:rFonts w:ascii="Times New Roman" w:hAnsi="Times New Roman"/>
          <w:b/>
          <w:noProof/>
        </w:rPr>
        <w:t>valstybių narių pateiktų žemės sektoriaus projekcijų matyti, kad ES negali tinkamai pasiekti savo 2030 m. tikslo iki 2030 m. absorbuoti dar 42 mln. tonų CO</w:t>
      </w:r>
      <w:r>
        <w:rPr>
          <w:rFonts w:ascii="Times New Roman" w:hAnsi="Times New Roman"/>
          <w:b/>
          <w:noProof/>
          <w:vertAlign w:val="subscript"/>
        </w:rPr>
        <w:t>2</w:t>
      </w:r>
      <w:r>
        <w:rPr>
          <w:rFonts w:ascii="Times New Roman" w:hAnsi="Times New Roman"/>
          <w:b/>
          <w:noProof/>
        </w:rPr>
        <w:t>e grynojo ŠESD kiekio</w:t>
      </w:r>
      <w:r w:rsidRPr="005E019D">
        <w:rPr>
          <w:rFonts w:ascii="Times New Roman" w:eastAsia="Yu Mincho" w:hAnsi="Times New Roman" w:cs="Times New Roman"/>
          <w:noProof/>
          <w:vertAlign w:val="superscript"/>
          <w:lang w:val="en-GB"/>
        </w:rPr>
        <w:footnoteReference w:id="23"/>
      </w:r>
      <w:r>
        <w:rPr>
          <w:rFonts w:ascii="Times New Roman" w:hAnsi="Times New Roman"/>
          <w:b/>
          <w:noProof/>
        </w:rPr>
        <w:t xml:space="preserve">. </w:t>
      </w:r>
      <w:r>
        <w:rPr>
          <w:rFonts w:ascii="Times New Roman" w:hAnsi="Times New Roman"/>
          <w:noProof/>
        </w:rPr>
        <w:t>Pastaraisiais metais žemės sektoriuje sukaupiama vis mažiau anglies dioksido iš atmosferos. Iš apibendrintos analizės matyti, kad anglies dioksido absorbentas, palyginti su dabartiniu lygiu, neturėtų padidėti. Iš tiesų ES iki jos 2030 m. tikslo vis dar trūksta maždaug 45–60 mln. tonų CO</w:t>
      </w:r>
      <w:r>
        <w:rPr>
          <w:rFonts w:ascii="Times New Roman" w:hAnsi="Times New Roman"/>
          <w:noProof/>
          <w:vertAlign w:val="subscript"/>
        </w:rPr>
        <w:t>2</w:t>
      </w:r>
      <w:r>
        <w:rPr>
          <w:rFonts w:ascii="Times New Roman" w:hAnsi="Times New Roman"/>
          <w:noProof/>
        </w:rPr>
        <w:t>e. Vis dėlto kelios valstybės narės padidino savo užmojus ir pateikė konkretesnių būdų, kaip pasiekti savo 2030 m. tikslą vykdant papildomą politiką žemės sektoriuje. Šiuo metu savo LULUCF tikslus planuoja pasiekti devynios valstybės narės</w:t>
      </w:r>
      <w:r w:rsidRPr="005E019D">
        <w:rPr>
          <w:rFonts w:ascii="Times New Roman" w:eastAsia="Yu Mincho" w:hAnsi="Times New Roman" w:cs="Times New Roman"/>
          <w:noProof/>
          <w:kern w:val="0"/>
          <w:vertAlign w:val="superscript"/>
          <w:lang w:val="en-GB"/>
        </w:rPr>
        <w:footnoteReference w:id="24"/>
      </w:r>
      <w:r>
        <w:rPr>
          <w:rFonts w:ascii="Times New Roman" w:hAnsi="Times New Roman"/>
          <w:noProof/>
        </w:rPr>
        <w:t xml:space="preserve"> (plg. su penkiomis valstybėmis narėmis pagal planų projektus). Viena iš jų, Danija, neseniai ėmėsi svarbių reformų, apimančių žemės ūkio sektoriuje išmetamo ŠESD kiekio kainodarą ir gautų pajamų panaudojimą žemės sektoriaus pertvarkai finansuoti. Keliuose galutiniuose planuose taip pat pripažįstama, kad reikia investuoti į geresnę žemės stebėseną, ataskaitų teikimą ir tikrinimą, kad būtų užtikrinta geresnė duomenų kokybė, kurios reikia siekiant veiksmingai ir efektyviai formuoti sektoriaus politiką. Vis dėlto daugumoje planų trūksta pakankamai išsamios informacijos apie veiksmus, kurių reikia tikslams pasiekti, ir jų poveikio kiekybinį įvertinimą. Žemės sektoriui būtų labai svarbu efektyviau naudoti biomasę (energijai, maistui ir pašarams bei biožaliaviniams produktams gaminti) pereinant prie didesnės pridėtinės vertės biologinių produktų.</w:t>
      </w:r>
      <w:r>
        <w:rPr>
          <w:rFonts w:ascii="Times New Roman" w:hAnsi="Times New Roman"/>
          <w:noProof/>
          <w:color w:val="000000"/>
        </w:rPr>
        <w:t xml:space="preserve"> </w:t>
      </w:r>
    </w:p>
    <w:p w14:paraId="1D213F7C" w14:textId="77777777" w:rsidR="005E019D" w:rsidRPr="005E019D" w:rsidRDefault="005E019D" w:rsidP="005E019D">
      <w:pPr>
        <w:spacing w:before="120" w:after="120" w:line="264" w:lineRule="auto"/>
        <w:jc w:val="both"/>
        <w:rPr>
          <w:rFonts w:ascii="Times New Roman" w:eastAsia="Yu Mincho" w:hAnsi="Times New Roman" w:cs="Times New Roman"/>
          <w:noProof/>
          <w:kern w:val="0"/>
          <w14:ligatures w14:val="none"/>
        </w:rPr>
      </w:pPr>
      <w:r>
        <w:rPr>
          <w:rFonts w:ascii="Times New Roman" w:hAnsi="Times New Roman"/>
          <w:b/>
          <w:noProof/>
        </w:rPr>
        <w:t>Galutiniuose NEKSVP, palyginti su projektais, daugiau dėmesio skiriama transporto ir pastatų sektorių priklausomybės nuo iškastinio kuro mažinimo politikai, tačiau reikia dėti daugiau pastangų.</w:t>
      </w:r>
      <w:r>
        <w:rPr>
          <w:rFonts w:ascii="Times New Roman" w:hAnsi="Times New Roman"/>
          <w:noProof/>
        </w:rPr>
        <w:t xml:space="preserve"> ES apyvartinių taršos leidimų prekybos sistema, taikoma kurui, naudojamam pastatų, kelių transporto ir papildomuose sektoriuose (ATLPS 2), ir ją papildantis Socialinis klimato fondas atlieka svarbų vaidmenį mažinant kelių transporto ir pastatų išmetamą teršalų kiekį, tačiau būtinos papildomos pastangos nacionaliniu lygmeniu. Dauguma valstybių narių planuoja priemones tvariai transporto sektoriaus pertvarkai remti, remdamosi ES politika, pavyzdžiui, transporto priemonių išmetamo CO</w:t>
      </w:r>
      <w:r>
        <w:rPr>
          <w:rFonts w:ascii="Times New Roman" w:hAnsi="Times New Roman"/>
          <w:noProof/>
          <w:vertAlign w:val="subscript"/>
        </w:rPr>
        <w:t>2</w:t>
      </w:r>
      <w:r>
        <w:rPr>
          <w:rFonts w:ascii="Times New Roman" w:hAnsi="Times New Roman"/>
          <w:noProof/>
        </w:rPr>
        <w:t xml:space="preserve"> kiekio standartais ir Alternatyviųjų degalų infrastruktūros reglamentu. Į planus įtrauktos priemonės, kuriomis remiamas elektrifikavimas ir netaršios kelių, geležinkelių, uostų ir oro uostų infrastruktūros diegimas, taip pat priemonės, kuriomis skatinamas perėjimas prie viešojo transporto ir aktyvaus ir (arba) bevariklio judumo. Valstybės narės tikisi, kad šios priemonės padės artimiausiais metais smarkiai sumažinti transporto išmetamų teršalų kiekį, o tam reikės skubiai įgyvendinti ES ir nacionalinę politiką ir priemones, taip pat vykdyti nuolatinę stebėseną. Kai kurios valstybės narės</w:t>
      </w:r>
      <w:r w:rsidRPr="005E019D">
        <w:rPr>
          <w:rFonts w:ascii="Times New Roman" w:eastAsia="Yu Mincho" w:hAnsi="Times New Roman" w:cs="Times New Roman"/>
          <w:noProof/>
          <w:kern w:val="0"/>
          <w:vertAlign w:val="superscript"/>
          <w:lang w:val="en-GB"/>
        </w:rPr>
        <w:footnoteReference w:id="25"/>
      </w:r>
      <w:r>
        <w:rPr>
          <w:rFonts w:ascii="Times New Roman" w:hAnsi="Times New Roman"/>
          <w:noProof/>
        </w:rPr>
        <w:t xml:space="preserve"> vis dar taiko paramos schemas iškastiniu kuru varomoms transporto priemonėms, kurios yra nesuderinamos su priklausomybės nuo iškastinio kuro mažinimo tikslais ir turėtų būti laipsniškai panaikintos. Kalbant apie </w:t>
      </w:r>
      <w:r>
        <w:rPr>
          <w:rFonts w:ascii="Times New Roman" w:hAnsi="Times New Roman"/>
          <w:b/>
          <w:noProof/>
        </w:rPr>
        <w:t>pastatų</w:t>
      </w:r>
      <w:r>
        <w:rPr>
          <w:rFonts w:ascii="Times New Roman" w:hAnsi="Times New Roman"/>
          <w:noProof/>
        </w:rPr>
        <w:t xml:space="preserve"> sektorių, kaip nurodyta 2.2 ir 2.3 skirsniuose, valstybės narės imasi veiksmų skatinti naudoti atsinaujinančiųjų išteklių energiją šildymui ir vėsinimui ir remti pastatų renovaciją, tačiau, kad būtų suplanuota ir įgyvendinta atitinkama politika, reikia nuveikti daugiau.</w:t>
      </w:r>
    </w:p>
    <w:p w14:paraId="1F8D3976" w14:textId="2596FE56" w:rsidR="005E019D" w:rsidRPr="005E019D" w:rsidRDefault="005E019D" w:rsidP="005E019D">
      <w:pPr>
        <w:spacing w:before="120" w:after="120" w:line="264" w:lineRule="auto"/>
        <w:jc w:val="both"/>
        <w:rPr>
          <w:rFonts w:ascii="Times New Roman" w:eastAsia="Yu Mincho" w:hAnsi="Times New Roman" w:cs="Times New Roman"/>
          <w:noProof/>
          <w:kern w:val="0"/>
          <w14:ligatures w14:val="none"/>
        </w:rPr>
      </w:pPr>
      <w:r>
        <w:rPr>
          <w:rFonts w:ascii="Times New Roman" w:hAnsi="Times New Roman"/>
          <w:b/>
          <w:noProof/>
        </w:rPr>
        <w:t xml:space="preserve">Kalbant apie anglies dioksido surinkimą, naudojimą ir saugojimo (CCUS), į galutinius atnaujintus planus įtraukta papildoma informacija ir platesnio užmojo projektai. </w:t>
      </w:r>
      <w:r>
        <w:rPr>
          <w:rFonts w:ascii="Times New Roman" w:hAnsi="Times New Roman"/>
          <w:noProof/>
        </w:rPr>
        <w:t>Daugiau nei pusė valstybių narių bent iš dalies atsižvelgė į susijusias Komisijos rekomendacijas</w:t>
      </w:r>
      <w:r w:rsidRPr="005E019D">
        <w:rPr>
          <w:rFonts w:ascii="Times New Roman" w:eastAsia="Yu Mincho" w:hAnsi="Times New Roman" w:cs="Times New Roman"/>
          <w:noProof/>
          <w:kern w:val="0"/>
          <w:vertAlign w:val="superscript"/>
          <w:lang w:val="en-GB"/>
        </w:rPr>
        <w:footnoteReference w:id="26"/>
      </w:r>
      <w:r>
        <w:rPr>
          <w:rFonts w:ascii="Times New Roman" w:hAnsi="Times New Roman"/>
          <w:noProof/>
        </w:rPr>
        <w:t>. Kitaip nei planų projektuose, galutiniuose planuose sumažintas šis atotrūkis nuo Poveikio klimatui neutralizavimo pramonės akte nustatyto iki 2030 m. įgyvendintino 50 mln. tonų CO</w:t>
      </w:r>
      <w:r>
        <w:rPr>
          <w:rFonts w:ascii="Times New Roman" w:hAnsi="Times New Roman"/>
          <w:noProof/>
          <w:vertAlign w:val="subscript"/>
        </w:rPr>
        <w:t>2</w:t>
      </w:r>
      <w:r>
        <w:rPr>
          <w:rFonts w:ascii="Times New Roman" w:hAnsi="Times New Roman"/>
          <w:noProof/>
        </w:rPr>
        <w:t xml:space="preserve"> per metus tikslo. Remiantis turima informacija, valstybės narės planuoja 2030 m. ir vėliau kasmet surinkti 42,4 mln. tonų CO</w:t>
      </w:r>
      <w:r>
        <w:rPr>
          <w:rFonts w:ascii="Times New Roman" w:hAnsi="Times New Roman"/>
          <w:noProof/>
          <w:vertAlign w:val="subscript"/>
        </w:rPr>
        <w:t>2</w:t>
      </w:r>
      <w:r>
        <w:rPr>
          <w:rFonts w:ascii="Times New Roman" w:hAnsi="Times New Roman"/>
          <w:noProof/>
        </w:rPr>
        <w:t>, iš kurių 14,9 mln. tonų CO</w:t>
      </w:r>
      <w:r>
        <w:rPr>
          <w:rFonts w:ascii="Times New Roman" w:hAnsi="Times New Roman"/>
          <w:noProof/>
          <w:vertAlign w:val="subscript"/>
        </w:rPr>
        <w:t>2</w:t>
      </w:r>
      <w:r>
        <w:rPr>
          <w:rFonts w:ascii="Times New Roman" w:hAnsi="Times New Roman"/>
          <w:noProof/>
        </w:rPr>
        <w:t xml:space="preserve"> būtų surenkama iš biogeninių šaltinių. Valstybių narių vertinimu, 2030 m. įleidimo pajėgumas bus 27,1–45,1 mln. tonų CO</w:t>
      </w:r>
      <w:r>
        <w:rPr>
          <w:rFonts w:ascii="Times New Roman" w:hAnsi="Times New Roman"/>
          <w:noProof/>
          <w:vertAlign w:val="subscript"/>
        </w:rPr>
        <w:t>2</w:t>
      </w:r>
      <w:r>
        <w:rPr>
          <w:rFonts w:ascii="Times New Roman" w:hAnsi="Times New Roman"/>
          <w:noProof/>
        </w:rPr>
        <w:t xml:space="preserve"> per metus. Kai kurios valstybės narės nepranešė apie savo teritorijoje suplanuotus įleidimo pajėgumus. Vis dėlto nuo 2024 m. birželio mėn. pagal Reglamentą dėl Europos nulinio balanso technologijų gamybos ekosistemos stiprinimo</w:t>
      </w:r>
      <w:r w:rsidRPr="005E019D">
        <w:rPr>
          <w:rFonts w:ascii="Times New Roman" w:eastAsia="Yu Mincho" w:hAnsi="Times New Roman" w:cs="Times New Roman"/>
          <w:noProof/>
          <w:kern w:val="0"/>
          <w:vertAlign w:val="superscript"/>
          <w:lang w:val="en-GB"/>
        </w:rPr>
        <w:footnoteReference w:id="27"/>
      </w:r>
      <w:r>
        <w:rPr>
          <w:rFonts w:ascii="Times New Roman" w:hAnsi="Times New Roman"/>
          <w:noProof/>
        </w:rPr>
        <w:t xml:space="preserve"> reikalaujama, kad valstybės narės kasmet praneštų apie būsimus projektų pokyčius, susijusius su CO</w:t>
      </w:r>
      <w:r>
        <w:rPr>
          <w:rFonts w:ascii="Times New Roman" w:hAnsi="Times New Roman"/>
          <w:noProof/>
          <w:vertAlign w:val="subscript"/>
        </w:rPr>
        <w:t>2</w:t>
      </w:r>
      <w:r>
        <w:rPr>
          <w:rFonts w:ascii="Times New Roman" w:hAnsi="Times New Roman"/>
          <w:noProof/>
        </w:rPr>
        <w:t xml:space="preserve"> surinkimo ir įleidimo pajėgumų paklausa jų teritorijoje. Keliuose atnaujintuose planuose atsižvelgiama į poreikį sukurti CO</w:t>
      </w:r>
      <w:r>
        <w:rPr>
          <w:rFonts w:ascii="Times New Roman" w:hAnsi="Times New Roman"/>
          <w:noProof/>
          <w:vertAlign w:val="subscript"/>
        </w:rPr>
        <w:t>2</w:t>
      </w:r>
      <w:r>
        <w:rPr>
          <w:rFonts w:ascii="Times New Roman" w:hAnsi="Times New Roman"/>
          <w:noProof/>
        </w:rPr>
        <w:t xml:space="preserve"> vamzdynų tinklą, o kai kurios valstybės narės taip pat padarė pažangą diegdamos būtiną ir įgalinančią pramoninio anglies dioksido tvarkymo reglamentavimo sistemą. </w:t>
      </w:r>
    </w:p>
    <w:p w14:paraId="07E22D4D" w14:textId="77777777" w:rsidR="005E019D" w:rsidRPr="005E019D" w:rsidRDefault="005E019D" w:rsidP="005E019D">
      <w:pPr>
        <w:spacing w:before="120" w:after="120" w:line="264" w:lineRule="auto"/>
        <w:jc w:val="both"/>
        <w:rPr>
          <w:rFonts w:ascii="Times New Roman" w:eastAsia="Yu Mincho" w:hAnsi="Times New Roman" w:cs="Times New Roman"/>
          <w:noProof/>
          <w:kern w:val="0"/>
          <w14:ligatures w14:val="none"/>
        </w:rPr>
      </w:pPr>
      <w:r>
        <w:rPr>
          <w:rFonts w:ascii="Times New Roman" w:hAnsi="Times New Roman"/>
          <w:b/>
          <w:noProof/>
        </w:rPr>
        <w:t xml:space="preserve">Prisitaikymo prie klimato kaitos srityje valstybės narės Komisijos rekomendacijas įgyvendino tik iš dalies. </w:t>
      </w:r>
      <w:r>
        <w:rPr>
          <w:rFonts w:ascii="Times New Roman" w:hAnsi="Times New Roman"/>
          <w:noProof/>
        </w:rPr>
        <w:t>Tai kelia didelį susirūpinimą, atsižvelgiant į išvadas Europos aplinkos agentūros 2024 m. kovo mėn. Europos klimato rizikos vertinimo (EUCRA)</w:t>
      </w:r>
      <w:r w:rsidRPr="005E019D">
        <w:rPr>
          <w:rFonts w:ascii="Times New Roman" w:eastAsia="Yu Mincho" w:hAnsi="Times New Roman" w:cs="Times New Roman"/>
          <w:noProof/>
          <w:kern w:val="0"/>
          <w:vertAlign w:val="superscript"/>
          <w:lang w:val="en-GB"/>
        </w:rPr>
        <w:footnoteReference w:id="28"/>
      </w:r>
      <w:r>
        <w:rPr>
          <w:rFonts w:ascii="Times New Roman" w:hAnsi="Times New Roman"/>
          <w:noProof/>
        </w:rPr>
        <w:t xml:space="preserve"> ataskaitoje, kurioje nustatyta, kad ES ir valstybės narės nespėja reaguoti į didėjančią su klimatu susijusią riziką. 2024 m. spalio mėn. Prezidento S. Niinistö pranešime</w:t>
      </w:r>
      <w:r w:rsidRPr="005E019D">
        <w:rPr>
          <w:rFonts w:ascii="Times New Roman" w:eastAsia="Yu Mincho" w:hAnsi="Times New Roman" w:cs="Times New Roman"/>
          <w:noProof/>
          <w:kern w:val="0"/>
          <w:vertAlign w:val="superscript"/>
          <w:lang w:val="en-GB"/>
        </w:rPr>
        <w:footnoteReference w:id="29"/>
      </w:r>
      <w:r>
        <w:rPr>
          <w:rFonts w:ascii="Times New Roman" w:hAnsi="Times New Roman"/>
          <w:noProof/>
        </w:rPr>
        <w:t xml:space="preserve"> teigiama, kad klimato kaita yra rizikos daugiklis, ir pabrėžiamas poreikis įtvirtinti integruotosios parengties principą, kad į visas grėsmes būtų reaguojama holistiškai. </w:t>
      </w:r>
    </w:p>
    <w:p w14:paraId="0AF096C0" w14:textId="77777777" w:rsidR="005E019D" w:rsidRPr="005E019D" w:rsidRDefault="005E019D" w:rsidP="005E019D">
      <w:pPr>
        <w:spacing w:before="120" w:after="120" w:line="264" w:lineRule="auto"/>
        <w:jc w:val="both"/>
        <w:rPr>
          <w:rFonts w:ascii="Times New Roman" w:eastAsia="Yu Mincho" w:hAnsi="Times New Roman" w:cs="Times New Roman"/>
          <w:noProof/>
          <w:kern w:val="0"/>
          <w14:ligatures w14:val="none"/>
        </w:rPr>
      </w:pPr>
      <w:r>
        <w:rPr>
          <w:rFonts w:ascii="Times New Roman" w:hAnsi="Times New Roman"/>
          <w:b/>
          <w:noProof/>
        </w:rPr>
        <w:t>Nepaisant to, tik keliuose galutiniuose planuose</w:t>
      </w:r>
      <w:r w:rsidRPr="005E019D">
        <w:rPr>
          <w:rFonts w:ascii="Times New Roman" w:eastAsia="Yu Mincho" w:hAnsi="Times New Roman" w:cs="Times New Roman"/>
          <w:b/>
          <w:noProof/>
          <w:kern w:val="0"/>
          <w:vertAlign w:val="superscript"/>
          <w:lang w:val="en-GB"/>
        </w:rPr>
        <w:footnoteReference w:id="30"/>
      </w:r>
      <w:r>
        <w:rPr>
          <w:rFonts w:ascii="Times New Roman" w:hAnsi="Times New Roman"/>
          <w:b/>
          <w:noProof/>
        </w:rPr>
        <w:t xml:space="preserve"> prisitaikymo prie klimato kaitos politika ir priemonės tinkamai įtrauktos į skirtingas energetikos sąjungos dimensijas.</w:t>
      </w:r>
      <w:r>
        <w:rPr>
          <w:rFonts w:ascii="Times New Roman" w:hAnsi="Times New Roman"/>
          <w:noProof/>
        </w:rPr>
        <w:t xml:space="preserve"> Daugeliu atvejų planuose pateikiamos kryžminės nuorodos į nacionalinę prisitaikymo strategiją ir planą. Kituose planuose prisitaikymo aspektai ir sąsajos svarstomi tik iš dalies ir juose trūksta kiekybinių prisitaikymo poreikių ir prisitaikymo prie klimato kaitos politikos poveikio ir naudos vertinimų. Dažnai trūksta informacijos apie su klimatu susijusį pažeidžiamumą ir riziką energetikos sąjungai.  Kai kuriuose planuose atsižvelgiama į klimato kaitos padarinius būsimam vandens prieinamumui ir jos keliamą riziką energetikos sektoriui</w:t>
      </w:r>
      <w:r w:rsidRPr="005E019D">
        <w:rPr>
          <w:rFonts w:ascii="Times New Roman" w:eastAsia="Yu Mincho" w:hAnsi="Times New Roman" w:cs="Times New Roman"/>
          <w:noProof/>
          <w:kern w:val="0"/>
          <w:vertAlign w:val="superscript"/>
          <w:lang w:val="en-GB"/>
        </w:rPr>
        <w:footnoteReference w:id="31"/>
      </w:r>
      <w:r>
        <w:rPr>
          <w:rFonts w:ascii="Times New Roman" w:hAnsi="Times New Roman"/>
          <w:noProof/>
          <w:vertAlign w:val="superscript"/>
        </w:rPr>
        <w:t xml:space="preserve"> </w:t>
      </w:r>
      <w:r>
        <w:rPr>
          <w:rFonts w:ascii="Times New Roman" w:hAnsi="Times New Roman"/>
          <w:noProof/>
        </w:rPr>
        <w:t>(pavyzdžiui, riziką, kad vandens tiekimo nepakaks elektros energijos gamybai hidroelektrinėse, žaliajam vandeniliui ir elektrinių, įskaitant atomines elektrines, aušinimui arba kad jis nutrūks). Tik nedaugelis valstybių narių nustatė svarbią papildomą prisitaikymo prie klimato kaitos politiką ir priemones</w:t>
      </w:r>
      <w:r w:rsidRPr="005E019D">
        <w:rPr>
          <w:rFonts w:ascii="Times New Roman" w:eastAsia="Yu Mincho" w:hAnsi="Times New Roman" w:cs="Times New Roman"/>
          <w:noProof/>
          <w:kern w:val="0"/>
          <w:vertAlign w:val="superscript"/>
          <w:lang w:val="en-GB"/>
        </w:rPr>
        <w:footnoteReference w:id="32"/>
      </w:r>
      <w:r>
        <w:rPr>
          <w:rFonts w:ascii="Times New Roman" w:hAnsi="Times New Roman"/>
          <w:noProof/>
        </w:rPr>
        <w:t>.</w:t>
      </w:r>
      <w:r>
        <w:rPr>
          <w:rFonts w:ascii="Times New Roman" w:hAnsi="Times New Roman"/>
          <w:i/>
          <w:noProof/>
        </w:rPr>
        <w:t xml:space="preserve"> </w:t>
      </w:r>
      <w:r>
        <w:rPr>
          <w:rFonts w:ascii="Times New Roman" w:hAnsi="Times New Roman"/>
          <w:noProof/>
        </w:rPr>
        <w:t xml:space="preserve">Nors kai kuriais atvejais pripažįstamas gamtos procesais pagrįstų sprendimų vaidmuo, esama neišnaudotų galimybių skatinti juos naudoti siekiant energetikos sąjungos tikslų. </w:t>
      </w:r>
    </w:p>
    <w:p w14:paraId="4AD40AEE" w14:textId="77777777" w:rsidR="005E019D" w:rsidRPr="004C35F5" w:rsidRDefault="005E019D" w:rsidP="005E019D">
      <w:pPr>
        <w:spacing w:before="120" w:after="120" w:line="264" w:lineRule="auto"/>
        <w:jc w:val="both"/>
        <w:rPr>
          <w:rFonts w:ascii="Times New Roman" w:eastAsia="Yu Mincho" w:hAnsi="Times New Roman" w:cs="Times New Roman"/>
          <w:noProof/>
          <w:kern w:val="0"/>
          <w14:ligatures w14:val="none"/>
        </w:rPr>
      </w:pPr>
    </w:p>
    <w:p w14:paraId="43B43BBB" w14:textId="77777777" w:rsidR="005E019D" w:rsidRPr="004C35F5" w:rsidRDefault="005E019D" w:rsidP="005E019D">
      <w:pPr>
        <w:spacing w:before="120" w:after="120" w:line="264" w:lineRule="auto"/>
        <w:jc w:val="both"/>
        <w:rPr>
          <w:rFonts w:ascii="Times New Roman" w:eastAsia="Yu Mincho" w:hAnsi="Times New Roman" w:cs="Times New Roman"/>
          <w:i/>
          <w:iCs/>
          <w:noProof/>
          <w:kern w:val="0"/>
          <w14:ligatures w14:val="none"/>
        </w:rPr>
      </w:pPr>
    </w:p>
    <w:p w14:paraId="746444A8" w14:textId="77777777" w:rsidR="005E019D" w:rsidRPr="005E019D" w:rsidRDefault="005E019D" w:rsidP="005E019D">
      <w:pPr>
        <w:pBdr>
          <w:top w:val="single" w:sz="4" w:space="1" w:color="auto"/>
          <w:left w:val="single" w:sz="4" w:space="4" w:color="auto"/>
          <w:bottom w:val="single" w:sz="4" w:space="1" w:color="auto"/>
          <w:right w:val="single" w:sz="4" w:space="4" w:color="auto"/>
        </w:pBdr>
        <w:spacing w:after="120" w:line="264" w:lineRule="auto"/>
        <w:jc w:val="both"/>
        <w:rPr>
          <w:rFonts w:ascii="Times New Roman" w:eastAsia="Times New Roman" w:hAnsi="Times New Roman" w:cs="Times New Roman"/>
          <w:b/>
          <w:i/>
          <w:noProof/>
          <w:color w:val="000000"/>
          <w:kern w:val="0"/>
          <w14:ligatures w14:val="none"/>
        </w:rPr>
      </w:pPr>
      <w:r>
        <w:rPr>
          <w:rFonts w:ascii="Times New Roman" w:hAnsi="Times New Roman"/>
          <w:b/>
          <w:i/>
          <w:noProof/>
          <w:color w:val="000000"/>
        </w:rPr>
        <w:t>Tolesni veiksmai</w:t>
      </w:r>
    </w:p>
    <w:p w14:paraId="45AAC50F" w14:textId="77777777" w:rsidR="005E019D" w:rsidRPr="005E019D" w:rsidRDefault="005E019D" w:rsidP="005E019D">
      <w:pPr>
        <w:pBdr>
          <w:top w:val="single" w:sz="4" w:space="1" w:color="auto"/>
          <w:left w:val="single" w:sz="4" w:space="4" w:color="auto"/>
          <w:bottom w:val="single" w:sz="4" w:space="1" w:color="auto"/>
          <w:right w:val="single" w:sz="4" w:space="4" w:color="auto"/>
        </w:pBdr>
        <w:spacing w:after="120" w:line="264" w:lineRule="auto"/>
        <w:jc w:val="both"/>
        <w:rPr>
          <w:rFonts w:ascii="Times New Roman" w:eastAsia="Yu Mincho" w:hAnsi="Times New Roman" w:cs="Times New Roman"/>
          <w:i/>
          <w:noProof/>
          <w:color w:val="000000"/>
          <w:kern w:val="0"/>
          <w14:ligatures w14:val="none"/>
        </w:rPr>
      </w:pPr>
      <w:r>
        <w:rPr>
          <w:rFonts w:ascii="Times New Roman" w:hAnsi="Times New Roman"/>
          <w:i/>
          <w:noProof/>
          <w:color w:val="000000"/>
        </w:rPr>
        <w:t>Nepaisant pastebimos pažangos, palyginti su planų projektais, vis dar yra atotrūkis nuo 2030 m. tikslų pagal PPR ir LULUCF srityje. Reikia imtis papildomų veiksmų, kad būtų pasiekti tikslai ir padidintos prisitaikymo prie klimato kaitos pastangos.</w:t>
      </w:r>
    </w:p>
    <w:p w14:paraId="4356BD2C" w14:textId="77777777" w:rsidR="005E019D" w:rsidRPr="005E019D" w:rsidRDefault="005E019D" w:rsidP="005E019D">
      <w:pPr>
        <w:pBdr>
          <w:top w:val="single" w:sz="4" w:space="1" w:color="auto"/>
          <w:left w:val="single" w:sz="4" w:space="4" w:color="auto"/>
          <w:bottom w:val="single" w:sz="4" w:space="1" w:color="auto"/>
          <w:right w:val="single" w:sz="4" w:space="4" w:color="auto"/>
        </w:pBdr>
        <w:spacing w:after="120" w:line="264" w:lineRule="auto"/>
        <w:jc w:val="both"/>
        <w:rPr>
          <w:rFonts w:ascii="Times New Roman" w:eastAsia="Times New Roman" w:hAnsi="Times New Roman" w:cs="Times New Roman"/>
          <w:noProof/>
          <w:color w:val="000000"/>
          <w:kern w:val="0"/>
          <w14:ligatures w14:val="none"/>
        </w:rPr>
      </w:pPr>
      <w:r>
        <w:rPr>
          <w:rFonts w:ascii="Times New Roman" w:hAnsi="Times New Roman"/>
          <w:b/>
          <w:noProof/>
          <w:color w:val="000000"/>
        </w:rPr>
        <w:t>Komisija toliau palaikys konstruktyvų dialogą su valstybėmis narėmis ir jas toliau rems, kad prireikus palengvintų įgyvendinimą ir padidintų užmojus.</w:t>
      </w:r>
      <w:r>
        <w:rPr>
          <w:rFonts w:ascii="Times New Roman" w:hAnsi="Times New Roman"/>
          <w:noProof/>
          <w:color w:val="000000"/>
        </w:rPr>
        <w:t xml:space="preserve"> Komisija kasmet stebės pažangą siekiant tikslų pagal PPR ir LULUCF srityje, prireikus naudodamasi tokiomis priemonėmis kaip, pvz., reikalavimas parengti taisomųjų veiksmų planus. </w:t>
      </w:r>
    </w:p>
    <w:p w14:paraId="71A409F6" w14:textId="77777777" w:rsidR="005E019D" w:rsidRPr="005E019D" w:rsidRDefault="005E019D" w:rsidP="005E019D">
      <w:pPr>
        <w:pBdr>
          <w:top w:val="single" w:sz="4" w:space="1" w:color="auto"/>
          <w:left w:val="single" w:sz="4" w:space="4" w:color="auto"/>
          <w:bottom w:val="single" w:sz="4" w:space="1" w:color="auto"/>
          <w:right w:val="single" w:sz="4" w:space="4" w:color="auto"/>
        </w:pBdr>
        <w:spacing w:after="120" w:line="264" w:lineRule="auto"/>
        <w:jc w:val="both"/>
        <w:rPr>
          <w:rFonts w:ascii="Times New Roman" w:eastAsia="Times New Roman" w:hAnsi="Times New Roman" w:cs="Times New Roman"/>
          <w:noProof/>
          <w:color w:val="000000"/>
          <w:kern w:val="0"/>
          <w14:ligatures w14:val="none"/>
        </w:rPr>
      </w:pPr>
      <w:r>
        <w:rPr>
          <w:rFonts w:ascii="Times New Roman" w:hAnsi="Times New Roman"/>
          <w:b/>
          <w:noProof/>
          <w:color w:val="000000"/>
        </w:rPr>
        <w:t>Savo tikslų pagal PPR negalinčios pasiekti</w:t>
      </w:r>
      <w:r>
        <w:rPr>
          <w:rFonts w:ascii="Times New Roman" w:hAnsi="Times New Roman"/>
          <w:noProof/>
          <w:color w:val="000000"/>
        </w:rPr>
        <w:t xml:space="preserve"> </w:t>
      </w:r>
      <w:r>
        <w:rPr>
          <w:rFonts w:ascii="Times New Roman" w:hAnsi="Times New Roman"/>
          <w:b/>
          <w:noProof/>
          <w:color w:val="000000"/>
        </w:rPr>
        <w:t>valstybės narės raginamos parengti patikimą strategiją, pagal kurią papildomos priemonės būtų derinamos su turimomis lankstumo priemonėmis.</w:t>
      </w:r>
      <w:r>
        <w:rPr>
          <w:rFonts w:ascii="Times New Roman" w:hAnsi="Times New Roman"/>
          <w:noProof/>
          <w:color w:val="000000"/>
        </w:rPr>
        <w:t xml:space="preserve"> Visos valstybės narės turėtų skubiai įgyvendinti ATLPS 2, kad būtų užtikrintas ekonomiškai efektyvus </w:t>
      </w:r>
      <w:r>
        <w:rPr>
          <w:rFonts w:ascii="Times New Roman" w:hAnsi="Times New Roman"/>
          <w:b/>
          <w:noProof/>
          <w:color w:val="000000"/>
        </w:rPr>
        <w:t>kelių transporto ir pastatų</w:t>
      </w:r>
      <w:r>
        <w:rPr>
          <w:rFonts w:ascii="Times New Roman" w:hAnsi="Times New Roman"/>
          <w:noProof/>
          <w:color w:val="000000"/>
        </w:rPr>
        <w:t xml:space="preserve"> išmetamų teršalų kiekio mažinimas, ir sparčiau įgyvendinti papildomas nacionalines priemones, kuriomis siekiama sumažinti šių sektorių priklausomybę nuo iškastinio kuro. Transporto sektoriuje esminiai elementai, be kita ko, yra elektrifikavimas ir infrastruktūros diegimas, paklausos valdymas, naudojimosi viešuoju transportu ir dalijimosi transporto priemonėmis masto didinimas ir aktyvus ir (arba) bevariklis judumas. </w:t>
      </w:r>
    </w:p>
    <w:p w14:paraId="3D1F1F6C" w14:textId="77777777" w:rsidR="005E019D" w:rsidRPr="005E019D" w:rsidRDefault="005E019D" w:rsidP="005E019D">
      <w:pPr>
        <w:pBdr>
          <w:top w:val="single" w:sz="4" w:space="1" w:color="auto"/>
          <w:left w:val="single" w:sz="4" w:space="4" w:color="auto"/>
          <w:bottom w:val="single" w:sz="4" w:space="1" w:color="auto"/>
          <w:right w:val="single" w:sz="4" w:space="4" w:color="auto"/>
        </w:pBdr>
        <w:spacing w:after="120" w:line="264" w:lineRule="auto"/>
        <w:jc w:val="both"/>
        <w:rPr>
          <w:rFonts w:ascii="Times New Roman" w:eastAsia="Times New Roman" w:hAnsi="Times New Roman" w:cs="Times New Roman"/>
          <w:noProof/>
          <w:color w:val="000000"/>
          <w:kern w:val="0"/>
          <w14:ligatures w14:val="none"/>
        </w:rPr>
      </w:pPr>
      <w:r>
        <w:rPr>
          <w:rFonts w:ascii="Times New Roman" w:hAnsi="Times New Roman"/>
          <w:noProof/>
          <w:color w:val="000000"/>
        </w:rPr>
        <w:t>Valstybės narės taip pat turėtų toliau mažinti aviacijos ir jūrų transporto sektoriuose išmetamų teršalų kiekį. Šiuo tikslu jos turėtų remti atsinaujinančiųjų išteklių ir mažo anglies dioksido pėdsako laivų degalų bei tvarių aviacinių degalų gamybą</w:t>
      </w:r>
      <w:r w:rsidRPr="005E019D">
        <w:rPr>
          <w:noProof/>
          <w:color w:val="000000"/>
          <w:kern w:val="0"/>
        </w:rPr>
        <w:footnoteReference w:id="33"/>
      </w:r>
      <w:r>
        <w:rPr>
          <w:rFonts w:ascii="Times New Roman" w:hAnsi="Times New Roman"/>
          <w:noProof/>
          <w:color w:val="000000"/>
        </w:rPr>
        <w:t xml:space="preserve"> ir investuoti į infrastruktūrą, skirtą būsimiems netaršiems orlaiviams ir uostų bei oro uostų veiklos elektrifikavimui.</w:t>
      </w:r>
    </w:p>
    <w:p w14:paraId="6E055237" w14:textId="77777777" w:rsidR="005E019D" w:rsidRPr="005E019D" w:rsidRDefault="005E019D" w:rsidP="005E019D">
      <w:pPr>
        <w:pBdr>
          <w:top w:val="single" w:sz="4" w:space="1" w:color="auto"/>
          <w:left w:val="single" w:sz="4" w:space="4" w:color="auto"/>
          <w:bottom w:val="single" w:sz="4" w:space="1" w:color="auto"/>
          <w:right w:val="single" w:sz="4" w:space="4" w:color="auto"/>
        </w:pBdr>
        <w:spacing w:after="120" w:line="264" w:lineRule="auto"/>
        <w:jc w:val="both"/>
        <w:rPr>
          <w:rFonts w:ascii="Times New Roman" w:eastAsia="Times New Roman" w:hAnsi="Times New Roman" w:cs="Times New Roman"/>
          <w:noProof/>
          <w:color w:val="000000"/>
          <w:kern w:val="0"/>
          <w14:ligatures w14:val="none"/>
        </w:rPr>
      </w:pPr>
      <w:r>
        <w:rPr>
          <w:rFonts w:ascii="Times New Roman" w:hAnsi="Times New Roman"/>
          <w:b/>
          <w:noProof/>
          <w:color w:val="000000"/>
        </w:rPr>
        <w:t>Valstybės narės turėtų skubiai papildyti savo žemės, bioekonomikos ir energetikos politiką</w:t>
      </w:r>
      <w:r>
        <w:rPr>
          <w:rFonts w:ascii="Times New Roman" w:hAnsi="Times New Roman"/>
          <w:noProof/>
          <w:color w:val="000000"/>
        </w:rPr>
        <w:t xml:space="preserve">, kad būtų pasiektas tvaresnis derliaus lygis ir didesnis grynasis absorbuojamas ŠESD kiekis žemės ūkio ir miškininkystės sektoriuose, kartu atsižvelgiant į žiediškumą. Tikslingesnis viešųjų lėšų, pvz., skirtų bendrai žemės ūkio politikai arba valstybės pagalbai, naudojimas galėtų padėti diegti geresnes stebėsenos technologijas ir žemėtvarkos praktiką, kuri duoda didžiausią naudą klimatui, padeda skatinti gamtos procesais pagrįstus sprendimus, didina atsparumą klimato kaitai ir taip apsaugo apsirūpinimo maistu saugumą ir biologinę įvairovę. </w:t>
      </w:r>
    </w:p>
    <w:p w14:paraId="5D2FFBF8" w14:textId="757436AE" w:rsidR="005E019D" w:rsidRPr="005E019D" w:rsidRDefault="005E019D" w:rsidP="005E019D">
      <w:pPr>
        <w:pBdr>
          <w:top w:val="single" w:sz="4" w:space="1" w:color="auto"/>
          <w:left w:val="single" w:sz="4" w:space="4" w:color="auto"/>
          <w:bottom w:val="single" w:sz="4" w:space="1" w:color="auto"/>
          <w:right w:val="single" w:sz="4" w:space="4" w:color="auto"/>
        </w:pBdr>
        <w:spacing w:after="120" w:line="264" w:lineRule="auto"/>
        <w:jc w:val="both"/>
        <w:rPr>
          <w:rFonts w:ascii="Times New Roman" w:eastAsia="Times New Roman" w:hAnsi="Times New Roman" w:cs="Times New Roman"/>
          <w:noProof/>
          <w:color w:val="000000"/>
          <w:kern w:val="0"/>
          <w14:ligatures w14:val="none"/>
        </w:rPr>
      </w:pPr>
      <w:r>
        <w:rPr>
          <w:rFonts w:ascii="Times New Roman" w:hAnsi="Times New Roman"/>
          <w:noProof/>
          <w:color w:val="000000"/>
        </w:rPr>
        <w:t>Valstybės narės taip pat galėtų apsvarstyti galimybę taikyti rinka grindžiamus metodus, remdamosi ES reglamentu dėl Sąjungos ilgalaikio anglies dioksido absorbavimo, anglies kaupimo ūkininkavimo ir anglies saugojimo produktuose sertifikavimo sistemos</w:t>
      </w:r>
      <w:r w:rsidRPr="005E019D">
        <w:rPr>
          <w:rFonts w:ascii="Times New Roman" w:eastAsia="Times New Roman" w:hAnsi="Times New Roman" w:cs="Times New Roman"/>
          <w:noProof/>
          <w:color w:val="000000"/>
          <w:kern w:val="0"/>
          <w:vertAlign w:val="superscript"/>
          <w:lang w:val="en-GB"/>
        </w:rPr>
        <w:footnoteReference w:id="34"/>
      </w:r>
      <w:r>
        <w:rPr>
          <w:rFonts w:ascii="Times New Roman" w:hAnsi="Times New Roman"/>
          <w:noProof/>
          <w:color w:val="000000"/>
        </w:rPr>
        <w:t xml:space="preserve">. Pagal šį reglamentą Komisija 2025 m. patvirtins </w:t>
      </w:r>
      <w:r>
        <w:rPr>
          <w:rFonts w:ascii="Times New Roman" w:hAnsi="Times New Roman"/>
          <w:b/>
          <w:noProof/>
          <w:color w:val="000000"/>
        </w:rPr>
        <w:t>anglies kaupimo ūkininkavimo metodikas</w:t>
      </w:r>
      <w:r>
        <w:rPr>
          <w:rFonts w:ascii="Times New Roman" w:hAnsi="Times New Roman"/>
          <w:noProof/>
          <w:color w:val="000000"/>
        </w:rPr>
        <w:t xml:space="preserve">, kad būtų toliau skatinama biologinei įvairovei naudinga tvari žemės politika. </w:t>
      </w:r>
    </w:p>
    <w:p w14:paraId="14E239D4" w14:textId="77777777" w:rsidR="005E019D" w:rsidRPr="005E019D" w:rsidRDefault="005E019D" w:rsidP="005E019D">
      <w:pPr>
        <w:pBdr>
          <w:top w:val="single" w:sz="4" w:space="1" w:color="auto"/>
          <w:left w:val="single" w:sz="4" w:space="4" w:color="auto"/>
          <w:bottom w:val="single" w:sz="4" w:space="1" w:color="auto"/>
          <w:right w:val="single" w:sz="4" w:space="4" w:color="auto"/>
        </w:pBdr>
        <w:spacing w:after="120" w:line="264" w:lineRule="auto"/>
        <w:jc w:val="both"/>
        <w:rPr>
          <w:rFonts w:ascii="Times New Roman" w:eastAsia="Times New Roman" w:hAnsi="Times New Roman" w:cs="Times New Roman"/>
          <w:noProof/>
          <w:color w:val="000000"/>
          <w:kern w:val="0"/>
          <w14:ligatures w14:val="none"/>
        </w:rPr>
      </w:pPr>
      <w:r>
        <w:rPr>
          <w:rFonts w:ascii="Times New Roman" w:hAnsi="Times New Roman"/>
          <w:noProof/>
          <w:color w:val="000000"/>
        </w:rPr>
        <w:t xml:space="preserve">Tvaresnė biomasės gamyba ir veiksmingesnis jos naudojimas yra vienas iš pagrindinių būsimos naujos </w:t>
      </w:r>
      <w:r>
        <w:rPr>
          <w:rFonts w:ascii="Times New Roman" w:hAnsi="Times New Roman"/>
          <w:b/>
          <w:noProof/>
          <w:color w:val="000000"/>
        </w:rPr>
        <w:t>ES bioekonomikos strategijos</w:t>
      </w:r>
      <w:r>
        <w:rPr>
          <w:rFonts w:ascii="Times New Roman" w:hAnsi="Times New Roman"/>
          <w:noProof/>
          <w:color w:val="000000"/>
        </w:rPr>
        <w:t xml:space="preserve"> (kurią numatyta priimti iki 2025 m. pabaigos) sudedamųjų elementų. Viena iš priemonių, įgalinančių šį užmojį įgyvendinti, būtų geresnė ir racionalesnė biomasės stebėsena.</w:t>
      </w:r>
    </w:p>
    <w:p w14:paraId="45D14099" w14:textId="77777777" w:rsidR="005E019D" w:rsidRPr="005E019D" w:rsidRDefault="005E019D" w:rsidP="005E019D">
      <w:pPr>
        <w:pBdr>
          <w:top w:val="single" w:sz="4" w:space="1" w:color="auto"/>
          <w:left w:val="single" w:sz="4" w:space="4" w:color="auto"/>
          <w:bottom w:val="single" w:sz="4" w:space="1" w:color="auto"/>
          <w:right w:val="single" w:sz="4" w:space="4" w:color="auto"/>
        </w:pBdr>
        <w:spacing w:after="120" w:line="264" w:lineRule="auto"/>
        <w:jc w:val="both"/>
        <w:rPr>
          <w:rFonts w:ascii="Times New Roman" w:eastAsia="Times New Roman" w:hAnsi="Times New Roman" w:cs="Times New Roman"/>
          <w:noProof/>
          <w:color w:val="000000"/>
          <w:kern w:val="0"/>
          <w14:ligatures w14:val="none"/>
        </w:rPr>
      </w:pPr>
      <w:r>
        <w:rPr>
          <w:rFonts w:ascii="Times New Roman" w:hAnsi="Times New Roman"/>
          <w:b/>
          <w:noProof/>
          <w:color w:val="000000"/>
        </w:rPr>
        <w:t>Valstybės narės raginamos gerinti su klimatu susijusio pažeidžiamumo ir rizikos vertinimą</w:t>
      </w:r>
      <w:r>
        <w:rPr>
          <w:rFonts w:ascii="Times New Roman" w:hAnsi="Times New Roman"/>
          <w:noProof/>
          <w:color w:val="000000"/>
        </w:rPr>
        <w:t>, be kita ko, nustatant rizikos valdytojus visose susijusiose sektorinėse politikos srityse ir atsižvelgiant į pakopinę ir sudėtinę riziką, kaip siūloma EUCRA ataskaitoje. Programuojant su energija ir vandens ištekliais susijusias investicijas ir priemones turi būti remiamasi klimato scenarijais ir rizikos vertinimais.</w:t>
      </w:r>
    </w:p>
    <w:p w14:paraId="07A80B79" w14:textId="77777777" w:rsidR="005E019D" w:rsidRPr="005E019D" w:rsidRDefault="005E019D" w:rsidP="005E019D">
      <w:pPr>
        <w:pBdr>
          <w:top w:val="single" w:sz="4" w:space="1" w:color="auto"/>
          <w:left w:val="single" w:sz="4" w:space="4" w:color="auto"/>
          <w:bottom w:val="single" w:sz="4" w:space="1" w:color="auto"/>
          <w:right w:val="single" w:sz="4" w:space="4" w:color="auto"/>
        </w:pBdr>
        <w:spacing w:after="120" w:line="264" w:lineRule="auto"/>
        <w:jc w:val="both"/>
        <w:rPr>
          <w:rFonts w:ascii="Times New Roman" w:eastAsia="Times New Roman" w:hAnsi="Times New Roman" w:cs="Times New Roman"/>
          <w:noProof/>
          <w:color w:val="000000"/>
          <w:kern w:val="0"/>
          <w14:ligatures w14:val="none"/>
        </w:rPr>
      </w:pPr>
      <w:r>
        <w:rPr>
          <w:rFonts w:ascii="Times New Roman" w:hAnsi="Times New Roman"/>
          <w:b/>
          <w:noProof/>
          <w:color w:val="000000"/>
        </w:rPr>
        <w:t>Valstybės narės raginamos labiau stengtis nustatyti sinergiją</w:t>
      </w:r>
      <w:r>
        <w:rPr>
          <w:rFonts w:ascii="Times New Roman" w:hAnsi="Times New Roman"/>
          <w:noProof/>
          <w:color w:val="000000"/>
        </w:rPr>
        <w:t xml:space="preserve"> su klimato kaitos švelninimo ir prisitaikymo prie jos priemonėmis rengiant būsimus</w:t>
      </w:r>
      <w:r>
        <w:rPr>
          <w:rFonts w:ascii="Times New Roman" w:hAnsi="Times New Roman"/>
          <w:b/>
          <w:noProof/>
          <w:color w:val="000000"/>
        </w:rPr>
        <w:t xml:space="preserve"> gamtos atkūrimo planus</w:t>
      </w:r>
      <w:r>
        <w:rPr>
          <w:rFonts w:ascii="Times New Roman" w:hAnsi="Times New Roman"/>
          <w:noProof/>
          <w:color w:val="000000"/>
        </w:rPr>
        <w:t xml:space="preserve"> ir atitinkamai sudėlioti priemonių įgyvendinimo prioritetus.</w:t>
      </w:r>
    </w:p>
    <w:p w14:paraId="54CCC4EC" w14:textId="77777777" w:rsidR="005E019D" w:rsidRPr="005E019D" w:rsidRDefault="005E019D" w:rsidP="005E019D">
      <w:pPr>
        <w:pBdr>
          <w:top w:val="single" w:sz="4" w:space="1" w:color="auto"/>
          <w:left w:val="single" w:sz="4" w:space="4" w:color="auto"/>
          <w:bottom w:val="single" w:sz="4" w:space="1" w:color="auto"/>
          <w:right w:val="single" w:sz="4" w:space="4" w:color="auto"/>
        </w:pBdr>
        <w:spacing w:after="120" w:line="264" w:lineRule="auto"/>
        <w:jc w:val="both"/>
        <w:rPr>
          <w:rFonts w:ascii="Times New Roman" w:eastAsia="Times New Roman" w:hAnsi="Times New Roman" w:cs="Times New Roman"/>
          <w:noProof/>
          <w:color w:val="000000"/>
          <w:kern w:val="0"/>
          <w14:ligatures w14:val="none"/>
        </w:rPr>
      </w:pPr>
      <w:r>
        <w:rPr>
          <w:rFonts w:ascii="Times New Roman" w:hAnsi="Times New Roman"/>
          <w:noProof/>
          <w:color w:val="000000"/>
        </w:rPr>
        <w:t xml:space="preserve">2026 m. Komisija pateiks </w:t>
      </w:r>
      <w:r>
        <w:rPr>
          <w:rFonts w:ascii="Times New Roman" w:hAnsi="Times New Roman"/>
          <w:b/>
          <w:noProof/>
          <w:color w:val="000000"/>
        </w:rPr>
        <w:t>Europos prisitaikymo prie klimato kaitos planą</w:t>
      </w:r>
      <w:r>
        <w:rPr>
          <w:rFonts w:ascii="Times New Roman" w:hAnsi="Times New Roman"/>
          <w:noProof/>
          <w:color w:val="000000"/>
        </w:rPr>
        <w:t>, siekdama padėti valstybėms narėms, visų pirma pasirengimo ir planavimo klausimais, ir užtikrinti, kad būtų reguliariai atliekami mokslo žiniomis pagrįsti rizikos vertinimai.</w:t>
      </w:r>
    </w:p>
    <w:p w14:paraId="4EAB72C4" w14:textId="77777777" w:rsidR="005E019D" w:rsidRPr="005E019D" w:rsidRDefault="005E019D" w:rsidP="005E019D">
      <w:pPr>
        <w:pBdr>
          <w:top w:val="single" w:sz="4" w:space="1" w:color="auto"/>
          <w:left w:val="single" w:sz="4" w:space="4" w:color="auto"/>
          <w:bottom w:val="single" w:sz="4" w:space="1" w:color="auto"/>
          <w:right w:val="single" w:sz="4" w:space="4" w:color="auto"/>
        </w:pBdr>
        <w:spacing w:after="120" w:line="264" w:lineRule="auto"/>
        <w:jc w:val="both"/>
        <w:rPr>
          <w:rFonts w:ascii="Times New Roman" w:eastAsia="Times New Roman" w:hAnsi="Times New Roman" w:cs="Times New Roman"/>
          <w:noProof/>
          <w:color w:val="000000"/>
          <w:kern w:val="0"/>
          <w14:ligatures w14:val="none"/>
        </w:rPr>
      </w:pPr>
      <w:r>
        <w:rPr>
          <w:rFonts w:ascii="Times New Roman" w:hAnsi="Times New Roman"/>
          <w:noProof/>
          <w:color w:val="000000"/>
        </w:rPr>
        <w:t>Įgyvendindama švarios pramonės kursą ir pramoninio anglies dioksido tvarkymo strategiją</w:t>
      </w:r>
      <w:r w:rsidRPr="005E019D">
        <w:rPr>
          <w:noProof/>
          <w:color w:val="000000"/>
          <w:kern w:val="0"/>
          <w:lang w:val="en-GB"/>
        </w:rPr>
        <w:footnoteReference w:id="35"/>
      </w:r>
      <w:r>
        <w:rPr>
          <w:rFonts w:ascii="Times New Roman" w:hAnsi="Times New Roman"/>
          <w:noProof/>
          <w:color w:val="000000"/>
        </w:rPr>
        <w:t>, Komisija toliau rems</w:t>
      </w:r>
      <w:r>
        <w:rPr>
          <w:rFonts w:ascii="Times New Roman" w:hAnsi="Times New Roman"/>
          <w:b/>
          <w:noProof/>
          <w:color w:val="000000"/>
        </w:rPr>
        <w:t xml:space="preserve"> surinkto CO</w:t>
      </w:r>
      <w:r>
        <w:rPr>
          <w:rFonts w:ascii="Times New Roman" w:hAnsi="Times New Roman"/>
          <w:b/>
          <w:noProof/>
          <w:color w:val="000000"/>
          <w:vertAlign w:val="subscript"/>
        </w:rPr>
        <w:t>2</w:t>
      </w:r>
      <w:r>
        <w:rPr>
          <w:rFonts w:ascii="Times New Roman" w:hAnsi="Times New Roman"/>
          <w:b/>
          <w:noProof/>
          <w:color w:val="000000"/>
        </w:rPr>
        <w:t xml:space="preserve"> rinkos kūrimą</w:t>
      </w:r>
      <w:r>
        <w:rPr>
          <w:rFonts w:ascii="Times New Roman" w:hAnsi="Times New Roman"/>
          <w:noProof/>
          <w:color w:val="000000"/>
        </w:rPr>
        <w:t>. Valstybės narės raginamos skatinti CO</w:t>
      </w:r>
      <w:r>
        <w:rPr>
          <w:rFonts w:ascii="Times New Roman" w:hAnsi="Times New Roman"/>
          <w:noProof/>
          <w:color w:val="000000"/>
          <w:vertAlign w:val="subscript"/>
        </w:rPr>
        <w:t>2</w:t>
      </w:r>
      <w:r>
        <w:rPr>
          <w:rFonts w:ascii="Times New Roman" w:hAnsi="Times New Roman"/>
          <w:noProof/>
          <w:color w:val="000000"/>
        </w:rPr>
        <w:t xml:space="preserve"> saugojimo ir transportavimo infrastruktūros plėtrą, kad būtų pasiekti Poveikio klimatui neutralizavimo pramonės akto tikslai. </w:t>
      </w:r>
    </w:p>
    <w:p w14:paraId="225EABA9" w14:textId="77777777" w:rsidR="005E019D" w:rsidRPr="005E019D" w:rsidRDefault="005E019D" w:rsidP="005E019D">
      <w:pPr>
        <w:pBdr>
          <w:top w:val="single" w:sz="4" w:space="1" w:color="auto"/>
          <w:left w:val="single" w:sz="4" w:space="4" w:color="auto"/>
          <w:bottom w:val="single" w:sz="4" w:space="1" w:color="auto"/>
          <w:right w:val="single" w:sz="4" w:space="4" w:color="auto"/>
        </w:pBdr>
        <w:spacing w:after="120" w:line="264" w:lineRule="auto"/>
        <w:jc w:val="both"/>
        <w:rPr>
          <w:rFonts w:ascii="Times New Roman" w:eastAsia="Times New Roman" w:hAnsi="Times New Roman" w:cs="Times New Roman"/>
          <w:noProof/>
          <w:color w:val="000000"/>
          <w:kern w:val="0"/>
          <w14:ligatures w14:val="none"/>
        </w:rPr>
      </w:pPr>
      <w:r>
        <w:rPr>
          <w:rFonts w:ascii="Times New Roman" w:hAnsi="Times New Roman"/>
          <w:b/>
          <w:noProof/>
          <w:color w:val="000000"/>
        </w:rPr>
        <w:t>Pramonės priklausomybės nuo iškastinio kuro mažinimo bankas</w:t>
      </w:r>
      <w:r>
        <w:rPr>
          <w:rFonts w:ascii="Times New Roman" w:hAnsi="Times New Roman"/>
          <w:noProof/>
          <w:color w:val="000000"/>
        </w:rPr>
        <w:t>, kuriam siekiama 100 mlrd. EUR finansavimo, taip pat padės ES investuoti į inovacijas ir švarias technologijas, remdamas pagrindinių pramonės procesų priklausomybės nuo iškastinio kuro mažinimą įvairiuose sektoriuose.</w:t>
      </w:r>
    </w:p>
    <w:p w14:paraId="24EC3FCC" w14:textId="77777777" w:rsidR="005E019D" w:rsidRPr="005E019D" w:rsidRDefault="005E019D" w:rsidP="005E019D">
      <w:pPr>
        <w:pBdr>
          <w:top w:val="single" w:sz="4" w:space="1" w:color="auto"/>
          <w:left w:val="single" w:sz="4" w:space="4" w:color="auto"/>
          <w:bottom w:val="single" w:sz="4" w:space="1" w:color="auto"/>
          <w:right w:val="single" w:sz="4" w:space="4" w:color="auto"/>
        </w:pBdr>
        <w:spacing w:after="120" w:line="264" w:lineRule="auto"/>
        <w:jc w:val="both"/>
        <w:rPr>
          <w:rFonts w:ascii="Times New Roman" w:eastAsia="Times New Roman" w:hAnsi="Times New Roman" w:cs="Times New Roman"/>
          <w:noProof/>
          <w:color w:val="000000"/>
          <w:kern w:val="0"/>
          <w14:ligatures w14:val="none"/>
        </w:rPr>
      </w:pPr>
      <w:r>
        <w:rPr>
          <w:rFonts w:ascii="Times New Roman" w:hAnsi="Times New Roman"/>
          <w:noProof/>
          <w:color w:val="000000"/>
        </w:rPr>
        <w:t xml:space="preserve">Valstybės narės raginamos įgyvendinant NEKSVP toliau svarstyti planuojamų priemonių sinergiją ir kompromisus su aplinkos prioritetais, pavyzdžiui, oro tarša ir žiediškumu. </w:t>
      </w:r>
    </w:p>
    <w:p w14:paraId="165840F1" w14:textId="77777777" w:rsidR="005E019D" w:rsidRPr="004C35F5" w:rsidRDefault="005E019D" w:rsidP="005E019D">
      <w:pPr>
        <w:spacing w:after="120" w:line="264" w:lineRule="auto"/>
        <w:rPr>
          <w:rFonts w:ascii="Times New Roman" w:eastAsia="Yu Mincho" w:hAnsi="Times New Roman" w:cs="Times New Roman"/>
          <w:noProof/>
          <w:kern w:val="0"/>
          <w14:ligatures w14:val="none"/>
        </w:rPr>
      </w:pPr>
    </w:p>
    <w:p w14:paraId="52C00A22" w14:textId="77777777" w:rsidR="005E019D" w:rsidRPr="005E019D" w:rsidRDefault="005E019D" w:rsidP="005E019D">
      <w:pPr>
        <w:keepNext/>
        <w:keepLines/>
        <w:numPr>
          <w:ilvl w:val="1"/>
          <w:numId w:val="0"/>
        </w:numPr>
        <w:spacing w:before="40" w:after="240" w:line="240" w:lineRule="auto"/>
        <w:ind w:left="576" w:hanging="576"/>
        <w:jc w:val="both"/>
        <w:outlineLvl w:val="1"/>
        <w:rPr>
          <w:rFonts w:ascii="Times New Roman" w:eastAsia="Yu Gothic Light" w:hAnsi="Times New Roman" w:cs="Times New Roman"/>
          <w:b/>
          <w:bCs/>
          <w:noProof/>
          <w:color w:val="000000"/>
          <w:kern w:val="0"/>
          <w14:ligatures w14:val="none"/>
        </w:rPr>
      </w:pPr>
      <w:r>
        <w:rPr>
          <w:rFonts w:ascii="Times New Roman" w:hAnsi="Times New Roman"/>
          <w:b/>
          <w:noProof/>
          <w:color w:val="000000"/>
        </w:rPr>
        <w:t>Atsinaujinančiųjų išteklių energija</w:t>
      </w:r>
    </w:p>
    <w:p w14:paraId="2C51971D" w14:textId="77777777" w:rsidR="005E019D" w:rsidRPr="005E019D" w:rsidRDefault="005E019D" w:rsidP="005E019D">
      <w:pPr>
        <w:spacing w:before="120" w:after="120" w:line="264" w:lineRule="auto"/>
        <w:jc w:val="both"/>
        <w:rPr>
          <w:rFonts w:ascii="Times New Roman" w:eastAsia="Yu Mincho" w:hAnsi="Times New Roman" w:cs="Times New Roman"/>
          <w:b/>
          <w:noProof/>
          <w:kern w:val="0"/>
          <w14:ligatures w14:val="none"/>
        </w:rPr>
      </w:pPr>
      <w:r>
        <w:rPr>
          <w:rFonts w:ascii="Times New Roman" w:hAnsi="Times New Roman"/>
          <w:b/>
          <w:noProof/>
        </w:rPr>
        <w:t>Kaip nurodyta komunikate „ES konkurencingumo kelrodis“, ES yra strategiškai pasirengusi išlaikyti pirmavimą pasaulyje atsinaujinančiųjų išteklių energijos srityje, tačiau ji turi užtikrinti, kad plataus užmojo reikalavimą mažinti priklausomybę nuo iškastinio kuro atitiktų lyderystė tai pasiekti padėsiančių technologijų srityje</w:t>
      </w:r>
      <w:r w:rsidRPr="005E019D">
        <w:rPr>
          <w:rFonts w:ascii="Times New Roman" w:eastAsia="Yu Mincho" w:hAnsi="Times New Roman" w:cs="Times New Roman"/>
          <w:b/>
          <w:noProof/>
          <w:kern w:val="0"/>
          <w:vertAlign w:val="superscript"/>
        </w:rPr>
        <w:footnoteReference w:id="36"/>
      </w:r>
      <w:r>
        <w:rPr>
          <w:rFonts w:ascii="Times New Roman" w:hAnsi="Times New Roman"/>
          <w:b/>
          <w:noProof/>
        </w:rPr>
        <w:t>.</w:t>
      </w:r>
    </w:p>
    <w:p w14:paraId="511F086E" w14:textId="77777777" w:rsidR="005E019D" w:rsidRPr="005E019D" w:rsidRDefault="005E019D" w:rsidP="005E019D">
      <w:pPr>
        <w:spacing w:before="120" w:after="120" w:line="264" w:lineRule="auto"/>
        <w:jc w:val="both"/>
        <w:rPr>
          <w:rFonts w:ascii="Times New Roman" w:eastAsia="Yu Mincho" w:hAnsi="Times New Roman" w:cs="Times New Roman"/>
          <w:noProof/>
          <w:kern w:val="0"/>
          <w14:ligatures w14:val="none"/>
        </w:rPr>
      </w:pPr>
      <w:r>
        <w:rPr>
          <w:rFonts w:ascii="Times New Roman" w:hAnsi="Times New Roman"/>
          <w:noProof/>
        </w:rPr>
        <w:t>ES yra įsipareigojusi siekti, kad iki 2030 m. atsinaujinančiųjų išteklių energijos dalis sudarytų bent 42,5 proc., puoselėjant lūkestį ją padidinti iki 45 proc.</w:t>
      </w:r>
      <w:r>
        <w:rPr>
          <w:rFonts w:ascii="Times New Roman" w:hAnsi="Times New Roman"/>
          <w:b/>
          <w:noProof/>
        </w:rPr>
        <w:t xml:space="preserve"> </w:t>
      </w:r>
      <w:r>
        <w:rPr>
          <w:rFonts w:ascii="Times New Roman" w:hAnsi="Times New Roman"/>
          <w:noProof/>
        </w:rPr>
        <w:t xml:space="preserve">Šis tikslas yra ne tik Europos žaliojo kurso ramstis, bet ir labai svarbus įgyvendinant Komisijos įperkamos energijos veiksmų planą. Spartindama atsinaujinančiųjų išteklių energijos diegimą, ES siekia apsaugoti vartotojus nuo nepastovių iškastinio kuro kainų, ilguoju laikotarpiu sumažinti sąskaitas už energiją ir stiprinti savo energetinį suverenumą. </w:t>
      </w:r>
    </w:p>
    <w:p w14:paraId="2E933615" w14:textId="033108F8" w:rsidR="005E019D" w:rsidRPr="005E019D" w:rsidRDefault="005E019D" w:rsidP="005E019D">
      <w:pPr>
        <w:spacing w:before="120" w:after="120" w:line="264" w:lineRule="auto"/>
        <w:jc w:val="both"/>
        <w:rPr>
          <w:rFonts w:ascii="Times New Roman" w:eastAsia="Times New Roman" w:hAnsi="Times New Roman" w:cs="Times New Roman"/>
          <w:noProof/>
          <w:kern w:val="0"/>
          <w14:ligatures w14:val="none"/>
        </w:rPr>
      </w:pPr>
      <w:bookmarkStart w:id="4" w:name="_Hlk193882336"/>
      <w:r>
        <w:rPr>
          <w:rFonts w:ascii="Times New Roman" w:hAnsi="Times New Roman"/>
          <w:noProof/>
        </w:rPr>
        <w:t>2022–2024 m. valstybės narės įrengė apie 205 GW</w:t>
      </w:r>
      <w:r w:rsidRPr="005E019D">
        <w:rPr>
          <w:rFonts w:ascii="Times New Roman" w:eastAsia="Yu Mincho" w:hAnsi="Times New Roman" w:cs="Times New Roman"/>
          <w:noProof/>
          <w:kern w:val="0"/>
          <w:vertAlign w:val="superscript"/>
        </w:rPr>
        <w:footnoteReference w:id="37"/>
      </w:r>
      <w:r>
        <w:rPr>
          <w:rFonts w:ascii="Times New Roman" w:hAnsi="Times New Roman"/>
          <w:noProof/>
        </w:rPr>
        <w:t xml:space="preserve"> atsinaujinančiųjų išteklių elektros energijos gamybos pajėgumų, t. y. padidino pajėgumus daugiau nei 2014–2022 m., </w:t>
      </w:r>
      <w:bookmarkEnd w:id="4"/>
      <w:r>
        <w:rPr>
          <w:rFonts w:ascii="Times New Roman" w:hAnsi="Times New Roman"/>
          <w:noProof/>
        </w:rPr>
        <w:t xml:space="preserve">o tai reiškia, kad yra politinės valios pertvarkyti energetikos sistemą, mažinti strateginę priklausomybę ir skatinti tvarų ekonomikos augimą ir inovacijas. Atsinaujinantieji energijos ištekliai yra būtini ne tik dėl klimato. Jie yra pagrindinis svertas, padedantis visiems europiečiams tiekti įperkamą, saugią ir namuose pagamintą energiją. Numatoma, kad dėl papildomos elektros energijos gamybos naudojant naujai įrengtus fotovoltinius ir vėjo energijos pajėgumus ES elektros energijos vartotojai 2021–2023 m. bus sutaupę apytikriai 100 mlrd. EUR. Valstybių narių įnašai byloja apie tvirtą įsipareigojimą diegti atsinaujinančiuosius energijos išteklius, tačiau rodo, kad iki 2030 m. </w:t>
      </w:r>
      <w:r>
        <w:rPr>
          <w:rFonts w:ascii="Times New Roman" w:hAnsi="Times New Roman"/>
          <w:b/>
          <w:bCs/>
          <w:noProof/>
        </w:rPr>
        <w:t>atsinaujinančiųjų išteklių energijos dalis</w:t>
      </w:r>
      <w:r w:rsidRPr="005E019D">
        <w:rPr>
          <w:rFonts w:ascii="Times New Roman" w:eastAsia="Yu Mincho" w:hAnsi="Times New Roman" w:cs="Times New Roman"/>
          <w:noProof/>
          <w:kern w:val="0"/>
          <w:vertAlign w:val="superscript"/>
          <w:lang w:val="en-US"/>
        </w:rPr>
        <w:footnoteReference w:id="38"/>
      </w:r>
      <w:r>
        <w:rPr>
          <w:rFonts w:ascii="Times New Roman" w:hAnsi="Times New Roman"/>
          <w:noProof/>
        </w:rPr>
        <w:t xml:space="preserve"> sudarys </w:t>
      </w:r>
      <w:r>
        <w:rPr>
          <w:rFonts w:ascii="Times New Roman" w:hAnsi="Times New Roman"/>
          <w:b/>
          <w:bCs/>
          <w:noProof/>
        </w:rPr>
        <w:t>41 proc.</w:t>
      </w:r>
      <w:r w:rsidRPr="005E019D">
        <w:rPr>
          <w:rFonts w:ascii="Times New Roman" w:eastAsia="Yu Mincho" w:hAnsi="Times New Roman" w:cs="Times New Roman"/>
          <w:noProof/>
          <w:kern w:val="0"/>
          <w:vertAlign w:val="superscript"/>
          <w:lang w:val="en-US"/>
        </w:rPr>
        <w:footnoteReference w:id="39"/>
      </w:r>
      <w:r>
        <w:rPr>
          <w:rFonts w:ascii="Times New Roman" w:hAnsi="Times New Roman"/>
          <w:noProof/>
        </w:rPr>
        <w:t xml:space="preserve">bendro galutinės energijos suvartojimo. </w:t>
      </w:r>
      <w:r>
        <w:rPr>
          <w:rFonts w:ascii="Times New Roman" w:hAnsi="Times New Roman"/>
          <w:b/>
          <w:noProof/>
        </w:rPr>
        <w:t>Vis dėlto</w:t>
      </w:r>
      <w:r>
        <w:rPr>
          <w:rFonts w:ascii="Times New Roman" w:hAnsi="Times New Roman"/>
          <w:noProof/>
        </w:rPr>
        <w:t xml:space="preserve"> optimistiškesnis vertinimas, pagrįstas valstybių narių projekcijomis, suteikia pagrindą manyti, kad ES galėtų pasiekti 42,6 proc. rodiklį, vadinasi galima pasiekti dar daugiau. </w:t>
      </w:r>
    </w:p>
    <w:p w14:paraId="608EA077" w14:textId="77777777" w:rsidR="005E019D" w:rsidRPr="005E019D" w:rsidRDefault="005E019D" w:rsidP="005E019D">
      <w:pPr>
        <w:spacing w:after="120" w:line="276" w:lineRule="auto"/>
        <w:jc w:val="both"/>
        <w:rPr>
          <w:rFonts w:ascii="Times New Roman" w:eastAsia="Times New Roman" w:hAnsi="Times New Roman" w:cs="Times New Roman"/>
          <w:noProof/>
          <w:kern w:val="0"/>
          <w14:ligatures w14:val="none"/>
        </w:rPr>
      </w:pPr>
      <w:r>
        <w:rPr>
          <w:rFonts w:ascii="Times New Roman" w:hAnsi="Times New Roman"/>
          <w:noProof/>
        </w:rPr>
        <w:t xml:space="preserve">Tai </w:t>
      </w:r>
      <w:r>
        <w:rPr>
          <w:rFonts w:ascii="Times New Roman" w:hAnsi="Times New Roman"/>
          <w:b/>
          <w:noProof/>
        </w:rPr>
        <w:t>didelė pažanga, palyginti su 33,1–33,7 proc.</w:t>
      </w:r>
      <w:r>
        <w:rPr>
          <w:rFonts w:ascii="Times New Roman" w:hAnsi="Times New Roman"/>
          <w:noProof/>
        </w:rPr>
        <w:t xml:space="preserve"> atsinaujinančiųjų išteklių energijos dalimi, prognozuota </w:t>
      </w:r>
      <w:r>
        <w:rPr>
          <w:rFonts w:ascii="Times New Roman" w:hAnsi="Times New Roman"/>
          <w:b/>
          <w:noProof/>
        </w:rPr>
        <w:t>pradiniuose 2019 m. galutiniuose NEKSVP,</w:t>
      </w:r>
      <w:r>
        <w:rPr>
          <w:rFonts w:ascii="Times New Roman" w:hAnsi="Times New Roman"/>
          <w:noProof/>
        </w:rPr>
        <w:t xml:space="preserve"> be to, šis rodiklis taip pat didesnis už bendrą dalį, nustatytą atnaujintų NEKSVP projektuose, kurie turėjo būti pateikti 2023 m. birželio mėn. </w:t>
      </w:r>
      <w:r>
        <w:rPr>
          <w:rFonts w:ascii="Times New Roman" w:hAnsi="Times New Roman"/>
          <w:b/>
          <w:noProof/>
        </w:rPr>
        <w:t>Nors daugiau kaip du trečdaliai valstybių narių</w:t>
      </w:r>
      <w:r w:rsidRPr="005E019D">
        <w:rPr>
          <w:rFonts w:ascii="Times New Roman" w:eastAsia="Yu Mincho" w:hAnsi="Times New Roman" w:cs="Times New Roman"/>
          <w:b/>
          <w:bCs/>
          <w:noProof/>
          <w:kern w:val="0"/>
          <w:vertAlign w:val="superscript"/>
          <w:lang w:val="en-GB"/>
        </w:rPr>
        <w:footnoteReference w:id="40"/>
      </w:r>
      <w:r>
        <w:rPr>
          <w:rFonts w:ascii="Times New Roman" w:hAnsi="Times New Roman"/>
          <w:b/>
          <w:noProof/>
        </w:rPr>
        <w:t xml:space="preserve"> gerokai padidino savo užmojus, vis dar yra nedidelis 1,5 procentinio punkto atotrūkis nuo</w:t>
      </w:r>
      <w:r>
        <w:rPr>
          <w:rFonts w:ascii="Times New Roman" w:hAnsi="Times New Roman"/>
          <w:noProof/>
        </w:rPr>
        <w:t xml:space="preserve"> 42,5 proc. tikslo, todėl reikia imtis skubių veiksmų jam panaikinti. Vis dėlto, jei valstybės narės visiškai įgyvendintų savo projekcijas, jokio užmojo atotrūkio iki privalomo 42,5 proc. tikslo nebūtų. Tačiau net ir pagal geriausią scenarijų kolektyvinių įnašų vis tiek nepakaks Atsinaujinančiųjų išteklių energijos direktyvoje</w:t>
      </w:r>
      <w:r w:rsidRPr="005E019D">
        <w:rPr>
          <w:rFonts w:ascii="Times New Roman" w:eastAsia="Times New Roman" w:hAnsi="Times New Roman" w:cs="Times New Roman"/>
          <w:noProof/>
          <w:kern w:val="0"/>
          <w:vertAlign w:val="superscript"/>
          <w:lang w:val="en-GB"/>
        </w:rPr>
        <w:footnoteReference w:id="41"/>
      </w:r>
      <w:r>
        <w:rPr>
          <w:rFonts w:ascii="Times New Roman" w:hAnsi="Times New Roman"/>
          <w:noProof/>
        </w:rPr>
        <w:t xml:space="preserve"> (su pakeitimais) nurodytam 45 proc. atsinaujinančiųjų išteklių energijos dalies lūkesčiui įgyvendinti. Dabar šias projekcijas reikia paversti tikrove imantis konkrečių veiksmų ir taip užtikrinti, kad ES ir valstybės narės vykdytų savo įsipareigojimus.</w:t>
      </w:r>
    </w:p>
    <w:p w14:paraId="5AAED117" w14:textId="77777777" w:rsidR="005E019D" w:rsidRPr="005E019D" w:rsidRDefault="005E019D" w:rsidP="005E019D">
      <w:pPr>
        <w:spacing w:after="120" w:line="264" w:lineRule="auto"/>
        <w:jc w:val="both"/>
        <w:rPr>
          <w:rFonts w:ascii="Times New Roman" w:eastAsia="Yu Mincho" w:hAnsi="Times New Roman" w:cs="Times New Roman"/>
          <w:noProof/>
          <w:kern w:val="0"/>
          <w14:ligatures w14:val="none"/>
        </w:rPr>
      </w:pPr>
      <w:r>
        <w:rPr>
          <w:rFonts w:ascii="Times New Roman" w:hAnsi="Times New Roman"/>
          <w:noProof/>
        </w:rPr>
        <w:t xml:space="preserve">Daugelis valstybių narių nurodė veiksmus, kuriais siekiama paspartinti leidimų išdavimą ir padidinti elektros energijos pirkimo sutarčių skaičių ir pasigamintos energijos vartojimą, o kai kurios šalys aprašo paspartintos atsinaujinančiųjų išteklių energijos plėtros zonų nustatymo planus. </w:t>
      </w:r>
      <w:r>
        <w:rPr>
          <w:rFonts w:ascii="Times New Roman" w:hAnsi="Times New Roman"/>
          <w:b/>
          <w:noProof/>
        </w:rPr>
        <w:t>22 valstybės narės</w:t>
      </w:r>
      <w:r w:rsidRPr="005E019D">
        <w:rPr>
          <w:rFonts w:ascii="Times New Roman" w:eastAsia="Times New Roman" w:hAnsi="Times New Roman" w:cs="Times New Roman"/>
          <w:b/>
          <w:bCs/>
          <w:noProof/>
          <w:kern w:val="0"/>
          <w:vertAlign w:val="superscript"/>
        </w:rPr>
        <w:footnoteReference w:id="42"/>
      </w:r>
      <w:r>
        <w:rPr>
          <w:rFonts w:ascii="Times New Roman" w:hAnsi="Times New Roman"/>
          <w:b/>
          <w:noProof/>
        </w:rPr>
        <w:t xml:space="preserve"> nustatė 2030 m. atsinaujinančiųjų energijos išteklių naudojimo šildymo ir vėsinimo sektoriuje tikslą, atitinkantį peržiūrėtą Atsinaujinančiųjų išteklių energijos direktyvą</w:t>
      </w:r>
      <w:r w:rsidRPr="005E019D">
        <w:rPr>
          <w:rFonts w:ascii="Times New Roman" w:eastAsia="Times New Roman" w:hAnsi="Times New Roman" w:cs="Times New Roman"/>
          <w:noProof/>
          <w:kern w:val="0"/>
          <w:vertAlign w:val="superscript"/>
        </w:rPr>
        <w:footnoteReference w:id="43"/>
      </w:r>
      <w:r>
        <w:rPr>
          <w:rFonts w:ascii="Times New Roman" w:hAnsi="Times New Roman"/>
          <w:b/>
          <w:noProof/>
        </w:rPr>
        <w:t>.</w:t>
      </w:r>
      <w:r>
        <w:rPr>
          <w:rFonts w:ascii="Times New Roman" w:hAnsi="Times New Roman"/>
          <w:noProof/>
        </w:rPr>
        <w:t xml:space="preserve"> Be to, 11 valstybių narių</w:t>
      </w:r>
      <w:r w:rsidRPr="005E019D">
        <w:rPr>
          <w:rFonts w:ascii="Times New Roman" w:eastAsia="Yu Mincho" w:hAnsi="Times New Roman" w:cs="Times New Roman"/>
          <w:noProof/>
          <w:kern w:val="0"/>
          <w:vertAlign w:val="superscript"/>
        </w:rPr>
        <w:footnoteReference w:id="44"/>
      </w:r>
      <w:r>
        <w:rPr>
          <w:rFonts w:ascii="Times New Roman" w:hAnsi="Times New Roman"/>
          <w:noProof/>
        </w:rPr>
        <w:t xml:space="preserve"> įtraukė pramonei nustatytą specifinį nebiologinės kilmės kuro iš atsinaujinančiųjų energijos išteklių tikslą. Kai kurios valstybės narės taip pat nurodė savo planuojamus elektrolizerių pajėgumus iki 2030 m., o kitos vis dar vertina nebiologinės kilmės kuro iš atsinaujinančiųjų energijos išteklių tikslų įgyvendinamumą pramonėje.</w:t>
      </w:r>
    </w:p>
    <w:p w14:paraId="7F9853B7" w14:textId="3C00A20E" w:rsidR="005E019D" w:rsidRPr="005E019D" w:rsidRDefault="005E019D" w:rsidP="005E019D">
      <w:pPr>
        <w:spacing w:before="120" w:after="120" w:line="240" w:lineRule="auto"/>
        <w:jc w:val="both"/>
        <w:rPr>
          <w:rFonts w:ascii="Times New Roman" w:eastAsia="Yu Mincho" w:hAnsi="Times New Roman" w:cs="Times New Roman"/>
          <w:noProof/>
          <w:kern w:val="0"/>
          <w14:ligatures w14:val="none"/>
        </w:rPr>
      </w:pPr>
      <w:r>
        <w:rPr>
          <w:rFonts w:ascii="Times New Roman" w:hAnsi="Times New Roman"/>
          <w:b/>
          <w:noProof/>
        </w:rPr>
        <w:t>Kalbant apie novatoriškas atsinaujinančiųjų išteklių energijos technologijas, 10 valstybių narių</w:t>
      </w:r>
      <w:r w:rsidRPr="005E019D">
        <w:rPr>
          <w:rFonts w:ascii="Times New Roman" w:eastAsia="Yu Mincho" w:hAnsi="Times New Roman" w:cs="Times New Roman"/>
          <w:b/>
          <w:bCs/>
          <w:noProof/>
          <w:kern w:val="0"/>
          <w:vertAlign w:val="superscript"/>
          <w:lang w:val="en-GB"/>
        </w:rPr>
        <w:footnoteReference w:id="45"/>
      </w:r>
      <w:r>
        <w:rPr>
          <w:rFonts w:ascii="Times New Roman" w:hAnsi="Times New Roman"/>
          <w:b/>
          <w:noProof/>
        </w:rPr>
        <w:t xml:space="preserve"> nustatė plataus užmojo tikslus, susijusius su naujais pajėgumais, kuriuos numatoma įrengti iki 2030 m.</w:t>
      </w:r>
      <w:r>
        <w:rPr>
          <w:rFonts w:ascii="Times New Roman" w:hAnsi="Times New Roman"/>
          <w:noProof/>
        </w:rPr>
        <w:t>, kad būtų pasiektas peržiūrėtoje Atsinaujinančiųjų išteklių energijos direktyvoje nustatytas orientacinis 5 proc. tikslas</w:t>
      </w:r>
      <w:r w:rsidRPr="005E019D">
        <w:rPr>
          <w:rFonts w:ascii="Times New Roman" w:eastAsia="Yu Mincho" w:hAnsi="Times New Roman" w:cs="Times New Roman"/>
          <w:noProof/>
          <w:kern w:val="0"/>
          <w:vertAlign w:val="superscript"/>
        </w:rPr>
        <w:footnoteReference w:id="46"/>
      </w:r>
      <w:r>
        <w:rPr>
          <w:rFonts w:ascii="Times New Roman" w:hAnsi="Times New Roman"/>
          <w:noProof/>
        </w:rPr>
        <w:t xml:space="preserve">. Nors dauguma valstybių narių atsižvelgė į Komisijos rekomendacijas dėl atsinaujinančiųjų išteklių energijos naudojimo transporto srityje ir bioenergijos, planuose vis dar trūksta informacijos apie energijos gamybai naudojamos miško biomasės tiekimą šalies viduje, apie tai, kaip miško biomasė bus naudojama energijai gaminti ir ar valstybės narės vykdo atitinkamus įsipareigojimus pagal LULUCF reglamentą. </w:t>
      </w:r>
    </w:p>
    <w:p w14:paraId="11D0970F" w14:textId="77777777" w:rsidR="005E019D" w:rsidRPr="005E019D" w:rsidRDefault="005E019D" w:rsidP="005E019D">
      <w:pPr>
        <w:spacing w:after="0" w:line="264" w:lineRule="auto"/>
        <w:jc w:val="both"/>
        <w:rPr>
          <w:rFonts w:ascii="Times New Roman" w:eastAsia="Times New Roman" w:hAnsi="Times New Roman" w:cs="Times New Roman"/>
          <w:i/>
          <w:noProof/>
          <w:color w:val="156082"/>
          <w:kern w:val="0"/>
          <w14:ligatures w14:val="none"/>
        </w:rPr>
      </w:pPr>
      <w:r>
        <w:rPr>
          <w:rFonts w:ascii="Times New Roman" w:hAnsi="Times New Roman"/>
          <w:b/>
          <w:noProof/>
        </w:rPr>
        <w:t>Galiausiai beveik visos valstybės narės</w:t>
      </w:r>
      <w:r w:rsidRPr="005E019D">
        <w:rPr>
          <w:rFonts w:ascii="Times New Roman" w:eastAsia="Yu Mincho" w:hAnsi="Times New Roman" w:cs="Times New Roman"/>
          <w:noProof/>
          <w:kern w:val="0"/>
          <w:vertAlign w:val="superscript"/>
          <w:lang w:val="en-GB"/>
        </w:rPr>
        <w:footnoteReference w:id="47"/>
      </w:r>
      <w:r>
        <w:rPr>
          <w:rFonts w:ascii="Times New Roman" w:hAnsi="Times New Roman"/>
          <w:b/>
          <w:noProof/>
        </w:rPr>
        <w:t xml:space="preserve"> atsižvelgė į Komisijos rekomendacijas dėl biometano</w:t>
      </w:r>
      <w:r>
        <w:rPr>
          <w:rFonts w:ascii="Times New Roman" w:hAnsi="Times New Roman"/>
          <w:noProof/>
        </w:rPr>
        <w:t xml:space="preserve"> ir pasiūlė su biometanu ir biodujomis susijusias priemones, kurias įdiegus bendra metinė gamyba iki 2030 m. turėtų sudaryti 25,85 mlrd. kubinių metrų (mlrd. m³). Vis dėlto tik septynios valstybės narės nustatė konkrečius atskirus su biometanu susijusius tikslus. Švedija siūlo finansinę paramą biometanui, tačiau nenustato konkretaus tikslo. </w:t>
      </w:r>
    </w:p>
    <w:p w14:paraId="0A3FCC6E" w14:textId="77777777" w:rsidR="005E019D" w:rsidRPr="005E019D" w:rsidRDefault="005E019D" w:rsidP="005E019D">
      <w:pPr>
        <w:spacing w:after="0" w:line="264" w:lineRule="auto"/>
        <w:jc w:val="both"/>
        <w:rPr>
          <w:rFonts w:ascii="Times New Roman" w:eastAsia="Times New Roman" w:hAnsi="Times New Roman" w:cs="Times New Roman"/>
          <w:i/>
          <w:iCs/>
          <w:noProof/>
          <w:kern w:val="0"/>
          <w14:ligatures w14:val="none"/>
        </w:rPr>
      </w:pPr>
    </w:p>
    <w:p w14:paraId="4C92515B" w14:textId="77777777" w:rsidR="005E019D" w:rsidRPr="005E019D" w:rsidRDefault="005E019D" w:rsidP="005E019D">
      <w:pPr>
        <w:pBdr>
          <w:top w:val="single" w:sz="8" w:space="1" w:color="000000"/>
          <w:left w:val="single" w:sz="8" w:space="4" w:color="000000"/>
          <w:bottom w:val="single" w:sz="8" w:space="1" w:color="000000"/>
          <w:right w:val="single" w:sz="8" w:space="4" w:color="000000"/>
        </w:pBdr>
        <w:spacing w:after="0" w:line="264" w:lineRule="auto"/>
        <w:jc w:val="both"/>
        <w:rPr>
          <w:rFonts w:ascii="Times New Roman" w:eastAsia="Times New Roman" w:hAnsi="Times New Roman" w:cs="Times New Roman"/>
          <w:b/>
          <w:i/>
          <w:noProof/>
          <w:kern w:val="0"/>
          <w14:ligatures w14:val="none"/>
        </w:rPr>
      </w:pPr>
      <w:r>
        <w:rPr>
          <w:rFonts w:ascii="Times New Roman" w:hAnsi="Times New Roman"/>
          <w:b/>
          <w:i/>
          <w:noProof/>
        </w:rPr>
        <w:t>Tolesni veiksmai</w:t>
      </w:r>
    </w:p>
    <w:p w14:paraId="2447EF25" w14:textId="13153B91" w:rsidR="005E019D" w:rsidRPr="005E019D" w:rsidRDefault="005E019D" w:rsidP="005E019D">
      <w:pPr>
        <w:pBdr>
          <w:top w:val="single" w:sz="8" w:space="1" w:color="000000"/>
          <w:left w:val="single" w:sz="8" w:space="4" w:color="000000"/>
          <w:bottom w:val="single" w:sz="8" w:space="1" w:color="000000"/>
          <w:right w:val="single" w:sz="8" w:space="4" w:color="000000"/>
        </w:pBdr>
        <w:spacing w:after="0" w:line="264" w:lineRule="auto"/>
        <w:jc w:val="both"/>
        <w:rPr>
          <w:rFonts w:ascii="Times New Roman" w:eastAsia="Times New Roman" w:hAnsi="Times New Roman" w:cs="Times New Roman"/>
          <w:i/>
          <w:iCs/>
          <w:noProof/>
          <w:kern w:val="0"/>
          <w14:ligatures w14:val="none"/>
        </w:rPr>
      </w:pPr>
      <w:r>
        <w:rPr>
          <w:rFonts w:ascii="Times New Roman" w:hAnsi="Times New Roman"/>
          <w:i/>
          <w:noProof/>
        </w:rPr>
        <w:t xml:space="preserve">Nepaisant gerokai didesnių nacionalinių užmojų, palyginti su atnaujintų NEKSVP projektais, vis dar yra </w:t>
      </w:r>
      <w:r>
        <w:rPr>
          <w:rFonts w:ascii="Times New Roman" w:hAnsi="Times New Roman"/>
          <w:b/>
          <w:i/>
          <w:noProof/>
        </w:rPr>
        <w:t xml:space="preserve">1,5 procentinio punkto atotrūkis, palyginti su ES tikslu, kad iki 2030 m. atsinaujinančiųjų išteklių energijos dalis sudarytų bent 42,5 proc., – jei valstybės narės neįgyvendins savo platesnio užmojo projekcijų. Taigi, nors 42,5 proc. tikslas yra pasiekiamas, labai svarbu toliau padėti </w:t>
      </w:r>
      <w:r>
        <w:rPr>
          <w:rFonts w:ascii="Times New Roman" w:hAnsi="Times New Roman"/>
          <w:i/>
          <w:noProof/>
        </w:rPr>
        <w:t xml:space="preserve">valstybėms narėms panaikinti šį atotrūkį ir siekti bendro 45 proc. tikslo iki 2030 m., todėl reikia imtis aktyvesnių veiksmų </w:t>
      </w:r>
      <w:bookmarkStart w:id="5" w:name="_Hlk192582018"/>
      <w:r>
        <w:rPr>
          <w:rFonts w:ascii="Times New Roman" w:hAnsi="Times New Roman"/>
          <w:i/>
          <w:noProof/>
        </w:rPr>
        <w:t>atsinaujinančiųjų išteklių energijos</w:t>
      </w:r>
      <w:r>
        <w:rPr>
          <w:rFonts w:ascii="Times New Roman" w:hAnsi="Times New Roman"/>
          <w:b/>
          <w:i/>
          <w:noProof/>
        </w:rPr>
        <w:t xml:space="preserve"> </w:t>
      </w:r>
      <w:r>
        <w:rPr>
          <w:rFonts w:ascii="Times New Roman" w:hAnsi="Times New Roman"/>
          <w:i/>
          <w:noProof/>
        </w:rPr>
        <w:t>diegimui paspartinti</w:t>
      </w:r>
      <w:bookmarkEnd w:id="5"/>
      <w:r>
        <w:rPr>
          <w:rFonts w:ascii="Times New Roman" w:hAnsi="Times New Roman"/>
          <w:i/>
          <w:noProof/>
        </w:rPr>
        <w:t>.</w:t>
      </w:r>
    </w:p>
    <w:p w14:paraId="76AE252C" w14:textId="77777777" w:rsidR="005E019D" w:rsidRPr="005E019D" w:rsidRDefault="005E019D" w:rsidP="005E019D">
      <w:pPr>
        <w:pBdr>
          <w:top w:val="single" w:sz="8" w:space="1" w:color="000000"/>
          <w:left w:val="single" w:sz="8" w:space="4" w:color="000000"/>
          <w:bottom w:val="single" w:sz="8" w:space="1" w:color="000000"/>
          <w:right w:val="single" w:sz="8" w:space="4" w:color="000000"/>
        </w:pBdr>
        <w:spacing w:after="0" w:line="264" w:lineRule="auto"/>
        <w:jc w:val="both"/>
        <w:rPr>
          <w:rFonts w:ascii="Times New Roman" w:eastAsia="Times New Roman" w:hAnsi="Times New Roman" w:cs="Times New Roman"/>
          <w:noProof/>
          <w:kern w:val="0"/>
          <w14:ligatures w14:val="none"/>
        </w:rPr>
      </w:pPr>
    </w:p>
    <w:p w14:paraId="11D4F4CF" w14:textId="252DF2BD" w:rsidR="005E019D" w:rsidRPr="005E019D" w:rsidRDefault="005E019D" w:rsidP="005E019D">
      <w:pPr>
        <w:pBdr>
          <w:top w:val="single" w:sz="8" w:space="1" w:color="000000"/>
          <w:left w:val="single" w:sz="8" w:space="4" w:color="000000"/>
          <w:bottom w:val="single" w:sz="8" w:space="1" w:color="000000"/>
          <w:right w:val="single" w:sz="8" w:space="4" w:color="000000"/>
        </w:pBdr>
        <w:spacing w:after="0" w:line="264" w:lineRule="auto"/>
        <w:jc w:val="both"/>
        <w:rPr>
          <w:rFonts w:ascii="Times New Roman" w:eastAsia="Times New Roman" w:hAnsi="Times New Roman" w:cs="Times New Roman"/>
          <w:noProof/>
          <w:kern w:val="0"/>
          <w14:ligatures w14:val="none"/>
        </w:rPr>
      </w:pPr>
      <w:r>
        <w:rPr>
          <w:rFonts w:ascii="Times New Roman" w:hAnsi="Times New Roman"/>
          <w:noProof/>
        </w:rPr>
        <w:t xml:space="preserve">Dar ne laikas ilsėtis ant laurų. Komisija rems ir kartu su valstybėmis narėmis atidžiai stebės galutinių planų įgyvendinimą ir nagrinės tolesnių veiksmų alternatyvas, kad siekiant panaikinti užmojų atotrūkį būtų įgyvendintos plačiausio užmojo valstybių narių projekcijos.  </w:t>
      </w:r>
      <w:r>
        <w:rPr>
          <w:rFonts w:ascii="Times New Roman" w:hAnsi="Times New Roman"/>
          <w:b/>
          <w:noProof/>
        </w:rPr>
        <w:t>Komisija įvertins, ar reikia imtis tolesnių priemonių siekiant užtikrinti, kad būtų bendrai pasiektas atsinaujinančiųjų išteklių energijos dalies tikslas, įskaitant 45 proc. lūkestį.</w:t>
      </w:r>
    </w:p>
    <w:p w14:paraId="31C06B5D" w14:textId="77777777" w:rsidR="005E019D" w:rsidRPr="005E019D" w:rsidRDefault="005E019D" w:rsidP="005E019D">
      <w:pPr>
        <w:pBdr>
          <w:top w:val="single" w:sz="8" w:space="1" w:color="000000"/>
          <w:left w:val="single" w:sz="8" w:space="4" w:color="000000"/>
          <w:bottom w:val="single" w:sz="8" w:space="1" w:color="000000"/>
          <w:right w:val="single" w:sz="8" w:space="4" w:color="000000"/>
        </w:pBdr>
        <w:spacing w:after="0" w:line="264" w:lineRule="auto"/>
        <w:jc w:val="both"/>
        <w:rPr>
          <w:rFonts w:ascii="Times New Roman" w:eastAsia="Times New Roman" w:hAnsi="Times New Roman" w:cs="Times New Roman"/>
          <w:noProof/>
          <w:kern w:val="0"/>
          <w14:ligatures w14:val="none"/>
        </w:rPr>
      </w:pPr>
    </w:p>
    <w:p w14:paraId="3DE3912C" w14:textId="77777777" w:rsidR="005E019D" w:rsidRPr="005E019D" w:rsidRDefault="005E019D" w:rsidP="005E019D">
      <w:pPr>
        <w:pBdr>
          <w:top w:val="single" w:sz="8" w:space="1" w:color="000000"/>
          <w:left w:val="single" w:sz="8" w:space="4" w:color="000000"/>
          <w:bottom w:val="single" w:sz="8" w:space="1" w:color="000000"/>
          <w:right w:val="single" w:sz="8" w:space="4" w:color="000000"/>
        </w:pBdr>
        <w:spacing w:after="0" w:line="264" w:lineRule="auto"/>
        <w:jc w:val="both"/>
        <w:rPr>
          <w:rFonts w:ascii="Times New Roman" w:eastAsia="Times New Roman" w:hAnsi="Times New Roman" w:cs="Times New Roman"/>
          <w:noProof/>
          <w:kern w:val="0"/>
          <w14:ligatures w14:val="none"/>
        </w:rPr>
      </w:pPr>
      <w:r>
        <w:rPr>
          <w:rFonts w:ascii="Times New Roman" w:hAnsi="Times New Roman"/>
          <w:noProof/>
        </w:rPr>
        <w:t xml:space="preserve">Visų pirma </w:t>
      </w:r>
      <w:r>
        <w:rPr>
          <w:rFonts w:ascii="Times New Roman" w:hAnsi="Times New Roman"/>
          <w:b/>
          <w:noProof/>
        </w:rPr>
        <w:t>Įperkamos energijos veiksmų plane</w:t>
      </w:r>
      <w:r>
        <w:rPr>
          <w:rFonts w:ascii="Times New Roman" w:hAnsi="Times New Roman"/>
          <w:noProof/>
        </w:rPr>
        <w:t xml:space="preserve"> ir </w:t>
      </w:r>
      <w:r>
        <w:rPr>
          <w:rFonts w:ascii="Times New Roman" w:hAnsi="Times New Roman"/>
          <w:b/>
          <w:noProof/>
        </w:rPr>
        <w:t>švarios pramonės kurse</w:t>
      </w:r>
      <w:r>
        <w:rPr>
          <w:rFonts w:ascii="Times New Roman" w:hAnsi="Times New Roman"/>
          <w:noProof/>
        </w:rPr>
        <w:t xml:space="preserve"> išdėstytos priemonės labai padės valstybėms narėms siekti savo tikslų ir kartu sumažinti energijos sąnaudas Europos vartotojams.</w:t>
      </w:r>
    </w:p>
    <w:p w14:paraId="5E451C46" w14:textId="77777777" w:rsidR="005E019D" w:rsidRPr="005E019D" w:rsidRDefault="005E019D" w:rsidP="005E019D">
      <w:pPr>
        <w:pBdr>
          <w:top w:val="single" w:sz="8" w:space="1" w:color="000000"/>
          <w:left w:val="single" w:sz="8" w:space="4" w:color="000000"/>
          <w:bottom w:val="single" w:sz="8" w:space="1" w:color="000000"/>
          <w:right w:val="single" w:sz="8" w:space="4" w:color="000000"/>
        </w:pBdr>
        <w:spacing w:after="0" w:line="264" w:lineRule="auto"/>
        <w:jc w:val="both"/>
        <w:rPr>
          <w:rFonts w:ascii="Times New Roman" w:eastAsia="Times New Roman" w:hAnsi="Times New Roman" w:cs="Times New Roman"/>
          <w:noProof/>
          <w:kern w:val="0"/>
          <w14:ligatures w14:val="none"/>
        </w:rPr>
      </w:pPr>
    </w:p>
    <w:p w14:paraId="1C5A9AB9" w14:textId="3C57CC57" w:rsidR="005E019D" w:rsidRPr="005E019D" w:rsidRDefault="005E019D" w:rsidP="005E019D">
      <w:pPr>
        <w:pBdr>
          <w:top w:val="single" w:sz="8" w:space="1" w:color="000000"/>
          <w:left w:val="single" w:sz="8" w:space="4" w:color="000000"/>
          <w:bottom w:val="single" w:sz="8" w:space="1" w:color="000000"/>
          <w:right w:val="single" w:sz="8" w:space="4" w:color="000000"/>
        </w:pBdr>
        <w:spacing w:after="240" w:line="240" w:lineRule="auto"/>
        <w:jc w:val="both"/>
        <w:rPr>
          <w:rFonts w:ascii="Times New Roman" w:eastAsia="Times New Roman" w:hAnsi="Times New Roman" w:cs="Times New Roman"/>
          <w:noProof/>
          <w:kern w:val="0"/>
          <w14:ligatures w14:val="none"/>
        </w:rPr>
      </w:pPr>
      <w:r>
        <w:rPr>
          <w:rFonts w:ascii="Times New Roman" w:hAnsi="Times New Roman"/>
          <w:b/>
          <w:noProof/>
        </w:rPr>
        <w:t>2025 m. paskutinį ketvirtį</w:t>
      </w:r>
      <w:r>
        <w:rPr>
          <w:rFonts w:ascii="Times New Roman" w:hAnsi="Times New Roman"/>
          <w:noProof/>
        </w:rPr>
        <w:t xml:space="preserve"> rengdama </w:t>
      </w:r>
      <w:r>
        <w:rPr>
          <w:rFonts w:ascii="Times New Roman" w:hAnsi="Times New Roman"/>
          <w:b/>
          <w:noProof/>
        </w:rPr>
        <w:t>Europos tinklų dokumentų rinkinį</w:t>
      </w:r>
      <w:r>
        <w:rPr>
          <w:rFonts w:ascii="Times New Roman" w:hAnsi="Times New Roman"/>
          <w:noProof/>
        </w:rPr>
        <w:t xml:space="preserve">, Komisija sieks dar labiau racionalizuoti ir supaprastinti ES teisės aktus ir sutrumpinti leidimų išdavimo laiką, be kita ko, tikslingai atnaujindama aplinkosaugos teisės aktus pakeitimais, kurie bus labai svarbūs šalinant kliūtis atsinaujinančiųjų išteklių energijos projektams, infrastruktūros plėtrai ir energijos kaupimui.  Tai bus ypač aktualu pastatų ir pramonės sektoriams. Daugiausia dėmesio bus skiriama energijos kaupimo pajėgumų didinimui, kad būtų sukurta investicijoms į atsinaujinančiaisiais energijos ištekliais grindžiamą elektrifikaciją palanki sistema. </w:t>
      </w:r>
    </w:p>
    <w:p w14:paraId="5AEE7742" w14:textId="77777777" w:rsidR="005E019D" w:rsidRPr="005E019D" w:rsidRDefault="005E019D" w:rsidP="005E019D">
      <w:pPr>
        <w:pBdr>
          <w:top w:val="single" w:sz="8" w:space="1" w:color="000000"/>
          <w:left w:val="single" w:sz="8" w:space="4" w:color="000000"/>
          <w:bottom w:val="single" w:sz="8" w:space="1" w:color="000000"/>
          <w:right w:val="single" w:sz="8" w:space="4" w:color="000000"/>
        </w:pBdr>
        <w:spacing w:after="0" w:line="264" w:lineRule="auto"/>
        <w:jc w:val="both"/>
        <w:rPr>
          <w:rFonts w:ascii="Times New Roman" w:eastAsia="Times New Roman" w:hAnsi="Times New Roman" w:cs="Times New Roman"/>
          <w:noProof/>
          <w:kern w:val="0"/>
          <w14:ligatures w14:val="none"/>
        </w:rPr>
      </w:pPr>
      <w:r>
        <w:rPr>
          <w:rFonts w:ascii="Times New Roman" w:hAnsi="Times New Roman"/>
          <w:noProof/>
        </w:rPr>
        <w:t xml:space="preserve">Komisija toliau rems valstybių narių įgyvendinimo pastangas pagal iniciatyvą </w:t>
      </w:r>
      <w:r>
        <w:rPr>
          <w:rFonts w:ascii="Times New Roman" w:hAnsi="Times New Roman"/>
          <w:i/>
          <w:noProof/>
        </w:rPr>
        <w:t>„Accele-RES“</w:t>
      </w:r>
      <w:r>
        <w:rPr>
          <w:rFonts w:ascii="Times New Roman" w:hAnsi="Times New Roman"/>
          <w:noProof/>
        </w:rPr>
        <w:t xml:space="preserve"> – individualiai dirbs su valstybėmis narėmis, veiks leidimų išdavimo ekspertų grupėje, rengs specialius praktinius seminarus ir imsis suderintų veiksmų dėl Atsinaujinančiųjų išteklių energijos direktyvos (CA-RES). </w:t>
      </w:r>
    </w:p>
    <w:p w14:paraId="096206D5" w14:textId="77777777" w:rsidR="005E019D" w:rsidRPr="005E019D" w:rsidRDefault="005E019D" w:rsidP="005E019D">
      <w:pPr>
        <w:pBdr>
          <w:top w:val="single" w:sz="8" w:space="1" w:color="000000"/>
          <w:left w:val="single" w:sz="8" w:space="4" w:color="000000"/>
          <w:bottom w:val="single" w:sz="8" w:space="1" w:color="000000"/>
          <w:right w:val="single" w:sz="8" w:space="4" w:color="000000"/>
        </w:pBdr>
        <w:spacing w:before="120" w:after="20" w:line="264" w:lineRule="auto"/>
        <w:jc w:val="both"/>
        <w:rPr>
          <w:rFonts w:ascii="Times New Roman" w:eastAsia="Times New Roman" w:hAnsi="Times New Roman" w:cs="Times New Roman"/>
          <w:noProof/>
          <w:kern w:val="0"/>
          <w14:ligatures w14:val="none"/>
        </w:rPr>
      </w:pPr>
      <w:r>
        <w:rPr>
          <w:rFonts w:ascii="Times New Roman" w:hAnsi="Times New Roman"/>
          <w:noProof/>
        </w:rPr>
        <w:t xml:space="preserve">Kalbant apie vidutinės trukmės ir ilgesnio laikotarpio veiksmus, nustatytus Įperkamos energijos veiksmų plane, </w:t>
      </w:r>
      <w:r>
        <w:rPr>
          <w:rFonts w:ascii="Times New Roman" w:hAnsi="Times New Roman"/>
          <w:b/>
          <w:noProof/>
        </w:rPr>
        <w:t>elektrifikavimo veiksmų planas</w:t>
      </w:r>
      <w:r>
        <w:rPr>
          <w:rFonts w:ascii="Times New Roman" w:hAnsi="Times New Roman"/>
          <w:noProof/>
        </w:rPr>
        <w:t xml:space="preserve"> paskatins visos sistemos pertvarką siekiant paspartinti elektrifikaciją, būtiną tikslams pasiekti, ir remti atsinaujinančiųjų išteklių energijos naudojimą. Jis apima elektros energijos pirkimo sutarčių (EEPS) naudojimo masto didinimą, lankstumo sprendimų, pavyzdžiui, kaupimo ir reguliavimo apkrova, rėmimą ir informuotumo didinimo iniciatyvų, pavyzdžiui, vartotojams ir įmonėms skirtų vieno langelio principu veikiančių centrų, įgyvendinimą. Be to, šalinant atotrūkį svarbų vaidmenį atliks, be kita ko, priemonės, kuriomis siekiama modernizuoti ir plėsti elektros tinklus ir nukreipti tarpvalstybines investicijas į švarios energijos infrastruktūrą. Komisija pasiūlys tolesnes politikos priemones šioms pastangoms remti, o nacionalinės vyriausybės turėtų nedelsdamos jas įtraukti į savo energetikos strategijas. </w:t>
      </w:r>
    </w:p>
    <w:p w14:paraId="10ACC36B" w14:textId="77777777" w:rsidR="005E019D" w:rsidRPr="005E019D" w:rsidRDefault="005E019D" w:rsidP="005E019D">
      <w:pPr>
        <w:pBdr>
          <w:top w:val="single" w:sz="8" w:space="1" w:color="000000"/>
          <w:left w:val="single" w:sz="8" w:space="4" w:color="000000"/>
          <w:bottom w:val="single" w:sz="8" w:space="1" w:color="000000"/>
          <w:right w:val="single" w:sz="8" w:space="4" w:color="000000"/>
        </w:pBdr>
        <w:spacing w:before="120" w:after="20" w:line="264" w:lineRule="auto"/>
        <w:jc w:val="both"/>
        <w:rPr>
          <w:rFonts w:ascii="Times New Roman" w:eastAsia="Times New Roman" w:hAnsi="Times New Roman" w:cs="Times New Roman"/>
          <w:noProof/>
          <w:kern w:val="0"/>
          <w14:ligatures w14:val="none"/>
        </w:rPr>
      </w:pPr>
      <w:r>
        <w:rPr>
          <w:rFonts w:ascii="Times New Roman" w:hAnsi="Times New Roman"/>
          <w:noProof/>
        </w:rPr>
        <w:t xml:space="preserve">Trumpuoju laikotarpiu </w:t>
      </w:r>
      <w:r>
        <w:rPr>
          <w:rFonts w:ascii="Times New Roman" w:hAnsi="Times New Roman"/>
          <w:b/>
          <w:noProof/>
        </w:rPr>
        <w:t>valstybės narės turėtų dėti daugiau pastangų, kad užtikrintų greitą ir veiksmingą leidimų išdavimo taisyklių</w:t>
      </w:r>
      <w:r>
        <w:rPr>
          <w:rFonts w:ascii="Times New Roman" w:hAnsi="Times New Roman"/>
          <w:noProof/>
        </w:rPr>
        <w:t xml:space="preserve">, pavyzdžiui, nustatytųjų peržiūrėtoje Atsinaujinančiųjų išteklių energijos direktyvoje, </w:t>
      </w:r>
      <w:r>
        <w:rPr>
          <w:rFonts w:ascii="Times New Roman" w:hAnsi="Times New Roman"/>
          <w:b/>
          <w:noProof/>
        </w:rPr>
        <w:t>įgyvendinimą ir vykdymą</w:t>
      </w:r>
      <w:r>
        <w:rPr>
          <w:rFonts w:ascii="Times New Roman" w:hAnsi="Times New Roman"/>
          <w:noProof/>
        </w:rPr>
        <w:t>, kad būtų paspartintas projektų diegimas.</w:t>
      </w:r>
    </w:p>
    <w:p w14:paraId="4ED18F86" w14:textId="77777777" w:rsidR="005E019D" w:rsidRPr="005E019D" w:rsidRDefault="005E019D" w:rsidP="005E019D">
      <w:pPr>
        <w:pBdr>
          <w:top w:val="single" w:sz="8" w:space="1" w:color="000000"/>
          <w:left w:val="single" w:sz="8" w:space="4" w:color="000000"/>
          <w:bottom w:val="single" w:sz="8" w:space="1" w:color="000000"/>
          <w:right w:val="single" w:sz="8" w:space="4" w:color="000000"/>
        </w:pBdr>
        <w:spacing w:before="120" w:after="20" w:line="264" w:lineRule="auto"/>
        <w:jc w:val="both"/>
        <w:rPr>
          <w:rFonts w:ascii="Times New Roman" w:eastAsia="Times New Roman" w:hAnsi="Times New Roman" w:cs="Times New Roman"/>
          <w:noProof/>
          <w:kern w:val="0"/>
          <w14:ligatures w14:val="none"/>
        </w:rPr>
      </w:pPr>
      <w:r>
        <w:rPr>
          <w:rFonts w:ascii="Times New Roman" w:hAnsi="Times New Roman"/>
          <w:b/>
          <w:noProof/>
        </w:rPr>
        <w:t>Valstybės narės raginamos parengti konkrečias priemones, kurios sudarytų palankesnes sąlygas naudoti EEPS</w:t>
      </w:r>
      <w:r>
        <w:rPr>
          <w:rFonts w:ascii="Times New Roman" w:hAnsi="Times New Roman"/>
          <w:noProof/>
        </w:rPr>
        <w:t xml:space="preserve"> kurdamos palankią teisinę ir reguliavimo aplinką ir teiktų stabilius investavimo signalus, kad būtų telkiamos investicijos į atsinaujinančiųjų išteklių energiją. </w:t>
      </w:r>
    </w:p>
    <w:p w14:paraId="587BF599" w14:textId="77777777" w:rsidR="005E019D" w:rsidRPr="005E019D" w:rsidRDefault="005E019D" w:rsidP="005E019D">
      <w:pPr>
        <w:pBdr>
          <w:top w:val="single" w:sz="8" w:space="1" w:color="000000"/>
          <w:left w:val="single" w:sz="8" w:space="4" w:color="000000"/>
          <w:bottom w:val="single" w:sz="8" w:space="1" w:color="000000"/>
          <w:right w:val="single" w:sz="8" w:space="4" w:color="000000"/>
        </w:pBdr>
        <w:spacing w:before="120" w:after="20" w:line="264" w:lineRule="auto"/>
        <w:jc w:val="both"/>
        <w:rPr>
          <w:rFonts w:ascii="Times New Roman" w:eastAsia="Times New Roman" w:hAnsi="Times New Roman" w:cs="Times New Roman"/>
          <w:noProof/>
          <w:kern w:val="0"/>
          <w14:ligatures w14:val="none"/>
        </w:rPr>
      </w:pPr>
      <w:r>
        <w:rPr>
          <w:rFonts w:ascii="Times New Roman" w:hAnsi="Times New Roman"/>
          <w:b/>
          <w:noProof/>
        </w:rPr>
        <w:t>Valstybės narės taip pat raginamos naudoti atsinaujinančiaisiais energijos ištekliais grindžiamus bendradarbiavimo mechanizmus, pavyzdžiui, ES atsinaujinančiųjų išteklių energijos finansavimo mechanizmą</w:t>
      </w:r>
      <w:r w:rsidRPr="005E019D">
        <w:rPr>
          <w:rFonts w:ascii="Times New Roman" w:eastAsia="Times New Roman" w:hAnsi="Times New Roman" w:cs="Times New Roman"/>
          <w:b/>
          <w:bCs/>
          <w:noProof/>
          <w:kern w:val="0"/>
          <w:vertAlign w:val="superscript"/>
        </w:rPr>
        <w:footnoteReference w:id="48"/>
      </w:r>
      <w:r>
        <w:rPr>
          <w:rFonts w:ascii="Times New Roman" w:hAnsi="Times New Roman"/>
          <w:b/>
          <w:noProof/>
        </w:rPr>
        <w:t>, kad pasiektų savo nacionalinius įnašus atsinaujinančiųjų išteklių energijos srityje.</w:t>
      </w:r>
      <w:r>
        <w:rPr>
          <w:rFonts w:ascii="Times New Roman" w:hAnsi="Times New Roman"/>
          <w:noProof/>
        </w:rPr>
        <w:t xml:space="preserve"> Nauda prisidedančiosioms šalims – finansavimas yra skiriamas atsinaujinančiųjų išteklių energijos projektams, kurie dėl vietos sąlygų yra ekonomiškai efektyvesni nei jų teritorijoje, ir jos gauną prieigą prie atsinaujinančiųjų išteklių energijos gamybos, kurios jų teritorijoje gali būti nedaug, pavyzdžiui, prieigos prie jūros neturinčioms šalims naudingi jūros vėjo energijos projektai. Nauda priimančiosioms šalims – investicijos į vietos atsinaujinančiųjų išteklių energijos projektus be naštos nacionaliniam biudžetui, taip pat užimtumas vietos lygmeniu, mažesnis išmetamas šiltnamio efektą sukeliančių dujų kiekis, geresnė oro kokybė, energetikos sistemos modernizavimas ir mažesnė priklausomybė nuo importo. </w:t>
      </w:r>
    </w:p>
    <w:p w14:paraId="2689DA55" w14:textId="77777777" w:rsidR="005E019D" w:rsidRPr="005E019D" w:rsidRDefault="005E019D" w:rsidP="005E019D">
      <w:pPr>
        <w:pBdr>
          <w:top w:val="single" w:sz="8" w:space="1" w:color="000000"/>
          <w:left w:val="single" w:sz="8" w:space="4" w:color="000000"/>
          <w:bottom w:val="single" w:sz="8" w:space="1" w:color="000000"/>
          <w:right w:val="single" w:sz="8" w:space="4" w:color="000000"/>
        </w:pBdr>
        <w:spacing w:after="0" w:line="264" w:lineRule="auto"/>
        <w:jc w:val="both"/>
        <w:rPr>
          <w:rFonts w:ascii="Times New Roman" w:eastAsia="Times New Roman" w:hAnsi="Times New Roman" w:cs="Times New Roman"/>
          <w:noProof/>
          <w:kern w:val="0"/>
          <w14:ligatures w14:val="none"/>
        </w:rPr>
      </w:pPr>
    </w:p>
    <w:p w14:paraId="1189AA00" w14:textId="77777777" w:rsidR="005E019D" w:rsidRPr="005E019D" w:rsidRDefault="005E019D" w:rsidP="005E019D">
      <w:pPr>
        <w:pBdr>
          <w:top w:val="single" w:sz="8" w:space="1" w:color="000000"/>
          <w:left w:val="single" w:sz="8" w:space="4" w:color="000000"/>
          <w:bottom w:val="single" w:sz="8" w:space="1" w:color="000000"/>
          <w:right w:val="single" w:sz="8" w:space="4" w:color="000000"/>
        </w:pBdr>
        <w:spacing w:after="0" w:line="264" w:lineRule="auto"/>
        <w:jc w:val="both"/>
        <w:rPr>
          <w:rFonts w:ascii="Times New Roman" w:eastAsia="Times New Roman" w:hAnsi="Times New Roman" w:cs="Times New Roman"/>
          <w:noProof/>
          <w:kern w:val="0"/>
          <w14:ligatures w14:val="none"/>
        </w:rPr>
      </w:pPr>
      <w:r>
        <w:rPr>
          <w:rFonts w:ascii="Times New Roman" w:hAnsi="Times New Roman"/>
          <w:b/>
          <w:noProof/>
        </w:rPr>
        <w:t>Valstybės narės raginamos toliau skatinti centralizuoto iš atsinaujinančiųjų energijos išteklių pagamintos šilumos ir vėsumos tiekimo sistemų plėtrą</w:t>
      </w:r>
      <w:r>
        <w:rPr>
          <w:rFonts w:ascii="Times New Roman" w:hAnsi="Times New Roman"/>
          <w:noProof/>
        </w:rPr>
        <w:t xml:space="preserve"> ir esamų sistemų modifikavimą, siekiant padidinti energijos vartojimo efektyvumą ir integruoti į šilumos ir vėsumos tiekimo tinklus atsinaujinančiųjų išteklių energijos sprendimus, pavyzdžiui, šilumos siurblius. Taigi </w:t>
      </w:r>
      <w:r>
        <w:rPr>
          <w:rFonts w:ascii="Times New Roman" w:hAnsi="Times New Roman"/>
          <w:b/>
          <w:noProof/>
        </w:rPr>
        <w:t>šilumos ir vėsumos tiekimo strategija</w:t>
      </w:r>
      <w:r>
        <w:rPr>
          <w:rFonts w:ascii="Times New Roman" w:hAnsi="Times New Roman"/>
          <w:noProof/>
        </w:rPr>
        <w:t xml:space="preserve"> dar labiau paskatins tuose sektoriuose naudoti atsinaujinančiuosius energijos išteklius.</w:t>
      </w:r>
    </w:p>
    <w:p w14:paraId="694B8189" w14:textId="77777777" w:rsidR="005E019D" w:rsidRPr="004C35F5" w:rsidRDefault="005E019D" w:rsidP="005E019D">
      <w:pPr>
        <w:spacing w:after="120" w:line="264" w:lineRule="auto"/>
        <w:rPr>
          <w:rFonts w:ascii="Times New Roman" w:eastAsia="Yu Mincho" w:hAnsi="Times New Roman" w:cs="Times New Roman"/>
          <w:noProof/>
          <w:kern w:val="0"/>
          <w14:ligatures w14:val="none"/>
        </w:rPr>
      </w:pPr>
    </w:p>
    <w:p w14:paraId="10B5662D" w14:textId="77777777" w:rsidR="005E019D" w:rsidRPr="005E019D" w:rsidRDefault="005E019D" w:rsidP="005E019D">
      <w:pPr>
        <w:keepNext/>
        <w:keepLines/>
        <w:numPr>
          <w:ilvl w:val="1"/>
          <w:numId w:val="0"/>
        </w:numPr>
        <w:spacing w:before="40" w:after="240" w:line="240" w:lineRule="auto"/>
        <w:ind w:left="576" w:hanging="576"/>
        <w:jc w:val="both"/>
        <w:outlineLvl w:val="1"/>
        <w:rPr>
          <w:rFonts w:ascii="Times New Roman" w:eastAsia="Yu Gothic Light" w:hAnsi="Times New Roman" w:cs="Times New Roman"/>
          <w:b/>
          <w:bCs/>
          <w:noProof/>
          <w:color w:val="000000"/>
          <w:kern w:val="0"/>
          <w14:ligatures w14:val="none"/>
        </w:rPr>
      </w:pPr>
      <w:r>
        <w:rPr>
          <w:rFonts w:ascii="Times New Roman" w:hAnsi="Times New Roman"/>
          <w:b/>
          <w:noProof/>
          <w:color w:val="000000"/>
        </w:rPr>
        <w:t>Energijos vartojimo efektyvumas</w:t>
      </w:r>
    </w:p>
    <w:p w14:paraId="1A1D7410" w14:textId="77777777" w:rsidR="005E019D" w:rsidRPr="005E019D" w:rsidRDefault="005E019D" w:rsidP="005E019D">
      <w:pPr>
        <w:spacing w:after="120" w:line="264" w:lineRule="auto"/>
        <w:jc w:val="both"/>
        <w:rPr>
          <w:rFonts w:ascii="Times New Roman" w:eastAsia="Times New Roman" w:hAnsi="Times New Roman" w:cs="Times New Roman"/>
          <w:noProof/>
          <w:kern w:val="0"/>
          <w14:ligatures w14:val="none"/>
        </w:rPr>
      </w:pPr>
      <w:r>
        <w:rPr>
          <w:rFonts w:ascii="Times New Roman" w:hAnsi="Times New Roman"/>
          <w:b/>
          <w:noProof/>
        </w:rPr>
        <w:t>Siekiant Europos konkurencingumo, saugumo ir klimato srities užmojų labai svarbu pasiekti privalomą ES tikslą iki 2030 m.</w:t>
      </w:r>
      <w:r w:rsidRPr="005E019D">
        <w:rPr>
          <w:rFonts w:ascii="Times New Roman" w:eastAsia="Times New Roman" w:hAnsi="Times New Roman" w:cs="Times New Roman"/>
          <w:b/>
          <w:bCs/>
          <w:noProof/>
          <w:kern w:val="0"/>
          <w:vertAlign w:val="superscript"/>
          <w:lang w:val="en-US"/>
        </w:rPr>
        <w:footnoteReference w:id="49"/>
      </w:r>
      <w:r>
        <w:rPr>
          <w:rFonts w:ascii="Times New Roman" w:hAnsi="Times New Roman"/>
          <w:b/>
          <w:noProof/>
        </w:rPr>
        <w:t xml:space="preserve"> 11,7 proc.</w:t>
      </w:r>
      <w:r w:rsidRPr="005E019D">
        <w:rPr>
          <w:rFonts w:ascii="Times New Roman" w:eastAsia="Times New Roman" w:hAnsi="Times New Roman" w:cs="Times New Roman"/>
          <w:b/>
          <w:bCs/>
          <w:noProof/>
          <w:kern w:val="0"/>
          <w:vertAlign w:val="superscript"/>
          <w:lang w:val="en-US"/>
        </w:rPr>
        <w:footnoteReference w:id="50"/>
      </w:r>
      <w:r>
        <w:rPr>
          <w:rFonts w:ascii="Times New Roman" w:hAnsi="Times New Roman"/>
          <w:b/>
          <w:noProof/>
        </w:rPr>
        <w:t xml:space="preserve"> sumažinti energijos suvartojimą</w:t>
      </w:r>
      <w:r>
        <w:rPr>
          <w:rFonts w:ascii="Times New Roman" w:hAnsi="Times New Roman"/>
          <w:noProof/>
        </w:rPr>
        <w:t>. Efektyviai vartojant energiją mažėja energijos sąnaudos ir didėja energetinis saugumas, nes mažėja ES priklausomybė nuo importuojamo iškastinio kuro ir didėja konkurencingumas. Visų pirma mažinant pastatų priklausomybę nuo iškastinio kuro bus skatinamos ES statybos ir švarių technologijų pramonės šakos.</w:t>
      </w:r>
    </w:p>
    <w:p w14:paraId="76FA47A0" w14:textId="77777777" w:rsidR="005E019D" w:rsidRPr="005E019D" w:rsidRDefault="005E019D" w:rsidP="005E019D">
      <w:pPr>
        <w:spacing w:after="120" w:line="264" w:lineRule="auto"/>
        <w:jc w:val="both"/>
        <w:rPr>
          <w:rFonts w:ascii="Times New Roman" w:eastAsia="Times New Roman" w:hAnsi="Times New Roman" w:cs="Times New Roman"/>
          <w:noProof/>
          <w:kern w:val="0"/>
          <w14:ligatures w14:val="none"/>
        </w:rPr>
      </w:pPr>
      <w:r>
        <w:rPr>
          <w:rFonts w:ascii="Times New Roman" w:hAnsi="Times New Roman"/>
          <w:b/>
          <w:noProof/>
        </w:rPr>
        <w:t xml:space="preserve">Nuo 2021 m. bendras energijos suvartojimas ES mažėja, artindamas ES prie jos 2030 m. energijos vartojimo efektyvumo tikslų. </w:t>
      </w:r>
      <w:r>
        <w:rPr>
          <w:rFonts w:ascii="Times New Roman" w:hAnsi="Times New Roman"/>
          <w:noProof/>
        </w:rPr>
        <w:t>Palyginti su planų projektais</w:t>
      </w:r>
      <w:r w:rsidRPr="005E019D">
        <w:rPr>
          <w:rFonts w:ascii="Times New Roman" w:eastAsia="Times New Roman" w:hAnsi="Times New Roman" w:cs="Times New Roman"/>
          <w:noProof/>
          <w:kern w:val="0"/>
          <w:vertAlign w:val="superscript"/>
          <w:lang w:val="en-US"/>
        </w:rPr>
        <w:footnoteReference w:id="51"/>
      </w:r>
      <w:r>
        <w:rPr>
          <w:rFonts w:ascii="Times New Roman" w:hAnsi="Times New Roman"/>
          <w:noProof/>
        </w:rPr>
        <w:t>, iš viso 15 valstybių narių</w:t>
      </w:r>
      <w:r w:rsidRPr="005E019D">
        <w:rPr>
          <w:rFonts w:ascii="Times New Roman" w:eastAsia="Times New Roman" w:hAnsi="Times New Roman" w:cs="Times New Roman"/>
          <w:noProof/>
          <w:kern w:val="0"/>
          <w:vertAlign w:val="superscript"/>
          <w:lang w:val="en-US"/>
        </w:rPr>
        <w:footnoteReference w:id="52"/>
      </w:r>
      <w:r>
        <w:rPr>
          <w:rFonts w:ascii="Times New Roman" w:hAnsi="Times New Roman"/>
          <w:noProof/>
        </w:rPr>
        <w:t xml:space="preserve"> padidino savo energijos vartojimo efektyvumo užmojus, susijusius su galutinės energijos suvartojimu. </w:t>
      </w:r>
    </w:p>
    <w:p w14:paraId="7A9ABFB4" w14:textId="77777777" w:rsidR="005E019D" w:rsidRPr="005E019D" w:rsidRDefault="005E019D" w:rsidP="005E019D">
      <w:pPr>
        <w:spacing w:after="120" w:line="264" w:lineRule="auto"/>
        <w:jc w:val="both"/>
        <w:rPr>
          <w:rFonts w:ascii="Times New Roman" w:eastAsia="Times New Roman" w:hAnsi="Times New Roman" w:cs="Times New Roman"/>
          <w:noProof/>
          <w:kern w:val="0"/>
          <w14:ligatures w14:val="none"/>
        </w:rPr>
      </w:pPr>
      <w:r>
        <w:rPr>
          <w:rFonts w:ascii="Times New Roman" w:hAnsi="Times New Roman"/>
          <w:b/>
          <w:noProof/>
        </w:rPr>
        <w:t>Konkrečiai, 9 valstybės narės</w:t>
      </w:r>
      <w:r w:rsidRPr="005E019D">
        <w:rPr>
          <w:rFonts w:ascii="Times New Roman" w:eastAsia="Times New Roman" w:hAnsi="Times New Roman" w:cs="Times New Roman"/>
          <w:b/>
          <w:bCs/>
          <w:noProof/>
          <w:kern w:val="0"/>
          <w:vertAlign w:val="superscript"/>
          <w:lang w:val="en-US"/>
        </w:rPr>
        <w:footnoteReference w:id="53"/>
      </w:r>
      <w:r>
        <w:rPr>
          <w:rFonts w:ascii="Times New Roman" w:hAnsi="Times New Roman"/>
          <w:b/>
          <w:noProof/>
        </w:rPr>
        <w:t xml:space="preserve"> savo nacionalinius įnašus suderino su ES 2030 m. energijos vartojimo efektyvumo tikslu</w:t>
      </w:r>
      <w:r w:rsidRPr="005E019D">
        <w:rPr>
          <w:rFonts w:ascii="Times New Roman" w:eastAsia="Times New Roman" w:hAnsi="Times New Roman" w:cs="Times New Roman"/>
          <w:noProof/>
          <w:kern w:val="0"/>
          <w:vertAlign w:val="superscript"/>
          <w:lang w:val="en-US"/>
        </w:rPr>
        <w:footnoteReference w:id="54"/>
      </w:r>
      <w:r>
        <w:rPr>
          <w:rFonts w:ascii="Times New Roman" w:hAnsi="Times New Roman"/>
          <w:b/>
          <w:noProof/>
        </w:rPr>
        <w:t>.</w:t>
      </w:r>
      <w:r>
        <w:rPr>
          <w:rFonts w:ascii="Times New Roman" w:hAnsi="Times New Roman"/>
          <w:noProof/>
        </w:rPr>
        <w:t xml:space="preserve"> Be to, kelios valstybės narės, pavyzdžiui, Airija ir Austrija, nustatė platesnio užmojo nacionalinius tikslus nei jų pačių projekcijos</w:t>
      </w:r>
      <w:r w:rsidRPr="005E019D">
        <w:rPr>
          <w:rFonts w:ascii="Times New Roman" w:eastAsia="Times New Roman" w:hAnsi="Times New Roman" w:cs="Times New Roman"/>
          <w:noProof/>
          <w:kern w:val="0"/>
          <w:vertAlign w:val="superscript"/>
          <w:lang w:val="en-US"/>
        </w:rPr>
        <w:footnoteReference w:id="55"/>
      </w:r>
      <w:r>
        <w:rPr>
          <w:rFonts w:ascii="Times New Roman" w:hAnsi="Times New Roman"/>
          <w:noProof/>
        </w:rPr>
        <w:t xml:space="preserve">, o tai reiškia, kad jos yra pasiryžusios labiau sumažinti galutinės energijos suvartojimą. </w:t>
      </w:r>
    </w:p>
    <w:p w14:paraId="1DB962E4" w14:textId="77777777" w:rsidR="005E019D" w:rsidRPr="005E019D" w:rsidRDefault="005E019D" w:rsidP="005E019D">
      <w:pPr>
        <w:spacing w:line="264" w:lineRule="auto"/>
        <w:jc w:val="both"/>
        <w:rPr>
          <w:rFonts w:ascii="Times New Roman" w:eastAsia="Times New Roman" w:hAnsi="Times New Roman" w:cs="Times New Roman"/>
          <w:noProof/>
          <w:kern w:val="0"/>
          <w14:ligatures w14:val="none"/>
        </w:rPr>
      </w:pPr>
      <w:r>
        <w:rPr>
          <w:rFonts w:ascii="Times New Roman" w:hAnsi="Times New Roman"/>
          <w:b/>
          <w:noProof/>
        </w:rPr>
        <w:t>Nepaisant pažangos siekiant efektyviau vartoti energiją, vis dar yra atotrūkis nuo ES 2030 m. energijos vartojimo efektyvumo tikslų.</w:t>
      </w:r>
      <w:r>
        <w:rPr>
          <w:rFonts w:ascii="Times New Roman" w:hAnsi="Times New Roman"/>
          <w:noProof/>
        </w:rPr>
        <w:t xml:space="preserve"> Atsižvelgiant į apibendrintus įnašus, prognozuojama, kad galutinės energijos suvartojimas iki 2030 m. sudarys 794,1 mln. tne. Nors atnaujintų NEKSVP projektų užmojų atotrūkis buvo sumažintas 20 mln. tne, galutiniai įnašai tebėra 47,3 mln. tne didesni už pirminės energijos suvartojimo tikslą, t. y. 992,5 mln. tne, ir </w:t>
      </w:r>
      <w:r>
        <w:rPr>
          <w:rFonts w:ascii="Times New Roman" w:hAnsi="Times New Roman"/>
          <w:b/>
          <w:noProof/>
        </w:rPr>
        <w:t>31,1 mln. tne</w:t>
      </w:r>
      <w:r>
        <w:rPr>
          <w:rFonts w:ascii="Times New Roman" w:hAnsi="Times New Roman"/>
          <w:noProof/>
        </w:rPr>
        <w:t xml:space="preserve"> didesni už galutinės energijos suvartojimo tikslą, t. y. 763 mln. tne, kuris reiškia, kad ES tikslas – 8,1 proc. Tai </w:t>
      </w:r>
      <w:r>
        <w:rPr>
          <w:rFonts w:ascii="Times New Roman" w:hAnsi="Times New Roman"/>
          <w:b/>
          <w:noProof/>
        </w:rPr>
        <w:t>didelis atotrūkis</w:t>
      </w:r>
      <w:r>
        <w:rPr>
          <w:rFonts w:ascii="Times New Roman" w:hAnsi="Times New Roman"/>
          <w:noProof/>
        </w:rPr>
        <w:t xml:space="preserve">, atitinkantis Belgijos metinį galutinės energijos suvartojimą. Nepaisant to, šį atotrūkį reikia vertinti atsižvelgiant į aplinkybes, o dabartiniai skaičiai rodo didelę pažangą, palyginti su ankstesniais energijos vartojimo efektyvumo tikslais. </w:t>
      </w:r>
    </w:p>
    <w:p w14:paraId="6C137A1A" w14:textId="77777777" w:rsidR="005E019D" w:rsidRPr="005E019D" w:rsidRDefault="005E019D" w:rsidP="005E019D">
      <w:pPr>
        <w:spacing w:after="120" w:line="264" w:lineRule="auto"/>
        <w:jc w:val="both"/>
        <w:rPr>
          <w:rFonts w:ascii="Times New Roman" w:eastAsia="Times New Roman" w:hAnsi="Times New Roman" w:cs="Times New Roman"/>
          <w:noProof/>
          <w:kern w:val="0"/>
          <w14:ligatures w14:val="none"/>
        </w:rPr>
      </w:pPr>
      <w:r>
        <w:rPr>
          <w:rFonts w:ascii="Times New Roman" w:hAnsi="Times New Roman"/>
          <w:b/>
          <w:noProof/>
        </w:rPr>
        <w:t xml:space="preserve">Kalbant apie tikslinę politiką ir priemones, daugelis valstybių narių bent iš dalies atsižvelgė į daugumą Komisijos rekomendacijų. </w:t>
      </w:r>
      <w:r>
        <w:rPr>
          <w:rFonts w:ascii="Times New Roman" w:hAnsi="Times New Roman"/>
          <w:noProof/>
        </w:rPr>
        <w:t xml:space="preserve">Nors valstybės narės išsamiai aprašo finansavimo programas, paramos priemones ir planuojamą politiką, kelios valstybės narės nepateikia informacijos apie </w:t>
      </w:r>
      <w:r>
        <w:rPr>
          <w:rFonts w:ascii="Times New Roman" w:hAnsi="Times New Roman"/>
          <w:b/>
          <w:noProof/>
        </w:rPr>
        <w:t>principo „svarbiausia – energijos vartojimo efektyvumas“</w:t>
      </w:r>
      <w:r>
        <w:rPr>
          <w:rFonts w:ascii="Times New Roman" w:hAnsi="Times New Roman"/>
          <w:noProof/>
        </w:rPr>
        <w:t xml:space="preserve"> įgyvendinimą ir nenurodo energijos kiekio, kurį tikimasi sutaupyti dėl jų planuose nurodytų energijos vartojimo efektyvumo priemonių. Be to, keliuose planuose pateikiama ribota informacija apie viešojo sektoriaus įsipareigojimus energijos vartojimo efektyvumo srityje.</w:t>
      </w:r>
    </w:p>
    <w:p w14:paraId="424016E7" w14:textId="77777777" w:rsidR="005E019D" w:rsidRPr="005E019D" w:rsidRDefault="005E019D" w:rsidP="005E019D">
      <w:pPr>
        <w:spacing w:after="120" w:line="264" w:lineRule="auto"/>
        <w:jc w:val="both"/>
        <w:rPr>
          <w:rFonts w:ascii="Times New Roman" w:eastAsia="Times New Roman" w:hAnsi="Times New Roman" w:cs="Times New Roman"/>
          <w:noProof/>
          <w:kern w:val="0"/>
          <w14:ligatures w14:val="none"/>
        </w:rPr>
      </w:pPr>
      <w:r>
        <w:rPr>
          <w:rFonts w:ascii="Times New Roman" w:hAnsi="Times New Roman"/>
          <w:b/>
          <w:noProof/>
        </w:rPr>
        <w:t>Norint iki 2050 m. visiškai panaikinti pastatų priklausomybę nuo iškastinio kuro, reikia tris kartus padidinti dabartinį energinės renovacijos mastą.</w:t>
      </w:r>
      <w:r>
        <w:rPr>
          <w:rFonts w:ascii="Times New Roman" w:hAnsi="Times New Roman"/>
          <w:noProof/>
        </w:rPr>
        <w:t xml:space="preserve"> Vis dėlto dauguma valstybių narių išlaikė savo 2020 m. nacionalinėse ilgalaikėse renovacijos strategijos nustatytus užmojus</w:t>
      </w:r>
      <w:r w:rsidRPr="005E019D">
        <w:rPr>
          <w:rFonts w:ascii="Times New Roman" w:eastAsia="Times New Roman" w:hAnsi="Times New Roman" w:cs="Times New Roman"/>
          <w:noProof/>
          <w:kern w:val="0"/>
          <w:vertAlign w:val="superscript"/>
        </w:rPr>
        <w:footnoteReference w:id="56"/>
      </w:r>
      <w:r>
        <w:rPr>
          <w:rFonts w:ascii="Times New Roman" w:hAnsi="Times New Roman"/>
          <w:noProof/>
        </w:rPr>
        <w:t xml:space="preserve">, kartais nurodydamos savo būsimus nacionalinius pastatų renovacijos planus, kurių projektai turi būti parengti iki 2025 m. gruodžio mėn. Tik kelios valstybės narės padidino savo </w:t>
      </w:r>
      <w:r>
        <w:rPr>
          <w:rFonts w:ascii="Times New Roman" w:hAnsi="Times New Roman"/>
          <w:b/>
          <w:noProof/>
        </w:rPr>
        <w:t>ilgalaikių renovacijos strategijų</w:t>
      </w:r>
      <w:r>
        <w:rPr>
          <w:rFonts w:ascii="Times New Roman" w:hAnsi="Times New Roman"/>
          <w:noProof/>
        </w:rPr>
        <w:t xml:space="preserve"> užmojus</w:t>
      </w:r>
      <w:r w:rsidRPr="005E019D">
        <w:rPr>
          <w:rFonts w:ascii="Times New Roman" w:eastAsia="Times New Roman" w:hAnsi="Times New Roman" w:cs="Times New Roman"/>
          <w:b/>
          <w:noProof/>
          <w:kern w:val="0"/>
          <w:vertAlign w:val="superscript"/>
        </w:rPr>
        <w:footnoteReference w:id="57"/>
      </w:r>
      <w:r>
        <w:rPr>
          <w:rFonts w:ascii="Times New Roman" w:hAnsi="Times New Roman"/>
          <w:noProof/>
        </w:rPr>
        <w:t xml:space="preserve"> </w:t>
      </w:r>
      <w:r>
        <w:rPr>
          <w:rFonts w:ascii="Times New Roman" w:hAnsi="Times New Roman"/>
          <w:b/>
          <w:noProof/>
        </w:rPr>
        <w:t>arba</w:t>
      </w:r>
      <w:r>
        <w:rPr>
          <w:rFonts w:ascii="Times New Roman" w:hAnsi="Times New Roman"/>
          <w:noProof/>
        </w:rPr>
        <w:t xml:space="preserve"> nustatė platesnio užmojo pastatų politiką ir priemones</w:t>
      </w:r>
      <w:r w:rsidRPr="005E019D">
        <w:rPr>
          <w:rFonts w:ascii="Times New Roman" w:eastAsia="Times New Roman" w:hAnsi="Times New Roman" w:cs="Times New Roman"/>
          <w:noProof/>
          <w:kern w:val="0"/>
          <w:vertAlign w:val="superscript"/>
        </w:rPr>
        <w:footnoteReference w:id="58"/>
      </w:r>
      <w:r>
        <w:rPr>
          <w:rFonts w:ascii="Times New Roman" w:hAnsi="Times New Roman"/>
          <w:noProof/>
        </w:rPr>
        <w:t>. ATLPS 2 ir Socialinis klimato fondas padės remti nacionalines pastangas mažinti pastatų priklausomybę nuo iškastinio kuro.</w:t>
      </w:r>
    </w:p>
    <w:p w14:paraId="2FBB85A5" w14:textId="77777777" w:rsidR="005E019D" w:rsidRPr="005E019D" w:rsidRDefault="005E019D" w:rsidP="005E019D">
      <w:pPr>
        <w:pBdr>
          <w:top w:val="single" w:sz="8" w:space="1" w:color="000000"/>
          <w:left w:val="single" w:sz="8" w:space="4" w:color="000000"/>
          <w:bottom w:val="single" w:sz="8" w:space="1" w:color="000000"/>
          <w:right w:val="single" w:sz="8" w:space="0" w:color="000000"/>
        </w:pBdr>
        <w:spacing w:after="120" w:line="264" w:lineRule="auto"/>
        <w:jc w:val="both"/>
        <w:rPr>
          <w:rFonts w:ascii="Times New Roman" w:eastAsia="Times New Roman" w:hAnsi="Times New Roman" w:cs="Times New Roman"/>
          <w:b/>
          <w:i/>
          <w:noProof/>
          <w:kern w:val="0"/>
          <w14:ligatures w14:val="none"/>
        </w:rPr>
      </w:pPr>
      <w:r>
        <w:rPr>
          <w:rFonts w:ascii="Times New Roman" w:hAnsi="Times New Roman"/>
          <w:b/>
          <w:i/>
          <w:noProof/>
        </w:rPr>
        <w:t>Tolesni veiksmai</w:t>
      </w:r>
    </w:p>
    <w:p w14:paraId="4802C9BB" w14:textId="0314405C" w:rsidR="005E019D" w:rsidRPr="005E019D" w:rsidRDefault="005E019D" w:rsidP="559622EF">
      <w:pPr>
        <w:pBdr>
          <w:top w:val="single" w:sz="8" w:space="1" w:color="000000"/>
          <w:left w:val="single" w:sz="8" w:space="4" w:color="000000"/>
          <w:bottom w:val="single" w:sz="8" w:space="1" w:color="000000"/>
          <w:right w:val="single" w:sz="8" w:space="0" w:color="000000"/>
        </w:pBdr>
        <w:spacing w:after="120" w:line="264" w:lineRule="auto"/>
        <w:jc w:val="both"/>
        <w:rPr>
          <w:rFonts w:ascii="Times New Roman" w:eastAsia="Yu Mincho" w:hAnsi="Times New Roman" w:cs="Times New Roman"/>
          <w:b/>
          <w:bCs/>
          <w:i/>
          <w:iCs/>
          <w:noProof/>
          <w:kern w:val="0"/>
          <w14:ligatures w14:val="none"/>
        </w:rPr>
      </w:pPr>
      <w:r>
        <w:rPr>
          <w:rFonts w:ascii="Times New Roman" w:hAnsi="Times New Roman"/>
          <w:i/>
          <w:noProof/>
        </w:rPr>
        <w:t xml:space="preserve">Nepaisant didelės pažangos, palyginti su atnaujintų NEKSVP projektais, išlieka </w:t>
      </w:r>
      <w:r>
        <w:rPr>
          <w:rFonts w:ascii="Times New Roman" w:hAnsi="Times New Roman"/>
          <w:b/>
          <w:i/>
          <w:noProof/>
        </w:rPr>
        <w:t>31,1 mln. tne užmojo atotrūkis</w:t>
      </w:r>
      <w:r>
        <w:rPr>
          <w:rFonts w:ascii="Times New Roman" w:hAnsi="Times New Roman"/>
          <w:i/>
          <w:noProof/>
        </w:rPr>
        <w:t xml:space="preserve"> siekiant Sąjungos 2030 m. energijos vartojimo efektyvumo tikslo – 763 mln. tne</w:t>
      </w:r>
      <w:r w:rsidRPr="559622EF">
        <w:rPr>
          <w:rFonts w:ascii="Times New Roman" w:eastAsia="Yu Mincho" w:hAnsi="Times New Roman" w:cs="Times New Roman"/>
          <w:i/>
          <w:iCs/>
          <w:noProof/>
          <w:kern w:val="0"/>
          <w:vertAlign w:val="superscript"/>
        </w:rPr>
        <w:footnoteReference w:id="59"/>
      </w:r>
      <w:r>
        <w:rPr>
          <w:rFonts w:ascii="Times New Roman" w:hAnsi="Times New Roman"/>
          <w:i/>
          <w:noProof/>
        </w:rPr>
        <w:t>, t. y. 8,1 proc. sumažinimo.</w:t>
      </w:r>
      <w:r>
        <w:rPr>
          <w:rFonts w:ascii="Times New Roman" w:hAnsi="Times New Roman"/>
          <w:b/>
          <w:i/>
          <w:noProof/>
        </w:rPr>
        <w:t xml:space="preserve"> </w:t>
      </w:r>
    </w:p>
    <w:p w14:paraId="2E01ED04" w14:textId="6CABBA44" w:rsidR="005E019D" w:rsidRPr="005E019D" w:rsidRDefault="005E019D" w:rsidP="005E019D">
      <w:pPr>
        <w:pBdr>
          <w:top w:val="single" w:sz="8" w:space="1" w:color="000000"/>
          <w:left w:val="single" w:sz="8" w:space="4" w:color="000000"/>
          <w:bottom w:val="single" w:sz="8" w:space="1" w:color="000000"/>
          <w:right w:val="single" w:sz="8" w:space="0" w:color="000000"/>
        </w:pBdr>
        <w:spacing w:after="120" w:line="264" w:lineRule="auto"/>
        <w:jc w:val="both"/>
        <w:rPr>
          <w:rFonts w:ascii="Times New Roman" w:eastAsia="Times New Roman" w:hAnsi="Times New Roman" w:cs="Times New Roman"/>
          <w:noProof/>
          <w:kern w:val="0"/>
          <w14:ligatures w14:val="none"/>
        </w:rPr>
      </w:pPr>
      <w:r>
        <w:rPr>
          <w:rFonts w:ascii="Times New Roman" w:hAnsi="Times New Roman"/>
          <w:noProof/>
        </w:rPr>
        <w:t xml:space="preserve">Iki 2030 m. likus vos keleriems metams, </w:t>
      </w:r>
      <w:r>
        <w:rPr>
          <w:rFonts w:ascii="Times New Roman" w:hAnsi="Times New Roman"/>
          <w:b/>
          <w:noProof/>
        </w:rPr>
        <w:t>reikia imtis tolesnių veiksmų</w:t>
      </w:r>
      <w:r>
        <w:rPr>
          <w:rFonts w:ascii="Times New Roman" w:hAnsi="Times New Roman"/>
          <w:noProof/>
        </w:rPr>
        <w:t xml:space="preserve">. Valstybės narės turėtų skubiai padidinti savo užmojus ir įgyvendinimo pastangas. </w:t>
      </w:r>
      <w:r>
        <w:rPr>
          <w:rFonts w:ascii="Times New Roman" w:hAnsi="Times New Roman"/>
          <w:b/>
          <w:noProof/>
        </w:rPr>
        <w:t>Komisija pradeda keletą operatyvinių veiksmų, kad padėtų valstybėms narėms panaikinti užmojų atotrūkį</w:t>
      </w:r>
      <w:r>
        <w:rPr>
          <w:rFonts w:ascii="Times New Roman" w:hAnsi="Times New Roman"/>
          <w:noProof/>
        </w:rPr>
        <w:t xml:space="preserve"> ir stebėti galutinių planų įgyvendinimą. </w:t>
      </w:r>
      <w:r>
        <w:rPr>
          <w:rFonts w:ascii="Times New Roman" w:hAnsi="Times New Roman"/>
          <w:b/>
          <w:noProof/>
        </w:rPr>
        <w:t>Komisija įvertins, ar reikia imtis tolesnių priemonių, kad būtų bendrai pasiekti energijos vartojimo efektyvumo tikslai.</w:t>
      </w:r>
    </w:p>
    <w:p w14:paraId="1AEE8361" w14:textId="77777777" w:rsidR="005E019D" w:rsidRPr="005E019D" w:rsidRDefault="005E019D" w:rsidP="005E019D">
      <w:pPr>
        <w:pBdr>
          <w:top w:val="single" w:sz="8" w:space="1" w:color="000000"/>
          <w:left w:val="single" w:sz="8" w:space="4" w:color="000000"/>
          <w:bottom w:val="single" w:sz="8" w:space="1" w:color="000000"/>
          <w:right w:val="single" w:sz="8" w:space="0" w:color="000000"/>
        </w:pBdr>
        <w:spacing w:after="120" w:line="264" w:lineRule="auto"/>
        <w:jc w:val="both"/>
        <w:rPr>
          <w:rFonts w:ascii="Times New Roman" w:eastAsia="Yu Mincho" w:hAnsi="Times New Roman" w:cs="Times New Roman"/>
          <w:noProof/>
          <w:kern w:val="0"/>
          <w14:ligatures w14:val="none"/>
        </w:rPr>
      </w:pPr>
      <w:r>
        <w:rPr>
          <w:rFonts w:ascii="Times New Roman" w:hAnsi="Times New Roman"/>
          <w:noProof/>
        </w:rPr>
        <w:t xml:space="preserve">Komisijos parengtas </w:t>
      </w:r>
      <w:r>
        <w:rPr>
          <w:rFonts w:ascii="Times New Roman" w:hAnsi="Times New Roman"/>
          <w:b/>
          <w:noProof/>
        </w:rPr>
        <w:t>Įperkamos energijos veiksmų planas</w:t>
      </w:r>
      <w:r>
        <w:rPr>
          <w:rFonts w:ascii="Times New Roman" w:hAnsi="Times New Roman"/>
          <w:noProof/>
        </w:rPr>
        <w:t xml:space="preserve"> konkrečiai padeda spręsti energijos vartojimo efektyvumo atotrūkio problemą – jame nagrinėjama, kaip sukurti ES masto rinką, skirtą energijos vartojimo efektyvumui, įskaitant energijos taupymo sertifikatus. Pagal šį planą taip pat </w:t>
      </w:r>
      <w:r>
        <w:rPr>
          <w:rFonts w:ascii="Times New Roman" w:hAnsi="Times New Roman"/>
          <w:b/>
          <w:noProof/>
        </w:rPr>
        <w:t>sugriežtinamas reikalavimų vykdymo užtikrinimas gaminių, kurie neatitinka energijos vartojimo efektyvumo reikalavimų, atžvilgiu</w:t>
      </w:r>
      <w:r>
        <w:rPr>
          <w:rFonts w:ascii="Times New Roman" w:hAnsi="Times New Roman"/>
          <w:noProof/>
        </w:rPr>
        <w:t xml:space="preserve">, o Komisija įpareigojama </w:t>
      </w:r>
      <w:r>
        <w:rPr>
          <w:rFonts w:ascii="Times New Roman" w:hAnsi="Times New Roman"/>
          <w:b/>
          <w:noProof/>
        </w:rPr>
        <w:t>atnaujinti ES energijos vartojimo efektyvumo ženklinimo ir ekologinio projektavimo taisykles</w:t>
      </w:r>
      <w:r>
        <w:rPr>
          <w:rFonts w:ascii="Times New Roman" w:hAnsi="Times New Roman"/>
          <w:noProof/>
        </w:rPr>
        <w:t>.</w:t>
      </w:r>
    </w:p>
    <w:p w14:paraId="4B32DA4F" w14:textId="77777777" w:rsidR="005E019D" w:rsidRPr="005E019D" w:rsidRDefault="005E019D" w:rsidP="559622EF">
      <w:pPr>
        <w:pBdr>
          <w:top w:val="single" w:sz="8" w:space="1" w:color="000000"/>
          <w:left w:val="single" w:sz="8" w:space="4" w:color="000000"/>
          <w:bottom w:val="single" w:sz="8" w:space="1" w:color="000000"/>
          <w:right w:val="single" w:sz="8" w:space="0" w:color="000000"/>
        </w:pBdr>
        <w:spacing w:after="120" w:line="264" w:lineRule="auto"/>
        <w:jc w:val="both"/>
        <w:rPr>
          <w:rFonts w:ascii="Times New Roman" w:eastAsia="Yu Mincho" w:hAnsi="Times New Roman" w:cs="Times New Roman"/>
          <w:noProof/>
          <w:kern w:val="0"/>
          <w14:ligatures w14:val="none"/>
        </w:rPr>
      </w:pPr>
      <w:r>
        <w:rPr>
          <w:rFonts w:ascii="Times New Roman" w:hAnsi="Times New Roman"/>
          <w:noProof/>
        </w:rPr>
        <w:t xml:space="preserve">Pasitelkdama </w:t>
      </w:r>
      <w:r>
        <w:rPr>
          <w:rFonts w:ascii="Times New Roman" w:hAnsi="Times New Roman"/>
          <w:b/>
          <w:noProof/>
        </w:rPr>
        <w:t>Europos energijos vartojimo efektyvumo finansavimo koaliciją</w:t>
      </w:r>
      <w:r>
        <w:rPr>
          <w:rFonts w:ascii="Times New Roman" w:hAnsi="Times New Roman"/>
          <w:noProof/>
        </w:rPr>
        <w:t xml:space="preserve">, Komisija pagerins galimybes gauti kapitalo ir sudarys palankesnes sąlygas naudotis finansinėmis priemonėmis ir paskatomis, kad būtų remiami energijos vartojimo efektyvumo sprendimus įmonėms teikiantys rinkos dalyviai. Komisija, bendradarbiaudama su Europos investicijų banko (EIB) grupe, ieškos būdų, kaip sukurti ES garantijų sistemą, kurios tikslas būtų padvigubinti energijos vartojimo efektyvumo paslaugų rinką.  </w:t>
      </w:r>
    </w:p>
    <w:p w14:paraId="78EDD9C5" w14:textId="77777777" w:rsidR="005E019D" w:rsidRPr="005E019D" w:rsidRDefault="005E019D" w:rsidP="005E019D">
      <w:pPr>
        <w:pBdr>
          <w:top w:val="single" w:sz="8" w:space="1" w:color="000000"/>
          <w:left w:val="single" w:sz="8" w:space="4" w:color="000000"/>
          <w:bottom w:val="single" w:sz="8" w:space="1" w:color="000000"/>
          <w:right w:val="single" w:sz="8" w:space="0" w:color="000000"/>
        </w:pBdr>
        <w:spacing w:after="120" w:line="264" w:lineRule="auto"/>
        <w:jc w:val="both"/>
        <w:rPr>
          <w:rFonts w:ascii="Times New Roman" w:eastAsia="Times New Roman" w:hAnsi="Times New Roman" w:cs="Times New Roman"/>
          <w:b/>
          <w:noProof/>
          <w:kern w:val="0"/>
          <w14:ligatures w14:val="none"/>
        </w:rPr>
      </w:pPr>
      <w:r>
        <w:rPr>
          <w:rFonts w:ascii="Times New Roman" w:hAnsi="Times New Roman"/>
          <w:noProof/>
        </w:rPr>
        <w:t xml:space="preserve">Siekiant užtikrinti, kad dėl užmojų atotrūkio neatsirastų įgyvendinimo atotrūkis, </w:t>
      </w:r>
      <w:r>
        <w:rPr>
          <w:rFonts w:ascii="Times New Roman" w:hAnsi="Times New Roman"/>
          <w:b/>
          <w:noProof/>
        </w:rPr>
        <w:t>valstybės narės raginamos įgyvendinti politiką ir priemones, be kita ko, suteikti papildomų galimybių finansuoti paramą energijos vartojimo efektyvumo projektams ir sprendimams, gerinti galimybes gauti kapitalo ir teikti finansines paskatas privačiajam sektoriui</w:t>
      </w:r>
      <w:r>
        <w:rPr>
          <w:rFonts w:ascii="Times New Roman" w:hAnsi="Times New Roman"/>
          <w:noProof/>
        </w:rPr>
        <w:t>. Komisija rems šias valstybių narių pastangas ieškodama papildomos techninės pagalbos, pavyzdžiui, pagal programos LIFE Perėjimo prie švarios energijos paprogramės finansavimo programą arba techninės paramos priemonę.</w:t>
      </w:r>
    </w:p>
    <w:p w14:paraId="57C848EF" w14:textId="77777777" w:rsidR="005E019D" w:rsidRPr="005E019D" w:rsidRDefault="005E019D" w:rsidP="005E019D">
      <w:pPr>
        <w:pBdr>
          <w:top w:val="single" w:sz="8" w:space="1" w:color="000000"/>
          <w:left w:val="single" w:sz="8" w:space="4" w:color="000000"/>
          <w:bottom w:val="single" w:sz="8" w:space="1" w:color="000000"/>
          <w:right w:val="single" w:sz="8" w:space="0" w:color="000000"/>
        </w:pBdr>
        <w:spacing w:after="120" w:line="264" w:lineRule="auto"/>
        <w:jc w:val="both"/>
        <w:rPr>
          <w:rFonts w:ascii="Times New Roman" w:eastAsia="Times New Roman" w:hAnsi="Times New Roman" w:cs="Times New Roman"/>
          <w:noProof/>
          <w:kern w:val="0"/>
          <w14:ligatures w14:val="none"/>
        </w:rPr>
      </w:pPr>
      <w:r>
        <w:rPr>
          <w:rFonts w:ascii="Times New Roman" w:hAnsi="Times New Roman"/>
          <w:b/>
          <w:noProof/>
        </w:rPr>
        <w:t>Valstybės narės raginamos paspartinti renovacijos tempą</w:t>
      </w:r>
      <w:r>
        <w:rPr>
          <w:rFonts w:ascii="Times New Roman" w:hAnsi="Times New Roman"/>
          <w:noProof/>
        </w:rPr>
        <w:t xml:space="preserve"> ir savo nacionaliniuose pastatų renovacijos planuose pateikti išsamius investicijų planus, kad iki 2050 m. būtų sumažinta </w:t>
      </w:r>
      <w:r>
        <w:rPr>
          <w:rFonts w:ascii="Times New Roman" w:hAnsi="Times New Roman"/>
          <w:b/>
          <w:noProof/>
        </w:rPr>
        <w:t>pastatų ūkio</w:t>
      </w:r>
      <w:r>
        <w:rPr>
          <w:rFonts w:ascii="Times New Roman" w:hAnsi="Times New Roman"/>
          <w:noProof/>
        </w:rPr>
        <w:t xml:space="preserve"> priklausomybė nuo iškastinio kuro. Valstybės narės raginamos pateikti savo nacionalinius pastatų renovacijos planus ir nurodyti savo lūkesčius įperkamo ir tvaraus būsto kūrimo srityje.</w:t>
      </w:r>
    </w:p>
    <w:p w14:paraId="39A2E818" w14:textId="77777777" w:rsidR="005E019D" w:rsidRPr="005E019D" w:rsidRDefault="005E019D" w:rsidP="005E019D">
      <w:pPr>
        <w:pBdr>
          <w:top w:val="single" w:sz="8" w:space="1" w:color="000000"/>
          <w:left w:val="single" w:sz="8" w:space="4" w:color="000000"/>
          <w:bottom w:val="single" w:sz="8" w:space="1" w:color="000000"/>
          <w:right w:val="single" w:sz="8" w:space="0" w:color="000000"/>
        </w:pBdr>
        <w:spacing w:after="120" w:line="264" w:lineRule="auto"/>
        <w:jc w:val="both"/>
        <w:rPr>
          <w:rFonts w:ascii="Times New Roman" w:eastAsia="Times New Roman" w:hAnsi="Times New Roman" w:cs="Times New Roman"/>
          <w:noProof/>
          <w:kern w:val="0"/>
          <w14:ligatures w14:val="none"/>
        </w:rPr>
      </w:pPr>
      <w:r>
        <w:rPr>
          <w:rFonts w:ascii="Times New Roman" w:hAnsi="Times New Roman"/>
          <w:b/>
          <w:noProof/>
        </w:rPr>
        <w:t>Valstybės narės raginamos įgyvendinti priemones, kuriomis skatinama transporto elektrifikacija ir didinamas viešojo transporto sistemų patrauklumas.</w:t>
      </w:r>
      <w:r>
        <w:rPr>
          <w:rFonts w:ascii="Times New Roman" w:hAnsi="Times New Roman"/>
          <w:noProof/>
        </w:rPr>
        <w:t xml:space="preserve"> </w:t>
      </w:r>
    </w:p>
    <w:p w14:paraId="39AEB071" w14:textId="77777777" w:rsidR="005E019D" w:rsidRPr="005E019D" w:rsidRDefault="005E019D" w:rsidP="005E019D">
      <w:pPr>
        <w:pBdr>
          <w:top w:val="single" w:sz="8" w:space="1" w:color="000000"/>
          <w:left w:val="single" w:sz="8" w:space="4" w:color="000000"/>
          <w:bottom w:val="single" w:sz="8" w:space="1" w:color="000000"/>
          <w:right w:val="single" w:sz="8" w:space="0" w:color="000000"/>
        </w:pBdr>
        <w:spacing w:after="120" w:line="264" w:lineRule="auto"/>
        <w:jc w:val="both"/>
        <w:rPr>
          <w:rFonts w:ascii="Times New Roman" w:eastAsia="Times New Roman" w:hAnsi="Times New Roman" w:cs="Times New Roman"/>
          <w:noProof/>
          <w:kern w:val="0"/>
          <w14:ligatures w14:val="none"/>
        </w:rPr>
      </w:pPr>
      <w:r>
        <w:rPr>
          <w:rFonts w:ascii="Times New Roman" w:hAnsi="Times New Roman"/>
          <w:b/>
          <w:noProof/>
        </w:rPr>
        <w:t>Valstybės narės taip pat raginamos įgyvendinti ATLPS 2 ir pateikti tvirtus socialinius klimato planus</w:t>
      </w:r>
      <w:r>
        <w:rPr>
          <w:rFonts w:ascii="Times New Roman" w:hAnsi="Times New Roman"/>
          <w:noProof/>
        </w:rPr>
        <w:t>, kurie kartu su papildoma nacionaline politika padės sumažinti pastatų ir kelių transporto sektorių priklausomybę nuo iškastinio kuro ir padidinti energijos vartojimo efektyvumą šiuose sektoriuose.</w:t>
      </w:r>
    </w:p>
    <w:p w14:paraId="7DB3C314" w14:textId="77777777" w:rsidR="005E019D" w:rsidRPr="005E019D" w:rsidRDefault="005E019D" w:rsidP="005E019D">
      <w:pPr>
        <w:pBdr>
          <w:top w:val="single" w:sz="8" w:space="1" w:color="000000"/>
          <w:left w:val="single" w:sz="8" w:space="4" w:color="000000"/>
          <w:bottom w:val="single" w:sz="8" w:space="1" w:color="000000"/>
          <w:right w:val="single" w:sz="8" w:space="0" w:color="000000"/>
        </w:pBdr>
        <w:spacing w:after="120" w:line="264" w:lineRule="auto"/>
        <w:jc w:val="both"/>
        <w:rPr>
          <w:rFonts w:ascii="Times New Roman" w:eastAsia="Times New Roman" w:hAnsi="Times New Roman" w:cs="Times New Roman"/>
          <w:noProof/>
          <w:kern w:val="0"/>
          <w14:ligatures w14:val="none"/>
        </w:rPr>
      </w:pPr>
      <w:r>
        <w:rPr>
          <w:rFonts w:ascii="Times New Roman" w:hAnsi="Times New Roman"/>
          <w:b/>
          <w:noProof/>
        </w:rPr>
        <w:t>Valstybės narės raginamos skatinti pramonės subjektus taikyti energijos vartojimo efektyvumo rekomendacijas</w:t>
      </w:r>
      <w:r>
        <w:rPr>
          <w:rFonts w:ascii="Times New Roman" w:hAnsi="Times New Roman"/>
          <w:noProof/>
        </w:rPr>
        <w:t xml:space="preserve">, nustatytas atliekant energijos vartojimo auditus ir taikant energijos valdymo sistemas. </w:t>
      </w:r>
    </w:p>
    <w:p w14:paraId="744FC2E9" w14:textId="77777777" w:rsidR="005E019D" w:rsidRPr="004C35F5" w:rsidRDefault="005E019D" w:rsidP="005E019D">
      <w:pPr>
        <w:spacing w:after="120" w:line="264" w:lineRule="auto"/>
        <w:rPr>
          <w:rFonts w:ascii="Times New Roman" w:eastAsia="Yu Mincho" w:hAnsi="Times New Roman" w:cs="Times New Roman"/>
          <w:noProof/>
          <w:kern w:val="0"/>
          <w14:ligatures w14:val="none"/>
        </w:rPr>
      </w:pPr>
    </w:p>
    <w:p w14:paraId="32F54D2C" w14:textId="77777777" w:rsidR="005E019D" w:rsidRPr="005E019D" w:rsidRDefault="005E019D" w:rsidP="005E019D">
      <w:pPr>
        <w:keepNext/>
        <w:keepLines/>
        <w:spacing w:before="40" w:after="240" w:line="240" w:lineRule="auto"/>
        <w:ind w:left="432" w:hanging="432"/>
        <w:jc w:val="both"/>
        <w:outlineLvl w:val="0"/>
        <w:rPr>
          <w:rFonts w:ascii="Times New Roman" w:eastAsia="Yu Gothic Light" w:hAnsi="Times New Roman" w:cs="Times New Roman"/>
          <w:b/>
          <w:bCs/>
          <w:caps/>
          <w:noProof/>
          <w:color w:val="000000"/>
          <w:kern w:val="0"/>
          <w14:ligatures w14:val="none"/>
        </w:rPr>
      </w:pPr>
      <w:r>
        <w:rPr>
          <w:rFonts w:ascii="Times New Roman" w:hAnsi="Times New Roman"/>
          <w:b/>
          <w:caps/>
          <w:noProof/>
          <w:color w:val="000000"/>
        </w:rPr>
        <w:t>Investicijų į konkurencingą švarią ekonomiką pritraukimas</w:t>
      </w:r>
    </w:p>
    <w:p w14:paraId="079E5373" w14:textId="77777777" w:rsidR="005E019D" w:rsidRPr="005E019D" w:rsidRDefault="005E019D" w:rsidP="005E019D">
      <w:pPr>
        <w:spacing w:after="120" w:line="264" w:lineRule="auto"/>
        <w:jc w:val="both"/>
        <w:rPr>
          <w:rFonts w:ascii="Times New Roman" w:eastAsia="Yu Mincho" w:hAnsi="Times New Roman" w:cs="Times New Roman"/>
          <w:noProof/>
          <w:kern w:val="0"/>
          <w14:ligatures w14:val="none"/>
        </w:rPr>
      </w:pPr>
      <w:r>
        <w:rPr>
          <w:rFonts w:ascii="Times New Roman" w:hAnsi="Times New Roman"/>
          <w:noProof/>
        </w:rPr>
        <w:t>Žaliajai, skaitmeninei ir socialinei pertvarkai finansuoti reikia kuo labiau padidinti viešąsias investicijas ir pritraukti privatųjį kapitalą. Kaip nurodyta komunikate „</w:t>
      </w:r>
      <w:r>
        <w:rPr>
          <w:rFonts w:ascii="Times New Roman" w:hAnsi="Times New Roman"/>
          <w:i/>
          <w:noProof/>
        </w:rPr>
        <w:t>Rengiantis kitai daugiametei finansinei programai</w:t>
      </w:r>
      <w:r>
        <w:rPr>
          <w:rFonts w:ascii="Times New Roman" w:hAnsi="Times New Roman"/>
          <w:noProof/>
        </w:rPr>
        <w:t>“</w:t>
      </w:r>
      <w:r w:rsidRPr="005E019D">
        <w:rPr>
          <w:rFonts w:ascii="Times New Roman" w:eastAsia="Yu Mincho" w:hAnsi="Times New Roman" w:cs="Times New Roman"/>
          <w:noProof/>
          <w:kern w:val="0"/>
          <w:vertAlign w:val="superscript"/>
        </w:rPr>
        <w:footnoteReference w:id="60"/>
      </w:r>
      <w:r>
        <w:rPr>
          <w:rFonts w:ascii="Times New Roman" w:hAnsi="Times New Roman"/>
          <w:noProof/>
        </w:rPr>
        <w:t>, Komisija 2025 m. pateiks pasiūlymą dėl paprastesnio, taiklesnio ir veiksmingesnio ilgalaikio biudžeto, padedančio įgyvendinti ES perėjimo prie švarios energijos prioritetus ir kartu palengvinančio ir supaprastinančio paramos gavėjų galimybes gauti ES finansavimą ir taip padedančio užpildyti investicijų poreikių spragą.</w:t>
      </w:r>
    </w:p>
    <w:p w14:paraId="5FF41AAC" w14:textId="77777777" w:rsidR="005E019D" w:rsidRPr="005E019D" w:rsidRDefault="005E019D" w:rsidP="005E019D">
      <w:pPr>
        <w:keepNext/>
        <w:keepLines/>
        <w:numPr>
          <w:ilvl w:val="1"/>
          <w:numId w:val="0"/>
        </w:numPr>
        <w:spacing w:before="40" w:after="240" w:line="240" w:lineRule="auto"/>
        <w:ind w:left="576" w:hanging="576"/>
        <w:jc w:val="both"/>
        <w:outlineLvl w:val="1"/>
        <w:rPr>
          <w:rFonts w:ascii="Times New Roman" w:eastAsia="Yu Gothic Light" w:hAnsi="Times New Roman" w:cs="Times New Roman"/>
          <w:b/>
          <w:bCs/>
          <w:noProof/>
          <w:color w:val="000000"/>
          <w:kern w:val="0"/>
          <w14:ligatures w14:val="none"/>
        </w:rPr>
      </w:pPr>
      <w:r>
        <w:rPr>
          <w:rFonts w:ascii="Times New Roman" w:hAnsi="Times New Roman"/>
          <w:b/>
          <w:noProof/>
          <w:color w:val="000000"/>
        </w:rPr>
        <w:t>Finansavimas ir investicijos</w:t>
      </w:r>
    </w:p>
    <w:p w14:paraId="32B025A8" w14:textId="61ABB3C8" w:rsidR="005E019D" w:rsidRPr="005E019D" w:rsidRDefault="005E019D" w:rsidP="005E019D">
      <w:pPr>
        <w:spacing w:before="120" w:after="0" w:line="276" w:lineRule="auto"/>
        <w:jc w:val="both"/>
        <w:rPr>
          <w:rFonts w:ascii="Times New Roman" w:eastAsia="Times New Roman" w:hAnsi="Times New Roman" w:cs="Times New Roman"/>
          <w:noProof/>
          <w:color w:val="000000"/>
          <w:kern w:val="0"/>
          <w14:ligatures w14:val="none"/>
        </w:rPr>
      </w:pPr>
      <w:r>
        <w:rPr>
          <w:rFonts w:ascii="Times New Roman" w:hAnsi="Times New Roman"/>
          <w:b/>
          <w:noProof/>
          <w:color w:val="000000"/>
        </w:rPr>
        <w:t>Kad būtų pasiekti ES 2030 m. klimato srities ir energetikos tikslai, 2021–2030 m. laikotarpiu bendros investicijos į energetikos sistemą turėtų siekti apytikriai 570 mlrd. EUR per metus</w:t>
      </w:r>
      <w:r w:rsidRPr="005E019D">
        <w:rPr>
          <w:rFonts w:ascii="Times New Roman" w:eastAsia="Times New Roman" w:hAnsi="Times New Roman" w:cs="Times New Roman"/>
          <w:b/>
          <w:bCs/>
          <w:noProof/>
          <w:color w:val="000000"/>
          <w:kern w:val="0"/>
          <w:vertAlign w:val="superscript"/>
          <w:lang w:val="en-GB"/>
        </w:rPr>
        <w:footnoteReference w:id="61"/>
      </w:r>
      <w:r>
        <w:rPr>
          <w:rFonts w:ascii="Times New Roman" w:hAnsi="Times New Roman"/>
          <w:b/>
          <w:noProof/>
          <w:color w:val="000000"/>
        </w:rPr>
        <w:t xml:space="preserve">. </w:t>
      </w:r>
      <w:r>
        <w:rPr>
          <w:rFonts w:ascii="Times New Roman" w:hAnsi="Times New Roman"/>
          <w:noProof/>
          <w:color w:val="000000"/>
        </w:rPr>
        <w:t>Be to, nors siekiant sukurti</w:t>
      </w:r>
      <w:r>
        <w:rPr>
          <w:rFonts w:ascii="Times New Roman" w:hAnsi="Times New Roman"/>
          <w:noProof/>
        </w:rPr>
        <w:t xml:space="preserve"> atsparią, ilgalaikę ir ekonomiškai efektyvią energetikos sistemą absoliučiai būtina energetikos projektus projektuoti atsparius klimato kaitai</w:t>
      </w:r>
      <w:r w:rsidRPr="005E019D">
        <w:rPr>
          <w:rFonts w:ascii="Times New Roman" w:eastAsia="Yu Mincho" w:hAnsi="Times New Roman" w:cs="Times New Roman"/>
          <w:noProof/>
          <w:kern w:val="0"/>
          <w:vertAlign w:val="superscript"/>
          <w:lang w:val="en-US"/>
        </w:rPr>
        <w:footnoteReference w:id="62"/>
      </w:r>
      <w:r>
        <w:rPr>
          <w:rFonts w:ascii="Times New Roman" w:hAnsi="Times New Roman"/>
          <w:noProof/>
        </w:rPr>
        <w:t>, dėl to ateinančiais metais gali padidėti pradinių investicijų poreikiai.</w:t>
      </w:r>
      <w:r>
        <w:rPr>
          <w:rFonts w:ascii="Times New Roman" w:hAnsi="Times New Roman"/>
          <w:b/>
          <w:noProof/>
        </w:rPr>
        <w:t xml:space="preserve"> </w:t>
      </w:r>
      <w:r>
        <w:rPr>
          <w:rFonts w:ascii="Times New Roman" w:hAnsi="Times New Roman"/>
          <w:noProof/>
          <w:color w:val="000000"/>
        </w:rPr>
        <w:t>Kadangi viešieji ištekliai yra riboti, būtina strategiškai pritraukti privatųjį kapitalą, be kita ko, taikant rizikos mažinimo priemones, kad sumažėtų projektų rizika ir skolinimosi išlaidos, susijusios su pradinėmis kapitalo išlaidomis, taigi ir bendros sistemos išlaidos.</w:t>
      </w:r>
    </w:p>
    <w:p w14:paraId="2AA16A76" w14:textId="77777777" w:rsidR="005E019D" w:rsidRPr="005E019D" w:rsidRDefault="005E019D" w:rsidP="005E019D">
      <w:pPr>
        <w:spacing w:before="120" w:after="0" w:line="276" w:lineRule="auto"/>
        <w:jc w:val="both"/>
        <w:rPr>
          <w:rFonts w:ascii="Times New Roman" w:eastAsia="Yu Mincho" w:hAnsi="Times New Roman" w:cs="Times New Roman"/>
          <w:noProof/>
          <w:kern w:val="0"/>
          <w14:ligatures w14:val="none"/>
        </w:rPr>
      </w:pPr>
      <w:r>
        <w:rPr>
          <w:rFonts w:ascii="Times New Roman" w:hAnsi="Times New Roman"/>
          <w:b/>
          <w:noProof/>
          <w:color w:val="000000"/>
        </w:rPr>
        <w:t>Daugelis valstybių narių savo galutiniuose planuose pagerino savo investicijų įverčių patikimumą</w:t>
      </w:r>
      <w:r>
        <w:rPr>
          <w:rFonts w:ascii="Times New Roman" w:hAnsi="Times New Roman"/>
          <w:noProof/>
          <w:color w:val="000000"/>
        </w:rPr>
        <w:t>, tačiau politika ir tikslai ne visada atitinka investicijų poreikių įverčius. Be to,</w:t>
      </w:r>
      <w:r>
        <w:rPr>
          <w:rFonts w:ascii="Times New Roman" w:hAnsi="Times New Roman"/>
          <w:b/>
          <w:noProof/>
          <w:color w:val="000000"/>
        </w:rPr>
        <w:t xml:space="preserve"> keliuose planuose trūksta išsamių viešojo ir privačiojo finansavimo telkimo strategijų. </w:t>
      </w:r>
      <w:r>
        <w:rPr>
          <w:rFonts w:ascii="Times New Roman" w:hAnsi="Times New Roman"/>
          <w:noProof/>
          <w:color w:val="000000"/>
        </w:rPr>
        <w:t xml:space="preserve">Dauguma valstybių narių bent iš dalies atsižvelgė į Komisijos rekomendacijas ir pateikė investicijų poreikių pagal sektorius įverčius. Vis dėlto tik nedaugelis iš jų nurodė finansavimo šaltinius, įvertino reikalingos viešosios paramos lygį ir aptarė, kaip būtų galima sutelkti privačiąsias investicijas. Likusiuose planuose nėra patikimų bendrų investicijų poreikių ir (arba) investicijų poreikių pagal sektorius įverčių. Tai praleista galimybė užtikrinti ilgalaikį planuojamų investicijų matomumą, kuris yra labai svarbus siekiant pritraukti privatųjį finansavimą. </w:t>
      </w:r>
      <w:r>
        <w:rPr>
          <w:rFonts w:ascii="Times New Roman" w:hAnsi="Times New Roman"/>
          <w:noProof/>
        </w:rPr>
        <w:t>Be to, daugiau kaip pusėje įvertintų galutinių NEKSVP neatsižvelgta į rekomendaciją užtikrinti, kad priemonės visiškai atitiktų nacionalinius ekonomikos gaivinimo ir atsparumo didinimo planus</w:t>
      </w:r>
      <w:r w:rsidRPr="005E019D">
        <w:rPr>
          <w:rFonts w:ascii="Times New Roman" w:eastAsia="Yu Mincho" w:hAnsi="Times New Roman" w:cs="Times New Roman"/>
          <w:noProof/>
          <w:kern w:val="0"/>
          <w:vertAlign w:val="superscript"/>
        </w:rPr>
        <w:footnoteReference w:id="63"/>
      </w:r>
      <w:r>
        <w:rPr>
          <w:rFonts w:ascii="Times New Roman" w:hAnsi="Times New Roman"/>
          <w:noProof/>
        </w:rPr>
        <w:t xml:space="preserve">. </w:t>
      </w:r>
    </w:p>
    <w:p w14:paraId="0D7DEED6" w14:textId="77777777" w:rsidR="005E019D" w:rsidRPr="005E019D" w:rsidRDefault="005E019D" w:rsidP="005E019D">
      <w:pPr>
        <w:spacing w:before="120" w:after="0" w:line="276" w:lineRule="auto"/>
        <w:jc w:val="both"/>
        <w:rPr>
          <w:rFonts w:ascii="Times New Roman" w:eastAsia="Times New Roman" w:hAnsi="Times New Roman" w:cs="Times New Roman"/>
          <w:b/>
          <w:noProof/>
          <w:color w:val="000000"/>
          <w:kern w:val="0"/>
          <w:highlight w:val="yellow"/>
          <w14:ligatures w14:val="none"/>
        </w:rPr>
      </w:pPr>
      <w:r>
        <w:rPr>
          <w:rFonts w:ascii="Times New Roman" w:hAnsi="Times New Roman"/>
          <w:noProof/>
        </w:rPr>
        <w:t>Be to, tik kelios valstybės narės pateikė patikimą plano makroekonominio poveikio vertinimą. Kadangi makroekonominis vertinimas yra svarbus siekiant veiksmingai suderinti ekonominę politiką taip, kad ji padėtų įgyvendinti NEKSVP, reikia dėti daugiau pastangų.</w:t>
      </w:r>
    </w:p>
    <w:p w14:paraId="33404389" w14:textId="131CF812" w:rsidR="005E019D" w:rsidRPr="005E019D" w:rsidRDefault="005E019D" w:rsidP="005E019D">
      <w:pPr>
        <w:spacing w:before="120" w:after="0" w:line="276" w:lineRule="auto"/>
        <w:jc w:val="both"/>
        <w:rPr>
          <w:rFonts w:ascii="Times New Roman" w:eastAsia="Yu Mincho" w:hAnsi="Times New Roman" w:cs="Times New Roman"/>
          <w:noProof/>
          <w:kern w:val="0"/>
          <w14:ligatures w14:val="none"/>
        </w:rPr>
      </w:pPr>
      <w:r>
        <w:rPr>
          <w:rFonts w:ascii="Times New Roman" w:hAnsi="Times New Roman"/>
          <w:b/>
          <w:noProof/>
        </w:rPr>
        <w:t xml:space="preserve">Siekiant nukreipti investicijas į perėjimą prie švarios energijos ir suderinti rinkos paskatas su klimato tikslais, labai svarbu laipsniškai panaikinti subsidijas iškastiniam kurui. </w:t>
      </w:r>
      <w:r>
        <w:rPr>
          <w:rFonts w:ascii="Times New Roman" w:hAnsi="Times New Roman"/>
          <w:noProof/>
        </w:rPr>
        <w:t xml:space="preserve">Laipsniškai panaikindamos subsidijas iškastiniam kurui ir nukreipdamos investicijas į alternatyvias pramonės šakas, vyriausybės gali skatinti švaresnę energiją ir inovacijas. Taip bus skatinamas ekonominis atsparumas ir perskirstomi finansiniai ištekliai bendruomenių ir darbuotojų labui, prisidedant prie sąžiningos ir teisingos pertvarkos, kuri teikia pirmenybę tiek aplinkos, tiek socialinei gerovei (žr. 5 skirsnį). </w:t>
      </w:r>
    </w:p>
    <w:p w14:paraId="436BB6A9" w14:textId="77777777" w:rsidR="005E019D" w:rsidRPr="005E019D" w:rsidRDefault="005E019D" w:rsidP="005E019D">
      <w:pPr>
        <w:spacing w:before="120" w:after="0" w:line="276" w:lineRule="auto"/>
        <w:jc w:val="both"/>
        <w:rPr>
          <w:rFonts w:ascii="Times New Roman" w:eastAsia="Times New Roman" w:hAnsi="Times New Roman" w:cs="Times New Roman"/>
          <w:noProof/>
          <w:kern w:val="0"/>
          <w14:ligatures w14:val="none"/>
        </w:rPr>
      </w:pPr>
      <w:r>
        <w:rPr>
          <w:rFonts w:ascii="Times New Roman" w:hAnsi="Times New Roman"/>
          <w:b/>
          <w:noProof/>
        </w:rPr>
        <w:t xml:space="preserve">Maždaug pusė valstybių narių iš dalies atsižvelgė į Komisijos rekomendaciją dėl laipsniško subsidijų iškastiniam kurui panaikinimo. </w:t>
      </w:r>
      <w:r>
        <w:rPr>
          <w:rFonts w:ascii="Times New Roman" w:hAnsi="Times New Roman"/>
          <w:noProof/>
        </w:rPr>
        <w:t>Daugiausia dėmesio skiriama procesui ir institucijoms, įskaitant veiklą tarptautiniuose forumuose, kad būtų toliau siekiama šio tikslo peržiūrint, nustatant ir inventorizuojant finansines, mokestines ir kitas paskatas</w:t>
      </w:r>
      <w:r w:rsidRPr="005E019D">
        <w:rPr>
          <w:rFonts w:ascii="Times New Roman" w:eastAsia="Times New Roman" w:hAnsi="Times New Roman" w:cs="Times New Roman"/>
          <w:noProof/>
          <w:kern w:val="0"/>
          <w:vertAlign w:val="superscript"/>
          <w:lang w:val="en-US"/>
        </w:rPr>
        <w:footnoteReference w:id="64"/>
      </w:r>
      <w:r>
        <w:rPr>
          <w:rFonts w:ascii="Times New Roman" w:hAnsi="Times New Roman"/>
          <w:noProof/>
        </w:rPr>
        <w:t>. Kai kurios valstybės narės</w:t>
      </w:r>
      <w:r w:rsidRPr="005E019D">
        <w:rPr>
          <w:rFonts w:ascii="Times New Roman" w:eastAsia="Times New Roman" w:hAnsi="Times New Roman" w:cs="Times New Roman"/>
          <w:noProof/>
          <w:kern w:val="0"/>
          <w:vertAlign w:val="superscript"/>
          <w:lang w:val="en-US"/>
        </w:rPr>
        <w:footnoteReference w:id="65"/>
      </w:r>
      <w:r>
        <w:rPr>
          <w:rFonts w:ascii="Times New Roman" w:hAnsi="Times New Roman"/>
          <w:noProof/>
        </w:rPr>
        <w:t xml:space="preserve"> nurodo, kad tam tikros subsidijos reikalingos, arba pasisako už atsargų požiūrį į laipsnišką jų panaikinimą, visų pirma ypatingais atvejais, pavyzdžiui, pažeidžiamiems namų ūkiams, šildymui ir saloms, siekiant kuo labiau sumažinti išlaidas ir užtikrinti gerovę. </w:t>
      </w:r>
    </w:p>
    <w:p w14:paraId="164B4DB6" w14:textId="77777777" w:rsidR="005E019D" w:rsidRPr="005E019D" w:rsidRDefault="005E019D" w:rsidP="005E019D">
      <w:pPr>
        <w:spacing w:before="120" w:after="0" w:line="276" w:lineRule="auto"/>
        <w:jc w:val="both"/>
        <w:rPr>
          <w:rFonts w:ascii="Times New Roman" w:eastAsia="Yu Mincho" w:hAnsi="Times New Roman" w:cs="Times New Roman"/>
          <w:noProof/>
          <w:kern w:val="0"/>
          <w14:ligatures w14:val="none"/>
        </w:rPr>
      </w:pPr>
      <w:r>
        <w:rPr>
          <w:rFonts w:ascii="Times New Roman" w:hAnsi="Times New Roman"/>
          <w:noProof/>
        </w:rPr>
        <w:t xml:space="preserve">Todėl </w:t>
      </w:r>
      <w:r>
        <w:rPr>
          <w:rFonts w:ascii="Times New Roman" w:hAnsi="Times New Roman"/>
          <w:b/>
          <w:noProof/>
        </w:rPr>
        <w:t>valstybės narės nepasinaudojo visomis NEKSVP proceso galimybėmis tam, kad aprašytų laipsnišką subsidijų iškastiniam kurui panaikinimą ir teiktų jam pirmenybę.</w:t>
      </w:r>
      <w:r>
        <w:rPr>
          <w:rFonts w:ascii="Times New Roman" w:hAnsi="Times New Roman"/>
          <w:noProof/>
        </w:rPr>
        <w:t xml:space="preserve"> Iš tiesų tik pora valstybių narių pateikė savo subsidijų iškastiniam kurui aprašymą, tačiau jos nepateikė socialinės ir ekonominės jų poveikio analizės ir nenurodė politikos, priemonių ar laipsniško jų panaikinimo terminų</w:t>
      </w:r>
      <w:r w:rsidRPr="005E019D">
        <w:rPr>
          <w:rFonts w:ascii="Times New Roman" w:eastAsia="Yu Mincho" w:hAnsi="Times New Roman" w:cs="Times New Roman"/>
          <w:noProof/>
          <w:kern w:val="0"/>
          <w:vertAlign w:val="superscript"/>
          <w:lang w:val="en-GB"/>
        </w:rPr>
        <w:footnoteReference w:id="66"/>
      </w:r>
      <w:r>
        <w:rPr>
          <w:rFonts w:ascii="Times New Roman" w:hAnsi="Times New Roman"/>
          <w:noProof/>
        </w:rPr>
        <w:t>. Kitos valstybės narės nurodo, kad neskiria tiesioginių subsidijų iškastiniam kurui</w:t>
      </w:r>
      <w:r w:rsidRPr="005E019D">
        <w:rPr>
          <w:rFonts w:ascii="Times New Roman" w:eastAsia="Times New Roman" w:hAnsi="Times New Roman" w:cs="Times New Roman"/>
          <w:noProof/>
          <w:kern w:val="0"/>
          <w:vertAlign w:val="superscript"/>
          <w:lang w:val="en-US"/>
        </w:rPr>
        <w:footnoteReference w:id="67"/>
      </w:r>
      <w:r>
        <w:rPr>
          <w:rFonts w:ascii="Times New Roman" w:hAnsi="Times New Roman"/>
          <w:noProof/>
        </w:rPr>
        <w:t>,</w:t>
      </w:r>
      <w:r>
        <w:rPr>
          <w:rFonts w:ascii="Times New Roman" w:hAnsi="Times New Roman"/>
          <w:noProof/>
          <w:vertAlign w:val="superscript"/>
        </w:rPr>
        <w:t xml:space="preserve"> </w:t>
      </w:r>
      <w:r>
        <w:rPr>
          <w:rFonts w:ascii="Times New Roman" w:hAnsi="Times New Roman"/>
          <w:noProof/>
        </w:rPr>
        <w:t>arba abejoja, ar jų mokestinės priemonės galėtų būti laikomos tokiomis subsidijomis</w:t>
      </w:r>
      <w:r w:rsidRPr="005E019D">
        <w:rPr>
          <w:rFonts w:ascii="Times New Roman" w:eastAsia="Times New Roman" w:hAnsi="Times New Roman" w:cs="Times New Roman"/>
          <w:noProof/>
          <w:kern w:val="0"/>
          <w:vertAlign w:val="superscript"/>
          <w:lang w:val="en-US"/>
        </w:rPr>
        <w:footnoteReference w:id="68"/>
      </w:r>
      <w:r>
        <w:rPr>
          <w:rFonts w:ascii="Times New Roman" w:hAnsi="Times New Roman"/>
          <w:noProof/>
        </w:rPr>
        <w:t>.</w:t>
      </w:r>
    </w:p>
    <w:p w14:paraId="61F0EA33" w14:textId="77777777" w:rsidR="005E019D" w:rsidRPr="005E019D" w:rsidRDefault="005E019D" w:rsidP="005E019D">
      <w:pPr>
        <w:pBdr>
          <w:top w:val="single" w:sz="4" w:space="1" w:color="auto"/>
          <w:left w:val="single" w:sz="4" w:space="4" w:color="auto"/>
          <w:bottom w:val="single" w:sz="4" w:space="1" w:color="auto"/>
          <w:right w:val="single" w:sz="4" w:space="4" w:color="auto"/>
        </w:pBdr>
        <w:spacing w:before="120" w:after="0" w:line="240" w:lineRule="auto"/>
        <w:jc w:val="both"/>
        <w:rPr>
          <w:rFonts w:ascii="Times New Roman" w:eastAsia="Times New Roman" w:hAnsi="Times New Roman" w:cs="Times New Roman"/>
          <w:b/>
          <w:noProof/>
          <w:kern w:val="0"/>
          <w14:ligatures w14:val="none"/>
        </w:rPr>
      </w:pPr>
      <w:r>
        <w:rPr>
          <w:rFonts w:ascii="Times New Roman" w:hAnsi="Times New Roman"/>
          <w:b/>
          <w:noProof/>
        </w:rPr>
        <w:t>Tolesni veiksmai</w:t>
      </w:r>
    </w:p>
    <w:p w14:paraId="7255915F" w14:textId="77777777" w:rsidR="005E019D" w:rsidRPr="005E019D" w:rsidRDefault="005E019D" w:rsidP="005E019D">
      <w:pPr>
        <w:pBdr>
          <w:top w:val="single" w:sz="4" w:space="1" w:color="auto"/>
          <w:left w:val="single" w:sz="4" w:space="4" w:color="auto"/>
          <w:bottom w:val="single" w:sz="4" w:space="1" w:color="auto"/>
          <w:right w:val="single" w:sz="4" w:space="4" w:color="auto"/>
        </w:pBdr>
        <w:spacing w:before="120" w:after="0" w:line="240" w:lineRule="auto"/>
        <w:jc w:val="both"/>
        <w:rPr>
          <w:rFonts w:ascii="Times New Roman" w:eastAsia="Times New Roman" w:hAnsi="Times New Roman" w:cs="Times New Roman"/>
          <w:i/>
          <w:noProof/>
          <w:kern w:val="0"/>
          <w14:ligatures w14:val="none"/>
        </w:rPr>
      </w:pPr>
      <w:r>
        <w:rPr>
          <w:rFonts w:ascii="Times New Roman" w:hAnsi="Times New Roman"/>
          <w:i/>
          <w:noProof/>
        </w:rPr>
        <w:t xml:space="preserve">Daugelis valstybių narių </w:t>
      </w:r>
      <w:r>
        <w:rPr>
          <w:rFonts w:ascii="Times New Roman" w:hAnsi="Times New Roman"/>
          <w:i/>
          <w:noProof/>
          <w:color w:val="000000"/>
        </w:rPr>
        <w:t xml:space="preserve">pagerino savo investicijų įverčių patikimumą, tačiau tik nedaugelis nurodė finansavimo šaltinius ir įvertino, kaip būtų galima sutelkti privačiąsias investicijas. Tik kelios </w:t>
      </w:r>
      <w:r>
        <w:rPr>
          <w:rFonts w:ascii="Times New Roman" w:hAnsi="Times New Roman"/>
          <w:i/>
          <w:noProof/>
        </w:rPr>
        <w:t>valstybės narės pasinaudojo visomis NEKSVP proceso galimybėmis tam, kad aprašytų laipsnišką subsidijų iškastiniam kurui panaikinimą ir teiktų jam pirmenybę.</w:t>
      </w:r>
      <w:r>
        <w:rPr>
          <w:rFonts w:ascii="Times New Roman" w:hAnsi="Times New Roman"/>
          <w:b/>
          <w:noProof/>
        </w:rPr>
        <w:t xml:space="preserve"> </w:t>
      </w:r>
    </w:p>
    <w:p w14:paraId="57B6EA76" w14:textId="77777777" w:rsidR="005E019D" w:rsidRPr="005E019D" w:rsidRDefault="005E019D" w:rsidP="005E019D">
      <w:pPr>
        <w:pBdr>
          <w:top w:val="single" w:sz="4" w:space="1" w:color="auto"/>
          <w:left w:val="single" w:sz="4" w:space="4" w:color="auto"/>
          <w:bottom w:val="single" w:sz="4" w:space="1" w:color="auto"/>
          <w:right w:val="single" w:sz="4" w:space="4" w:color="auto"/>
        </w:pBdr>
        <w:spacing w:before="120" w:after="0" w:line="240" w:lineRule="auto"/>
        <w:jc w:val="both"/>
        <w:rPr>
          <w:rFonts w:ascii="Times New Roman" w:eastAsia="Times New Roman" w:hAnsi="Times New Roman" w:cs="Times New Roman"/>
          <w:noProof/>
          <w:kern w:val="0"/>
          <w14:ligatures w14:val="none"/>
        </w:rPr>
      </w:pPr>
      <w:r>
        <w:rPr>
          <w:rFonts w:ascii="Times New Roman" w:hAnsi="Times New Roman"/>
          <w:noProof/>
        </w:rPr>
        <w:t xml:space="preserve">Siekiant spręsti su klimato kaita susijusios ir energetikos pertvarkos finansavimo ir jai reikalingų investicijų uždavinius, </w:t>
      </w:r>
      <w:r>
        <w:rPr>
          <w:rFonts w:ascii="Times New Roman" w:hAnsi="Times New Roman"/>
          <w:b/>
          <w:noProof/>
        </w:rPr>
        <w:t>švarios pramonės kurse</w:t>
      </w:r>
      <w:r>
        <w:rPr>
          <w:rFonts w:ascii="Times New Roman" w:hAnsi="Times New Roman"/>
          <w:noProof/>
        </w:rPr>
        <w:t xml:space="preserve"> siūloma įvairių priemonių investicijoms ir inovacijoms remti, sutelkiant daugiau kaip 100 mlrd. EUR ES švariai gamybai remti ir esamų finansavimo priemonių sinergijai didinti. Padidinus programos „InvestEU“ pajėgumą prisiimti riziką, iki dabartinės daugiametės finansinės programos pabaigos bus sutelkta apie 50 mlrd. EUR papildomo finansavimo.</w:t>
      </w:r>
    </w:p>
    <w:p w14:paraId="004A2B57" w14:textId="7C29E76E" w:rsidR="005E019D" w:rsidRPr="005E019D" w:rsidRDefault="005E019D" w:rsidP="005E019D">
      <w:pPr>
        <w:pBdr>
          <w:top w:val="single" w:sz="4" w:space="1" w:color="auto"/>
          <w:left w:val="single" w:sz="4" w:space="4" w:color="auto"/>
          <w:bottom w:val="single" w:sz="4" w:space="1" w:color="auto"/>
          <w:right w:val="single" w:sz="4" w:space="4" w:color="auto"/>
        </w:pBdr>
        <w:spacing w:before="120" w:after="0" w:line="240" w:lineRule="auto"/>
        <w:jc w:val="both"/>
        <w:rPr>
          <w:rFonts w:ascii="Times New Roman" w:eastAsia="Times New Roman" w:hAnsi="Times New Roman" w:cs="Times New Roman"/>
          <w:noProof/>
          <w:kern w:val="0"/>
          <w14:ligatures w14:val="none"/>
        </w:rPr>
      </w:pPr>
      <w:r>
        <w:rPr>
          <w:rFonts w:ascii="Times New Roman" w:hAnsi="Times New Roman"/>
          <w:noProof/>
        </w:rPr>
        <w:t xml:space="preserve">Remdamasi patirtimi, susijusia su ES biudžeto įnašais į su klimatu susijusias priemones, kuriomis remiamas Europos žaliasis kursas, Komisija </w:t>
      </w:r>
      <w:r>
        <w:rPr>
          <w:rFonts w:ascii="Times New Roman" w:hAnsi="Times New Roman"/>
          <w:b/>
          <w:noProof/>
        </w:rPr>
        <w:t>kitą daugiametę finansinę programą</w:t>
      </w:r>
      <w:r>
        <w:rPr>
          <w:rFonts w:ascii="Times New Roman" w:hAnsi="Times New Roman"/>
          <w:noProof/>
        </w:rPr>
        <w:t xml:space="preserve"> pateiks tokią, kad ji labiausiai įgalintų perėjimą prie švarios energijos. Būsimoje DFP planuojamas konkurencingumo fondas užtikrins tvirtą paramą tvarioms novatoriškos pramonės investicijoms ir pagal vieno langelio principą teiks paprastesnę prieigą prie ES finansavimo. Daugiausia dėmesio bus skiriama Europos pridėtinę vertę turintiems projektams, pvz., švarioms technologijoms, kartu remiant pramonės priklausomybės nuo iškastinio kuro mažinimą. ES lėšomis bus daug papildomai investuojama į infrastruktūrą ir jungtis, kurių reikia energetikos sąjungai užbaigti. 2025 m. Komisija pasiūlys specialią </w:t>
      </w:r>
      <w:r>
        <w:rPr>
          <w:rFonts w:ascii="Times New Roman" w:hAnsi="Times New Roman"/>
          <w:b/>
          <w:noProof/>
        </w:rPr>
        <w:t>Europos investicijų į švarią energiją strategiją</w:t>
      </w:r>
      <w:r>
        <w:rPr>
          <w:rFonts w:ascii="Times New Roman" w:hAnsi="Times New Roman"/>
          <w:noProof/>
        </w:rPr>
        <w:t xml:space="preserve">, įskaitant rizikos mažinimo iniciatyvą, kad būtų galima pritraukti privatųjį kapitalą. </w:t>
      </w:r>
    </w:p>
    <w:p w14:paraId="386D5018" w14:textId="77777777" w:rsidR="005E019D" w:rsidRPr="005E019D" w:rsidRDefault="005E019D" w:rsidP="005E019D">
      <w:pPr>
        <w:pBdr>
          <w:top w:val="single" w:sz="4" w:space="1" w:color="auto"/>
          <w:left w:val="single" w:sz="4" w:space="4" w:color="auto"/>
          <w:bottom w:val="single" w:sz="4" w:space="1" w:color="auto"/>
          <w:right w:val="single" w:sz="4" w:space="4" w:color="auto"/>
        </w:pBdr>
        <w:spacing w:before="120" w:after="0" w:line="240" w:lineRule="auto"/>
        <w:jc w:val="both"/>
        <w:rPr>
          <w:rFonts w:ascii="Times New Roman" w:eastAsia="Times New Roman" w:hAnsi="Times New Roman" w:cs="Times New Roman"/>
          <w:noProof/>
          <w:color w:val="000000"/>
          <w:kern w:val="0"/>
          <w14:ligatures w14:val="none"/>
        </w:rPr>
      </w:pPr>
      <w:r>
        <w:rPr>
          <w:rFonts w:ascii="Times New Roman" w:hAnsi="Times New Roman"/>
          <w:b/>
          <w:noProof/>
          <w:color w:val="000000"/>
        </w:rPr>
        <w:t xml:space="preserve">Valstybės narės raginamos imtis veiksmų ir nustatyti aiškų ir patikimą laipsniško subsidijų iškastiniam kurui panaikinimo tvarkaraštį. </w:t>
      </w:r>
      <w:r>
        <w:rPr>
          <w:rFonts w:ascii="Times New Roman" w:hAnsi="Times New Roman"/>
          <w:noProof/>
          <w:color w:val="000000"/>
        </w:rPr>
        <w:t xml:space="preserve">Siekdama sumažinti Europos priklausomybę, </w:t>
      </w:r>
      <w:r>
        <w:rPr>
          <w:rFonts w:ascii="Times New Roman" w:hAnsi="Times New Roman"/>
          <w:b/>
          <w:noProof/>
          <w:color w:val="000000"/>
        </w:rPr>
        <w:t>Komisija parengs</w:t>
      </w:r>
      <w:r>
        <w:rPr>
          <w:rFonts w:ascii="Times New Roman" w:hAnsi="Times New Roman"/>
          <w:noProof/>
          <w:color w:val="000000"/>
        </w:rPr>
        <w:t xml:space="preserve"> tolesnio subsidijų iškastiniam kurui mažinimo ir laipsniško panaikinimo </w:t>
      </w:r>
      <w:r>
        <w:rPr>
          <w:rFonts w:ascii="Times New Roman" w:hAnsi="Times New Roman"/>
          <w:b/>
          <w:noProof/>
          <w:color w:val="000000"/>
        </w:rPr>
        <w:t>veiksmų gaires</w:t>
      </w:r>
      <w:r>
        <w:rPr>
          <w:rFonts w:ascii="Times New Roman" w:hAnsi="Times New Roman"/>
          <w:noProof/>
          <w:color w:val="000000"/>
        </w:rPr>
        <w:t xml:space="preserve">, pvz., per 2025 m. Europos semestrą. </w:t>
      </w:r>
      <w:r>
        <w:rPr>
          <w:rFonts w:ascii="Times New Roman" w:hAnsi="Times New Roman"/>
          <w:noProof/>
        </w:rPr>
        <w:t xml:space="preserve">Atlaisvintus išteklius rekomenduojama naudoti sąžiningai ir teisingai su klimato kaita susijusiai ir energetikos pertvarkai remti, atsižvelgiant į energetikos ir klimato srities tikslus ir siekiant sukurti konkurencingą švarios pramonės bazę, kartu stiprinant mūsų strateginį savarankiškumą. </w:t>
      </w:r>
    </w:p>
    <w:p w14:paraId="54A677FE" w14:textId="77777777" w:rsidR="005E019D" w:rsidRPr="005E019D" w:rsidRDefault="005E019D" w:rsidP="005E019D">
      <w:pPr>
        <w:pBdr>
          <w:top w:val="single" w:sz="4" w:space="1" w:color="auto"/>
          <w:left w:val="single" w:sz="4" w:space="4" w:color="auto"/>
          <w:bottom w:val="single" w:sz="4" w:space="1" w:color="auto"/>
          <w:right w:val="single" w:sz="4" w:space="4" w:color="auto"/>
        </w:pBdr>
        <w:spacing w:before="120" w:after="0" w:line="240" w:lineRule="auto"/>
        <w:jc w:val="both"/>
        <w:rPr>
          <w:rFonts w:ascii="Times New Roman" w:eastAsia="Times New Roman" w:hAnsi="Times New Roman" w:cs="Times New Roman"/>
          <w:noProof/>
          <w:kern w:val="0"/>
          <w14:ligatures w14:val="none"/>
        </w:rPr>
      </w:pPr>
      <w:r>
        <w:rPr>
          <w:rFonts w:ascii="Times New Roman" w:hAnsi="Times New Roman"/>
          <w:b/>
          <w:noProof/>
        </w:rPr>
        <w:t>Valstybės narės raginamos apsvarstyti, kaip panaudoti turimas viešąsias lėšas (nacionaliniu ir ES lygmenimis)</w:t>
      </w:r>
      <w:r>
        <w:rPr>
          <w:rFonts w:ascii="Times New Roman" w:hAnsi="Times New Roman"/>
          <w:noProof/>
        </w:rPr>
        <w:t xml:space="preserve"> NEKSVP įgyvendinimui remti. Tai apima inovacijų ir modernizavimo fondus ir dideles pajamų sumas, kurios bus gautos pardavus ES ATLPS leidimus aukcione. Inovacijų fondas pasirodė esąs patikima priemonė, padedanti ES pramonėms įmonėms finansuoti savo priklausomybės nuo iškastinio kuro mažinimo ir švarių technologijų gamybos projektus. O kad padidintų paramą atrinktiems inovacijų fondo projektams, valstybės narės yra raginamos naudotis Komisijos rengiamais paslauginiais aukcionais. Valstybės narės turėtų apsvarstyti, kaip geriausiai naudoti </w:t>
      </w:r>
      <w:r>
        <w:rPr>
          <w:rFonts w:ascii="Times New Roman" w:hAnsi="Times New Roman"/>
          <w:b/>
          <w:noProof/>
        </w:rPr>
        <w:t>sanglaudos politikos fondus</w:t>
      </w:r>
      <w:r>
        <w:rPr>
          <w:rFonts w:ascii="Times New Roman" w:hAnsi="Times New Roman"/>
          <w:noProof/>
        </w:rPr>
        <w:t xml:space="preserve"> su energetika ir klimato kaita susijusiai pertvarkai ir tikrai energetikos sąjungai remti. Naujausiame Komisijos pasiūlyme modernizuoti sanglaudos politiką atliekant laikotarpio vidurio peržiūrą</w:t>
      </w:r>
      <w:r w:rsidRPr="005E019D">
        <w:rPr>
          <w:rFonts w:ascii="Times New Roman" w:eastAsia="Times New Roman" w:hAnsi="Times New Roman" w:cs="Times New Roman"/>
          <w:noProof/>
          <w:kern w:val="0"/>
          <w:vertAlign w:val="superscript"/>
          <w:lang w:val="en-GB"/>
        </w:rPr>
        <w:footnoteReference w:id="69"/>
      </w:r>
      <w:r>
        <w:rPr>
          <w:rFonts w:ascii="Times New Roman" w:hAnsi="Times New Roman"/>
          <w:noProof/>
        </w:rPr>
        <w:t xml:space="preserve"> numatyta 2026 m. padidinti išankstinį finansavimą ir bendrą finansavimą (atitinkamai 30 proc. ir iki 100 proc.), kad būtų skatinamos investicijos į energetikos jungtis ir susijusias perdavimo sistemas. Pasiūlymu taip pat išplečiama Europos regioninės plėtros fondo (ERPF) ir Teisingos pertvarkos fondo (TPF) lėšomis teikiamos paramos taikymo sritis, įtraukiant į ją visus priklausomybės nuo iškastinio kuro mažinimo projektus, kuriems suteiktas inovacijų fondo suverenumo ženklas. </w:t>
      </w:r>
    </w:p>
    <w:p w14:paraId="11563A3F" w14:textId="6EA05926" w:rsidR="005E019D" w:rsidRPr="005E019D" w:rsidRDefault="005E019D" w:rsidP="005E019D">
      <w:pPr>
        <w:pBdr>
          <w:top w:val="single" w:sz="4" w:space="1" w:color="auto"/>
          <w:left w:val="single" w:sz="4" w:space="4" w:color="auto"/>
          <w:bottom w:val="single" w:sz="4" w:space="1" w:color="auto"/>
          <w:right w:val="single" w:sz="4" w:space="4" w:color="auto"/>
        </w:pBdr>
        <w:spacing w:before="120" w:after="0" w:line="240" w:lineRule="auto"/>
        <w:jc w:val="both"/>
        <w:rPr>
          <w:rFonts w:ascii="Times New Roman" w:eastAsia="Times New Roman" w:hAnsi="Times New Roman" w:cs="Times New Roman"/>
          <w:noProof/>
          <w:color w:val="000000"/>
          <w:kern w:val="0"/>
          <w14:ligatures w14:val="none"/>
        </w:rPr>
      </w:pPr>
      <w:r>
        <w:rPr>
          <w:rFonts w:ascii="Times New Roman" w:hAnsi="Times New Roman"/>
          <w:b/>
          <w:noProof/>
        </w:rPr>
        <w:t xml:space="preserve">Valstybės narės raginamos geriau nustatyti investicijų poreikius ir </w:t>
      </w:r>
      <w:r>
        <w:rPr>
          <w:rFonts w:ascii="Times New Roman" w:hAnsi="Times New Roman"/>
          <w:b/>
          <w:noProof/>
          <w:color w:val="000000"/>
        </w:rPr>
        <w:t>parengti išsamesnes strategijas, kaip pritraukti viešąsias ir privačiąsias investicijas, kurių reikia NEKSVP įgyvendinimui remti</w:t>
      </w:r>
      <w:r>
        <w:rPr>
          <w:rFonts w:ascii="Times New Roman" w:hAnsi="Times New Roman"/>
          <w:noProof/>
          <w:color w:val="000000"/>
        </w:rPr>
        <w:t xml:space="preserve">, be kita ko, pasinaudojant, pavyzdžiui, Europos energijos vartojimo efektyvumo finansavimo koalicijos nacionaliniais centrais. Tai taip pat turėtų padėti padidinti nacionalinių ir ES išlaidų veiksmingumą įgyvendinant kitą DFP. </w:t>
      </w:r>
    </w:p>
    <w:p w14:paraId="340536BD" w14:textId="77777777" w:rsidR="005E019D" w:rsidRPr="005E019D" w:rsidRDefault="005E019D" w:rsidP="005E019D">
      <w:pPr>
        <w:pBdr>
          <w:top w:val="single" w:sz="4" w:space="1" w:color="auto"/>
          <w:left w:val="single" w:sz="4" w:space="4" w:color="auto"/>
          <w:bottom w:val="single" w:sz="4" w:space="1" w:color="auto"/>
          <w:right w:val="single" w:sz="4" w:space="4" w:color="auto"/>
        </w:pBdr>
        <w:spacing w:before="120" w:after="0" w:line="240" w:lineRule="auto"/>
        <w:jc w:val="both"/>
        <w:rPr>
          <w:rFonts w:ascii="Times New Roman" w:eastAsia="Times New Roman" w:hAnsi="Times New Roman" w:cs="Times New Roman"/>
          <w:noProof/>
          <w:color w:val="000000"/>
          <w:kern w:val="0"/>
          <w14:ligatures w14:val="none"/>
        </w:rPr>
      </w:pPr>
      <w:r>
        <w:rPr>
          <w:rFonts w:ascii="Times New Roman" w:hAnsi="Times New Roman"/>
          <w:noProof/>
          <w:color w:val="000000"/>
        </w:rPr>
        <w:t xml:space="preserve">Komisija rekomenduos valstybėms narėms nustatyti </w:t>
      </w:r>
      <w:r>
        <w:rPr>
          <w:rFonts w:ascii="Times New Roman" w:hAnsi="Times New Roman"/>
          <w:b/>
          <w:noProof/>
          <w:color w:val="000000"/>
        </w:rPr>
        <w:t>mokesčių sistemas</w:t>
      </w:r>
      <w:r>
        <w:rPr>
          <w:rFonts w:ascii="Times New Roman" w:hAnsi="Times New Roman"/>
          <w:noProof/>
          <w:color w:val="000000"/>
        </w:rPr>
        <w:t xml:space="preserve"> švariam verslui remti, kurios gali padėti sutelkti finansavimą. </w:t>
      </w:r>
    </w:p>
    <w:p w14:paraId="4711BECF" w14:textId="77777777" w:rsidR="005E019D" w:rsidRPr="005E019D" w:rsidRDefault="005E019D" w:rsidP="005E019D">
      <w:pPr>
        <w:pBdr>
          <w:top w:val="single" w:sz="4" w:space="1" w:color="auto"/>
          <w:left w:val="single" w:sz="4" w:space="4" w:color="auto"/>
          <w:bottom w:val="single" w:sz="4" w:space="1" w:color="auto"/>
          <w:right w:val="single" w:sz="4" w:space="4" w:color="auto"/>
        </w:pBdr>
        <w:spacing w:before="120" w:after="0" w:line="240" w:lineRule="auto"/>
        <w:jc w:val="both"/>
        <w:rPr>
          <w:rFonts w:ascii="Times New Roman" w:eastAsia="Times New Roman" w:hAnsi="Times New Roman" w:cs="Times New Roman"/>
          <w:noProof/>
          <w:color w:val="000000"/>
          <w:kern w:val="0"/>
          <w14:ligatures w14:val="none"/>
        </w:rPr>
      </w:pPr>
      <w:r>
        <w:rPr>
          <w:rFonts w:ascii="Times New Roman" w:hAnsi="Times New Roman"/>
          <w:noProof/>
          <w:color w:val="000000"/>
        </w:rPr>
        <w:t xml:space="preserve">Įgyvendindamos NEKSVP, valstybės narės gali pasinaudoti </w:t>
      </w:r>
      <w:r>
        <w:rPr>
          <w:rFonts w:ascii="Times New Roman" w:hAnsi="Times New Roman"/>
          <w:b/>
          <w:noProof/>
          <w:color w:val="000000"/>
        </w:rPr>
        <w:t>techninės paramos priemone</w:t>
      </w:r>
      <w:r>
        <w:rPr>
          <w:rFonts w:ascii="Times New Roman" w:hAnsi="Times New Roman"/>
          <w:noProof/>
          <w:color w:val="000000"/>
        </w:rPr>
        <w:t xml:space="preserve">, pagal kurią gali būti teikiamos specialiai pritaikytos ekspertinės žinios, kurių reikia siekiant įgyvendinti </w:t>
      </w:r>
      <w:r>
        <w:rPr>
          <w:rFonts w:ascii="Times New Roman" w:hAnsi="Times New Roman"/>
          <w:noProof/>
        </w:rPr>
        <w:t>politiką ir priemones ir nustatyti bei sutelkti pagrindinius finansavimo šaltinius.</w:t>
      </w:r>
    </w:p>
    <w:p w14:paraId="0ED1F65A" w14:textId="77777777" w:rsidR="005E019D" w:rsidRPr="005E019D" w:rsidRDefault="005E019D" w:rsidP="005E019D">
      <w:pPr>
        <w:spacing w:before="120" w:after="0" w:line="240" w:lineRule="auto"/>
        <w:jc w:val="both"/>
        <w:rPr>
          <w:rFonts w:ascii="Times New Roman" w:eastAsia="Yu Mincho" w:hAnsi="Times New Roman" w:cs="Times New Roman"/>
          <w:noProof/>
          <w:kern w:val="0"/>
          <w14:ligatures w14:val="none"/>
        </w:rPr>
      </w:pPr>
    </w:p>
    <w:p w14:paraId="27E4846F" w14:textId="77777777" w:rsidR="005E019D" w:rsidRPr="005E019D" w:rsidRDefault="005E019D" w:rsidP="005E019D">
      <w:pPr>
        <w:keepNext/>
        <w:keepLines/>
        <w:numPr>
          <w:ilvl w:val="1"/>
          <w:numId w:val="0"/>
        </w:numPr>
        <w:spacing w:before="40" w:after="240" w:line="240" w:lineRule="auto"/>
        <w:ind w:left="576" w:hanging="576"/>
        <w:jc w:val="both"/>
        <w:outlineLvl w:val="1"/>
        <w:rPr>
          <w:rFonts w:ascii="Times New Roman" w:eastAsia="Yu Gothic Light" w:hAnsi="Times New Roman" w:cs="Times New Roman"/>
          <w:b/>
          <w:bCs/>
          <w:noProof/>
          <w:color w:val="000000"/>
          <w:kern w:val="0"/>
          <w14:ligatures w14:val="none"/>
        </w:rPr>
      </w:pPr>
      <w:r>
        <w:rPr>
          <w:rFonts w:ascii="Times New Roman" w:hAnsi="Times New Roman"/>
          <w:b/>
          <w:noProof/>
          <w:color w:val="000000"/>
        </w:rPr>
        <w:t>Konkurencingumas, moksliniai tyrimai ir inovacijos</w:t>
      </w:r>
    </w:p>
    <w:p w14:paraId="04B95079" w14:textId="77777777" w:rsidR="005E019D" w:rsidRPr="005E019D" w:rsidRDefault="005E019D" w:rsidP="005E019D">
      <w:pPr>
        <w:spacing w:after="120" w:line="264" w:lineRule="auto"/>
        <w:jc w:val="both"/>
        <w:rPr>
          <w:rFonts w:ascii="Times New Roman" w:eastAsia="Times New Roman" w:hAnsi="Times New Roman" w:cs="Times New Roman"/>
          <w:noProof/>
          <w:color w:val="000000"/>
          <w:kern w:val="0"/>
          <w14:ligatures w14:val="none"/>
        </w:rPr>
      </w:pPr>
      <w:r>
        <w:rPr>
          <w:rFonts w:ascii="Times New Roman" w:hAnsi="Times New Roman"/>
          <w:b/>
          <w:noProof/>
          <w:color w:val="000000"/>
        </w:rPr>
        <w:t>Europa turi pripažintą sėkmės istoriją švarios energijos technologijų ir inovacijų srityje.</w:t>
      </w:r>
      <w:r>
        <w:rPr>
          <w:rFonts w:ascii="Times New Roman" w:hAnsi="Times New Roman"/>
          <w:noProof/>
          <w:color w:val="000000"/>
        </w:rPr>
        <w:t xml:space="preserve"> Vis dėlto ji turi pagerinti pagrindines sąlygas, kad būtų galima veiksmingai teikti rinkai inovatyviuosius produktus, o įmonės galėtų plėstis, įgyvendindama ilgalaikę viziją, kurioje atsižvelgiama į tokius klausimus kaip priklausomybė. Tai labai svarbu norint, kad ES įmonės galėtų pasinaudoti galimybėmis, kurias atveria pasaulinė pagrindinių masinei gamybai tinkamų švarių technologijų rinka, kuri, kaip prognozuojama, iki 2035 m. padidės tris kartus ir pasieks maždaug 1,9 trln. EUR metinę vertę</w:t>
      </w:r>
      <w:r>
        <w:rPr>
          <w:rFonts w:ascii="Times New Roman" w:hAnsi="Times New Roman"/>
          <w:noProof/>
          <w:color w:val="000000"/>
          <w:vertAlign w:val="superscript"/>
        </w:rPr>
        <w:t>9</w:t>
      </w:r>
      <w:r>
        <w:rPr>
          <w:rFonts w:ascii="Times New Roman" w:hAnsi="Times New Roman"/>
          <w:noProof/>
          <w:color w:val="000000"/>
        </w:rPr>
        <w:t xml:space="preserve">. </w:t>
      </w:r>
      <w:r>
        <w:rPr>
          <w:rFonts w:ascii="Times New Roman" w:hAnsi="Times New Roman"/>
          <w:noProof/>
        </w:rPr>
        <w:tab/>
      </w:r>
    </w:p>
    <w:p w14:paraId="5450E3A2" w14:textId="77777777" w:rsidR="005E019D" w:rsidRPr="005E019D" w:rsidRDefault="005E019D" w:rsidP="005E019D">
      <w:pPr>
        <w:spacing w:before="120" w:after="120" w:line="276" w:lineRule="auto"/>
        <w:jc w:val="both"/>
        <w:rPr>
          <w:rFonts w:ascii="Times New Roman" w:eastAsia="Yu Mincho" w:hAnsi="Times New Roman" w:cs="Times New Roman"/>
          <w:b/>
          <w:noProof/>
          <w:kern w:val="0"/>
          <w14:ligatures w14:val="none"/>
        </w:rPr>
      </w:pPr>
      <w:r>
        <w:rPr>
          <w:rFonts w:ascii="Times New Roman" w:hAnsi="Times New Roman"/>
          <w:b/>
          <w:noProof/>
        </w:rPr>
        <w:t xml:space="preserve">Iš galutinių planų matyti, kad valstybės narės daugiau dėmesio skiria pramonės konkurencingumo rėmimui visame perėjimo prie švarios energijos procese. </w:t>
      </w:r>
      <w:r>
        <w:rPr>
          <w:rFonts w:ascii="Times New Roman" w:hAnsi="Times New Roman"/>
          <w:noProof/>
        </w:rPr>
        <w:t>Šiuose planuose</w:t>
      </w:r>
      <w:r>
        <w:rPr>
          <w:rFonts w:ascii="Times New Roman" w:hAnsi="Times New Roman"/>
          <w:b/>
          <w:noProof/>
        </w:rPr>
        <w:t xml:space="preserve"> </w:t>
      </w:r>
      <w:r>
        <w:rPr>
          <w:rFonts w:ascii="Times New Roman" w:hAnsi="Times New Roman"/>
          <w:noProof/>
          <w:color w:val="000000"/>
        </w:rPr>
        <w:t>išvardytos nacionalinės mokslinių tyrimų ir inovacijų rėmimo strategijos ir priemonės, tačiau daugumoje jų</w:t>
      </w:r>
      <w:r w:rsidRPr="005E019D">
        <w:rPr>
          <w:rFonts w:ascii="Times New Roman" w:eastAsia="Yu Mincho" w:hAnsi="Times New Roman" w:cs="Times New Roman"/>
          <w:noProof/>
          <w:color w:val="000000"/>
          <w:kern w:val="0"/>
          <w:vertAlign w:val="superscript"/>
          <w:lang w:val="en-GB"/>
        </w:rPr>
        <w:footnoteReference w:id="70"/>
      </w:r>
      <w:r>
        <w:rPr>
          <w:rFonts w:ascii="Times New Roman" w:hAnsi="Times New Roman"/>
          <w:noProof/>
          <w:color w:val="000000"/>
        </w:rPr>
        <w:t xml:space="preserve"> vis dar trūksta finansavimo tikslų, pagal kuriuos nustatomos konkrečios trajektorijos iki 2030 m., pavyzdžiui, susijusios su viešosiomis išlaidomis tyrimams ir technologinei plėtrai pagal energetikos ir klimato srities programas. Juose taip pat nėra 2050 m. perspektyvos, kuri paspartintų švarios energijos technologijų kūrimą ir gamybą ir skatintų perėjimą prie neutralaus poveikio klimatui ekonomikos.</w:t>
      </w:r>
    </w:p>
    <w:p w14:paraId="3E39A81A" w14:textId="77777777" w:rsidR="005E019D" w:rsidRPr="005E019D" w:rsidRDefault="005E019D" w:rsidP="005E019D">
      <w:pPr>
        <w:spacing w:before="120" w:after="120" w:line="276" w:lineRule="auto"/>
        <w:jc w:val="both"/>
        <w:rPr>
          <w:rFonts w:ascii="Times New Roman" w:eastAsia="Times New Roman" w:hAnsi="Times New Roman" w:cs="Times New Roman"/>
          <w:noProof/>
          <w:color w:val="000000"/>
          <w:kern w:val="0"/>
          <w14:ligatures w14:val="none"/>
        </w:rPr>
      </w:pPr>
      <w:r>
        <w:rPr>
          <w:rFonts w:ascii="Times New Roman" w:hAnsi="Times New Roman"/>
          <w:noProof/>
        </w:rPr>
        <w:t xml:space="preserve">Daugumoje planų atsižvelgiama į Komisijos rekomendacijas ir pateikiamos </w:t>
      </w:r>
      <w:r>
        <w:rPr>
          <w:rFonts w:ascii="Times New Roman" w:hAnsi="Times New Roman"/>
          <w:b/>
          <w:noProof/>
          <w:color w:val="000000"/>
        </w:rPr>
        <w:t>aiškios poveikio klimatui neutralizavimo projektų ir švarių technologijų plėtros skatinimo priemonės</w:t>
      </w:r>
      <w:r>
        <w:rPr>
          <w:rFonts w:ascii="Times New Roman" w:hAnsi="Times New Roman"/>
          <w:noProof/>
          <w:color w:val="000000"/>
        </w:rPr>
        <w:t>, o kai kuriuose iš jų</w:t>
      </w:r>
      <w:r>
        <w:rPr>
          <w:rFonts w:ascii="Times New Roman" w:hAnsi="Times New Roman"/>
          <w:b/>
          <w:noProof/>
          <w:color w:val="000000"/>
        </w:rPr>
        <w:t xml:space="preserve"> </w:t>
      </w:r>
      <w:r>
        <w:rPr>
          <w:rFonts w:ascii="Times New Roman" w:hAnsi="Times New Roman"/>
          <w:noProof/>
        </w:rPr>
        <w:t>ypatingas dėmesys skiriamas energijai imlioms pramonės šakoms</w:t>
      </w:r>
      <w:r w:rsidRPr="005E019D">
        <w:rPr>
          <w:rFonts w:ascii="Times New Roman" w:eastAsia="Yu Mincho" w:hAnsi="Times New Roman" w:cs="Times New Roman"/>
          <w:noProof/>
          <w:kern w:val="0"/>
          <w:vertAlign w:val="superscript"/>
          <w:lang w:val="en-GB"/>
        </w:rPr>
        <w:footnoteReference w:id="71"/>
      </w:r>
      <w:r>
        <w:rPr>
          <w:rFonts w:ascii="Times New Roman" w:hAnsi="Times New Roman"/>
          <w:noProof/>
        </w:rPr>
        <w:t>. Nurodytos priemonės apima paramą investicijoms ir veiksmams, kuriais siekiama paspartinti leidimų išdavimą</w:t>
      </w:r>
      <w:r w:rsidRPr="005E019D">
        <w:rPr>
          <w:rFonts w:ascii="Times New Roman" w:eastAsia="Yu Mincho" w:hAnsi="Times New Roman" w:cs="Times New Roman"/>
          <w:noProof/>
          <w:kern w:val="0"/>
          <w:vertAlign w:val="superscript"/>
          <w:lang w:val="en-GB"/>
        </w:rPr>
        <w:footnoteReference w:id="72"/>
      </w:r>
      <w:r>
        <w:rPr>
          <w:rFonts w:ascii="Times New Roman" w:hAnsi="Times New Roman"/>
          <w:noProof/>
        </w:rPr>
        <w:t xml:space="preserve"> infrastruktūros objektų statybai arba švarių technologijų projektams.  </w:t>
      </w:r>
    </w:p>
    <w:p w14:paraId="44F2B6A6" w14:textId="77777777" w:rsidR="005E019D" w:rsidRPr="005E019D" w:rsidRDefault="005E019D" w:rsidP="005E019D">
      <w:pPr>
        <w:spacing w:after="120" w:line="264" w:lineRule="auto"/>
        <w:jc w:val="both"/>
        <w:rPr>
          <w:rFonts w:ascii="Times New Roman" w:eastAsia="Yu Mincho" w:hAnsi="Times New Roman" w:cs="Times New Roman"/>
          <w:noProof/>
          <w:color w:val="000000"/>
          <w:kern w:val="0"/>
          <w14:ligatures w14:val="none"/>
        </w:rPr>
      </w:pPr>
      <w:r>
        <w:rPr>
          <w:rFonts w:ascii="Times New Roman" w:hAnsi="Times New Roman"/>
          <w:b/>
          <w:noProof/>
          <w:color w:val="000000"/>
        </w:rPr>
        <w:t>Kalbant apie konkurencingas ir atsparias švarios energijos technologijų tiekimo grandines</w:t>
      </w:r>
      <w:r>
        <w:rPr>
          <w:rFonts w:ascii="Times New Roman" w:hAnsi="Times New Roman"/>
          <w:noProof/>
          <w:color w:val="000000"/>
        </w:rPr>
        <w:t>, išskyrus kai kurias išimtis</w:t>
      </w:r>
      <w:r w:rsidRPr="005E019D">
        <w:rPr>
          <w:rFonts w:ascii="Times New Roman" w:eastAsia="Yu Mincho" w:hAnsi="Times New Roman" w:cs="Times New Roman"/>
          <w:noProof/>
          <w:color w:val="000000"/>
          <w:kern w:val="0"/>
          <w:vertAlign w:val="superscript"/>
          <w:lang w:val="en-US"/>
        </w:rPr>
        <w:footnoteReference w:id="73"/>
      </w:r>
      <w:r>
        <w:rPr>
          <w:rFonts w:ascii="Times New Roman" w:hAnsi="Times New Roman"/>
          <w:noProof/>
          <w:color w:val="000000"/>
        </w:rPr>
        <w:t>, planuose iš tiesų neatspindėtos konkrečios priemonės, kurios padėtų didinti švarios energijos technologijų, įrangos ir komponentų gamybą ir užtikrinti valstybių narių tiekimo grandinių atsparumą. Vis dėlto dauguma valstybių narių į savo planus įtraukia žiedinės ekonomikos strategijas ir veiksmus, būtinus priklausomybei mažinti ir prieigai prie žaliavų užtikrinti. Informacijos apie šias priemones išsamumo lygis nevienodas, o faktinis jų poveikis (ekonominis, susijęs su išmetamųjų teršalų kiekio mažinimu) retai įvertinamas kiekybiškai.</w:t>
      </w:r>
    </w:p>
    <w:p w14:paraId="2E55E9E7" w14:textId="77777777" w:rsidR="005E019D" w:rsidRPr="005E019D" w:rsidRDefault="005E019D" w:rsidP="005E019D">
      <w:pPr>
        <w:spacing w:after="120" w:line="264" w:lineRule="auto"/>
        <w:jc w:val="both"/>
        <w:rPr>
          <w:rFonts w:ascii="Times New Roman" w:eastAsia="Yu Mincho" w:hAnsi="Times New Roman" w:cs="Times New Roman"/>
          <w:noProof/>
          <w:kern w:val="0"/>
          <w14:ligatures w14:val="none"/>
        </w:rPr>
      </w:pPr>
      <w:r>
        <w:rPr>
          <w:rFonts w:ascii="Times New Roman" w:hAnsi="Times New Roman"/>
          <w:noProof/>
          <w:color w:val="000000"/>
        </w:rPr>
        <w:t xml:space="preserve">Energetikos sistemos skaitmenizacija atlieka svarbų vaidmenį daugelyje planų: </w:t>
      </w:r>
      <w:r>
        <w:rPr>
          <w:rFonts w:ascii="Times New Roman" w:hAnsi="Times New Roman"/>
          <w:b/>
          <w:noProof/>
          <w:color w:val="000000"/>
        </w:rPr>
        <w:t>kelios valstybės narės planuoja aiškias priemones tinklo infrastruktūros skaitmenizacijai stiprinti</w:t>
      </w:r>
      <w:r w:rsidRPr="005E019D">
        <w:rPr>
          <w:rFonts w:ascii="Times New Roman" w:eastAsia="Yu Mincho" w:hAnsi="Times New Roman" w:cs="Times New Roman"/>
          <w:noProof/>
          <w:color w:val="000000"/>
          <w:kern w:val="0"/>
          <w:vertAlign w:val="superscript"/>
        </w:rPr>
        <w:footnoteReference w:id="74"/>
      </w:r>
      <w:r>
        <w:rPr>
          <w:rFonts w:ascii="Times New Roman" w:hAnsi="Times New Roman"/>
          <w:noProof/>
          <w:color w:val="000000"/>
        </w:rPr>
        <w:t>, o kitos</w:t>
      </w:r>
      <w:r w:rsidRPr="005E019D">
        <w:rPr>
          <w:rFonts w:ascii="Times New Roman" w:eastAsia="Yu Mincho" w:hAnsi="Times New Roman" w:cs="Times New Roman"/>
          <w:noProof/>
          <w:color w:val="000000"/>
          <w:kern w:val="0"/>
          <w:vertAlign w:val="superscript"/>
        </w:rPr>
        <w:footnoteReference w:id="75"/>
      </w:r>
      <w:r>
        <w:rPr>
          <w:rFonts w:ascii="Times New Roman" w:hAnsi="Times New Roman"/>
          <w:noProof/>
          <w:color w:val="000000"/>
        </w:rPr>
        <w:t xml:space="preserve"> teikia pirmenybę saulės energijos technologijų diegimo pastatų sektoriuje skaitmenizacijai.</w:t>
      </w:r>
    </w:p>
    <w:p w14:paraId="30FB1677" w14:textId="77777777" w:rsidR="005E019D" w:rsidRPr="005E019D" w:rsidRDefault="005E019D" w:rsidP="005E019D">
      <w:pPr>
        <w:spacing w:after="120" w:line="264" w:lineRule="auto"/>
        <w:jc w:val="both"/>
        <w:rPr>
          <w:rFonts w:ascii="Times New Roman" w:eastAsia="Yu Mincho" w:hAnsi="Times New Roman" w:cs="Times New Roman"/>
          <w:noProof/>
          <w:color w:val="000000"/>
          <w:kern w:val="0"/>
          <w14:ligatures w14:val="none"/>
        </w:rPr>
      </w:pPr>
      <w:r>
        <w:rPr>
          <w:rFonts w:ascii="Times New Roman" w:hAnsi="Times New Roman"/>
          <w:b/>
          <w:noProof/>
          <w:color w:val="000000"/>
        </w:rPr>
        <w:t>Daugumoje planų taip pat daug dėmesio skiriama bendradarbiavimui inovacijų srityje</w:t>
      </w:r>
      <w:r w:rsidRPr="005E019D">
        <w:rPr>
          <w:rFonts w:ascii="Times New Roman" w:eastAsia="Yu Mincho" w:hAnsi="Times New Roman" w:cs="Times New Roman"/>
          <w:noProof/>
          <w:color w:val="000000"/>
          <w:kern w:val="0"/>
          <w:vertAlign w:val="superscript"/>
          <w:lang w:val="en-US"/>
        </w:rPr>
        <w:footnoteReference w:id="76"/>
      </w:r>
      <w:r>
        <w:rPr>
          <w:rFonts w:ascii="Times New Roman" w:hAnsi="Times New Roman"/>
          <w:b/>
          <w:noProof/>
          <w:color w:val="000000"/>
        </w:rPr>
        <w:t xml:space="preserve">. </w:t>
      </w:r>
      <w:r>
        <w:rPr>
          <w:rFonts w:ascii="Times New Roman" w:hAnsi="Times New Roman"/>
          <w:noProof/>
          <w:color w:val="000000"/>
        </w:rPr>
        <w:t>Valstybės narės įsitraukia į ES masto iniciatyvas, pavyzdžiui, neseniai atnaujintą Europos strateginio energetikos technologijų planą, kuriuo siekiama skatinti inovacijas, suderinti valstybių narių mokslinių tyrimų darbotvarkes ir dalytis geriausia patirtimi. Nepaisydamos tokių iššūkių, kaip didelės inovacijų išlaidos ir reguliavimo kliūtys, ir siekdamos skatinti pažangą, valstybės narės naudojasi ES finansavimo mechanizmais, pavyzdžiui, programa „Europos horizontas“, Inovacijų fondu ir Ekonomikos gaivinimo ir atsparumo didinimo priemone, ir skatina viešojo ir privačiojo sektorių partnerystę. ES programos papildo nacionalinį ir regioninį finansavimą.</w:t>
      </w:r>
    </w:p>
    <w:p w14:paraId="2B999B03" w14:textId="77777777" w:rsidR="005E019D" w:rsidRPr="005E019D" w:rsidRDefault="005E019D" w:rsidP="005E019D">
      <w:pPr>
        <w:spacing w:after="120" w:line="264" w:lineRule="auto"/>
        <w:jc w:val="both"/>
        <w:rPr>
          <w:rFonts w:ascii="Times New Roman" w:eastAsia="Yu Mincho" w:hAnsi="Times New Roman" w:cs="Times New Roman"/>
          <w:noProof/>
          <w:color w:val="000000"/>
          <w:kern w:val="0"/>
          <w14:ligatures w14:val="none"/>
        </w:rPr>
      </w:pPr>
      <w:r>
        <w:rPr>
          <w:rFonts w:ascii="Times New Roman" w:hAnsi="Times New Roman"/>
          <w:noProof/>
          <w:color w:val="000000"/>
        </w:rPr>
        <w:t xml:space="preserve">Galiausiai vis svarbesnis prioritetas yra darbo jėgos tobulėjimas, nes pereinant prie neutralaus poveikio klimatui ekonomikos reikia naujų įgūdžių. Tačiau </w:t>
      </w:r>
      <w:r>
        <w:rPr>
          <w:rFonts w:ascii="Times New Roman" w:hAnsi="Times New Roman"/>
          <w:b/>
          <w:noProof/>
          <w:color w:val="000000"/>
        </w:rPr>
        <w:t>tik kai kurios valstybės narės</w:t>
      </w:r>
      <w:r w:rsidRPr="005E019D">
        <w:rPr>
          <w:rFonts w:ascii="Times New Roman" w:eastAsia="Yu Mincho" w:hAnsi="Times New Roman" w:cs="Times New Roman"/>
          <w:b/>
          <w:noProof/>
          <w:color w:val="000000"/>
          <w:kern w:val="0"/>
          <w:vertAlign w:val="superscript"/>
          <w:lang w:val="en-US"/>
        </w:rPr>
        <w:footnoteReference w:id="77"/>
      </w:r>
      <w:r>
        <w:rPr>
          <w:rFonts w:ascii="Times New Roman" w:hAnsi="Times New Roman"/>
          <w:b/>
          <w:noProof/>
          <w:color w:val="000000"/>
        </w:rPr>
        <w:t xml:space="preserve"> iš tikrųjų užsibrėžė tikslus pašalinti įgūdžių spragas,</w:t>
      </w:r>
      <w:r>
        <w:rPr>
          <w:rFonts w:ascii="Times New Roman" w:hAnsi="Times New Roman"/>
          <w:noProof/>
          <w:color w:val="000000"/>
        </w:rPr>
        <w:t xml:space="preserve"> nustatytas tokiuose strateginiuose sektoriuose, kaip švarios energijos technologijos,</w:t>
      </w:r>
      <w:r>
        <w:rPr>
          <w:rFonts w:ascii="Times New Roman" w:hAnsi="Times New Roman"/>
          <w:b/>
          <w:noProof/>
          <w:color w:val="000000"/>
        </w:rPr>
        <w:t xml:space="preserve"> ir skyrė jiems specialų finansavimą</w:t>
      </w:r>
      <w:r>
        <w:rPr>
          <w:rFonts w:ascii="Times New Roman" w:hAnsi="Times New Roman"/>
          <w:noProof/>
          <w:color w:val="000000"/>
        </w:rPr>
        <w:t>.</w:t>
      </w:r>
    </w:p>
    <w:p w14:paraId="3EDC9C61" w14:textId="77777777" w:rsidR="005E019D" w:rsidRPr="005E019D" w:rsidRDefault="005E019D" w:rsidP="005E019D">
      <w:pPr>
        <w:pBdr>
          <w:top w:val="single" w:sz="4" w:space="1" w:color="auto"/>
          <w:left w:val="single" w:sz="4" w:space="4" w:color="auto"/>
          <w:bottom w:val="single" w:sz="4" w:space="1" w:color="auto"/>
          <w:right w:val="single" w:sz="4" w:space="4" w:color="auto"/>
        </w:pBdr>
        <w:spacing w:after="120" w:line="264" w:lineRule="auto"/>
        <w:jc w:val="both"/>
        <w:rPr>
          <w:rFonts w:ascii="Times New Roman" w:eastAsia="Times New Roman" w:hAnsi="Times New Roman" w:cs="Times New Roman"/>
          <w:b/>
          <w:noProof/>
          <w:color w:val="000000"/>
          <w:kern w:val="0"/>
          <w14:ligatures w14:val="none"/>
        </w:rPr>
      </w:pPr>
      <w:r>
        <w:rPr>
          <w:rFonts w:ascii="Times New Roman" w:hAnsi="Times New Roman"/>
          <w:b/>
          <w:noProof/>
          <w:color w:val="000000"/>
        </w:rPr>
        <w:t>Tolesni veiksmai</w:t>
      </w:r>
    </w:p>
    <w:p w14:paraId="30680A5C" w14:textId="77777777" w:rsidR="005E019D" w:rsidRPr="005E019D" w:rsidRDefault="005E019D" w:rsidP="005E019D">
      <w:pPr>
        <w:pBdr>
          <w:top w:val="single" w:sz="4" w:space="1" w:color="auto"/>
          <w:left w:val="single" w:sz="4" w:space="4" w:color="auto"/>
          <w:bottom w:val="single" w:sz="4" w:space="1" w:color="auto"/>
          <w:right w:val="single" w:sz="4" w:space="4" w:color="auto"/>
        </w:pBdr>
        <w:spacing w:after="120" w:line="264" w:lineRule="auto"/>
        <w:jc w:val="both"/>
        <w:rPr>
          <w:rFonts w:ascii="Times New Roman" w:eastAsia="Times New Roman" w:hAnsi="Times New Roman" w:cs="Times New Roman"/>
          <w:i/>
          <w:noProof/>
          <w:color w:val="000000"/>
          <w:kern w:val="0"/>
          <w14:ligatures w14:val="none"/>
        </w:rPr>
      </w:pPr>
      <w:r>
        <w:rPr>
          <w:rFonts w:ascii="Times New Roman" w:hAnsi="Times New Roman"/>
          <w:i/>
          <w:noProof/>
          <w:color w:val="000000"/>
        </w:rPr>
        <w:t>Iš galutinių planų matyti, kad daugiau dėmesio skiriama inovacijoms ir konkurencingumui, tiekimo grandinių plėtrai ir pertvarkai reikalingiems įgūdžiams. Vis dėlto, išskyrus tam tikras išimtis, pakankamai konkretūs ir įgyvendinami tikslai šiose srityse dažnai nėra įtraukti į planus.</w:t>
      </w:r>
    </w:p>
    <w:p w14:paraId="22622C16" w14:textId="77777777" w:rsidR="005E019D" w:rsidRPr="005E019D" w:rsidRDefault="005E019D" w:rsidP="005E019D">
      <w:pPr>
        <w:pBdr>
          <w:top w:val="single" w:sz="4" w:space="1" w:color="auto"/>
          <w:left w:val="single" w:sz="4" w:space="4" w:color="auto"/>
          <w:bottom w:val="single" w:sz="4" w:space="1" w:color="auto"/>
          <w:right w:val="single" w:sz="4" w:space="4" w:color="auto"/>
        </w:pBdr>
        <w:spacing w:after="120" w:line="264" w:lineRule="auto"/>
        <w:jc w:val="both"/>
        <w:rPr>
          <w:rFonts w:ascii="Times New Roman" w:eastAsia="Times New Roman" w:hAnsi="Times New Roman" w:cs="Times New Roman"/>
          <w:noProof/>
          <w:color w:val="000000"/>
          <w:kern w:val="0"/>
          <w14:ligatures w14:val="none"/>
        </w:rPr>
      </w:pPr>
      <w:r>
        <w:rPr>
          <w:rFonts w:ascii="Times New Roman" w:hAnsi="Times New Roman"/>
          <w:b/>
          <w:noProof/>
          <w:color w:val="000000"/>
        </w:rPr>
        <w:t>Įgyvendindama švarios pramonės kursą, Komisija imsis tolesnių veiksmų, kad padidintų Europos švarių technologijų ir energijai imlių pramonės šakų konkurencingumą.</w:t>
      </w:r>
      <w:r>
        <w:rPr>
          <w:rFonts w:ascii="Times New Roman" w:hAnsi="Times New Roman"/>
          <w:noProof/>
          <w:color w:val="000000"/>
        </w:rPr>
        <w:t xml:space="preserve"> </w:t>
      </w:r>
      <w:r>
        <w:rPr>
          <w:rFonts w:ascii="Times New Roman" w:hAnsi="Times New Roman"/>
          <w:b/>
          <w:noProof/>
          <w:color w:val="000000"/>
        </w:rPr>
        <w:t>Spartesnio pramonės priklausomybės nuo iškastinio kuro mažinimo aktu</w:t>
      </w:r>
      <w:r>
        <w:rPr>
          <w:rFonts w:ascii="Times New Roman" w:hAnsi="Times New Roman"/>
          <w:noProof/>
          <w:color w:val="000000"/>
        </w:rPr>
        <w:t xml:space="preserve"> bus nustatyti atsparumo ir tvarumo kriterijai, kad būtų skatinamas Europoje pagamintos švarios energijos tiekimas energijai imliems sektoriams, ir sukurtas savanoriškas pramonės produktų taršos anglies dioksidu intensyvumo žymėjimo ženklas. Valstybės narės taip pat galėtų juos taikyti rengdamos mokesčių paskatas ir kitas paramos sistemas pagal valstybės pagalbos taisykles. </w:t>
      </w:r>
      <w:r>
        <w:rPr>
          <w:rFonts w:ascii="Times New Roman" w:hAnsi="Times New Roman"/>
          <w:b/>
          <w:noProof/>
          <w:color w:val="000000"/>
        </w:rPr>
        <w:t>Komisija</w:t>
      </w:r>
      <w:r>
        <w:rPr>
          <w:rFonts w:ascii="Times New Roman" w:hAnsi="Times New Roman"/>
          <w:noProof/>
          <w:color w:val="000000"/>
        </w:rPr>
        <w:t xml:space="preserve"> įvertins, kaip padidinti </w:t>
      </w:r>
      <w:r>
        <w:rPr>
          <w:rFonts w:ascii="Times New Roman" w:hAnsi="Times New Roman"/>
          <w:b/>
          <w:noProof/>
          <w:color w:val="000000"/>
        </w:rPr>
        <w:t>efektyviai energiją vartojančios pramonės</w:t>
      </w:r>
      <w:r>
        <w:rPr>
          <w:rFonts w:ascii="Times New Roman" w:hAnsi="Times New Roman"/>
          <w:noProof/>
          <w:color w:val="000000"/>
        </w:rPr>
        <w:t>, kuri daugiausia įsikūrusi Europoje (o tai reiškia, kad ES turi akivaizdų konkurencinį pranašumą), konkurencingumą.</w:t>
      </w:r>
    </w:p>
    <w:p w14:paraId="2B421877" w14:textId="77777777" w:rsidR="005E019D" w:rsidRPr="005E019D" w:rsidRDefault="005E019D" w:rsidP="005E019D">
      <w:pPr>
        <w:pBdr>
          <w:top w:val="single" w:sz="4" w:space="1" w:color="auto"/>
          <w:left w:val="single" w:sz="4" w:space="4" w:color="auto"/>
          <w:bottom w:val="single" w:sz="4" w:space="1" w:color="auto"/>
          <w:right w:val="single" w:sz="4" w:space="4" w:color="auto"/>
        </w:pBdr>
        <w:spacing w:after="120" w:line="264" w:lineRule="auto"/>
        <w:jc w:val="both"/>
        <w:rPr>
          <w:rFonts w:ascii="Times New Roman" w:eastAsia="Times New Roman" w:hAnsi="Times New Roman" w:cs="Times New Roman"/>
          <w:noProof/>
          <w:color w:val="000000"/>
          <w:kern w:val="0"/>
          <w14:ligatures w14:val="none"/>
        </w:rPr>
      </w:pPr>
      <w:r>
        <w:rPr>
          <w:rFonts w:ascii="Times New Roman" w:hAnsi="Times New Roman"/>
          <w:b/>
          <w:noProof/>
          <w:color w:val="000000"/>
        </w:rPr>
        <w:t>Komisija taip pat glaudžiai bendradarbiaus su valstybėmis narėmis siekdama paspartinti naujų bendriems Europos interesams svarbių projektų (BEISP) rengimą</w:t>
      </w:r>
      <w:r>
        <w:rPr>
          <w:rFonts w:ascii="Times New Roman" w:hAnsi="Times New Roman"/>
          <w:noProof/>
          <w:color w:val="000000"/>
        </w:rPr>
        <w:t>, kad būtų padidintas pramonės priklausomybės nuo iškastinio kuro mažinimui ir švarių technologijų gamybai ES remti skirtos priemonės veiksmingumas.</w:t>
      </w:r>
    </w:p>
    <w:p w14:paraId="21B16A38" w14:textId="77777777" w:rsidR="005E019D" w:rsidRPr="005E019D" w:rsidRDefault="005E019D" w:rsidP="005E019D">
      <w:pPr>
        <w:pBdr>
          <w:top w:val="single" w:sz="4" w:space="1" w:color="auto"/>
          <w:left w:val="single" w:sz="4" w:space="4" w:color="auto"/>
          <w:bottom w:val="single" w:sz="4" w:space="1" w:color="auto"/>
          <w:right w:val="single" w:sz="4" w:space="4" w:color="auto"/>
        </w:pBdr>
        <w:spacing w:after="120" w:line="264" w:lineRule="auto"/>
        <w:jc w:val="both"/>
        <w:rPr>
          <w:rFonts w:ascii="Times New Roman" w:eastAsia="Yu Mincho" w:hAnsi="Times New Roman" w:cs="Times New Roman"/>
          <w:noProof/>
          <w:color w:val="000000"/>
          <w:kern w:val="0"/>
          <w14:ligatures w14:val="none"/>
        </w:rPr>
      </w:pPr>
      <w:r>
        <w:rPr>
          <w:rFonts w:ascii="Times New Roman" w:hAnsi="Times New Roman"/>
          <w:b/>
          <w:noProof/>
          <w:color w:val="000000"/>
        </w:rPr>
        <w:t>Valstybės narės raginamos didinti nacionalinę švarių produktų paklausą ir įvairinti ypatingos svarbos žaliavų pasiūlą, kartu taikant žiedinės ekonomikos priemones.</w:t>
      </w:r>
      <w:r>
        <w:rPr>
          <w:rFonts w:ascii="Times New Roman" w:hAnsi="Times New Roman"/>
          <w:noProof/>
          <w:color w:val="000000"/>
        </w:rPr>
        <w:t xml:space="preserve"> Tai skatins inovacijos ir nulinio balanso technologijų energijos gamybos komercializaciją, padės dekarbonizuoti pramonę, transportą ir pastatus ir mažinti mūsų priklausomybę, taip pat skatins iškastines žaliavas pakeisti anglimi iš tvarių šaltinių. </w:t>
      </w:r>
    </w:p>
    <w:p w14:paraId="2E44A9C8" w14:textId="77777777" w:rsidR="005E019D" w:rsidRPr="005E019D" w:rsidRDefault="005E019D" w:rsidP="005E019D">
      <w:pPr>
        <w:pBdr>
          <w:top w:val="single" w:sz="4" w:space="1" w:color="auto"/>
          <w:left w:val="single" w:sz="4" w:space="4" w:color="auto"/>
          <w:bottom w:val="single" w:sz="4" w:space="1" w:color="auto"/>
          <w:right w:val="single" w:sz="4" w:space="4" w:color="auto"/>
        </w:pBdr>
        <w:spacing w:after="120" w:line="264" w:lineRule="auto"/>
        <w:jc w:val="both"/>
        <w:rPr>
          <w:rFonts w:ascii="Times New Roman" w:eastAsia="Yu Mincho" w:hAnsi="Times New Roman" w:cs="Times New Roman"/>
          <w:noProof/>
          <w:color w:val="000000"/>
          <w:kern w:val="0"/>
          <w14:ligatures w14:val="none"/>
        </w:rPr>
      </w:pPr>
      <w:r>
        <w:rPr>
          <w:rFonts w:ascii="Times New Roman" w:hAnsi="Times New Roman"/>
          <w:noProof/>
          <w:color w:val="000000"/>
        </w:rPr>
        <w:t>Atsinaujinančiųjų išteklių energijai skatinti, tinklo efektyvumui didinti ir pažangioms priklausomybės nuo iškastinio kuro mažinimo strategijoms remti ES valstybės narės turėtų naudoti naujus ES skaitmeninius išteklius ir duomenų produktus, gaunamus pagal ES kosmoso programą.</w:t>
      </w:r>
    </w:p>
    <w:p w14:paraId="1B32236B" w14:textId="77777777" w:rsidR="005E019D" w:rsidRPr="005E019D" w:rsidRDefault="005E019D" w:rsidP="005E019D">
      <w:pPr>
        <w:pBdr>
          <w:top w:val="single" w:sz="4" w:space="1" w:color="auto"/>
          <w:left w:val="single" w:sz="4" w:space="4" w:color="auto"/>
          <w:bottom w:val="single" w:sz="4" w:space="1" w:color="auto"/>
          <w:right w:val="single" w:sz="4" w:space="4" w:color="auto"/>
        </w:pBdr>
        <w:spacing w:after="120" w:line="264" w:lineRule="auto"/>
        <w:jc w:val="both"/>
        <w:rPr>
          <w:rFonts w:ascii="Times New Roman" w:eastAsia="Yu Mincho" w:hAnsi="Times New Roman" w:cs="Times New Roman"/>
          <w:noProof/>
          <w:color w:val="000000"/>
          <w:kern w:val="0"/>
          <w14:ligatures w14:val="none"/>
        </w:rPr>
      </w:pPr>
      <w:r>
        <w:rPr>
          <w:rFonts w:ascii="Times New Roman" w:hAnsi="Times New Roman"/>
          <w:b/>
          <w:noProof/>
          <w:color w:val="000000"/>
        </w:rPr>
        <w:t>Valstybės narės turėtų toliau paprastinti tiek gamybos pajėgumų, tiek projektų statybos leidimų išdavimo procesą</w:t>
      </w:r>
      <w:r>
        <w:rPr>
          <w:rFonts w:ascii="Times New Roman" w:hAnsi="Times New Roman"/>
          <w:noProof/>
          <w:color w:val="000000"/>
        </w:rPr>
        <w:t xml:space="preserve"> ir išlaikyti patikimą detalų švarios energijos projektų aukcionų tvarkaraštį, taip užtikrindamos atsparumą, saugumą ir aplinkosauginį tvarumą.</w:t>
      </w:r>
    </w:p>
    <w:p w14:paraId="6D857777" w14:textId="77777777" w:rsidR="005E019D" w:rsidRPr="005E019D" w:rsidRDefault="005E019D" w:rsidP="005E019D">
      <w:pPr>
        <w:pBdr>
          <w:top w:val="single" w:sz="4" w:space="1" w:color="auto"/>
          <w:left w:val="single" w:sz="4" w:space="4" w:color="auto"/>
          <w:bottom w:val="single" w:sz="4" w:space="1" w:color="auto"/>
          <w:right w:val="single" w:sz="4" w:space="4" w:color="auto"/>
        </w:pBdr>
        <w:spacing w:after="120" w:line="264" w:lineRule="auto"/>
        <w:jc w:val="both"/>
        <w:rPr>
          <w:rFonts w:ascii="Times New Roman" w:eastAsia="Yu Mincho" w:hAnsi="Times New Roman" w:cs="Times New Roman"/>
          <w:noProof/>
          <w:color w:val="000000"/>
          <w:kern w:val="0"/>
          <w14:ligatures w14:val="none"/>
        </w:rPr>
      </w:pPr>
      <w:r>
        <w:rPr>
          <w:rFonts w:ascii="Times New Roman" w:hAnsi="Times New Roman"/>
          <w:noProof/>
          <w:color w:val="000000"/>
        </w:rPr>
        <w:t xml:space="preserve">Atlikdamos sanglaudos politikos fondų laikotarpio vidurio peržiūrą, </w:t>
      </w:r>
      <w:r>
        <w:rPr>
          <w:rFonts w:ascii="Times New Roman" w:hAnsi="Times New Roman"/>
          <w:b/>
          <w:noProof/>
          <w:color w:val="000000"/>
        </w:rPr>
        <w:t>valstybės narės, turėtų apsvarstyti, kaip geriausiai panaudoti atitinkamą finansavimą, pavyzdžiui, „Europos socialinį fondą +“ (ESF+) ir Teisingos pertvarkos fondą</w:t>
      </w:r>
      <w:r>
        <w:rPr>
          <w:rFonts w:ascii="Times New Roman" w:hAnsi="Times New Roman"/>
          <w:noProof/>
          <w:color w:val="000000"/>
        </w:rPr>
        <w:t>, kad būtų pašalintos su klimato kaita susijusiai ir energetikos pertvarkai reikalingų įgūdžių spragos.</w:t>
      </w:r>
    </w:p>
    <w:p w14:paraId="344507E4" w14:textId="77777777" w:rsidR="005E019D" w:rsidRPr="005E019D" w:rsidRDefault="005E019D" w:rsidP="005E019D">
      <w:pPr>
        <w:pBdr>
          <w:top w:val="single" w:sz="4" w:space="1" w:color="auto"/>
          <w:left w:val="single" w:sz="4" w:space="4" w:color="auto"/>
          <w:bottom w:val="single" w:sz="4" w:space="1" w:color="auto"/>
          <w:right w:val="single" w:sz="4" w:space="4" w:color="auto"/>
        </w:pBdr>
        <w:spacing w:after="120" w:line="264" w:lineRule="auto"/>
        <w:jc w:val="both"/>
        <w:rPr>
          <w:rFonts w:ascii="Times New Roman" w:eastAsia="Times New Roman" w:hAnsi="Times New Roman" w:cs="Times New Roman"/>
          <w:noProof/>
          <w:color w:val="000000"/>
          <w:kern w:val="0"/>
          <w14:ligatures w14:val="none"/>
        </w:rPr>
      </w:pPr>
      <w:r>
        <w:rPr>
          <w:rFonts w:ascii="Times New Roman" w:hAnsi="Times New Roman"/>
          <w:noProof/>
          <w:color w:val="000000"/>
        </w:rPr>
        <w:t xml:space="preserve">Komisija įgyvendins </w:t>
      </w:r>
      <w:r>
        <w:rPr>
          <w:rFonts w:ascii="Times New Roman" w:hAnsi="Times New Roman"/>
          <w:b/>
          <w:noProof/>
          <w:color w:val="000000"/>
        </w:rPr>
        <w:t>įgūdžių sąjungą</w:t>
      </w:r>
      <w:r w:rsidRPr="005E019D">
        <w:rPr>
          <w:noProof/>
          <w:color w:val="000000"/>
          <w:kern w:val="0"/>
        </w:rPr>
        <w:footnoteReference w:id="78"/>
      </w:r>
      <w:r>
        <w:rPr>
          <w:rFonts w:ascii="Times New Roman" w:hAnsi="Times New Roman"/>
          <w:noProof/>
          <w:color w:val="000000"/>
        </w:rPr>
        <w:t>, kad žmonės įgytų įgūdžių, kurių reikia tam, kad būtų galima pasinaudoti perėjimo prie švarios energijos teikiamomis galimybėmis.</w:t>
      </w:r>
    </w:p>
    <w:p w14:paraId="574C92D0" w14:textId="77777777" w:rsidR="005E019D" w:rsidRPr="005E019D" w:rsidDel="00245C2C" w:rsidRDefault="005E019D" w:rsidP="005E019D">
      <w:pPr>
        <w:pBdr>
          <w:top w:val="single" w:sz="4" w:space="1" w:color="auto"/>
          <w:left w:val="single" w:sz="4" w:space="4" w:color="auto"/>
          <w:bottom w:val="single" w:sz="4" w:space="1" w:color="auto"/>
          <w:right w:val="single" w:sz="4" w:space="4" w:color="auto"/>
        </w:pBdr>
        <w:spacing w:after="120" w:line="264" w:lineRule="auto"/>
        <w:jc w:val="both"/>
        <w:rPr>
          <w:rFonts w:ascii="Times New Roman" w:eastAsia="Yu Mincho" w:hAnsi="Times New Roman" w:cs="Times New Roman"/>
          <w:noProof/>
          <w:color w:val="000000"/>
          <w:kern w:val="0"/>
          <w14:ligatures w14:val="none"/>
        </w:rPr>
      </w:pPr>
    </w:p>
    <w:p w14:paraId="2FA91F5D" w14:textId="77777777" w:rsidR="005E019D" w:rsidRPr="005E019D" w:rsidRDefault="005E019D" w:rsidP="005E019D">
      <w:pPr>
        <w:spacing w:after="120" w:line="264" w:lineRule="auto"/>
        <w:rPr>
          <w:rFonts w:ascii="Times New Roman" w:eastAsia="Yu Mincho" w:hAnsi="Times New Roman" w:cs="Times New Roman"/>
          <w:noProof/>
          <w:kern w:val="0"/>
          <w14:ligatures w14:val="none"/>
        </w:rPr>
      </w:pPr>
    </w:p>
    <w:p w14:paraId="0624F88C" w14:textId="77777777" w:rsidR="005E019D" w:rsidRPr="005E019D" w:rsidRDefault="005E019D" w:rsidP="005E019D">
      <w:pPr>
        <w:keepNext/>
        <w:keepLines/>
        <w:numPr>
          <w:ilvl w:val="1"/>
          <w:numId w:val="0"/>
        </w:numPr>
        <w:spacing w:before="40" w:after="240" w:line="240" w:lineRule="auto"/>
        <w:ind w:left="576" w:hanging="576"/>
        <w:jc w:val="both"/>
        <w:outlineLvl w:val="1"/>
        <w:rPr>
          <w:rFonts w:ascii="Times New Roman" w:eastAsia="Yu Gothic Light" w:hAnsi="Times New Roman" w:cs="Times New Roman"/>
          <w:b/>
          <w:bCs/>
          <w:noProof/>
          <w:color w:val="000000"/>
          <w:kern w:val="0"/>
          <w14:ligatures w14:val="none"/>
        </w:rPr>
      </w:pPr>
      <w:r>
        <w:rPr>
          <w:rFonts w:ascii="Times New Roman" w:hAnsi="Times New Roman"/>
          <w:b/>
          <w:noProof/>
          <w:color w:val="000000"/>
        </w:rPr>
        <w:t xml:space="preserve">Energijos vidaus rinka ir tarpusavio jungtys </w:t>
      </w:r>
    </w:p>
    <w:p w14:paraId="535FCA75" w14:textId="77777777" w:rsidR="005E019D" w:rsidRPr="005E019D" w:rsidRDefault="005E019D" w:rsidP="005E019D">
      <w:pPr>
        <w:spacing w:before="120" w:after="120" w:line="264" w:lineRule="auto"/>
        <w:jc w:val="both"/>
        <w:rPr>
          <w:rFonts w:ascii="Times New Roman" w:eastAsia="Times New Roman" w:hAnsi="Times New Roman" w:cs="Times New Roman"/>
          <w:noProof/>
          <w:kern w:val="0"/>
          <w14:ligatures w14:val="none"/>
        </w:rPr>
      </w:pPr>
      <w:r>
        <w:rPr>
          <w:rFonts w:ascii="Times New Roman" w:hAnsi="Times New Roman"/>
          <w:b/>
          <w:noProof/>
        </w:rPr>
        <w:t xml:space="preserve">Tinkamai integruota rinka yra stipriausia ES priemonė siekiant ilguoju laikotarpiu vartotojams ir pramonei tiekti saugią, konkurencingą ir įperkamą energiją. </w:t>
      </w:r>
      <w:r>
        <w:rPr>
          <w:rFonts w:ascii="Times New Roman" w:hAnsi="Times New Roman"/>
          <w:noProof/>
        </w:rPr>
        <w:t>Tolesnė rinkos integracija yra būtina tvirtos energetikos sąjungos kūrimo sąlyga ir padės mums pasiekti Įperkamos energijos veiksmų plano tikslą, susijusį su energijos sąnaudų mažinimu. Ji suteikia galimybę sklandžiai perduoti švariai pagamintą energiją ten, kur jos labiausiai reikia, ir siunčia tinkamus kainų signalus, duodančius kryptį investicijoms į žaliąją energiją ir žaliąsias technologijas. Pastarojo meto energetikos krizės parodė, kad būtina toliau stiprinti mūsų infrastruktūrą ir labiau integruoti ES energijos rinką ir kad NEKSVP padeda valstybėms narėms kurti šią labiau integruotą ir sklandžiau veikiančią energijos rinką.</w:t>
      </w:r>
    </w:p>
    <w:p w14:paraId="1CE6BBCE" w14:textId="77777777" w:rsidR="005E019D" w:rsidRPr="005E019D" w:rsidRDefault="005E019D" w:rsidP="005E019D">
      <w:pPr>
        <w:spacing w:before="120" w:after="120" w:line="264" w:lineRule="auto"/>
        <w:jc w:val="both"/>
        <w:rPr>
          <w:rFonts w:ascii="Times New Roman" w:eastAsia="Yu Mincho" w:hAnsi="Times New Roman" w:cs="Times New Roman"/>
          <w:b/>
          <w:noProof/>
          <w:kern w:val="0"/>
          <w14:ligatures w14:val="none"/>
        </w:rPr>
      </w:pPr>
      <w:r>
        <w:rPr>
          <w:rFonts w:ascii="Times New Roman" w:hAnsi="Times New Roman"/>
          <w:noProof/>
        </w:rPr>
        <w:t xml:space="preserve">Keliuose NEKSVP pabrėžiama, kad reikia </w:t>
      </w:r>
      <w:r>
        <w:rPr>
          <w:rFonts w:ascii="Times New Roman" w:hAnsi="Times New Roman"/>
          <w:b/>
          <w:noProof/>
        </w:rPr>
        <w:t>pašalinti nuolatines rinkos kliūtis ir skatinti lygias galimybes naujiems rinkos dalyviams bei įvairius lankstumo sprendimus</w:t>
      </w:r>
      <w:r>
        <w:rPr>
          <w:rFonts w:ascii="Times New Roman" w:hAnsi="Times New Roman"/>
          <w:noProof/>
        </w:rPr>
        <w:t xml:space="preserve"> energijos rinkose.</w:t>
      </w:r>
      <w:r>
        <w:rPr>
          <w:rFonts w:ascii="Times New Roman" w:hAnsi="Times New Roman"/>
          <w:b/>
          <w:noProof/>
        </w:rPr>
        <w:t xml:space="preserve"> </w:t>
      </w:r>
      <w:r>
        <w:rPr>
          <w:rFonts w:ascii="Times New Roman" w:hAnsi="Times New Roman"/>
          <w:noProof/>
        </w:rPr>
        <w:t xml:space="preserve">Daugumoje planų pabrėžiama </w:t>
      </w:r>
      <w:r>
        <w:rPr>
          <w:rFonts w:ascii="Times New Roman" w:hAnsi="Times New Roman"/>
          <w:b/>
          <w:noProof/>
        </w:rPr>
        <w:t>lankstumo ir reagavimo į paklausą reikšmė</w:t>
      </w:r>
      <w:r>
        <w:rPr>
          <w:rFonts w:ascii="Times New Roman" w:hAnsi="Times New Roman"/>
          <w:noProof/>
        </w:rPr>
        <w:t xml:space="preserve"> sparčiai atsinaujinančiųjų išteklių energijos skverbčiai, o kelios valstybės narės</w:t>
      </w:r>
      <w:r w:rsidRPr="005E019D">
        <w:rPr>
          <w:rFonts w:ascii="Times New Roman" w:eastAsia="Yu Mincho" w:hAnsi="Times New Roman" w:cs="Times New Roman"/>
          <w:noProof/>
          <w:kern w:val="0"/>
          <w:vertAlign w:val="superscript"/>
        </w:rPr>
        <w:footnoteReference w:id="79"/>
      </w:r>
      <w:r>
        <w:rPr>
          <w:rFonts w:ascii="Times New Roman" w:hAnsi="Times New Roman"/>
          <w:noProof/>
        </w:rPr>
        <w:t xml:space="preserve"> skatina paklausos atsaką, energijos kaupimą ir tinklų pajėgumų plėtojimą, tačiau tik nedaugelis nustatė aiškius jų įgyvendinimo tikslus, planus ar terminus. </w:t>
      </w:r>
    </w:p>
    <w:p w14:paraId="5ABF8462" w14:textId="77777777" w:rsidR="005E019D" w:rsidRPr="005E019D" w:rsidRDefault="005E019D" w:rsidP="005E019D">
      <w:pPr>
        <w:spacing w:before="120" w:after="120" w:line="264" w:lineRule="auto"/>
        <w:jc w:val="both"/>
        <w:rPr>
          <w:rFonts w:ascii="Times New Roman" w:eastAsia="Yu Mincho" w:hAnsi="Times New Roman" w:cs="Times New Roman"/>
          <w:noProof/>
          <w:kern w:val="0"/>
          <w14:ligatures w14:val="none"/>
        </w:rPr>
      </w:pPr>
      <w:r>
        <w:rPr>
          <w:rFonts w:ascii="Times New Roman" w:hAnsi="Times New Roman"/>
          <w:b/>
          <w:noProof/>
        </w:rPr>
        <w:t xml:space="preserve">Siekiant ekonomiškai efektyviai pereiti nuo švarios energijos perdavimo prie skirstymo lygmens, labai svarbu investuoti į elektros tinklo infrastruktūrą ir optimizuoti tinkamai integruotą Europos energetikos sistemą. </w:t>
      </w:r>
      <w:r>
        <w:rPr>
          <w:rFonts w:ascii="Times New Roman" w:hAnsi="Times New Roman"/>
          <w:noProof/>
        </w:rPr>
        <w:t>Nors tokios valstybės narės, kaip Liuksemburgas, Slovėnija, Latvija ir Vengrija, jau gerokai viršija ES 2030 m. 15 proc. sujungimo tikslą, kai kurios šalys, pavyzdžiui, Ispanija, Graikija, Italija ir Prancūzija, gerokai atsilieka, o tai reiškia, kad tarp savo tarpvalstybines jungtis plėtojančių valstybių narių yra nuolatinis atotrūkis. Reikia dėti daugiau pastangų siekiant užtikrinti pakankamas investicijas į visų įtampos lygių infrastruktūrą, kad būtų patenkinti tiek nacionaliniai, tiek tarpvalstybiniai poreikiai. Europos Sąjungos energetikos reguliavimo institucijų bendradarbiavimo agentūra (ACER) mano, kad klausimas dėl 32 GW tarpvalstybinių pajėgumų, kurių reikia iki 2030 m., vis dar neišspręstas</w:t>
      </w:r>
      <w:r w:rsidRPr="005E019D">
        <w:rPr>
          <w:rFonts w:ascii="Times New Roman" w:eastAsia="Yu Mincho" w:hAnsi="Times New Roman" w:cs="Times New Roman"/>
          <w:noProof/>
          <w:kern w:val="0"/>
          <w:vertAlign w:val="superscript"/>
        </w:rPr>
        <w:footnoteReference w:id="80"/>
      </w:r>
      <w:r>
        <w:rPr>
          <w:rFonts w:ascii="Times New Roman" w:hAnsi="Times New Roman"/>
          <w:noProof/>
        </w:rPr>
        <w:t>.</w:t>
      </w:r>
    </w:p>
    <w:p w14:paraId="00468670" w14:textId="77777777" w:rsidR="005E019D" w:rsidRPr="005E019D" w:rsidRDefault="005E019D" w:rsidP="005E019D">
      <w:pPr>
        <w:spacing w:before="120" w:after="120" w:line="264" w:lineRule="auto"/>
        <w:jc w:val="both"/>
        <w:rPr>
          <w:rFonts w:ascii="Times New Roman" w:eastAsia="Times New Roman" w:hAnsi="Times New Roman" w:cs="Times New Roman"/>
          <w:noProof/>
          <w:kern w:val="0"/>
          <w14:ligatures w14:val="none"/>
        </w:rPr>
      </w:pPr>
      <w:r>
        <w:rPr>
          <w:rFonts w:ascii="Times New Roman" w:hAnsi="Times New Roman"/>
          <w:noProof/>
        </w:rPr>
        <w:t xml:space="preserve">Energetikos ir klimato srities užmojų pagrindas dažnai yra vartotojai, tad </w:t>
      </w:r>
      <w:r>
        <w:rPr>
          <w:rFonts w:ascii="Times New Roman" w:hAnsi="Times New Roman"/>
          <w:b/>
          <w:noProof/>
        </w:rPr>
        <w:t>dauguma valstybių narių imasi veiksmų sukurti konkurencingesnes mažmenines rinkas</w:t>
      </w:r>
      <w:r>
        <w:rPr>
          <w:rFonts w:ascii="Times New Roman" w:hAnsi="Times New Roman"/>
          <w:noProof/>
        </w:rPr>
        <w:t xml:space="preserve"> ir suteikti vartotojams daugiau galimybių aktyviai dalyvauti energijos rinkose kaip aktyviesiems vartotojams (agregavimo veiksmais ar per energetikos bendrijas). Kad paskatintų vartotojus dalyvauti energetikos pertvarkoje,</w:t>
      </w:r>
      <w:r>
        <w:rPr>
          <w:rFonts w:ascii="Times New Roman" w:hAnsi="Times New Roman"/>
          <w:b/>
          <w:noProof/>
        </w:rPr>
        <w:t xml:space="preserve"> dauguma valstybių narių taip pat taiko dinamišką kainodarą ir pažangiųjų skaitiklių diegimą</w:t>
      </w:r>
      <w:r>
        <w:rPr>
          <w:rFonts w:ascii="Times New Roman" w:hAnsi="Times New Roman"/>
          <w:noProof/>
        </w:rPr>
        <w:t>.</w:t>
      </w:r>
    </w:p>
    <w:p w14:paraId="2CA01A34" w14:textId="77777777" w:rsidR="005E019D" w:rsidRPr="005E019D" w:rsidRDefault="005E019D" w:rsidP="005E019D">
      <w:pPr>
        <w:spacing w:before="120" w:after="120" w:line="264" w:lineRule="auto"/>
        <w:jc w:val="both"/>
        <w:rPr>
          <w:rFonts w:ascii="Times New Roman" w:eastAsia="Times New Roman" w:hAnsi="Times New Roman" w:cs="Times New Roman"/>
          <w:noProof/>
          <w:kern w:val="0"/>
          <w14:ligatures w14:val="none"/>
        </w:rPr>
      </w:pPr>
      <w:r>
        <w:rPr>
          <w:rFonts w:ascii="Times New Roman" w:hAnsi="Times New Roman"/>
          <w:b/>
          <w:noProof/>
        </w:rPr>
        <w:t xml:space="preserve">Nors dauguma valstybių narių savo galutiniame atnaujintame NEKSVP sprendžia energijos nepritekliaus problemą, jos tai daro nevienodai. </w:t>
      </w:r>
      <w:r>
        <w:rPr>
          <w:rFonts w:ascii="Times New Roman" w:hAnsi="Times New Roman"/>
          <w:noProof/>
        </w:rPr>
        <w:t>Daugelis aprašo struktūrines arba pajamų rėmimo priemones, daugiausia dėmesio skirdamos energijos vartojimo efektyvumui, pastatų renovacijai ir priklausomybės nuo iškastinio kuro mažinimui. Kai kurios valstybės narės pritaiko priemones, kad padėtų pažeidžiamiausioms grupėms. Vis dėlto tik pora valstybių narių</w:t>
      </w:r>
      <w:r w:rsidRPr="005E019D">
        <w:rPr>
          <w:rFonts w:ascii="Times New Roman" w:eastAsia="Times New Roman" w:hAnsi="Times New Roman" w:cs="Times New Roman"/>
          <w:noProof/>
          <w:kern w:val="0"/>
          <w:vertAlign w:val="superscript"/>
          <w:lang w:val="en-GB"/>
        </w:rPr>
        <w:footnoteReference w:id="81"/>
      </w:r>
      <w:r>
        <w:rPr>
          <w:rFonts w:ascii="Times New Roman" w:hAnsi="Times New Roman"/>
          <w:noProof/>
        </w:rPr>
        <w:t xml:space="preserve"> pateikė aiškias energijos nepritekliaus apibrėžtis arba nustatė konkrečius jo mažinimo tikslus. Su energijos nepritekliumi susijusios nuostatos</w:t>
      </w:r>
      <w:r w:rsidRPr="005E019D">
        <w:rPr>
          <w:rFonts w:ascii="Times New Roman" w:eastAsia="Times New Roman" w:hAnsi="Times New Roman" w:cs="Times New Roman"/>
          <w:noProof/>
          <w:kern w:val="0"/>
          <w:vertAlign w:val="superscript"/>
          <w:lang w:val="en-GB"/>
        </w:rPr>
        <w:footnoteReference w:id="82"/>
      </w:r>
      <w:r>
        <w:rPr>
          <w:rFonts w:ascii="Times New Roman" w:hAnsi="Times New Roman"/>
          <w:noProof/>
        </w:rPr>
        <w:t xml:space="preserve"> šiuo metu perkeliamos į nacionalinę teisę tik iš dalies. Siekiant veiksmingos pažangos, labai svarbu užtikrinti derėjimą su Socialinio klimato fondo, įsteigto kartu su ES ATLPS 2, socialinių klimato planų rengimu.</w:t>
      </w:r>
    </w:p>
    <w:p w14:paraId="151A1A7B" w14:textId="77777777" w:rsidR="005E019D" w:rsidRPr="005E019D" w:rsidRDefault="005E019D" w:rsidP="005E019D">
      <w:pPr>
        <w:spacing w:after="120" w:line="264" w:lineRule="auto"/>
        <w:rPr>
          <w:rFonts w:ascii="Times New Roman" w:eastAsia="Times New Roman" w:hAnsi="Times New Roman" w:cs="Times New Roman"/>
          <w:noProof/>
          <w:kern w:val="0"/>
          <w14:ligatures w14:val="none"/>
        </w:rPr>
      </w:pPr>
      <w:r>
        <w:rPr>
          <w:rFonts w:ascii="Times New Roman" w:hAnsi="Times New Roman"/>
          <w:noProof/>
        </w:rPr>
        <w:t xml:space="preserve">  </w:t>
      </w:r>
    </w:p>
    <w:p w14:paraId="25769D87" w14:textId="77777777" w:rsidR="005E019D" w:rsidRPr="005E019D" w:rsidRDefault="005E019D" w:rsidP="005E019D">
      <w:pPr>
        <w:pBdr>
          <w:top w:val="single" w:sz="4" w:space="1" w:color="auto"/>
          <w:left w:val="single" w:sz="4" w:space="4" w:color="auto"/>
          <w:bottom w:val="single" w:sz="4" w:space="1" w:color="auto"/>
          <w:right w:val="single" w:sz="4" w:space="4" w:color="auto"/>
        </w:pBdr>
        <w:spacing w:after="120" w:line="276" w:lineRule="auto"/>
        <w:jc w:val="both"/>
        <w:rPr>
          <w:rFonts w:ascii="Times New Roman" w:eastAsia="Times New Roman" w:hAnsi="Times New Roman" w:cs="Times New Roman"/>
          <w:b/>
          <w:bCs/>
          <w:noProof/>
          <w:color w:val="000000"/>
          <w:kern w:val="0"/>
          <w14:ligatures w14:val="none"/>
        </w:rPr>
      </w:pPr>
      <w:r>
        <w:rPr>
          <w:rFonts w:ascii="Times New Roman" w:hAnsi="Times New Roman"/>
          <w:b/>
          <w:noProof/>
          <w:color w:val="000000"/>
        </w:rPr>
        <w:t>Tolesni veiksmai</w:t>
      </w:r>
    </w:p>
    <w:p w14:paraId="52860A66" w14:textId="77777777" w:rsidR="005E019D" w:rsidRPr="005E019D" w:rsidRDefault="005E019D" w:rsidP="005E019D">
      <w:pPr>
        <w:pBdr>
          <w:top w:val="single" w:sz="4" w:space="1" w:color="auto"/>
          <w:left w:val="single" w:sz="4" w:space="4" w:color="auto"/>
          <w:bottom w:val="single" w:sz="4" w:space="1" w:color="auto"/>
          <w:right w:val="single" w:sz="4" w:space="4" w:color="auto"/>
        </w:pBdr>
        <w:spacing w:after="120" w:line="276" w:lineRule="auto"/>
        <w:jc w:val="both"/>
        <w:rPr>
          <w:rFonts w:ascii="Times New Roman" w:eastAsia="Times New Roman" w:hAnsi="Times New Roman" w:cs="Times New Roman"/>
          <w:b/>
          <w:bCs/>
          <w:noProof/>
          <w:color w:val="000000"/>
          <w:kern w:val="0"/>
          <w14:ligatures w14:val="none"/>
        </w:rPr>
      </w:pPr>
      <w:r>
        <w:rPr>
          <w:rFonts w:ascii="Times New Roman" w:hAnsi="Times New Roman"/>
          <w:i/>
          <w:noProof/>
        </w:rPr>
        <w:t xml:space="preserve">Valstybės narės savo galutiniuose planuose nustatė priemones, kuriomis skatinamas lankstumas, stabilizuojamos rinkos ir sudaromos palankesnės sąlygos atsinaujinančiųjų išteklių energijos skverbčiai, nors ir nevienodai detalias. Į planus paprastai įtrauktos priemonės, kuriomis siekiama suteikti galių vartotojams ir spręsti energijos nepritekliaus problemą skirtingu mastu. </w:t>
      </w:r>
      <w:r>
        <w:rPr>
          <w:rFonts w:ascii="Times New Roman" w:hAnsi="Times New Roman"/>
          <w:b/>
          <w:i/>
          <w:noProof/>
        </w:rPr>
        <w:t>Reikia papildomų priemonių tarpvalstybinių jungčių plėtrai ir tolesnei rinkos integracijai.</w:t>
      </w:r>
      <w:r>
        <w:rPr>
          <w:rFonts w:ascii="Times New Roman" w:hAnsi="Times New Roman"/>
          <w:i/>
          <w:noProof/>
        </w:rPr>
        <w:t xml:space="preserve"> </w:t>
      </w:r>
    </w:p>
    <w:p w14:paraId="7B49DA65" w14:textId="77777777" w:rsidR="005E019D" w:rsidRPr="005E019D" w:rsidRDefault="005E019D" w:rsidP="005E019D">
      <w:pPr>
        <w:pBdr>
          <w:top w:val="single" w:sz="4" w:space="1" w:color="auto"/>
          <w:left w:val="single" w:sz="4" w:space="4" w:color="auto"/>
          <w:bottom w:val="single" w:sz="4" w:space="1" w:color="auto"/>
          <w:right w:val="single" w:sz="4" w:space="4" w:color="auto"/>
        </w:pBdr>
        <w:spacing w:after="240" w:line="240" w:lineRule="auto"/>
        <w:jc w:val="both"/>
        <w:rPr>
          <w:rFonts w:ascii="Times New Roman" w:eastAsia="Times New Roman" w:hAnsi="Times New Roman" w:cs="Times New Roman"/>
          <w:noProof/>
          <w:kern w:val="0"/>
          <w14:ligatures w14:val="none"/>
        </w:rPr>
      </w:pPr>
      <w:r>
        <w:rPr>
          <w:rFonts w:ascii="Times New Roman" w:hAnsi="Times New Roman"/>
          <w:noProof/>
        </w:rPr>
        <w:t xml:space="preserve">Į Komisijos parengtą </w:t>
      </w:r>
      <w:r>
        <w:rPr>
          <w:rFonts w:ascii="Times New Roman" w:hAnsi="Times New Roman"/>
          <w:b/>
          <w:noProof/>
        </w:rPr>
        <w:t>Įperkamos energijos veiksmų planą</w:t>
      </w:r>
      <w:r>
        <w:rPr>
          <w:rFonts w:ascii="Times New Roman" w:hAnsi="Times New Roman"/>
          <w:noProof/>
        </w:rPr>
        <w:t xml:space="preserve"> įtrauktos trumpalaikės priemonės, kuriomis siekiama sumažinti energijos sąnaudas, baigti kurti energetikos sąjungą, pritraukti investicijų ir pasirengti galimoms energetikos krizėms. Siekiant padidinti naudą visiems Europos vartotojams, itin svarbu turėti visiškai integruotą energijos rinką, grindžiamą patikimai veikiančiu integruotu energetikos tinklu.</w:t>
      </w:r>
    </w:p>
    <w:p w14:paraId="5B4C51BF" w14:textId="77777777" w:rsidR="005E019D" w:rsidRPr="005E019D" w:rsidRDefault="005E019D" w:rsidP="005E019D">
      <w:pPr>
        <w:pBdr>
          <w:top w:val="single" w:sz="4" w:space="1" w:color="auto"/>
          <w:left w:val="single" w:sz="4" w:space="4" w:color="auto"/>
          <w:bottom w:val="single" w:sz="4" w:space="1" w:color="auto"/>
          <w:right w:val="single" w:sz="4" w:space="4" w:color="auto"/>
        </w:pBdr>
        <w:spacing w:after="240" w:line="240" w:lineRule="auto"/>
        <w:jc w:val="both"/>
        <w:rPr>
          <w:rFonts w:ascii="Times New Roman" w:eastAsia="Times New Roman" w:hAnsi="Times New Roman" w:cs="Times New Roman"/>
          <w:noProof/>
          <w:color w:val="000000"/>
          <w:kern w:val="0"/>
          <w14:ligatures w14:val="none"/>
        </w:rPr>
      </w:pPr>
      <w:r>
        <w:rPr>
          <w:rFonts w:ascii="Times New Roman" w:hAnsi="Times New Roman"/>
          <w:noProof/>
          <w:color w:val="000000"/>
        </w:rPr>
        <w:t xml:space="preserve">Kaip paskelbta šiame plane, siekdama stiprinti energetikos sistemą ir labiau integruoti ES rinką, Komisija planuoja paskelbti </w:t>
      </w:r>
      <w:r>
        <w:rPr>
          <w:rFonts w:ascii="Times New Roman" w:hAnsi="Times New Roman"/>
          <w:b/>
          <w:noProof/>
          <w:color w:val="000000"/>
        </w:rPr>
        <w:t>Baltąją knygą dėl tolesnės elektros energijos rinkos integracijos</w:t>
      </w:r>
      <w:r>
        <w:rPr>
          <w:rFonts w:ascii="Times New Roman" w:hAnsi="Times New Roman"/>
          <w:noProof/>
          <w:color w:val="000000"/>
        </w:rPr>
        <w:t xml:space="preserve">, įsteigti </w:t>
      </w:r>
      <w:r>
        <w:rPr>
          <w:rFonts w:ascii="Times New Roman" w:hAnsi="Times New Roman"/>
          <w:b/>
          <w:noProof/>
          <w:color w:val="000000"/>
        </w:rPr>
        <w:t>Energetikos sąjungos darbo grupę</w:t>
      </w:r>
      <w:r>
        <w:rPr>
          <w:rFonts w:ascii="Times New Roman" w:hAnsi="Times New Roman"/>
          <w:noProof/>
          <w:color w:val="000000"/>
        </w:rPr>
        <w:t xml:space="preserve"> ir pradėti </w:t>
      </w:r>
      <w:r>
        <w:rPr>
          <w:rFonts w:ascii="Times New Roman" w:hAnsi="Times New Roman"/>
          <w:b/>
          <w:noProof/>
          <w:color w:val="000000"/>
        </w:rPr>
        <w:t>dialogą dėl rinkos ateities</w:t>
      </w:r>
      <w:r>
        <w:rPr>
          <w:rFonts w:ascii="Times New Roman" w:hAnsi="Times New Roman"/>
          <w:noProof/>
          <w:color w:val="000000"/>
        </w:rPr>
        <w:t xml:space="preserve">. </w:t>
      </w:r>
    </w:p>
    <w:p w14:paraId="19E8EC5F" w14:textId="77777777" w:rsidR="005E019D" w:rsidRPr="005E019D" w:rsidRDefault="005E019D" w:rsidP="005E019D">
      <w:pPr>
        <w:pBdr>
          <w:top w:val="single" w:sz="4" w:space="1" w:color="auto"/>
          <w:left w:val="single" w:sz="4" w:space="4" w:color="auto"/>
          <w:bottom w:val="single" w:sz="4" w:space="1" w:color="auto"/>
          <w:right w:val="single" w:sz="4" w:space="4" w:color="auto"/>
        </w:pBdr>
        <w:spacing w:after="240" w:line="240" w:lineRule="auto"/>
        <w:jc w:val="both"/>
        <w:rPr>
          <w:rFonts w:ascii="Times New Roman" w:eastAsia="Times New Roman" w:hAnsi="Times New Roman" w:cs="Times New Roman"/>
          <w:noProof/>
          <w:color w:val="000000"/>
          <w:kern w:val="0"/>
          <w14:ligatures w14:val="none"/>
        </w:rPr>
      </w:pPr>
      <w:r>
        <w:rPr>
          <w:rFonts w:ascii="Times New Roman" w:hAnsi="Times New Roman"/>
          <w:noProof/>
          <w:color w:val="000000"/>
        </w:rPr>
        <w:t xml:space="preserve">Į </w:t>
      </w:r>
      <w:r>
        <w:rPr>
          <w:rFonts w:ascii="Times New Roman" w:hAnsi="Times New Roman"/>
          <w:b/>
          <w:noProof/>
          <w:color w:val="000000"/>
        </w:rPr>
        <w:t>Europos elektros tinklų dokumentų rinkinį</w:t>
      </w:r>
      <w:r>
        <w:rPr>
          <w:rFonts w:ascii="Times New Roman" w:hAnsi="Times New Roman"/>
          <w:noProof/>
          <w:color w:val="000000"/>
        </w:rPr>
        <w:t xml:space="preserve"> bus įtrauktos atitinkamos teisėkūros ir ne teisėkūros priemonės, kuriomis siekiama supaprastinti transeuropinių energetikos tinklų politikos sistemą, užtikrinti integruotą tarpvalstybinį planavimą, ypač jungčių, ir supaprastinti leidimų išdavimo procesus. Jame taip pat daug dėmesio bus skiriama skirstomųjų tinklų planavimo gerinimui, skaitmenizacijos ir inovacijų skatinimui, pirmenybę teikiant apdirbamajai gamybai skirto tiekimo poreikiams, ir bus remiamasi Tinklų veiksmų plane numatytais veiksmais. Antrasis Sąjungos bendro intereso projektų (BIP) ir abipusio intereso projektų sąrašas bus priimtas 2025 m. IV ketvirtį ir turėtų įsigalioti 2026 m. I ketvirtį.</w:t>
      </w:r>
    </w:p>
    <w:p w14:paraId="17C0C624" w14:textId="77777777" w:rsidR="005E019D" w:rsidRPr="005E019D" w:rsidRDefault="005E019D" w:rsidP="005E019D">
      <w:pPr>
        <w:pBdr>
          <w:top w:val="single" w:sz="4" w:space="1" w:color="auto"/>
          <w:left w:val="single" w:sz="4" w:space="4" w:color="auto"/>
          <w:bottom w:val="single" w:sz="4" w:space="1" w:color="auto"/>
          <w:right w:val="single" w:sz="4" w:space="4" w:color="auto"/>
        </w:pBdr>
        <w:spacing w:after="240" w:line="240" w:lineRule="auto"/>
        <w:jc w:val="both"/>
        <w:rPr>
          <w:rFonts w:ascii="Times New Roman" w:eastAsia="Times New Roman" w:hAnsi="Times New Roman" w:cs="Times New Roman"/>
          <w:noProof/>
          <w:kern w:val="0"/>
          <w14:ligatures w14:val="none"/>
        </w:rPr>
      </w:pPr>
      <w:r>
        <w:rPr>
          <w:rFonts w:ascii="Times New Roman" w:hAnsi="Times New Roman"/>
          <w:b/>
          <w:noProof/>
        </w:rPr>
        <w:t>Valstybės narės raginamos šalinti esamas rinkos kliūtis, trukdančias reguliavimo apkrova, energijos kaupimo, perkrovos valdymo ir papildomų paslaugų teikėjams</w:t>
      </w:r>
      <w:r>
        <w:rPr>
          <w:rFonts w:ascii="Times New Roman" w:hAnsi="Times New Roman"/>
          <w:noProof/>
        </w:rPr>
        <w:t xml:space="preserve"> dalyvauti didmeninėse rinkose, įgyvendinant europines patekimo į šių sričių rinką taisykles. Be to, jos raginamos skatinti lankstumą mažmeninėje rinkoje ir suteikti vartotojams galimybę dalyvauti rinkoje.</w:t>
      </w:r>
    </w:p>
    <w:p w14:paraId="597E0D72" w14:textId="77777777" w:rsidR="005E019D" w:rsidRPr="005E019D" w:rsidRDefault="005E019D" w:rsidP="005E019D">
      <w:pPr>
        <w:pBdr>
          <w:top w:val="single" w:sz="4" w:space="1" w:color="auto"/>
          <w:left w:val="single" w:sz="4" w:space="4" w:color="auto"/>
          <w:bottom w:val="single" w:sz="4" w:space="1" w:color="auto"/>
          <w:right w:val="single" w:sz="4" w:space="4" w:color="auto"/>
        </w:pBdr>
        <w:spacing w:after="240" w:line="240" w:lineRule="auto"/>
        <w:jc w:val="both"/>
        <w:rPr>
          <w:rFonts w:ascii="Times New Roman" w:eastAsia="Times New Roman" w:hAnsi="Times New Roman" w:cs="Times New Roman"/>
          <w:noProof/>
          <w:kern w:val="0"/>
          <w14:ligatures w14:val="none"/>
        </w:rPr>
      </w:pPr>
      <w:r>
        <w:rPr>
          <w:rFonts w:ascii="Times New Roman" w:hAnsi="Times New Roman"/>
          <w:b/>
          <w:noProof/>
        </w:rPr>
        <w:t>Valstybės narės taip pat raginamos toliau plėtoti savo tarpvalstybines jungtis</w:t>
      </w:r>
      <w:r w:rsidRPr="005E019D">
        <w:rPr>
          <w:rFonts w:ascii="Times New Roman" w:eastAsia="Times New Roman" w:hAnsi="Times New Roman" w:cs="Times New Roman"/>
          <w:b/>
          <w:bCs/>
          <w:noProof/>
          <w:kern w:val="0"/>
          <w:vertAlign w:val="superscript"/>
          <w:lang w:val="en-GB"/>
        </w:rPr>
        <w:footnoteReference w:id="83"/>
      </w:r>
      <w:r>
        <w:rPr>
          <w:rFonts w:ascii="Times New Roman" w:hAnsi="Times New Roman"/>
          <w:b/>
          <w:noProof/>
        </w:rPr>
        <w:t xml:space="preserve"> ir stiprinti savo vidaus tinklus</w:t>
      </w:r>
      <w:r>
        <w:rPr>
          <w:rFonts w:ascii="Times New Roman" w:hAnsi="Times New Roman"/>
          <w:noProof/>
        </w:rPr>
        <w:t>, taip pat užtikrinti pakankamas investicijas į visų įtampos lygių infrastruktūrą, kad atsinaujinančiųjų išteklių energija būtų iki galo integruota į elektros energijos sistemą.</w:t>
      </w:r>
    </w:p>
    <w:p w14:paraId="53D6BB5C" w14:textId="77777777" w:rsidR="005E019D" w:rsidRPr="005E019D" w:rsidRDefault="005E019D" w:rsidP="005E019D">
      <w:pPr>
        <w:pBdr>
          <w:top w:val="single" w:sz="4" w:space="1" w:color="auto"/>
          <w:left w:val="single" w:sz="4" w:space="4" w:color="auto"/>
          <w:bottom w:val="single" w:sz="4" w:space="1" w:color="auto"/>
          <w:right w:val="single" w:sz="4" w:space="4" w:color="auto"/>
        </w:pBdr>
        <w:spacing w:after="240" w:line="240" w:lineRule="auto"/>
        <w:jc w:val="both"/>
        <w:rPr>
          <w:rFonts w:ascii="Times New Roman" w:eastAsia="Times New Roman" w:hAnsi="Times New Roman" w:cs="Times New Roman"/>
          <w:noProof/>
          <w:color w:val="000000"/>
          <w:kern w:val="0"/>
          <w14:ligatures w14:val="none"/>
        </w:rPr>
      </w:pPr>
      <w:r>
        <w:rPr>
          <w:rFonts w:ascii="Times New Roman" w:hAnsi="Times New Roman"/>
          <w:noProof/>
        </w:rPr>
        <w:t>Galiausiai Įperkamos energijos veiksmų plano įgyvendinimas mažinant energijos kainas padės energijos nepriteklių patiriantiems namų ūkiams ir vartotojams, mokantiems dideles sąskaitas už energiją, ir pramonės šakoms, kurioms sunku pakelti dideles gamybos sąnaudas.</w:t>
      </w:r>
      <w:r>
        <w:rPr>
          <w:rFonts w:ascii="Times New Roman" w:hAnsi="Times New Roman"/>
          <w:noProof/>
          <w:color w:val="000000"/>
        </w:rPr>
        <w:t xml:space="preserve"> Komisija taip pat toliau spręs </w:t>
      </w:r>
      <w:r>
        <w:rPr>
          <w:rFonts w:ascii="Times New Roman" w:hAnsi="Times New Roman"/>
          <w:b/>
          <w:noProof/>
          <w:color w:val="000000"/>
        </w:rPr>
        <w:t>energijos nepritekliaus problemą</w:t>
      </w:r>
      <w:r>
        <w:rPr>
          <w:rFonts w:ascii="Times New Roman" w:hAnsi="Times New Roman"/>
          <w:noProof/>
          <w:color w:val="000000"/>
        </w:rPr>
        <w:t xml:space="preserve"> </w:t>
      </w:r>
      <w:r>
        <w:rPr>
          <w:rFonts w:ascii="Times New Roman" w:hAnsi="Times New Roman"/>
          <w:b/>
          <w:noProof/>
          <w:color w:val="000000"/>
        </w:rPr>
        <w:t>Piliečių energetikos dokumentų rinkiniu</w:t>
      </w:r>
      <w:r>
        <w:rPr>
          <w:rFonts w:ascii="Times New Roman" w:hAnsi="Times New Roman"/>
          <w:noProof/>
          <w:color w:val="000000"/>
        </w:rPr>
        <w:t>, kuriuo bus užtikrinta sąžininga ir įtrauki energetikos pertvarka, ir padėdama valstybėms narėms perkelti į nacionalinę teisę ir įgyvendinti su energijos nepritekliumi susijusias teisines nuostatas ir priemones.</w:t>
      </w:r>
    </w:p>
    <w:p w14:paraId="6FDE964E" w14:textId="77777777" w:rsidR="005E019D" w:rsidRPr="004C35F5" w:rsidRDefault="005E019D" w:rsidP="005E019D">
      <w:pPr>
        <w:spacing w:after="0" w:line="264" w:lineRule="auto"/>
        <w:jc w:val="both"/>
        <w:rPr>
          <w:rFonts w:ascii="Times New Roman" w:eastAsia="Times New Roman" w:hAnsi="Times New Roman" w:cs="Times New Roman"/>
          <w:noProof/>
          <w:kern w:val="0"/>
          <w14:ligatures w14:val="none"/>
        </w:rPr>
      </w:pPr>
    </w:p>
    <w:p w14:paraId="49391F07" w14:textId="77777777" w:rsidR="005E019D" w:rsidRPr="005E019D" w:rsidRDefault="005E019D" w:rsidP="005E019D">
      <w:pPr>
        <w:keepNext/>
        <w:keepLines/>
        <w:numPr>
          <w:ilvl w:val="1"/>
          <w:numId w:val="0"/>
        </w:numPr>
        <w:spacing w:before="40" w:after="240" w:line="240" w:lineRule="auto"/>
        <w:ind w:left="576" w:hanging="576"/>
        <w:jc w:val="both"/>
        <w:outlineLvl w:val="1"/>
        <w:rPr>
          <w:rFonts w:ascii="Times New Roman" w:eastAsia="Yu Gothic Light" w:hAnsi="Times New Roman" w:cs="Times New Roman"/>
          <w:b/>
          <w:bCs/>
          <w:noProof/>
          <w:color w:val="000000"/>
          <w:kern w:val="0"/>
          <w14:ligatures w14:val="none"/>
        </w:rPr>
      </w:pPr>
      <w:r>
        <w:rPr>
          <w:rFonts w:ascii="Times New Roman" w:hAnsi="Times New Roman"/>
          <w:b/>
          <w:noProof/>
          <w:color w:val="000000"/>
        </w:rPr>
        <w:t>Regioninis bendradarbiavimas</w:t>
      </w:r>
    </w:p>
    <w:p w14:paraId="2F683094" w14:textId="77777777" w:rsidR="005E019D" w:rsidRPr="005E019D" w:rsidRDefault="005E019D" w:rsidP="005E019D">
      <w:pPr>
        <w:spacing w:after="120" w:line="264" w:lineRule="auto"/>
        <w:jc w:val="both"/>
        <w:rPr>
          <w:rFonts w:ascii="Times New Roman" w:eastAsia="Yu Mincho" w:hAnsi="Times New Roman" w:cs="Times New Roman"/>
          <w:noProof/>
          <w:kern w:val="0"/>
          <w14:ligatures w14:val="none"/>
        </w:rPr>
      </w:pPr>
      <w:r>
        <w:rPr>
          <w:rFonts w:ascii="Times New Roman" w:hAnsi="Times New Roman"/>
          <w:b/>
          <w:noProof/>
        </w:rPr>
        <w:t>Regioninis bendradarbiavimas prisideda prie veiksmingesnės tarpvalstybinės infrastruktūros ir konkurencingesnio ES bendrų gamtos išteklių naudojimo</w:t>
      </w:r>
      <w:r>
        <w:rPr>
          <w:rFonts w:ascii="Times New Roman" w:hAnsi="Times New Roman"/>
          <w:noProof/>
        </w:rPr>
        <w:t>, tad kuriama saugesnė ir labiau integruota Europos energetikos sistema. Todėl teigiamai vertintina tai, kad kelios valstybės narės savo galutiniuose planuose pateikė daugiau informacijos apie tai, kaip jos pasitelks regioninį bendradarbiavimą siekdamos savo energetikos ir klimato srities tikslų, be kita ko, dalyvaudamos aukšto lygio politinių grupių veikloje</w:t>
      </w:r>
      <w:r w:rsidRPr="005E019D">
        <w:rPr>
          <w:rFonts w:ascii="Times New Roman" w:eastAsia="Yu Mincho" w:hAnsi="Times New Roman" w:cs="Times New Roman"/>
          <w:noProof/>
          <w:kern w:val="0"/>
          <w:vertAlign w:val="superscript"/>
        </w:rPr>
        <w:footnoteReference w:id="84"/>
      </w:r>
      <w:r>
        <w:rPr>
          <w:rFonts w:ascii="Times New Roman" w:hAnsi="Times New Roman"/>
          <w:noProof/>
        </w:rPr>
        <w:t>.</w:t>
      </w:r>
    </w:p>
    <w:p w14:paraId="4B1C59DC" w14:textId="77777777" w:rsidR="005E019D" w:rsidRPr="005E019D" w:rsidRDefault="005E019D" w:rsidP="005E019D">
      <w:pPr>
        <w:spacing w:after="120" w:line="264" w:lineRule="auto"/>
        <w:jc w:val="both"/>
        <w:rPr>
          <w:rFonts w:ascii="Times New Roman" w:eastAsia="Yu Mincho" w:hAnsi="Times New Roman" w:cs="Times New Roman"/>
          <w:noProof/>
          <w:kern w:val="0"/>
          <w14:ligatures w14:val="none"/>
        </w:rPr>
      </w:pPr>
      <w:r>
        <w:rPr>
          <w:rFonts w:ascii="Times New Roman" w:hAnsi="Times New Roman"/>
          <w:b/>
          <w:noProof/>
        </w:rPr>
        <w:t>Vis dėlto tik kelios valstybės narės paaiškino</w:t>
      </w:r>
      <w:r w:rsidRPr="005E019D">
        <w:rPr>
          <w:rFonts w:ascii="Times New Roman" w:eastAsia="Yu Mincho" w:hAnsi="Times New Roman" w:cs="Times New Roman"/>
          <w:b/>
          <w:noProof/>
          <w:kern w:val="0"/>
          <w:vertAlign w:val="superscript"/>
        </w:rPr>
        <w:footnoteReference w:id="85"/>
      </w:r>
      <w:r>
        <w:rPr>
          <w:rFonts w:ascii="Times New Roman" w:hAnsi="Times New Roman"/>
          <w:b/>
          <w:noProof/>
        </w:rPr>
        <w:t>, kaip jos ketina sukurti bendradarbiavimo dėl bendrų projektų</w:t>
      </w:r>
      <w:r>
        <w:rPr>
          <w:rFonts w:ascii="Times New Roman" w:hAnsi="Times New Roman"/>
          <w:noProof/>
        </w:rPr>
        <w:t xml:space="preserve"> su viena ar daugiau valstybių narių </w:t>
      </w:r>
      <w:r>
        <w:rPr>
          <w:rFonts w:ascii="Times New Roman" w:hAnsi="Times New Roman"/>
          <w:b/>
          <w:noProof/>
        </w:rPr>
        <w:t>sistemą</w:t>
      </w:r>
      <w:r>
        <w:rPr>
          <w:rFonts w:ascii="Times New Roman" w:hAnsi="Times New Roman"/>
          <w:noProof/>
        </w:rPr>
        <w:t xml:space="preserve"> pagal Direktyvos (ES) 2018/2001</w:t>
      </w:r>
      <w:r w:rsidRPr="005E019D">
        <w:rPr>
          <w:rFonts w:ascii="Times New Roman" w:eastAsia="Yu Mincho" w:hAnsi="Times New Roman" w:cs="Times New Roman"/>
          <w:noProof/>
          <w:kern w:val="0"/>
          <w:vertAlign w:val="superscript"/>
        </w:rPr>
        <w:footnoteReference w:id="86"/>
      </w:r>
      <w:r>
        <w:rPr>
          <w:rFonts w:ascii="Times New Roman" w:hAnsi="Times New Roman"/>
          <w:noProof/>
        </w:rPr>
        <w:t xml:space="preserve"> su pakeitimais 9 straipsnį.</w:t>
      </w:r>
    </w:p>
    <w:p w14:paraId="19B01A53" w14:textId="77777777" w:rsidR="005E019D" w:rsidRPr="005E019D" w:rsidRDefault="005E019D" w:rsidP="005E019D">
      <w:pPr>
        <w:spacing w:after="120" w:line="264" w:lineRule="auto"/>
        <w:jc w:val="both"/>
        <w:rPr>
          <w:rFonts w:ascii="Times New Roman" w:eastAsia="Yu Mincho" w:hAnsi="Times New Roman" w:cs="Times New Roman"/>
          <w:noProof/>
          <w:kern w:val="0"/>
          <w14:ligatures w14:val="none"/>
        </w:rPr>
      </w:pPr>
      <w:r>
        <w:rPr>
          <w:rFonts w:ascii="Times New Roman" w:hAnsi="Times New Roman"/>
          <w:b/>
          <w:noProof/>
        </w:rPr>
        <w:t>Dujų sektoriaus solidarumo susitarimų vertinimas yra ne toks vienareikšmis.</w:t>
      </w:r>
      <w:r>
        <w:rPr>
          <w:rFonts w:ascii="Times New Roman" w:hAnsi="Times New Roman"/>
          <w:noProof/>
        </w:rPr>
        <w:t xml:space="preserve"> Kai kurios valstybės narės</w:t>
      </w:r>
      <w:r w:rsidRPr="005E019D">
        <w:rPr>
          <w:rFonts w:ascii="Times New Roman" w:eastAsia="Yu Mincho" w:hAnsi="Times New Roman" w:cs="Times New Roman"/>
          <w:noProof/>
          <w:kern w:val="0"/>
          <w:vertAlign w:val="superscript"/>
        </w:rPr>
        <w:footnoteReference w:id="87"/>
      </w:r>
      <w:r>
        <w:rPr>
          <w:rFonts w:ascii="Times New Roman" w:hAnsi="Times New Roman"/>
          <w:noProof/>
        </w:rPr>
        <w:t xml:space="preserve">, palyginti su savo planų projektais, pateikė bent tam tikrą naują informaciją apie pažangą, ketinimus ar solidarumo susitarimų dujų tiekimo srityje su kaimyninėmis šalimis pasirašymą, o keletas kitų valstybių narių tokios informacijos nepateikė. </w:t>
      </w:r>
    </w:p>
    <w:p w14:paraId="13EEADFC" w14:textId="77777777" w:rsidR="005E019D" w:rsidRPr="005E019D" w:rsidRDefault="005E019D" w:rsidP="005E019D">
      <w:pPr>
        <w:pBdr>
          <w:top w:val="single" w:sz="4" w:space="1" w:color="auto"/>
          <w:left w:val="single" w:sz="4" w:space="4" w:color="auto"/>
          <w:bottom w:val="single" w:sz="4" w:space="1" w:color="auto"/>
          <w:right w:val="single" w:sz="4" w:space="4" w:color="auto"/>
        </w:pBdr>
        <w:spacing w:after="120" w:line="264" w:lineRule="auto"/>
        <w:jc w:val="both"/>
        <w:rPr>
          <w:rFonts w:ascii="Times New Roman" w:eastAsia="Times New Roman" w:hAnsi="Times New Roman" w:cs="Times New Roman"/>
          <w:b/>
          <w:i/>
          <w:noProof/>
          <w:kern w:val="0"/>
          <w14:ligatures w14:val="none"/>
        </w:rPr>
      </w:pPr>
      <w:r>
        <w:rPr>
          <w:rFonts w:ascii="Times New Roman" w:hAnsi="Times New Roman"/>
          <w:b/>
          <w:i/>
          <w:noProof/>
        </w:rPr>
        <w:t>Tolesni veiksmai</w:t>
      </w:r>
    </w:p>
    <w:p w14:paraId="46954921" w14:textId="77777777" w:rsidR="005E019D" w:rsidRPr="005E019D" w:rsidRDefault="005E019D" w:rsidP="005E019D">
      <w:pPr>
        <w:pBdr>
          <w:top w:val="single" w:sz="4" w:space="1" w:color="auto"/>
          <w:left w:val="single" w:sz="4" w:space="4" w:color="auto"/>
          <w:bottom w:val="single" w:sz="4" w:space="1" w:color="auto"/>
          <w:right w:val="single" w:sz="4" w:space="4" w:color="auto"/>
        </w:pBdr>
        <w:spacing w:before="120" w:after="0" w:line="240" w:lineRule="auto"/>
        <w:jc w:val="both"/>
        <w:rPr>
          <w:rFonts w:ascii="Times New Roman" w:eastAsia="Times New Roman" w:hAnsi="Times New Roman" w:cs="Times New Roman"/>
          <w:i/>
          <w:noProof/>
          <w:kern w:val="0"/>
          <w14:ligatures w14:val="none"/>
        </w:rPr>
      </w:pPr>
      <w:r>
        <w:rPr>
          <w:rFonts w:ascii="Times New Roman" w:hAnsi="Times New Roman"/>
          <w:i/>
          <w:noProof/>
        </w:rPr>
        <w:t>Valstybės narės paprastai naudojasi veikiančiais regioninio bendradarbiavimo forumais, nors ir skirtingu mastu. Nedaug valstybių narių pateikė informaciją apie konkrečius susitarimus su kaimyninėmis šalimis, pavyzdžiui, bendrus projektus arba solidarumo susitarimus dujų tiekimo srityje.</w:t>
      </w:r>
    </w:p>
    <w:p w14:paraId="682353BF" w14:textId="77777777" w:rsidR="005E019D" w:rsidRPr="004C35F5" w:rsidRDefault="005E019D" w:rsidP="005E019D">
      <w:pPr>
        <w:pBdr>
          <w:top w:val="single" w:sz="4" w:space="1" w:color="auto"/>
          <w:left w:val="single" w:sz="4" w:space="4" w:color="auto"/>
          <w:bottom w:val="single" w:sz="4" w:space="1" w:color="auto"/>
          <w:right w:val="single" w:sz="4" w:space="4" w:color="auto"/>
        </w:pBdr>
        <w:spacing w:after="120" w:line="264" w:lineRule="auto"/>
        <w:jc w:val="both"/>
        <w:rPr>
          <w:rFonts w:ascii="Times New Roman" w:eastAsia="Times New Roman" w:hAnsi="Times New Roman" w:cs="Times New Roman"/>
          <w:noProof/>
          <w:color w:val="000000"/>
          <w:kern w:val="0"/>
          <w14:ligatures w14:val="none"/>
        </w:rPr>
      </w:pPr>
    </w:p>
    <w:p w14:paraId="2E50C1A5" w14:textId="77777777" w:rsidR="005E019D" w:rsidRPr="005E019D" w:rsidRDefault="005E019D" w:rsidP="005E019D">
      <w:pPr>
        <w:pBdr>
          <w:top w:val="single" w:sz="4" w:space="1" w:color="auto"/>
          <w:left w:val="single" w:sz="4" w:space="4" w:color="auto"/>
          <w:bottom w:val="single" w:sz="4" w:space="1" w:color="auto"/>
          <w:right w:val="single" w:sz="4" w:space="4" w:color="auto"/>
        </w:pBdr>
        <w:spacing w:after="120" w:line="264" w:lineRule="auto"/>
        <w:jc w:val="both"/>
        <w:rPr>
          <w:rFonts w:ascii="Times New Roman" w:eastAsia="Times New Roman" w:hAnsi="Times New Roman" w:cs="Times New Roman"/>
          <w:noProof/>
          <w:color w:val="000000"/>
          <w:kern w:val="0"/>
          <w14:ligatures w14:val="none"/>
        </w:rPr>
      </w:pPr>
      <w:r>
        <w:rPr>
          <w:rFonts w:ascii="Times New Roman" w:hAnsi="Times New Roman"/>
          <w:b/>
          <w:noProof/>
          <w:color w:val="000000"/>
        </w:rPr>
        <w:t>Naujoji Energetikos sąjungos darbo grupė</w:t>
      </w:r>
      <w:r>
        <w:rPr>
          <w:rFonts w:ascii="Times New Roman" w:hAnsi="Times New Roman"/>
          <w:noProof/>
          <w:color w:val="000000"/>
        </w:rPr>
        <w:t>, kurią Komisija pasiūlė įsteigti Įperkamos energijos veiksmų plane, be kita ko, padės didinti skaidrumą ir gerinti koordinavimą bei sistemų integraciją, taip stiprindama politiką ir tinklų planavimą visoje ES.</w:t>
      </w:r>
    </w:p>
    <w:p w14:paraId="6B21A90F" w14:textId="77777777" w:rsidR="005E019D" w:rsidRPr="005E019D" w:rsidRDefault="005E019D" w:rsidP="005E019D">
      <w:pPr>
        <w:pBdr>
          <w:top w:val="single" w:sz="4" w:space="1" w:color="auto"/>
          <w:left w:val="single" w:sz="4" w:space="4" w:color="auto"/>
          <w:bottom w:val="single" w:sz="4" w:space="1" w:color="auto"/>
          <w:right w:val="single" w:sz="4" w:space="4" w:color="auto"/>
        </w:pBdr>
        <w:spacing w:after="120" w:line="264" w:lineRule="auto"/>
        <w:jc w:val="both"/>
        <w:rPr>
          <w:rFonts w:ascii="Times New Roman" w:eastAsia="Times New Roman" w:hAnsi="Times New Roman" w:cs="Times New Roman"/>
          <w:noProof/>
          <w:color w:val="000000"/>
          <w:kern w:val="0"/>
          <w14:ligatures w14:val="none"/>
        </w:rPr>
      </w:pPr>
      <w:r>
        <w:rPr>
          <w:rFonts w:ascii="Times New Roman" w:hAnsi="Times New Roman"/>
          <w:b/>
          <w:noProof/>
          <w:color w:val="000000"/>
        </w:rPr>
        <w:t>Valstybės narės raginamos</w:t>
      </w:r>
      <w:r>
        <w:rPr>
          <w:rFonts w:ascii="Times New Roman" w:hAnsi="Times New Roman"/>
          <w:noProof/>
          <w:color w:val="000000"/>
        </w:rPr>
        <w:t xml:space="preserve"> toliau </w:t>
      </w:r>
      <w:r>
        <w:rPr>
          <w:rFonts w:ascii="Times New Roman" w:hAnsi="Times New Roman"/>
          <w:b/>
          <w:noProof/>
          <w:color w:val="000000"/>
        </w:rPr>
        <w:t>visapusiškai naudotis esamais regioninio bendradarbiavimo forumais</w:t>
      </w:r>
      <w:r>
        <w:rPr>
          <w:rFonts w:ascii="Times New Roman" w:hAnsi="Times New Roman"/>
          <w:noProof/>
          <w:color w:val="000000"/>
        </w:rPr>
        <w:t xml:space="preserve">, visų pirma aukšto lygio grupėmis. </w:t>
      </w:r>
    </w:p>
    <w:p w14:paraId="055FA7A7" w14:textId="77777777" w:rsidR="005E019D" w:rsidRPr="004C35F5" w:rsidRDefault="005E019D" w:rsidP="005E019D">
      <w:pPr>
        <w:spacing w:after="120" w:line="264" w:lineRule="auto"/>
        <w:jc w:val="both"/>
        <w:rPr>
          <w:rFonts w:ascii="Times New Roman" w:eastAsia="Yu Mincho" w:hAnsi="Times New Roman" w:cs="Times New Roman"/>
          <w:i/>
          <w:iCs/>
          <w:noProof/>
          <w:kern w:val="0"/>
          <w14:ligatures w14:val="none"/>
        </w:rPr>
      </w:pPr>
    </w:p>
    <w:p w14:paraId="41AF673E" w14:textId="77777777" w:rsidR="005E019D" w:rsidRPr="005E019D" w:rsidRDefault="005E019D" w:rsidP="005E019D">
      <w:pPr>
        <w:keepNext/>
        <w:keepLines/>
        <w:spacing w:before="40" w:after="240" w:line="240" w:lineRule="auto"/>
        <w:ind w:left="432" w:hanging="432"/>
        <w:jc w:val="both"/>
        <w:outlineLvl w:val="0"/>
        <w:rPr>
          <w:rFonts w:ascii="Times New Roman" w:eastAsia="Yu Gothic Light" w:hAnsi="Times New Roman" w:cs="Times New Roman"/>
          <w:b/>
          <w:bCs/>
          <w:caps/>
          <w:noProof/>
          <w:color w:val="000000"/>
          <w:kern w:val="0"/>
          <w14:ligatures w14:val="none"/>
        </w:rPr>
      </w:pPr>
      <w:r>
        <w:rPr>
          <w:rFonts w:ascii="Times New Roman" w:hAnsi="Times New Roman"/>
          <w:b/>
          <w:caps/>
          <w:noProof/>
          <w:color w:val="000000"/>
        </w:rPr>
        <w:t>UŽTIKRINTI, KAD ES TAPTŲ SAVARANKIŠKESNĖ IR SAUGESNĖ</w:t>
      </w:r>
    </w:p>
    <w:p w14:paraId="01188A7F" w14:textId="77777777" w:rsidR="005E019D" w:rsidRPr="005E019D" w:rsidRDefault="005E019D" w:rsidP="005E019D">
      <w:pPr>
        <w:spacing w:before="120" w:after="120" w:line="264" w:lineRule="auto"/>
        <w:jc w:val="both"/>
        <w:rPr>
          <w:rFonts w:ascii="Times New Roman" w:eastAsia="Yu Mincho" w:hAnsi="Times New Roman" w:cs="Times New Roman"/>
          <w:noProof/>
          <w:kern w:val="0"/>
          <w14:ligatures w14:val="none"/>
        </w:rPr>
      </w:pPr>
      <w:r>
        <w:rPr>
          <w:rFonts w:ascii="Times New Roman" w:hAnsi="Times New Roman"/>
          <w:b/>
          <w:noProof/>
        </w:rPr>
        <w:t>Europos priklausomybės nuo iškastinio kuro mažinimas, konkurencingumas ir augimas yra glaudžiai susiję su jos saugumu ir savarankiškumu</w:t>
      </w:r>
      <w:r>
        <w:rPr>
          <w:rFonts w:ascii="Times New Roman" w:hAnsi="Times New Roman"/>
          <w:noProof/>
        </w:rPr>
        <w:t>, o energetikos krizė sugrąžino dėmesį tikslams mažinti suvartojimą, įvairinti iškastinių dujų tiekimą ir pasirengti galimoms energetikos krizėms. Nuo 2022 m. rugpjūčio mėn. iki 2024 m. lapkričio mėn.</w:t>
      </w:r>
      <w:r w:rsidRPr="005E019D">
        <w:rPr>
          <w:rFonts w:ascii="Times New Roman" w:eastAsia="Yu Mincho" w:hAnsi="Times New Roman" w:cs="Times New Roman"/>
          <w:noProof/>
          <w:kern w:val="0"/>
          <w:vertAlign w:val="superscript"/>
          <w:lang w:val="en-GB"/>
        </w:rPr>
        <w:footnoteReference w:id="88"/>
      </w:r>
      <w:r>
        <w:rPr>
          <w:rFonts w:ascii="Times New Roman" w:hAnsi="Times New Roman"/>
          <w:noProof/>
        </w:rPr>
        <w:t xml:space="preserve"> ES jau sumažino dujų poreikį 18 proc. Ji taip pat diversifikavo savo dujų tiekimą: 2021–2023 m. dujų importas iš Rusijos sumažėjo 70 proc. (nuo 150 mlrd. m³ iki 43 mlrd. m³). Tai rodo, kad vidutinės trukmės laikotarpiu reikia nacionalinių strategijų, kad būtų užbaigtas laipsniškas Rusijos iškastinio kuro atsisakymas ir ilgainiui sumažinta mūsų priklausomybė nuo iškastinio kuro.</w:t>
      </w:r>
    </w:p>
    <w:p w14:paraId="2585DCDD" w14:textId="77777777" w:rsidR="005E019D" w:rsidRPr="005E019D" w:rsidRDefault="005E019D" w:rsidP="005E019D">
      <w:pPr>
        <w:spacing w:before="120" w:after="120" w:line="264" w:lineRule="auto"/>
        <w:jc w:val="both"/>
        <w:rPr>
          <w:rFonts w:ascii="Times New Roman" w:eastAsia="Yu Mincho" w:hAnsi="Times New Roman" w:cs="Times New Roman"/>
          <w:noProof/>
          <w:kern w:val="0"/>
          <w14:ligatures w14:val="none"/>
        </w:rPr>
      </w:pPr>
      <w:r>
        <w:rPr>
          <w:rFonts w:ascii="Times New Roman" w:hAnsi="Times New Roman"/>
          <w:noProof/>
        </w:rPr>
        <w:t xml:space="preserve">Atlaikius 2022–2023 m. energetikos krizę, </w:t>
      </w:r>
      <w:r>
        <w:rPr>
          <w:rFonts w:ascii="Times New Roman" w:hAnsi="Times New Roman"/>
          <w:b/>
          <w:noProof/>
        </w:rPr>
        <w:t xml:space="preserve">galutiniuose NEKSVP išplečiamos nacionalinės strategijos, kuriomis siekiama užtikrinti energetinį saugumą sparčiai kintančioje ES energetikos sistemoje. </w:t>
      </w:r>
      <w:r>
        <w:rPr>
          <w:rFonts w:ascii="Times New Roman" w:hAnsi="Times New Roman"/>
          <w:noProof/>
        </w:rPr>
        <w:t xml:space="preserve">Galutiniais planais, nors ir skirtingu mastu, reaguojama į Komisijos rekomendacijas dėl energetinio saugumo tikslų ir priemonių dujų, elektros energijos, naftos, branduolinės energijos ir prisitaikymo prie klimato kaitos srityse. Kelios valstybės narės pateikė atnaujintas dujų poreikio projekcijas, o didžioji dauguma prognozuoja, kad artimiausiais dešimtmečiais jis gerokai sumažės. Tik Liuksemburgas pateikė konkrečius planus, kaip skatinti iki 2030 m. sumažinti dujų poreikį. Be to, nedaug valstybių narių pateikė išsamią informaciją apie tolesnes įvairinimo pastangas ir nepakankamai dėmesio skiriama klausimui, ar jų dujų infrastruktūra ir, kai tinka, naujų eksploatavimo projektų infrastruktūra yra suderinama su priklausomybės nuo iškastinio kuro mažinimo tikslais. </w:t>
      </w:r>
    </w:p>
    <w:p w14:paraId="1B76E301" w14:textId="77777777" w:rsidR="005E019D" w:rsidRPr="005E019D" w:rsidRDefault="005E019D" w:rsidP="005E019D">
      <w:pPr>
        <w:spacing w:before="120" w:after="120" w:line="264" w:lineRule="auto"/>
        <w:jc w:val="both"/>
        <w:rPr>
          <w:rFonts w:ascii="Times New Roman" w:eastAsia="Yu Mincho" w:hAnsi="Times New Roman" w:cs="Times New Roman"/>
          <w:b/>
          <w:noProof/>
          <w:kern w:val="0"/>
          <w14:ligatures w14:val="none"/>
        </w:rPr>
      </w:pPr>
      <w:r>
        <w:rPr>
          <w:rFonts w:ascii="Times New Roman" w:hAnsi="Times New Roman"/>
          <w:b/>
          <w:noProof/>
        </w:rPr>
        <w:t xml:space="preserve">Elektrifikacija, kintami atsinaujinantieji energijos ištekliai ir pastangos laipsniškai nutraukti iškastinio kuro importą iš Rusijos rodo atsparesnės elektros energijos sistemos svarbą. </w:t>
      </w:r>
      <w:r>
        <w:rPr>
          <w:rFonts w:ascii="Times New Roman" w:hAnsi="Times New Roman"/>
          <w:noProof/>
        </w:rPr>
        <w:t>Svarbus etapas didinant elektros energijos sistemos atsparumą buvo 2025 m. vasario mėn. įvykęs Estijos, Latvijos ir Lietuvos sinchronizavimas su žemynine Europa, taip pašalinant galimą pažeidžiamumą dėl Rusijos. Pagal peržiūrėtą elektros energijos rinkos modelį</w:t>
      </w:r>
      <w:r w:rsidRPr="005E019D">
        <w:rPr>
          <w:rFonts w:ascii="Times New Roman" w:eastAsia="Yu Mincho" w:hAnsi="Times New Roman" w:cs="Times New Roman"/>
          <w:noProof/>
          <w:kern w:val="0"/>
          <w:vertAlign w:val="superscript"/>
        </w:rPr>
        <w:footnoteReference w:id="89"/>
      </w:r>
      <w:r>
        <w:rPr>
          <w:rFonts w:ascii="Times New Roman" w:hAnsi="Times New Roman"/>
          <w:noProof/>
        </w:rPr>
        <w:t xml:space="preserve"> reikalaujama, kad valstybės narės įvertintų savo poreikius ir tikslą, susijusius su neiškastinių išteklių lankstumu, įskaitant konkretų energijos kaupimo ir reguliavimo apkrova indėlį. 2023 m. Komisija taip pat priėmė rekomendaciją dėl pagrindinių reguliavimo kliūčių energijos kaupimui</w:t>
      </w:r>
      <w:r w:rsidRPr="005E019D">
        <w:rPr>
          <w:rFonts w:ascii="Times New Roman" w:eastAsia="Yu Mincho" w:hAnsi="Times New Roman" w:cs="Times New Roman"/>
          <w:noProof/>
          <w:kern w:val="0"/>
          <w:vertAlign w:val="superscript"/>
        </w:rPr>
        <w:footnoteReference w:id="90"/>
      </w:r>
      <w:r>
        <w:rPr>
          <w:rFonts w:ascii="Times New Roman" w:hAnsi="Times New Roman"/>
          <w:noProof/>
        </w:rPr>
        <w:t>.</w:t>
      </w:r>
    </w:p>
    <w:p w14:paraId="3AEF5EBD" w14:textId="77777777" w:rsidR="005E019D" w:rsidRPr="005E019D" w:rsidRDefault="005E019D" w:rsidP="005E019D">
      <w:pPr>
        <w:spacing w:before="120" w:after="120" w:line="264" w:lineRule="auto"/>
        <w:jc w:val="both"/>
        <w:rPr>
          <w:rFonts w:ascii="Times New Roman" w:eastAsia="Yu Mincho" w:hAnsi="Times New Roman" w:cs="Times New Roman"/>
          <w:noProof/>
          <w:kern w:val="0"/>
          <w14:ligatures w14:val="none"/>
        </w:rPr>
      </w:pPr>
      <w:r>
        <w:rPr>
          <w:rFonts w:ascii="Times New Roman" w:hAnsi="Times New Roman"/>
          <w:b/>
          <w:noProof/>
        </w:rPr>
        <w:t>Nors energijos kaupimas yra svarbi atsparesnės energetikos sistemos dalis, tik kelios valstybės narės nustatė konkrečius energijos kaupimo tikslus.</w:t>
      </w:r>
      <w:r>
        <w:rPr>
          <w:rFonts w:ascii="Times New Roman" w:hAnsi="Times New Roman"/>
          <w:noProof/>
        </w:rPr>
        <w:t xml:space="preserve"> Kai kurios valstybės narės pateikė išsamesnę informaciją</w:t>
      </w:r>
      <w:r w:rsidRPr="005E019D">
        <w:rPr>
          <w:rFonts w:ascii="Times New Roman" w:eastAsia="Yu Mincho" w:hAnsi="Times New Roman" w:cs="Times New Roman"/>
          <w:noProof/>
          <w:kern w:val="0"/>
          <w:vertAlign w:val="superscript"/>
        </w:rPr>
        <w:footnoteReference w:id="91"/>
      </w:r>
      <w:r>
        <w:rPr>
          <w:rFonts w:ascii="Times New Roman" w:hAnsi="Times New Roman"/>
          <w:noProof/>
        </w:rPr>
        <w:t xml:space="preserve"> apie energijos kaupimo politiką, o informaciją apie tikslus pateikė mažiau valstybių narių</w:t>
      </w:r>
      <w:r w:rsidRPr="005E019D">
        <w:rPr>
          <w:rFonts w:ascii="Times New Roman" w:eastAsia="Yu Mincho" w:hAnsi="Times New Roman" w:cs="Times New Roman"/>
          <w:noProof/>
          <w:kern w:val="0"/>
          <w:vertAlign w:val="superscript"/>
        </w:rPr>
        <w:footnoteReference w:id="92"/>
      </w:r>
      <w:r>
        <w:rPr>
          <w:rFonts w:ascii="Times New Roman" w:hAnsi="Times New Roman"/>
          <w:noProof/>
        </w:rPr>
        <w:t>. Duomenų nepakanka, kad būtų galima susidaryti nuoseklų ir palyginamą vaizdą apie kaupimo priemonių diegimą visose valstybėse narėse.</w:t>
      </w:r>
    </w:p>
    <w:p w14:paraId="0C1251CA" w14:textId="77777777" w:rsidR="005E019D" w:rsidRPr="005E019D" w:rsidRDefault="005E019D" w:rsidP="005E019D">
      <w:pPr>
        <w:spacing w:before="120" w:after="120" w:line="264" w:lineRule="auto"/>
        <w:jc w:val="both"/>
        <w:rPr>
          <w:rFonts w:ascii="Times New Roman" w:eastAsia="Yu Mincho" w:hAnsi="Times New Roman" w:cs="Times New Roman"/>
          <w:noProof/>
          <w:kern w:val="0"/>
          <w14:ligatures w14:val="none"/>
        </w:rPr>
      </w:pPr>
      <w:r>
        <w:rPr>
          <w:rFonts w:ascii="Times New Roman" w:hAnsi="Times New Roman"/>
          <w:b/>
          <w:noProof/>
        </w:rPr>
        <w:t xml:space="preserve">Nors ES naftos importas yra įvairesnis nei anksčiau, galutiniuose NEKSVP pateikiama nedaug informacijos apie nacionalines naftos infrastruktūros pritaikymo prie dekarbonizuotos energetikos sistemos strategijas. </w:t>
      </w:r>
      <w:r>
        <w:rPr>
          <w:rFonts w:ascii="Times New Roman" w:hAnsi="Times New Roman"/>
          <w:noProof/>
        </w:rPr>
        <w:t>Dėl ES sankcijų, kuriomis nuo 2022 m. gruodžio mėn. uždrausta importuoti jūra gabenamą Rusijos žalią naftą, o nuo 2023 m. vasario mėn. – perdirbtus naftos produktus, Rusijos nafta šiandien sudaro tik 3 proc. importo. Nors kelios valstybės narės pateikė daugiau informacijos apie savo perspektyvas, susijusias su nafta, tik nedaug valstybių narių</w:t>
      </w:r>
      <w:r w:rsidRPr="005E019D">
        <w:rPr>
          <w:rFonts w:ascii="Times New Roman" w:eastAsia="Yu Mincho" w:hAnsi="Times New Roman" w:cs="Times New Roman"/>
          <w:noProof/>
          <w:kern w:val="0"/>
          <w:vertAlign w:val="superscript"/>
        </w:rPr>
        <w:footnoteReference w:id="93"/>
      </w:r>
      <w:r>
        <w:rPr>
          <w:rFonts w:ascii="Times New Roman" w:hAnsi="Times New Roman"/>
          <w:noProof/>
        </w:rPr>
        <w:t xml:space="preserve"> realiai įvertino iškastinio kuro infrastruktūros (įskaitant naftos perdirbimo gamyklas, vamzdynus, atsargas) adekvatumą ilguoju laikotarpiu, atsižvelgdamos į numatomą paklausos mažėjimą ir perėjimą prie mažesnio anglies dioksido pėdsako alternatyvų ateinančiais dešimtmečiais siekiant ES 2050 m. poveikio klimatui neutralumo tikslo.</w:t>
      </w:r>
    </w:p>
    <w:p w14:paraId="35D87B5D" w14:textId="77777777" w:rsidR="005E019D" w:rsidRPr="005E019D" w:rsidRDefault="005E019D" w:rsidP="005E019D">
      <w:pPr>
        <w:spacing w:before="120" w:after="120" w:line="264" w:lineRule="auto"/>
        <w:jc w:val="both"/>
        <w:rPr>
          <w:rFonts w:ascii="Times New Roman" w:eastAsia="Yu Mincho" w:hAnsi="Times New Roman" w:cs="Times New Roman"/>
          <w:noProof/>
          <w:kern w:val="0"/>
          <w14:ligatures w14:val="none"/>
        </w:rPr>
      </w:pPr>
      <w:r>
        <w:rPr>
          <w:rFonts w:ascii="Times New Roman" w:hAnsi="Times New Roman"/>
          <w:noProof/>
        </w:rPr>
        <w:t xml:space="preserve">Kalbant apie </w:t>
      </w:r>
      <w:r>
        <w:rPr>
          <w:rFonts w:ascii="Times New Roman" w:hAnsi="Times New Roman"/>
          <w:b/>
          <w:noProof/>
        </w:rPr>
        <w:t>branduolinę energiją</w:t>
      </w:r>
      <w:r>
        <w:rPr>
          <w:rFonts w:ascii="Times New Roman" w:hAnsi="Times New Roman"/>
          <w:noProof/>
        </w:rPr>
        <w:t>, kelios valstybės narės pateikė naujausią informaciją apie savo programas ir paskelbė apie esamų reaktorių eksploatavimo trukmės pratęsimą ir naujų įrenginių statybą. Šiose programose svarstoma naudoti branduolinę energiją švarios ir lanksčios elektros energijos ir šilumos tiekimui gyvenamųjų namų ir pramonės reikmėms, įskaitant vandenilio gamybą.</w:t>
      </w:r>
    </w:p>
    <w:p w14:paraId="4D01757A" w14:textId="1889001E" w:rsidR="005E019D" w:rsidRPr="005E019D" w:rsidRDefault="005E019D" w:rsidP="005E019D">
      <w:pPr>
        <w:spacing w:before="120" w:after="120" w:line="264" w:lineRule="auto"/>
        <w:jc w:val="both"/>
        <w:rPr>
          <w:rFonts w:ascii="Times New Roman" w:eastAsia="Yu Mincho" w:hAnsi="Times New Roman" w:cs="Times New Roman"/>
          <w:noProof/>
          <w:kern w:val="0"/>
          <w14:ligatures w14:val="none"/>
        </w:rPr>
      </w:pPr>
      <w:r>
        <w:rPr>
          <w:rFonts w:ascii="Times New Roman" w:hAnsi="Times New Roman"/>
          <w:noProof/>
        </w:rPr>
        <w:t xml:space="preserve">Žvelgiant į ilgesnį laikotarpį, remiantis galutiniuose NEKSVP pateikta informacija, grynasis elektros energijos gamybos iš didelio masto branduolinių reaktorių pajėgumas 2050 m. galėtų sudaryti iki 110 GWe, nors esama daug netikrumo dėl esamų reaktorių eksploatavimo trukmės pratęsimo ir naujų reaktorių įrengimo planų, dėl kurių dar nepriimtas galutinis investavimo sprendimas. Komisija pateiks daugiau informacijos apie apibendrintus rezultatus ir jautrumo analizes bei susijusius investicijų poreikius būsimoje Branduolinėje informacinėje programoje (PINC), kuri šiuo metu rengiama pagal Euratomo sutarties 40 straipsnį. </w:t>
      </w:r>
    </w:p>
    <w:p w14:paraId="4C04A93A" w14:textId="66CA595F" w:rsidR="005E019D" w:rsidRPr="005E019D" w:rsidRDefault="005E019D" w:rsidP="005E019D">
      <w:pPr>
        <w:spacing w:before="120" w:after="120" w:line="264" w:lineRule="auto"/>
        <w:jc w:val="both"/>
        <w:rPr>
          <w:rFonts w:ascii="Times New Roman" w:eastAsia="Yu Mincho" w:hAnsi="Times New Roman" w:cs="Times New Roman"/>
          <w:noProof/>
          <w:kern w:val="0"/>
          <w14:ligatures w14:val="none"/>
        </w:rPr>
      </w:pPr>
      <w:r>
        <w:rPr>
          <w:rFonts w:ascii="Times New Roman" w:hAnsi="Times New Roman"/>
          <w:noProof/>
        </w:rPr>
        <w:t>Atsparioms branduolinės energijos tiekimo grandinėms kelia grėsmę mažos Rusijos kainos ir istorinis palikimas. Rusija tiekia produktus ir teikia paslaugas ES klientams visame branduolinio kuro cikle, tačiau valstybės narės imasi veiksmų, kaip nurodyta jų galutiniuose planuose. Priklausomybė didžiausia penkiose valstybėse narėse</w:t>
      </w:r>
      <w:r w:rsidRPr="005E019D">
        <w:rPr>
          <w:rFonts w:ascii="Times New Roman" w:eastAsia="Yu Mincho" w:hAnsi="Times New Roman" w:cs="Times New Roman"/>
          <w:noProof/>
          <w:kern w:val="0"/>
          <w:vertAlign w:val="superscript"/>
          <w:lang w:val="en-GB"/>
        </w:rPr>
        <w:footnoteReference w:id="94"/>
      </w:r>
      <w:r>
        <w:rPr>
          <w:rFonts w:ascii="Times New Roman" w:hAnsi="Times New Roman"/>
          <w:noProof/>
        </w:rPr>
        <w:t>, turinčiose Rusijos suprojektuotus VVER reaktorius, kurie tradiciškai buvo priklausomi nuo Rusijos tiekėjo kuro. Pastaraisiais metais šių valstybių narių operatoriai ėmėsi priemonių kuro tiekimui įvairinti ir padaryta didelė pažanga sudarant alternatyvaus branduolinio kuro tiekimo sutartis. Be to, Europos pramonė investuoja į savo branduolinio kuro ciklo pajėgumų didinimą. Svarbu toliau dėti šias pastangas ir paspartinti įvairinimą, laikantis Energijos importo iš Rusijos nutraukimo veiksmų gairių</w:t>
      </w:r>
      <w:r w:rsidRPr="005E019D">
        <w:rPr>
          <w:rFonts w:ascii="Calibri" w:eastAsia="Yu Mincho" w:hAnsi="Calibri" w:cs="Arial"/>
          <w:noProof/>
          <w:kern w:val="0"/>
          <w:sz w:val="20"/>
          <w:szCs w:val="20"/>
          <w:vertAlign w:val="superscript"/>
          <w:lang w:val="en-GB"/>
        </w:rPr>
        <w:footnoteReference w:id="95"/>
      </w:r>
      <w:r>
        <w:rPr>
          <w:rFonts w:ascii="Times New Roman" w:hAnsi="Times New Roman"/>
          <w:noProof/>
        </w:rPr>
        <w:t xml:space="preserve">. </w:t>
      </w:r>
    </w:p>
    <w:p w14:paraId="69DD0317" w14:textId="77777777" w:rsidR="005E019D" w:rsidRPr="005E019D" w:rsidRDefault="005E019D" w:rsidP="005E019D">
      <w:pPr>
        <w:spacing w:before="120" w:after="120" w:line="264" w:lineRule="auto"/>
        <w:jc w:val="both"/>
        <w:rPr>
          <w:rFonts w:ascii="Times New Roman" w:eastAsia="Yu Mincho" w:hAnsi="Times New Roman" w:cs="Times New Roman"/>
          <w:noProof/>
          <w:kern w:val="0"/>
          <w14:ligatures w14:val="none"/>
        </w:rPr>
      </w:pPr>
      <w:r>
        <w:rPr>
          <w:rFonts w:ascii="Times New Roman" w:hAnsi="Times New Roman"/>
          <w:b/>
          <w:noProof/>
        </w:rPr>
        <w:t>Grėsmės fiziniam ir kibernetiniam infrastruktūros saugumui tampa vis dažnesnės ir didesnės</w:t>
      </w:r>
      <w:r>
        <w:rPr>
          <w:rFonts w:ascii="Times New Roman" w:hAnsi="Times New Roman"/>
          <w:noProof/>
        </w:rPr>
        <w:t xml:space="preserve">, o tai kelia vis didesnę riziką Europos savarankiškumui, saugumui ir konkurencingumui. Hibridinės grėsmės, įskaitant sabotažą ir kibernetinius išpuolius, kelia vis didesnę riziką Europos ypatingos svarbos infrastruktūros veikimui. </w:t>
      </w:r>
    </w:p>
    <w:p w14:paraId="5ECC6E35" w14:textId="77777777" w:rsidR="005E019D" w:rsidRPr="005E019D" w:rsidRDefault="005E019D" w:rsidP="005E019D">
      <w:pPr>
        <w:spacing w:before="120" w:after="120" w:line="264" w:lineRule="auto"/>
        <w:jc w:val="both"/>
        <w:rPr>
          <w:rFonts w:ascii="Times New Roman" w:eastAsia="Yu Mincho" w:hAnsi="Times New Roman" w:cs="Times New Roman"/>
          <w:noProof/>
          <w:kern w:val="0"/>
          <w14:ligatures w14:val="none"/>
        </w:rPr>
      </w:pPr>
      <w:r>
        <w:rPr>
          <w:rFonts w:ascii="Times New Roman" w:hAnsi="Times New Roman"/>
          <w:b/>
          <w:noProof/>
        </w:rPr>
        <w:t>Fizinis klimato kaitos poveikis</w:t>
      </w:r>
      <w:r>
        <w:rPr>
          <w:rFonts w:ascii="Times New Roman" w:hAnsi="Times New Roman"/>
          <w:noProof/>
        </w:rPr>
        <w:t xml:space="preserve"> taip pat kelia didelę trikdomojo ir nuolatinio poveikio pagrindinėms sistemoms riziką ir veikia kaip katalizatorius, dėl kurio kita rizika tampa pavojingesnė. 2024 m. Europos klimato rizikos vertinime ir </w:t>
      </w:r>
      <w:bookmarkStart w:id="6" w:name="_Hlk193360758"/>
      <w:r>
        <w:rPr>
          <w:rFonts w:ascii="Times New Roman" w:hAnsi="Times New Roman"/>
          <w:noProof/>
        </w:rPr>
        <w:t xml:space="preserve">S. Niinistö ataskaitoje </w:t>
      </w:r>
      <w:bookmarkEnd w:id="6"/>
      <w:r>
        <w:rPr>
          <w:rFonts w:ascii="Times New Roman" w:hAnsi="Times New Roman"/>
          <w:noProof/>
        </w:rPr>
        <w:t>teigiama, kad šis poveikis energetikos sektoriui yra nepakankamai įvertintas.  Sausrų poveikis energijos tiekimui buvo akivaizdus 2022 m. vasarą, kai gaminti ir skirstyti energiją trukdė vandens trūkumas ir aukšta temperatūra. Valstybės narės ėmėsi veiksmų, kad įgyvendintų teisės aktus, kuriais užtikrinamas tiek fizinis, tiek skaitmeninis energetikos infrastruktūros saugumas ES, nors skirtinguose NEKSVP pažanga sprendžiant atsparumo klimato kaitai ir prisitaikymo prie jos klausimus energetikos sistemoje yra netolygi</w:t>
      </w:r>
      <w:r w:rsidRPr="005E019D">
        <w:rPr>
          <w:rFonts w:ascii="Times New Roman" w:eastAsia="Yu Mincho" w:hAnsi="Times New Roman" w:cs="Times New Roman"/>
          <w:noProof/>
          <w:kern w:val="0"/>
          <w:vertAlign w:val="superscript"/>
          <w:lang w:val="en-GB"/>
        </w:rPr>
        <w:footnoteReference w:id="96"/>
      </w:r>
      <w:r>
        <w:rPr>
          <w:rFonts w:ascii="Times New Roman" w:hAnsi="Times New Roman"/>
          <w:noProof/>
        </w:rPr>
        <w:t xml:space="preserve">. </w:t>
      </w:r>
    </w:p>
    <w:p w14:paraId="63ACD3D3" w14:textId="77777777" w:rsidR="005E019D" w:rsidRPr="005E019D" w:rsidRDefault="005E019D" w:rsidP="005E019D">
      <w:pPr>
        <w:pBdr>
          <w:top w:val="single" w:sz="4" w:space="1" w:color="auto"/>
          <w:left w:val="single" w:sz="4" w:space="4" w:color="auto"/>
          <w:bottom w:val="single" w:sz="4" w:space="1" w:color="auto"/>
          <w:right w:val="single" w:sz="4" w:space="4" w:color="auto"/>
        </w:pBdr>
        <w:spacing w:before="120" w:after="0" w:line="240" w:lineRule="auto"/>
        <w:jc w:val="both"/>
        <w:rPr>
          <w:rFonts w:ascii="Times New Roman" w:eastAsia="Yu Mincho" w:hAnsi="Times New Roman" w:cs="Times New Roman"/>
          <w:b/>
          <w:bCs/>
          <w:i/>
          <w:iCs/>
          <w:noProof/>
          <w:kern w:val="0"/>
          <w14:ligatures w14:val="none"/>
        </w:rPr>
      </w:pPr>
      <w:r>
        <w:rPr>
          <w:rFonts w:ascii="Times New Roman" w:hAnsi="Times New Roman"/>
          <w:b/>
          <w:i/>
          <w:noProof/>
        </w:rPr>
        <w:t>Tolesni veiksmai</w:t>
      </w:r>
    </w:p>
    <w:p w14:paraId="7847270E" w14:textId="77777777" w:rsidR="005E019D" w:rsidRPr="005E019D" w:rsidRDefault="005E019D" w:rsidP="005E019D">
      <w:pPr>
        <w:pBdr>
          <w:top w:val="single" w:sz="4" w:space="1" w:color="auto"/>
          <w:left w:val="single" w:sz="4" w:space="4" w:color="auto"/>
          <w:bottom w:val="single" w:sz="4" w:space="1" w:color="auto"/>
          <w:right w:val="single" w:sz="4" w:space="4" w:color="auto"/>
        </w:pBdr>
        <w:spacing w:before="120" w:after="0" w:line="240" w:lineRule="auto"/>
        <w:jc w:val="both"/>
        <w:rPr>
          <w:rFonts w:ascii="Times New Roman" w:eastAsia="Yu Mincho" w:hAnsi="Times New Roman" w:cs="Times New Roman"/>
          <w:i/>
          <w:iCs/>
          <w:noProof/>
          <w:kern w:val="0"/>
          <w14:ligatures w14:val="none"/>
        </w:rPr>
      </w:pPr>
      <w:r>
        <w:rPr>
          <w:rFonts w:ascii="Times New Roman" w:hAnsi="Times New Roman"/>
          <w:i/>
          <w:noProof/>
        </w:rPr>
        <w:t>Mažesnis iškastinių dujų suvartojimas ir įvairesnis energijos tiekimas didina energetinį saugumą, tačiau galutiniuose NEKSVP nepakankamai atsižvelgiama į atsparesnės infrastruktūros planavimo poreikius, visų pirma siekiant prisitaikyti prie mažėjančio naftos suvartojimo, didesnės elektrifikacijos, grindžiamos kintamų atsinaujinančiųjų išteklių energija, ir sparčiai kintančių grėsmių, pavyzdžiui, klimato kaitos.</w:t>
      </w:r>
    </w:p>
    <w:p w14:paraId="5CB24962" w14:textId="77777777" w:rsidR="005E019D" w:rsidRPr="005E019D" w:rsidRDefault="005E019D" w:rsidP="005E019D">
      <w:pPr>
        <w:pBdr>
          <w:top w:val="single" w:sz="4" w:space="1" w:color="auto"/>
          <w:left w:val="single" w:sz="4" w:space="4" w:color="auto"/>
          <w:bottom w:val="single" w:sz="4" w:space="1" w:color="auto"/>
          <w:right w:val="single" w:sz="4" w:space="4" w:color="auto"/>
        </w:pBdr>
        <w:spacing w:before="120" w:after="0" w:line="240" w:lineRule="auto"/>
        <w:jc w:val="both"/>
        <w:rPr>
          <w:rFonts w:ascii="Times New Roman" w:eastAsia="Yu Mincho" w:hAnsi="Times New Roman" w:cs="Times New Roman"/>
          <w:noProof/>
          <w:kern w:val="0"/>
          <w14:ligatures w14:val="none"/>
        </w:rPr>
      </w:pPr>
      <w:r>
        <w:rPr>
          <w:rFonts w:ascii="Times New Roman" w:hAnsi="Times New Roman"/>
          <w:b/>
          <w:noProof/>
        </w:rPr>
        <w:t>Komisijos Įperkamos energijos veiksmų plane</w:t>
      </w:r>
      <w:r>
        <w:rPr>
          <w:rFonts w:ascii="Times New Roman" w:hAnsi="Times New Roman"/>
          <w:noProof/>
        </w:rPr>
        <w:t xml:space="preserve"> numatytos priemonės, kuriomis galima apskritai sumažinti iškastinio kuro naudojimą, pavyzdžiui, skatinant konkurencingos atsinaujinančiųjų išteklių elektros energijos gamybą ir vartojimą. Tai yra ir būsimo </w:t>
      </w:r>
      <w:r>
        <w:rPr>
          <w:rFonts w:ascii="Times New Roman" w:hAnsi="Times New Roman"/>
          <w:b/>
          <w:noProof/>
        </w:rPr>
        <w:t>elektrifikavimo veiksmų plano</w:t>
      </w:r>
      <w:r>
        <w:rPr>
          <w:rFonts w:ascii="Times New Roman" w:hAnsi="Times New Roman"/>
          <w:noProof/>
        </w:rPr>
        <w:t>, kuris turėtų būti paskelbtas 2026 m. I ketvirtį, tikslas.</w:t>
      </w:r>
    </w:p>
    <w:p w14:paraId="3EB613D6" w14:textId="77777777" w:rsidR="005E019D" w:rsidRPr="005E019D" w:rsidRDefault="005E019D" w:rsidP="005E019D">
      <w:pPr>
        <w:pBdr>
          <w:top w:val="single" w:sz="4" w:space="1" w:color="auto"/>
          <w:left w:val="single" w:sz="4" w:space="4" w:color="auto"/>
          <w:bottom w:val="single" w:sz="4" w:space="1" w:color="auto"/>
          <w:right w:val="single" w:sz="4" w:space="4" w:color="auto"/>
        </w:pBdr>
        <w:spacing w:before="120" w:after="0" w:line="240" w:lineRule="auto"/>
        <w:jc w:val="both"/>
        <w:rPr>
          <w:rFonts w:ascii="Times New Roman" w:eastAsia="Yu Mincho" w:hAnsi="Times New Roman" w:cs="Times New Roman"/>
          <w:noProof/>
          <w:kern w:val="0"/>
          <w14:ligatures w14:val="none"/>
        </w:rPr>
      </w:pPr>
      <w:r>
        <w:rPr>
          <w:rFonts w:ascii="Times New Roman" w:hAnsi="Times New Roman"/>
          <w:noProof/>
        </w:rPr>
        <w:t xml:space="preserve">2026 m. pradžioje </w:t>
      </w:r>
      <w:r>
        <w:rPr>
          <w:rFonts w:ascii="Times New Roman" w:hAnsi="Times New Roman"/>
          <w:b/>
          <w:noProof/>
        </w:rPr>
        <w:t>Komisija pateiks pasiūlymą dėl teisėkūros procedūra priimamo akto dėl dabartinės ES energetinio saugumo reglamentavimo sistemos peržiūros</w:t>
      </w:r>
      <w:r>
        <w:rPr>
          <w:rFonts w:ascii="Times New Roman" w:hAnsi="Times New Roman"/>
          <w:noProof/>
        </w:rPr>
        <w:t xml:space="preserve">. Atliekant peržiūrą bus įsigilinta į patirtį, įgytą per energetikos krizę, o saugumo sistema bus atnaujinta pagal naujus iššūkius, įskaitant hibridines grėsmes, tokias kaip kibernetiniai išpuoliai ir su klimatu susijusi rizika, kartu užtikrinant infrastruktūros saugumą bei atsparumą ir atsižvelgiant į galimybes, kurias atveria vis mažiau nuo iškastinio kuro priklausoma energetikos sistema. </w:t>
      </w:r>
    </w:p>
    <w:p w14:paraId="6A23CD69" w14:textId="77777777" w:rsidR="005E019D" w:rsidRPr="005E019D" w:rsidRDefault="005E019D" w:rsidP="005E019D">
      <w:pPr>
        <w:pBdr>
          <w:top w:val="single" w:sz="4" w:space="1" w:color="auto"/>
          <w:left w:val="single" w:sz="4" w:space="4" w:color="auto"/>
          <w:bottom w:val="single" w:sz="4" w:space="1" w:color="auto"/>
          <w:right w:val="single" w:sz="4" w:space="4" w:color="auto"/>
        </w:pBdr>
        <w:spacing w:before="120" w:after="0" w:line="240" w:lineRule="auto"/>
        <w:jc w:val="both"/>
        <w:rPr>
          <w:rFonts w:ascii="Times New Roman" w:eastAsia="Yu Mincho" w:hAnsi="Times New Roman" w:cs="Times New Roman"/>
          <w:noProof/>
          <w:kern w:val="0"/>
          <w14:ligatures w14:val="none"/>
        </w:rPr>
      </w:pPr>
      <w:r>
        <w:rPr>
          <w:rFonts w:ascii="Times New Roman" w:hAnsi="Times New Roman"/>
          <w:b/>
          <w:noProof/>
        </w:rPr>
        <w:t>Valstybės narės raginamos toliau mažinti priklausomybę nuo iškastinio kuro</w:t>
      </w:r>
      <w:r>
        <w:rPr>
          <w:rFonts w:ascii="Times New Roman" w:hAnsi="Times New Roman"/>
          <w:noProof/>
        </w:rPr>
        <w:t>, įvairinti energijos tiekimą ir kurti vietinės švarios energijos sprendimus. Didėjant priklausomybei nuo atsinaujinančiųjų energijos išteklių, valstybės narės raginamos investuoti į energetikos sistemos optimizavimą tiek perdavimo, tiek skirstymo lygmenimis. Siekiant užtikrinti didesnį saugumą, reikia investuoti į lankstumo sprendimus, tokius kaip kaupimas ir reguliavimas apkrova, kad infrastruktūra būtų pritaikyta prie decentralizacijos ir dekarbonizacijos. Taip pat reikia stiprinti energetikos infrastruktūros atsparumą, kad būtų pasirengta didėjančiai su klimatu susijusiai ir kitai rizikai.</w:t>
      </w:r>
    </w:p>
    <w:p w14:paraId="7A8C18B9" w14:textId="77777777" w:rsidR="005E019D" w:rsidRPr="004C35F5" w:rsidRDefault="005E019D" w:rsidP="005E019D">
      <w:pPr>
        <w:spacing w:after="120" w:line="264" w:lineRule="auto"/>
        <w:rPr>
          <w:rFonts w:ascii="Times New Roman" w:eastAsia="Yu Gothic Light" w:hAnsi="Times New Roman" w:cs="Times New Roman"/>
          <w:b/>
          <w:bCs/>
          <w:caps/>
          <w:noProof/>
          <w:color w:val="000000"/>
          <w:kern w:val="0"/>
          <w14:ligatures w14:val="none"/>
        </w:rPr>
      </w:pPr>
    </w:p>
    <w:p w14:paraId="6B9D5A67" w14:textId="77777777" w:rsidR="005E019D" w:rsidRPr="005E019D" w:rsidRDefault="005E019D" w:rsidP="005E019D">
      <w:pPr>
        <w:keepNext/>
        <w:keepLines/>
        <w:spacing w:before="40" w:after="240" w:line="240" w:lineRule="auto"/>
        <w:ind w:left="432" w:hanging="432"/>
        <w:jc w:val="both"/>
        <w:outlineLvl w:val="0"/>
        <w:rPr>
          <w:rFonts w:ascii="Times New Roman" w:eastAsia="Yu Gothic Light" w:hAnsi="Times New Roman" w:cs="Times New Roman"/>
          <w:b/>
          <w:bCs/>
          <w:caps/>
          <w:noProof/>
          <w:color w:val="000000"/>
          <w:kern w:val="0"/>
          <w14:ligatures w14:val="none"/>
        </w:rPr>
      </w:pPr>
      <w:r>
        <w:rPr>
          <w:rFonts w:ascii="Times New Roman" w:hAnsi="Times New Roman"/>
          <w:b/>
          <w:caps/>
          <w:noProof/>
          <w:color w:val="000000"/>
        </w:rPr>
        <w:t xml:space="preserve">TEISINGA PERTVARKA IR VISŲ SUBJEKTŲ ĮTRAUKIMAS </w:t>
      </w:r>
    </w:p>
    <w:p w14:paraId="0EA22286" w14:textId="77777777" w:rsidR="005E019D" w:rsidRPr="005E019D" w:rsidRDefault="005E019D" w:rsidP="005E019D">
      <w:pPr>
        <w:spacing w:before="120" w:after="120" w:line="264" w:lineRule="auto"/>
        <w:jc w:val="both"/>
        <w:rPr>
          <w:rFonts w:ascii="Times New Roman" w:eastAsia="Yu Mincho" w:hAnsi="Times New Roman" w:cs="Times New Roman"/>
          <w:noProof/>
          <w:kern w:val="0"/>
          <w14:ligatures w14:val="none"/>
        </w:rPr>
      </w:pPr>
      <w:r>
        <w:rPr>
          <w:rFonts w:ascii="Times New Roman" w:hAnsi="Times New Roman"/>
          <w:noProof/>
        </w:rPr>
        <w:t xml:space="preserve">Siekiant teisingo perėjimo prie neutralaus poveikio klimatui ekonomikos, labai svarbu įtraukti visus subjektus. </w:t>
      </w:r>
      <w:r>
        <w:rPr>
          <w:rFonts w:ascii="Times New Roman" w:hAnsi="Times New Roman"/>
          <w:noProof/>
          <w:color w:val="26324B"/>
        </w:rPr>
        <w:t xml:space="preserve"> </w:t>
      </w:r>
      <w:r>
        <w:rPr>
          <w:rFonts w:ascii="Times New Roman" w:hAnsi="Times New Roman"/>
          <w:noProof/>
        </w:rPr>
        <w:t>Tai reiškia, kad reikia spręsti pertvarkos socialinio ir ekonominio poveikio klausimą, daugiausia dėmesio skiriant su didžiausiais iššūkiais susiduriantiems regionams, pramonės sektoriams ir darbuotojams.</w:t>
      </w:r>
    </w:p>
    <w:p w14:paraId="7D1320F4" w14:textId="77777777" w:rsidR="005E019D" w:rsidRPr="005E019D" w:rsidRDefault="005E019D" w:rsidP="005E019D">
      <w:pPr>
        <w:spacing w:before="120" w:after="120" w:line="264" w:lineRule="auto"/>
        <w:jc w:val="both"/>
        <w:rPr>
          <w:rFonts w:ascii="Times New Roman" w:eastAsia="Yu Mincho" w:hAnsi="Times New Roman" w:cs="Times New Roman"/>
          <w:b/>
          <w:noProof/>
          <w:kern w:val="0"/>
          <w14:ligatures w14:val="none"/>
        </w:rPr>
      </w:pPr>
      <w:r>
        <w:rPr>
          <w:rFonts w:ascii="Times New Roman" w:hAnsi="Times New Roman"/>
          <w:b/>
          <w:noProof/>
        </w:rPr>
        <w:t xml:space="preserve">Dauguma valstybių narių galutiniuose NEKSVP paaiškino savo įsipareigojimus laipsniškai atsisakyti kietojo iškastinio kuro. </w:t>
      </w:r>
      <w:r>
        <w:rPr>
          <w:rFonts w:ascii="Times New Roman" w:hAnsi="Times New Roman"/>
          <w:noProof/>
        </w:rPr>
        <w:t xml:space="preserve"> Vis dėlto kai kuriais atvejais planuose numatyti laipsniško iškastinio kuro atsisakymo terminai nėra visiškai suderinti su teritoriniais teisingos pertvarkos planais</w:t>
      </w:r>
      <w:r w:rsidRPr="005E019D">
        <w:rPr>
          <w:rFonts w:ascii="Times New Roman" w:eastAsia="Times New Roman" w:hAnsi="Times New Roman" w:cs="Times New Roman"/>
          <w:noProof/>
          <w:color w:val="000000"/>
          <w:kern w:val="0"/>
          <w:vertAlign w:val="superscript"/>
          <w:lang w:val="en-GB"/>
        </w:rPr>
        <w:footnoteReference w:id="97"/>
      </w:r>
      <w:r>
        <w:rPr>
          <w:rFonts w:ascii="Times New Roman" w:hAnsi="Times New Roman"/>
          <w:noProof/>
          <w:color w:val="000000"/>
        </w:rPr>
        <w:t xml:space="preserve">. </w:t>
      </w:r>
    </w:p>
    <w:p w14:paraId="61E42C45" w14:textId="77777777" w:rsidR="005E019D" w:rsidRPr="005E019D" w:rsidRDefault="005E019D" w:rsidP="005E019D">
      <w:pPr>
        <w:spacing w:before="120" w:after="120" w:line="264" w:lineRule="auto"/>
        <w:jc w:val="both"/>
        <w:rPr>
          <w:rFonts w:ascii="Times New Roman" w:eastAsia="Yu Mincho" w:hAnsi="Times New Roman" w:cs="Times New Roman"/>
          <w:noProof/>
          <w:kern w:val="0"/>
          <w14:ligatures w14:val="none"/>
        </w:rPr>
      </w:pPr>
      <w:r>
        <w:rPr>
          <w:rFonts w:ascii="Times New Roman" w:hAnsi="Times New Roman"/>
          <w:b/>
          <w:noProof/>
        </w:rPr>
        <w:t>Daugumoje planų aptariamas perėjimo prie neutralaus poveikio klimatui ekonomikos poveikis užimtumui ir įgūdžiams.</w:t>
      </w:r>
      <w:r>
        <w:rPr>
          <w:rFonts w:ascii="Times New Roman" w:hAnsi="Times New Roman"/>
          <w:noProof/>
        </w:rPr>
        <w:t xml:space="preserve"> Vis dėlto su klimato kaita susijusios ir energetikos pertvarkos socialinio poveikio ir poveikio užimtumui analizės gylis labai skiriasi, visų pirma kalbant apie pažeidžiamus gyventojus ir regionus. Be to, planuose dažnai nenurodomos priemonės šiam poveikiui sušvelninti arba jo problemai spręsti. Nors planuose iš esmės atsispindi, kaip Teisingos pertvarkos fondas (TPF) remia valstybes nares, juose pateikiama nedaug papildomos informacijos apie kitus išteklius teisingai pertvarkai remti</w:t>
      </w:r>
      <w:r>
        <w:rPr>
          <w:rFonts w:ascii="Times New Roman" w:hAnsi="Times New Roman"/>
          <w:noProof/>
          <w:color w:val="000000"/>
        </w:rPr>
        <w:t>.</w:t>
      </w:r>
    </w:p>
    <w:p w14:paraId="0983482F" w14:textId="77777777" w:rsidR="005E019D" w:rsidRPr="005E019D" w:rsidRDefault="005E019D" w:rsidP="005E019D">
      <w:pPr>
        <w:spacing w:before="120" w:after="120" w:line="264" w:lineRule="auto"/>
        <w:jc w:val="both"/>
        <w:rPr>
          <w:rFonts w:ascii="Times New Roman" w:eastAsia="Times New Roman" w:hAnsi="Times New Roman" w:cs="Times New Roman"/>
          <w:noProof/>
          <w:color w:val="000000"/>
          <w:kern w:val="0"/>
          <w14:ligatures w14:val="none"/>
        </w:rPr>
      </w:pPr>
      <w:r>
        <w:rPr>
          <w:rFonts w:ascii="Times New Roman" w:hAnsi="Times New Roman"/>
          <w:b/>
          <w:noProof/>
        </w:rPr>
        <w:t>Kalbant apie pastatų ir kelių transporto sektorius, į kelis</w:t>
      </w:r>
      <w:r>
        <w:rPr>
          <w:rFonts w:ascii="Times New Roman" w:hAnsi="Times New Roman"/>
          <w:b/>
          <w:noProof/>
          <w:color w:val="000000"/>
        </w:rPr>
        <w:t xml:space="preserve"> planus įtraukta informacija, kuri gali būti naudojama kaip pagrindinė analizė rengiant socialinius klimato planus</w:t>
      </w:r>
      <w:r w:rsidRPr="005E019D">
        <w:rPr>
          <w:rFonts w:ascii="Times New Roman" w:eastAsia="Times New Roman" w:hAnsi="Times New Roman" w:cs="Times New Roman"/>
          <w:noProof/>
          <w:color w:val="000000"/>
          <w:kern w:val="0"/>
          <w:vertAlign w:val="superscript"/>
        </w:rPr>
        <w:footnoteReference w:id="98"/>
      </w:r>
      <w:r>
        <w:rPr>
          <w:rFonts w:ascii="Times New Roman" w:hAnsi="Times New Roman"/>
          <w:noProof/>
          <w:color w:val="000000"/>
        </w:rPr>
        <w:t xml:space="preserve">. Valstybės narės turės toliau dirbti, kad įvertintų ATLPS 2 poveikį, nustatytų pažeidžiamas grupes ir įvertintų, kaip NEKSVP nustatyta politikos sistema padės parengti socialinius klimato planus, kurie turi būti pateikti iki 2025 m. birželio 30 d. </w:t>
      </w:r>
    </w:p>
    <w:p w14:paraId="0C74E2E2" w14:textId="77777777" w:rsidR="005E019D" w:rsidRPr="005E019D" w:rsidRDefault="005E019D" w:rsidP="005E019D">
      <w:pPr>
        <w:spacing w:before="120" w:after="120" w:line="264" w:lineRule="auto"/>
        <w:jc w:val="both"/>
        <w:rPr>
          <w:rFonts w:ascii="Times New Roman" w:eastAsia="Times New Roman" w:hAnsi="Times New Roman" w:cs="Times New Roman"/>
          <w:i/>
          <w:noProof/>
          <w:color w:val="000000"/>
          <w:kern w:val="0"/>
          <w14:ligatures w14:val="none"/>
        </w:rPr>
      </w:pPr>
      <w:r>
        <w:rPr>
          <w:rFonts w:ascii="Times New Roman" w:hAnsi="Times New Roman"/>
          <w:i/>
          <w:noProof/>
          <w:color w:val="000000"/>
        </w:rPr>
        <w:t>Viešos konsultacijos</w:t>
      </w:r>
    </w:p>
    <w:p w14:paraId="7B30A73A" w14:textId="77777777" w:rsidR="005E019D" w:rsidRPr="005E019D" w:rsidRDefault="005E019D" w:rsidP="005E019D">
      <w:pPr>
        <w:spacing w:before="120" w:after="120" w:line="264" w:lineRule="auto"/>
        <w:jc w:val="both"/>
        <w:rPr>
          <w:rFonts w:ascii="Times New Roman" w:eastAsia="Yu Mincho" w:hAnsi="Times New Roman" w:cs="Times New Roman"/>
          <w:noProof/>
          <w:kern w:val="0"/>
          <w14:ligatures w14:val="none"/>
        </w:rPr>
      </w:pPr>
      <w:r>
        <w:rPr>
          <w:rFonts w:ascii="Times New Roman" w:hAnsi="Times New Roman"/>
          <w:b/>
          <w:noProof/>
          <w:color w:val="000000"/>
        </w:rPr>
        <w:t>Pereinant prie mažo anglies dioksido kiekio technologijų visuomenės ir švaresnės bei saugesnės energetikos sistemos, reikalingas savalaikis, skaidrus ir veiksmingas visų subjektų dalyvavimas.</w:t>
      </w:r>
      <w:r>
        <w:rPr>
          <w:rFonts w:ascii="Times New Roman" w:hAnsi="Times New Roman"/>
          <w:noProof/>
          <w:color w:val="000000"/>
        </w:rPr>
        <w:t xml:space="preserve"> Įgyvendinant energetikos ir klimato politiką turėtų dalyvauti ne tik valstybės narės, bet ir regionai, vietos valdžios institucijos, suinteresuotieji subjektai ir piliečiai. </w:t>
      </w:r>
    </w:p>
    <w:p w14:paraId="148C65F1" w14:textId="7BD385DF" w:rsidR="005E019D" w:rsidRPr="005E019D" w:rsidRDefault="005E019D" w:rsidP="005E019D">
      <w:pPr>
        <w:spacing w:before="120" w:after="120" w:line="264" w:lineRule="auto"/>
        <w:jc w:val="both"/>
        <w:rPr>
          <w:rFonts w:ascii="Times New Roman" w:eastAsia="Times New Roman" w:hAnsi="Times New Roman" w:cs="Times New Roman"/>
          <w:noProof/>
          <w:kern w:val="0"/>
          <w14:ligatures w14:val="none"/>
        </w:rPr>
      </w:pPr>
      <w:r>
        <w:rPr>
          <w:rFonts w:ascii="Times New Roman" w:hAnsi="Times New Roman"/>
          <w:b/>
          <w:noProof/>
          <w:color w:val="000000"/>
        </w:rPr>
        <w:t>Dauguma valstybių narių išsamiau nei savo NEKSVP projektuose paaiškino, kaip konsultacijų procesai suteikė visuomenei galimybę dalyvauti rengiant galutinius atnaujintus NEKSVP</w:t>
      </w:r>
      <w:r w:rsidRPr="005E019D">
        <w:rPr>
          <w:rFonts w:ascii="Times New Roman" w:eastAsia="Times New Roman" w:hAnsi="Times New Roman" w:cs="Times New Roman"/>
          <w:noProof/>
          <w:color w:val="000000"/>
          <w:kern w:val="0"/>
          <w:vertAlign w:val="superscript"/>
          <w:lang w:val="en-GB"/>
        </w:rPr>
        <w:footnoteReference w:id="99"/>
      </w:r>
      <w:r>
        <w:rPr>
          <w:rFonts w:ascii="Times New Roman" w:hAnsi="Times New Roman"/>
          <w:noProof/>
          <w:color w:val="000000"/>
        </w:rPr>
        <w:t>. Daugelis valstybių narių viešoms konsultacijoms naudojo internetinių priemonių ir specialių forumų derinį. Kai kurios valstybės narės užtikrino įtraukų metodą, apimantį visą visuomenę</w:t>
      </w:r>
      <w:r w:rsidRPr="005E019D">
        <w:rPr>
          <w:rFonts w:ascii="Times New Roman" w:eastAsia="Times New Roman" w:hAnsi="Times New Roman" w:cs="Times New Roman"/>
          <w:noProof/>
          <w:color w:val="000000"/>
          <w:kern w:val="0"/>
          <w:vertAlign w:val="superscript"/>
          <w:lang w:val="en-GB"/>
        </w:rPr>
        <w:footnoteReference w:id="100"/>
      </w:r>
      <w:r>
        <w:rPr>
          <w:rFonts w:ascii="Times New Roman" w:hAnsi="Times New Roman"/>
          <w:noProof/>
          <w:color w:val="000000"/>
        </w:rPr>
        <w:t>. Vis dėlto keliais atvejais konsultacijos dėl galutinių NEKSVP pradėtos iki pateikimo dienos likus palyginti nedaug laiko</w:t>
      </w:r>
      <w:r w:rsidRPr="005E019D">
        <w:rPr>
          <w:rFonts w:ascii="Times New Roman" w:eastAsia="Times New Roman" w:hAnsi="Times New Roman" w:cs="Times New Roman"/>
          <w:noProof/>
          <w:color w:val="000000"/>
          <w:kern w:val="0"/>
          <w:vertAlign w:val="superscript"/>
          <w:lang w:val="en-GB"/>
        </w:rPr>
        <w:footnoteReference w:id="101"/>
      </w:r>
      <w:r>
        <w:rPr>
          <w:rFonts w:ascii="Times New Roman" w:hAnsi="Times New Roman"/>
          <w:noProof/>
          <w:color w:val="000000"/>
        </w:rPr>
        <w:t xml:space="preserve"> arba net po jos</w:t>
      </w:r>
      <w:r w:rsidRPr="005E019D">
        <w:rPr>
          <w:rFonts w:ascii="Times New Roman" w:eastAsia="Times New Roman" w:hAnsi="Times New Roman" w:cs="Times New Roman"/>
          <w:noProof/>
          <w:color w:val="000000"/>
          <w:kern w:val="0"/>
          <w:vertAlign w:val="superscript"/>
          <w:lang w:val="en-GB"/>
        </w:rPr>
        <w:footnoteReference w:id="102"/>
      </w:r>
      <w:r>
        <w:rPr>
          <w:rFonts w:ascii="Times New Roman" w:hAnsi="Times New Roman"/>
          <w:noProof/>
          <w:color w:val="000000"/>
        </w:rPr>
        <w:t xml:space="preserve">. </w:t>
      </w:r>
      <w:r>
        <w:rPr>
          <w:rFonts w:ascii="Times New Roman" w:hAnsi="Times New Roman"/>
          <w:noProof/>
        </w:rPr>
        <w:t xml:space="preserve">Turint omenyje planų trukmę ir didelius skirtumus tarp NEKSVP projektų ir galutinių NEKSVP, ilgesnis laikotarpis būtų suteikęs galimybę surengti geresnes viešas konsultacijas. </w:t>
      </w:r>
    </w:p>
    <w:p w14:paraId="692F8A6B" w14:textId="7CC3BF95" w:rsidR="005E019D" w:rsidRPr="005E019D" w:rsidRDefault="005E019D" w:rsidP="005E019D">
      <w:pPr>
        <w:spacing w:before="120" w:after="120" w:line="264" w:lineRule="auto"/>
        <w:jc w:val="both"/>
        <w:rPr>
          <w:rFonts w:ascii="Times New Roman" w:eastAsia="Times New Roman" w:hAnsi="Times New Roman" w:cs="Times New Roman"/>
          <w:noProof/>
          <w:color w:val="000000"/>
          <w:kern w:val="0"/>
          <w14:ligatures w14:val="none"/>
        </w:rPr>
      </w:pPr>
      <w:r>
        <w:rPr>
          <w:rFonts w:ascii="Times New Roman" w:hAnsi="Times New Roman"/>
          <w:noProof/>
          <w:color w:val="000000"/>
        </w:rPr>
        <w:t>Kai kuriais atvejais konsultacijų procesai buvo ne dėl pačių planų, o dėl susijusių politikos krypčių ir priemonių</w:t>
      </w:r>
      <w:r w:rsidRPr="005E019D">
        <w:rPr>
          <w:rFonts w:ascii="Times New Roman" w:eastAsia="Times New Roman" w:hAnsi="Times New Roman" w:cs="Times New Roman"/>
          <w:noProof/>
          <w:color w:val="000000"/>
          <w:kern w:val="0"/>
          <w:vertAlign w:val="superscript"/>
          <w:lang w:val="en-GB"/>
        </w:rPr>
        <w:footnoteReference w:id="103"/>
      </w:r>
      <w:r>
        <w:rPr>
          <w:rFonts w:ascii="Times New Roman" w:hAnsi="Times New Roman"/>
          <w:noProof/>
          <w:color w:val="000000"/>
        </w:rPr>
        <w:t>, arba buvo grindžiami sutrumpinta plano versija arba klausimynu</w:t>
      </w:r>
      <w:r w:rsidRPr="005E019D">
        <w:rPr>
          <w:rFonts w:ascii="Times New Roman" w:eastAsia="Times New Roman" w:hAnsi="Times New Roman" w:cs="Times New Roman"/>
          <w:noProof/>
          <w:color w:val="000000"/>
          <w:kern w:val="0"/>
          <w:vertAlign w:val="superscript"/>
          <w:lang w:val="en-GB"/>
        </w:rPr>
        <w:footnoteReference w:id="104"/>
      </w:r>
      <w:r>
        <w:rPr>
          <w:rFonts w:ascii="Times New Roman" w:hAnsi="Times New Roman"/>
          <w:noProof/>
          <w:color w:val="000000"/>
        </w:rPr>
        <w:t>.  Kai kuriuose galutiniuose NEKSVP</w:t>
      </w:r>
      <w:r w:rsidRPr="005E019D">
        <w:rPr>
          <w:rFonts w:ascii="Times New Roman" w:eastAsia="Times New Roman" w:hAnsi="Times New Roman" w:cs="Times New Roman"/>
          <w:noProof/>
          <w:color w:val="000000"/>
          <w:kern w:val="0"/>
          <w:vertAlign w:val="superscript"/>
          <w:lang w:val="en-GB"/>
        </w:rPr>
        <w:footnoteReference w:id="105"/>
      </w:r>
      <w:r>
        <w:rPr>
          <w:rFonts w:ascii="Times New Roman" w:hAnsi="Times New Roman"/>
          <w:noProof/>
          <w:color w:val="000000"/>
        </w:rPr>
        <w:t xml:space="preserve"> nėra įvairių dalyvių pareikštų nuomonių santraukos ir tik kai kurios valstybės narės</w:t>
      </w:r>
      <w:r w:rsidRPr="005E019D">
        <w:rPr>
          <w:rFonts w:ascii="Times New Roman" w:eastAsia="Times New Roman" w:hAnsi="Times New Roman" w:cs="Times New Roman"/>
          <w:noProof/>
          <w:color w:val="000000"/>
          <w:kern w:val="0"/>
          <w:vertAlign w:val="superscript"/>
          <w:lang w:val="en-GB"/>
        </w:rPr>
        <w:footnoteReference w:id="106"/>
      </w:r>
      <w:r>
        <w:rPr>
          <w:rFonts w:ascii="Times New Roman" w:hAnsi="Times New Roman"/>
          <w:noProof/>
          <w:color w:val="000000"/>
        </w:rPr>
        <w:t xml:space="preserve"> pateikia apžvalgą, kaip galutiniame NEKSVP atsižvelgta į konsultacijų rezultatus ir kaip sprendžiami su jais susiję klausimai.</w:t>
      </w:r>
    </w:p>
    <w:p w14:paraId="5FDE09BB" w14:textId="77777777" w:rsidR="005E019D" w:rsidRPr="005E019D" w:rsidRDefault="005E019D" w:rsidP="005E019D">
      <w:pPr>
        <w:pBdr>
          <w:top w:val="single" w:sz="4" w:space="1" w:color="auto"/>
          <w:left w:val="single" w:sz="4" w:space="4" w:color="auto"/>
          <w:bottom w:val="single" w:sz="4" w:space="1" w:color="auto"/>
          <w:right w:val="single" w:sz="4" w:space="4" w:color="auto"/>
        </w:pBdr>
        <w:spacing w:before="120" w:after="0" w:line="240" w:lineRule="auto"/>
        <w:jc w:val="both"/>
        <w:rPr>
          <w:rFonts w:ascii="Times New Roman" w:eastAsia="Times New Roman" w:hAnsi="Times New Roman" w:cs="Times New Roman"/>
          <w:b/>
          <w:bCs/>
          <w:noProof/>
          <w:color w:val="000000"/>
          <w:kern w:val="0"/>
          <w14:ligatures w14:val="none"/>
        </w:rPr>
      </w:pPr>
      <w:r>
        <w:rPr>
          <w:rFonts w:ascii="Times New Roman" w:hAnsi="Times New Roman"/>
          <w:b/>
          <w:noProof/>
          <w:color w:val="000000"/>
        </w:rPr>
        <w:t>Tolesni veiksmai</w:t>
      </w:r>
    </w:p>
    <w:p w14:paraId="6428231F" w14:textId="77777777" w:rsidR="005E019D" w:rsidRPr="005E019D" w:rsidRDefault="005E019D" w:rsidP="005E019D">
      <w:pPr>
        <w:pBdr>
          <w:top w:val="single" w:sz="4" w:space="1" w:color="auto"/>
          <w:left w:val="single" w:sz="4" w:space="4" w:color="auto"/>
          <w:bottom w:val="single" w:sz="4" w:space="1" w:color="auto"/>
          <w:right w:val="single" w:sz="4" w:space="4" w:color="auto"/>
        </w:pBdr>
        <w:spacing w:before="120" w:after="0" w:line="240" w:lineRule="auto"/>
        <w:jc w:val="both"/>
        <w:rPr>
          <w:rFonts w:ascii="Times New Roman" w:eastAsia="Times New Roman" w:hAnsi="Times New Roman" w:cs="Times New Roman"/>
          <w:b/>
          <w:bCs/>
          <w:noProof/>
          <w:color w:val="000000"/>
          <w:kern w:val="0"/>
          <w14:ligatures w14:val="none"/>
        </w:rPr>
      </w:pPr>
      <w:r>
        <w:rPr>
          <w:rFonts w:ascii="Times New Roman" w:hAnsi="Times New Roman"/>
          <w:i/>
          <w:noProof/>
          <w:color w:val="000000"/>
        </w:rPr>
        <w:t>Galutiniuose planuose daugiau dėmesio skirta teisingai pertvarkai ir laipsniškam kietojo iškastinio kuro atsisakymui. Be to, daugumoje planų pateikiama aiškesnė viešų konsultacijų apžvalga. Dalyvavimo procesai galėjo būti įtraukesni, veiksmingesni, informatyvesni ir suteikiantys daugiau laiko konsultacijoms.</w:t>
      </w:r>
    </w:p>
    <w:p w14:paraId="72D85472" w14:textId="77777777" w:rsidR="005E019D" w:rsidRPr="005E019D" w:rsidRDefault="005E019D" w:rsidP="005E019D">
      <w:pPr>
        <w:pBdr>
          <w:top w:val="single" w:sz="4" w:space="1" w:color="auto"/>
          <w:left w:val="single" w:sz="4" w:space="4" w:color="auto"/>
          <w:bottom w:val="single" w:sz="4" w:space="1" w:color="auto"/>
          <w:right w:val="single" w:sz="4" w:space="4" w:color="auto"/>
        </w:pBdr>
        <w:spacing w:before="120" w:after="0" w:line="240" w:lineRule="auto"/>
        <w:jc w:val="both"/>
        <w:rPr>
          <w:rFonts w:ascii="Times New Roman" w:eastAsia="Yu Mincho" w:hAnsi="Times New Roman" w:cs="Times New Roman"/>
          <w:noProof/>
          <w:kern w:val="0"/>
          <w14:ligatures w14:val="none"/>
        </w:rPr>
      </w:pPr>
      <w:r>
        <w:rPr>
          <w:rFonts w:ascii="Times New Roman" w:hAnsi="Times New Roman"/>
          <w:b/>
          <w:noProof/>
        </w:rPr>
        <w:t>Komisija toliau bendradarbiaus su valstybėmis narėmis, kad užtikrintų veiksmingą, savalaikį ir pakankama informacija pagrįstą visuomenės dalyvavimą pagal Orhuso konvenciją</w:t>
      </w:r>
      <w:r>
        <w:rPr>
          <w:rFonts w:ascii="Times New Roman" w:hAnsi="Times New Roman"/>
          <w:noProof/>
        </w:rPr>
        <w:t xml:space="preserve">. Įgyvendindamos savo planus, valstybės narės raginamos toliau vykdyti dalyvaujamuosius viešų konsultacijų procesus. </w:t>
      </w:r>
    </w:p>
    <w:p w14:paraId="702C80BD" w14:textId="7C99B5D4" w:rsidR="005E019D" w:rsidRPr="005E019D" w:rsidRDefault="005E019D" w:rsidP="005E019D">
      <w:pPr>
        <w:pBdr>
          <w:top w:val="single" w:sz="4" w:space="1" w:color="auto"/>
          <w:left w:val="single" w:sz="4" w:space="4" w:color="auto"/>
          <w:bottom w:val="single" w:sz="4" w:space="1" w:color="auto"/>
          <w:right w:val="single" w:sz="4" w:space="4" w:color="auto"/>
        </w:pBdr>
        <w:spacing w:before="120" w:after="0" w:line="240" w:lineRule="auto"/>
        <w:jc w:val="both"/>
        <w:rPr>
          <w:rFonts w:ascii="Times New Roman" w:eastAsia="Yu Mincho" w:hAnsi="Times New Roman" w:cs="Times New Roman"/>
          <w:noProof/>
          <w:kern w:val="0"/>
          <w14:ligatures w14:val="none"/>
        </w:rPr>
      </w:pPr>
      <w:r>
        <w:rPr>
          <w:rFonts w:ascii="Times New Roman" w:hAnsi="Times New Roman"/>
          <w:noProof/>
        </w:rPr>
        <w:t xml:space="preserve">Komisija toliau bendradarbiaus su valstybėmis narėmis, siekdama užtikrinti, kad teisingos pertvarkos politika būtų įgyvendinama veiksmingai. Šiame kontekste </w:t>
      </w:r>
      <w:r>
        <w:rPr>
          <w:rFonts w:ascii="Times New Roman" w:hAnsi="Times New Roman"/>
          <w:b/>
          <w:noProof/>
        </w:rPr>
        <w:t xml:space="preserve">Komisija įvertins, kaip valstybės narės įgyvendina </w:t>
      </w:r>
      <w:r>
        <w:rPr>
          <w:rFonts w:ascii="Times New Roman" w:hAnsi="Times New Roman"/>
          <w:noProof/>
        </w:rPr>
        <w:t>2022 m. priimtą</w:t>
      </w:r>
      <w:r>
        <w:rPr>
          <w:rFonts w:ascii="Times New Roman" w:hAnsi="Times New Roman"/>
          <w:b/>
          <w:noProof/>
        </w:rPr>
        <w:t xml:space="preserve"> Tarybos rekomendaciją dėl sąžiningo perėjimo prie neutralaus poveikio klimatui ekonomikos užtikrinimo</w:t>
      </w:r>
      <w:r>
        <w:rPr>
          <w:rFonts w:ascii="Times New Roman" w:hAnsi="Times New Roman"/>
          <w:noProof/>
        </w:rPr>
        <w:t>, ir paskelbs rezultatus 2025 m. antrąjį pusmetį.</w:t>
      </w:r>
      <w:r>
        <w:rPr>
          <w:rFonts w:ascii="Times New Roman" w:hAnsi="Times New Roman"/>
          <w:b/>
          <w:noProof/>
        </w:rPr>
        <w:t xml:space="preserve">  </w:t>
      </w:r>
    </w:p>
    <w:p w14:paraId="7653BF14" w14:textId="77777777" w:rsidR="005E019D" w:rsidRPr="005E019D" w:rsidRDefault="005E019D" w:rsidP="005E019D">
      <w:pPr>
        <w:pBdr>
          <w:top w:val="single" w:sz="4" w:space="1" w:color="auto"/>
          <w:left w:val="single" w:sz="4" w:space="4" w:color="auto"/>
          <w:bottom w:val="single" w:sz="4" w:space="1" w:color="auto"/>
          <w:right w:val="single" w:sz="4" w:space="4" w:color="auto"/>
        </w:pBdr>
        <w:spacing w:before="120" w:after="0" w:line="240" w:lineRule="auto"/>
        <w:jc w:val="both"/>
        <w:rPr>
          <w:rFonts w:ascii="Times New Roman" w:eastAsia="Yu Mincho" w:hAnsi="Times New Roman" w:cs="Times New Roman"/>
          <w:noProof/>
          <w:kern w:val="0"/>
          <w14:ligatures w14:val="none"/>
        </w:rPr>
      </w:pPr>
      <w:r>
        <w:rPr>
          <w:rFonts w:ascii="Times New Roman" w:hAnsi="Times New Roman"/>
          <w:b/>
          <w:noProof/>
        </w:rPr>
        <w:t>Komisija daug dėmesio skirs valstybių narių įsipareigojimams laipsniškai atsisakyti anglių, durpių ir degiųjų skalūnų</w:t>
      </w:r>
      <w:r>
        <w:rPr>
          <w:rFonts w:ascii="Times New Roman" w:hAnsi="Times New Roman"/>
          <w:noProof/>
        </w:rPr>
        <w:t xml:space="preserve"> ir padės joms analizuoti bei mažinti socialinį poveikį ir poveikį užimtumui paveiktuose regionuose. Šiuo atžvilgiu Teisingos pertvarkos fondas toliau teikia tvirtą paramą, padėdamas regionams įvairinti ir pertvarkyti savo ekonominę veiklą. Komisija taip pat ragina valstybes nares suderinti nacionalines ir regionines teisingos pertvarkos strategijas, visų pirma atsižvelgiant į teritorinius teisingos pertvarkos planus</w:t>
      </w:r>
      <w:r w:rsidRPr="005E019D">
        <w:rPr>
          <w:rFonts w:ascii="Times New Roman" w:eastAsia="Yu Mincho" w:hAnsi="Times New Roman" w:cs="Times New Roman"/>
          <w:noProof/>
          <w:kern w:val="0"/>
          <w:vertAlign w:val="superscript"/>
        </w:rPr>
        <w:footnoteReference w:id="107"/>
      </w:r>
      <w:r>
        <w:rPr>
          <w:rFonts w:ascii="Times New Roman" w:hAnsi="Times New Roman"/>
          <w:noProof/>
        </w:rPr>
        <w:t xml:space="preserve">. </w:t>
      </w:r>
    </w:p>
    <w:p w14:paraId="05D65C2E" w14:textId="77777777" w:rsidR="005E019D" w:rsidRPr="005E019D" w:rsidRDefault="005E019D" w:rsidP="005E019D">
      <w:pPr>
        <w:pBdr>
          <w:top w:val="single" w:sz="4" w:space="1" w:color="auto"/>
          <w:left w:val="single" w:sz="4" w:space="4" w:color="auto"/>
          <w:bottom w:val="single" w:sz="4" w:space="1" w:color="auto"/>
          <w:right w:val="single" w:sz="4" w:space="4" w:color="auto"/>
        </w:pBdr>
        <w:spacing w:before="120" w:after="0" w:line="240" w:lineRule="auto"/>
        <w:jc w:val="both"/>
        <w:rPr>
          <w:rFonts w:ascii="Times New Roman" w:eastAsia="Yu Mincho" w:hAnsi="Times New Roman" w:cs="Times New Roman"/>
          <w:noProof/>
          <w:kern w:val="0"/>
          <w14:ligatures w14:val="none"/>
        </w:rPr>
      </w:pPr>
      <w:r>
        <w:rPr>
          <w:rFonts w:ascii="Times New Roman" w:hAnsi="Times New Roman"/>
          <w:noProof/>
        </w:rPr>
        <w:t>Komisija ragina valstybes nares skubiai įgyvendinti ekonomikos gaivinimo ir atsparumo didinimo planus, kurie atlieka svarbų vaidmenį siekiant 2030 m. klimato srities ir energetikos tikslų.</w:t>
      </w:r>
    </w:p>
    <w:p w14:paraId="0B9AF235" w14:textId="77777777" w:rsidR="005E019D" w:rsidRPr="005E019D" w:rsidRDefault="005E019D" w:rsidP="005E019D">
      <w:pPr>
        <w:pBdr>
          <w:top w:val="single" w:sz="4" w:space="1" w:color="auto"/>
          <w:left w:val="single" w:sz="4" w:space="4" w:color="auto"/>
          <w:bottom w:val="single" w:sz="4" w:space="1" w:color="auto"/>
          <w:right w:val="single" w:sz="4" w:space="4" w:color="auto"/>
        </w:pBdr>
        <w:spacing w:before="120" w:after="0" w:line="240" w:lineRule="auto"/>
        <w:jc w:val="both"/>
        <w:rPr>
          <w:rFonts w:ascii="Times New Roman" w:eastAsia="Yu Mincho" w:hAnsi="Times New Roman" w:cs="Times New Roman"/>
          <w:noProof/>
          <w:kern w:val="0"/>
          <w14:ligatures w14:val="none"/>
        </w:rPr>
      </w:pPr>
      <w:r>
        <w:rPr>
          <w:rFonts w:ascii="Times New Roman" w:hAnsi="Times New Roman"/>
          <w:noProof/>
        </w:rPr>
        <w:t xml:space="preserve">Pagal </w:t>
      </w:r>
      <w:r>
        <w:rPr>
          <w:rFonts w:ascii="Times New Roman" w:hAnsi="Times New Roman"/>
          <w:b/>
          <w:noProof/>
        </w:rPr>
        <w:t>Anglių pramonės regionų pertvarkos iniciatyvą</w:t>
      </w:r>
      <w:r>
        <w:rPr>
          <w:rFonts w:ascii="Times New Roman" w:hAnsi="Times New Roman"/>
          <w:noProof/>
        </w:rPr>
        <w:t xml:space="preserve"> bus toliau teikiama techninė parama labiausiai paveiktoms bendruomenėms visoje ES. Tai padės jiems įvertinti savo priklausomybės nuo iškastinio kuro mažinimo, pramonės ir konkurencingumo potencialą ir remtis vieniems iš kitų gaunamomis žiniomis apie šį potencialą plėtojančios pertvarkos būdus, kad labiausiai paveiktos bendruomenės nebūtų paliktos nuošalyje.</w:t>
      </w:r>
    </w:p>
    <w:p w14:paraId="524A9626" w14:textId="77777777" w:rsidR="005E019D" w:rsidRPr="005E019D" w:rsidRDefault="005E019D" w:rsidP="005E019D">
      <w:pPr>
        <w:pBdr>
          <w:top w:val="single" w:sz="4" w:space="1" w:color="auto"/>
          <w:left w:val="single" w:sz="4" w:space="4" w:color="auto"/>
          <w:bottom w:val="single" w:sz="4" w:space="1" w:color="auto"/>
          <w:right w:val="single" w:sz="4" w:space="4" w:color="auto"/>
        </w:pBdr>
        <w:spacing w:before="120" w:after="0" w:line="240" w:lineRule="auto"/>
        <w:jc w:val="both"/>
        <w:rPr>
          <w:rFonts w:ascii="Times New Roman" w:eastAsia="Yu Mincho" w:hAnsi="Times New Roman" w:cs="Times New Roman"/>
          <w:noProof/>
          <w:kern w:val="0"/>
          <w14:ligatures w14:val="none"/>
        </w:rPr>
      </w:pPr>
      <w:r>
        <w:rPr>
          <w:rFonts w:ascii="Times New Roman" w:hAnsi="Times New Roman"/>
          <w:b/>
          <w:noProof/>
        </w:rPr>
        <w:t>Teisingos pertvarkos platforma</w:t>
      </w:r>
      <w:r>
        <w:rPr>
          <w:rFonts w:ascii="Times New Roman" w:hAnsi="Times New Roman"/>
          <w:noProof/>
        </w:rPr>
        <w:t xml:space="preserve"> toliau padės visiems suinteresuotiesiems subjektams, dalyvaujantiems įgyvendinant TPF, – teiks rekomendacijas, informaciją ir žinias, kad būtų remiamas teisingas perėjimas prie neutralaus poveikio klimatui ekonomikos.</w:t>
      </w:r>
    </w:p>
    <w:p w14:paraId="126F00CE" w14:textId="77777777" w:rsidR="005E019D" w:rsidRPr="005E019D" w:rsidRDefault="005E019D" w:rsidP="005E019D">
      <w:pPr>
        <w:pBdr>
          <w:top w:val="single" w:sz="4" w:space="1" w:color="auto"/>
          <w:left w:val="single" w:sz="4" w:space="4" w:color="auto"/>
          <w:bottom w:val="single" w:sz="4" w:space="1" w:color="auto"/>
          <w:right w:val="single" w:sz="4" w:space="4" w:color="auto"/>
        </w:pBdr>
        <w:spacing w:before="120" w:after="0" w:line="240" w:lineRule="auto"/>
        <w:jc w:val="both"/>
        <w:rPr>
          <w:rFonts w:ascii="Times New Roman" w:eastAsia="Yu Mincho" w:hAnsi="Times New Roman" w:cs="Times New Roman"/>
          <w:noProof/>
          <w:kern w:val="0"/>
          <w14:ligatures w14:val="none"/>
        </w:rPr>
      </w:pPr>
      <w:r>
        <w:rPr>
          <w:rFonts w:ascii="Times New Roman" w:hAnsi="Times New Roman"/>
          <w:b/>
          <w:noProof/>
          <w:color w:val="000000"/>
        </w:rPr>
        <w:t>Valstybės narės raginamos palaikyti ir tobulinti dialogo procesus visais visuomenės lygmenimis</w:t>
      </w:r>
      <w:r>
        <w:rPr>
          <w:rFonts w:ascii="Times New Roman" w:hAnsi="Times New Roman"/>
          <w:noProof/>
          <w:color w:val="000000"/>
        </w:rPr>
        <w:t>, kad būtų užtikrintas veiksmingas ekonomiškai efektyvios ir prasmingos politikos ir priemonių, kuriomis siekiama 2030 m. tikslų ir poveikio klimatui neutralumo, įgyvendinimas ir kuo labiau padidintas jų poveikis.</w:t>
      </w:r>
      <w:r>
        <w:rPr>
          <w:rFonts w:ascii="Times New Roman" w:hAnsi="Times New Roman"/>
          <w:noProof/>
        </w:rPr>
        <w:t xml:space="preserve"> </w:t>
      </w:r>
    </w:p>
    <w:p w14:paraId="477E9FE0" w14:textId="77777777" w:rsidR="005E019D" w:rsidRPr="005E019D" w:rsidRDefault="005E019D" w:rsidP="005E019D">
      <w:pPr>
        <w:pBdr>
          <w:top w:val="single" w:sz="4" w:space="1" w:color="auto"/>
          <w:left w:val="single" w:sz="4" w:space="4" w:color="auto"/>
          <w:bottom w:val="single" w:sz="4" w:space="1" w:color="auto"/>
          <w:right w:val="single" w:sz="4" w:space="4" w:color="auto"/>
        </w:pBdr>
        <w:spacing w:before="120" w:after="0" w:line="240" w:lineRule="auto"/>
        <w:jc w:val="both"/>
        <w:rPr>
          <w:rFonts w:ascii="Times New Roman" w:eastAsia="Yu Mincho" w:hAnsi="Times New Roman" w:cs="Times New Roman"/>
          <w:noProof/>
          <w:kern w:val="0"/>
          <w14:ligatures w14:val="none"/>
        </w:rPr>
      </w:pPr>
      <w:r>
        <w:rPr>
          <w:rFonts w:ascii="Times New Roman" w:hAnsi="Times New Roman"/>
          <w:b/>
          <w:noProof/>
        </w:rPr>
        <w:t>Valstybės narės raginamos parengti tinkamus, veiksmingus, efektyvius ir nuoseklius socialinius klimato planus</w:t>
      </w:r>
      <w:r>
        <w:rPr>
          <w:rFonts w:ascii="Times New Roman" w:hAnsi="Times New Roman"/>
          <w:noProof/>
        </w:rPr>
        <w:t xml:space="preserve">, kad būtų užtikrintas socialiai sąžiningas perėjimas prie neutralaus poveikio klimatui ekonomikos, šalinant ATLPS 2 poveikį pažeidžiamoms grupėms. Komisija toliau glaudžiai bendradarbiaus su valstybėmis narėmis, kad padėtų užbaigti šiuos planus rengti ir juos įgyvendinti. </w:t>
      </w:r>
    </w:p>
    <w:p w14:paraId="5FC82153" w14:textId="77777777" w:rsidR="005E019D" w:rsidRPr="004C35F5" w:rsidRDefault="005E019D" w:rsidP="005E019D">
      <w:pPr>
        <w:spacing w:after="120" w:line="264" w:lineRule="auto"/>
        <w:rPr>
          <w:rFonts w:ascii="Times New Roman" w:eastAsia="Yu Mincho" w:hAnsi="Times New Roman" w:cs="Times New Roman"/>
          <w:noProof/>
          <w:kern w:val="0"/>
          <w14:ligatures w14:val="none"/>
        </w:rPr>
      </w:pPr>
    </w:p>
    <w:p w14:paraId="1BB35BE6" w14:textId="77777777" w:rsidR="005E019D" w:rsidRPr="005E019D" w:rsidRDefault="005E019D" w:rsidP="005E019D">
      <w:pPr>
        <w:keepNext/>
        <w:keepLines/>
        <w:spacing w:before="40" w:after="240" w:line="240" w:lineRule="auto"/>
        <w:ind w:left="432" w:hanging="432"/>
        <w:jc w:val="both"/>
        <w:outlineLvl w:val="0"/>
        <w:rPr>
          <w:rFonts w:ascii="Times New Roman" w:eastAsia="Yu Gothic Light" w:hAnsi="Times New Roman" w:cs="Times New Roman"/>
          <w:b/>
          <w:bCs/>
          <w:caps/>
          <w:noProof/>
          <w:color w:val="000000"/>
          <w:kern w:val="0"/>
          <w14:ligatures w14:val="none"/>
        </w:rPr>
      </w:pPr>
      <w:r>
        <w:rPr>
          <w:rFonts w:ascii="Times New Roman" w:hAnsi="Times New Roman"/>
          <w:b/>
          <w:caps/>
          <w:noProof/>
          <w:color w:val="000000"/>
        </w:rPr>
        <w:t>IŠVADA IR TOLESNI VEIKSMAI</w:t>
      </w:r>
    </w:p>
    <w:p w14:paraId="4AD94BDD" w14:textId="2FE18C37" w:rsidR="005E019D" w:rsidRPr="005E019D" w:rsidRDefault="005E019D" w:rsidP="005E019D">
      <w:pPr>
        <w:spacing w:after="120" w:line="264" w:lineRule="auto"/>
        <w:jc w:val="both"/>
        <w:rPr>
          <w:rFonts w:ascii="Times New Roman" w:eastAsia="Times New Roman" w:hAnsi="Times New Roman" w:cs="Times New Roman"/>
          <w:noProof/>
          <w:kern w:val="0"/>
          <w14:ligatures w14:val="none"/>
        </w:rPr>
      </w:pPr>
      <w:r>
        <w:rPr>
          <w:rFonts w:ascii="Times New Roman" w:hAnsi="Times New Roman"/>
          <w:b/>
          <w:noProof/>
        </w:rPr>
        <w:t xml:space="preserve">ES 2030 m. energetikos ir klimato politikos tikslų įgyvendinimas yra labai svarbus ES konkurencingumui, saugumui ir priklausomybės nuo iškastinio kuro mažinimui. </w:t>
      </w:r>
      <w:r>
        <w:rPr>
          <w:rFonts w:ascii="Times New Roman" w:hAnsi="Times New Roman"/>
          <w:noProof/>
        </w:rPr>
        <w:t>Norint sukurti tikrą energetikos sąjungą, sudaryti sąlygas investicijoms, kurios būtinos siekiant 2030 ir 2040 m. tikslų, ir iki 2050 m. neutralizuoti poveikį klimatui, labai svarbu 2030 m. politikos strategiją įgyvendinti iki galo. Pastaraisiais metais valstybės narės, pasinaudodamos ES biudžeto parama, paspartino su energetika ir klimato kaita susijusią pertvarką, tad tikimasi, kad 30 proc. klimato kaitos aspekto integravimo išlaidų tikslas bus viršytas</w:t>
      </w:r>
      <w:r w:rsidRPr="005E019D">
        <w:rPr>
          <w:rFonts w:ascii="Times New Roman" w:eastAsia="Times New Roman" w:hAnsi="Times New Roman" w:cs="Times New Roman"/>
          <w:noProof/>
          <w:kern w:val="0"/>
          <w:vertAlign w:val="superscript"/>
        </w:rPr>
        <w:footnoteReference w:id="108"/>
      </w:r>
      <w:r>
        <w:rPr>
          <w:rFonts w:ascii="Times New Roman" w:hAnsi="Times New Roman"/>
          <w:noProof/>
        </w:rPr>
        <w:t>. Rengdamos galutinius NEKSVP, valstybės narės sustiprino savo 2030 m. politikos ir investicijų darbotvarkes, tad dabar visos pastangos turėtų būti nukreiptos į jų patikimą įgyvendinimą siekiant, kad Europai pertvarka būtų visapusiškai naudinga.</w:t>
      </w:r>
    </w:p>
    <w:p w14:paraId="0D4037CD" w14:textId="77777777" w:rsidR="005E019D" w:rsidRPr="005E019D" w:rsidRDefault="005E019D" w:rsidP="005E019D">
      <w:pPr>
        <w:spacing w:after="120" w:line="264" w:lineRule="auto"/>
        <w:jc w:val="both"/>
        <w:rPr>
          <w:rFonts w:ascii="Times New Roman" w:eastAsia="Yu Mincho" w:hAnsi="Times New Roman" w:cs="Times New Roman"/>
          <w:noProof/>
          <w:kern w:val="0"/>
          <w14:ligatures w14:val="none"/>
        </w:rPr>
      </w:pPr>
      <w:r>
        <w:rPr>
          <w:rFonts w:ascii="Times New Roman" w:hAnsi="Times New Roman"/>
          <w:b/>
          <w:noProof/>
        </w:rPr>
        <w:t>NEKSVP duoda kryptį labai reikalingoms investicijoms į su klimato kaita ir energetika susijusią pertvarką</w:t>
      </w:r>
      <w:r>
        <w:rPr>
          <w:rFonts w:ascii="Times New Roman" w:hAnsi="Times New Roman"/>
          <w:noProof/>
        </w:rPr>
        <w:t xml:space="preserve"> ir padeda sutelkti privačiąsias ir viešąsias išlaidas. Jais naudojantis nustatomos reformos ir investicijos pagal tokias priemones kaip Ekonomikos gaivinimo ir atsparumo didinimo priemonė ir sanglaudos politikos fondai. Šie planai papildo Europos semestrą ir yra labai svarbios nacionalinių prioritetų nustatymo priemonės siekiant dabartinio ir būsimų ES biudžetų bendrų tikslų ES energetikos ir klimato srityje. Jie padeda rasti sinergiją su kitais sektoriniais prioritetais, pavyzdžiui, aplinka. Į kai kurias NEKSVP nustatytas politikos kryptis, priemones ir investicijas taip pat buvo atsižvelgta rengiant vidutinės trukmės fiskalinius struktūrinius planus pagal peržiūrėtą ES ekonomikos valdymo sistemą. Planuojant, kaip remti investicijas, reikalingas perėjimo prie švarios energijos užmojams pasiekti, bus labai svarbu atidžiai įvertinti finansavimo ir rizikos mažinimo pastangas, kurių reikia viešosioms ir privačiosioms investicijoms sutelkti. </w:t>
      </w:r>
    </w:p>
    <w:p w14:paraId="73A97721" w14:textId="77777777" w:rsidR="005E019D" w:rsidRPr="005E019D" w:rsidRDefault="005E019D" w:rsidP="005E019D">
      <w:pPr>
        <w:spacing w:after="120" w:line="264" w:lineRule="auto"/>
        <w:jc w:val="both"/>
        <w:rPr>
          <w:rFonts w:ascii="Times New Roman" w:eastAsia="Times New Roman" w:hAnsi="Times New Roman" w:cs="Times New Roman"/>
          <w:noProof/>
          <w:kern w:val="0"/>
          <w14:ligatures w14:val="none"/>
        </w:rPr>
      </w:pPr>
      <w:r>
        <w:rPr>
          <w:rFonts w:ascii="Times New Roman" w:hAnsi="Times New Roman"/>
          <w:b/>
          <w:noProof/>
        </w:rPr>
        <w:t xml:space="preserve">Valstybės narės iš esmės patobulino savo galutinius planus ir taip įrodė, kad jų ryžtas neatvėso. </w:t>
      </w:r>
      <w:r>
        <w:rPr>
          <w:rFonts w:ascii="Times New Roman" w:hAnsi="Times New Roman"/>
          <w:noProof/>
        </w:rPr>
        <w:t>Nepaisant to, vis dar reikia imtis tolesnių veiksmų, kad būtų pašalintos likusios spragos ir visapusiškai įgyvendinta teisiškai privaloma 2030 m. sistema. Pridedamame Komisijos tarnybų darbiniame dokumente Komisija individualiai įvertino galutinius NEKSVP ir nustatė konkrečias sritis, kuriose reikia imtis papildomų veiksmų valstybių narių lygmeniu, kad būtų palengvintas įgyvendinimas ir, kai aktualu, padidintas reikiamas užmojis.</w:t>
      </w:r>
    </w:p>
    <w:p w14:paraId="474C2E04" w14:textId="44E8EA84" w:rsidR="005E019D" w:rsidRPr="005E019D" w:rsidRDefault="005E019D" w:rsidP="005E019D">
      <w:pPr>
        <w:spacing w:after="120" w:line="264" w:lineRule="auto"/>
        <w:jc w:val="both"/>
        <w:rPr>
          <w:rFonts w:ascii="Times New Roman" w:eastAsia="Times New Roman" w:hAnsi="Times New Roman" w:cs="Times New Roman"/>
          <w:b/>
          <w:bCs/>
          <w:noProof/>
          <w:kern w:val="0"/>
          <w14:ligatures w14:val="none"/>
        </w:rPr>
      </w:pPr>
      <w:r>
        <w:rPr>
          <w:rFonts w:ascii="Times New Roman" w:hAnsi="Times New Roman"/>
          <w:b/>
          <w:noProof/>
        </w:rPr>
        <w:t>Valstybės narės turi kolektyvinę atsakomybę</w:t>
      </w:r>
      <w:r>
        <w:rPr>
          <w:rFonts w:ascii="Times New Roman" w:hAnsi="Times New Roman"/>
          <w:noProof/>
        </w:rPr>
        <w:t xml:space="preserve"> siekti ES privalomų 2030 m. energetikos ir klimato srities tikslų. </w:t>
      </w:r>
      <w:r>
        <w:rPr>
          <w:rFonts w:ascii="Times New Roman" w:hAnsi="Times New Roman"/>
          <w:b/>
          <w:noProof/>
        </w:rPr>
        <w:t>Komisija pradeda keletą operatyvinių veiksmų, siekdama išnagrinėti alternatyvias galimybes panaikinti užmojų atotrūkį</w:t>
      </w:r>
      <w:r>
        <w:rPr>
          <w:rFonts w:ascii="Times New Roman" w:hAnsi="Times New Roman"/>
          <w:noProof/>
        </w:rPr>
        <w:t xml:space="preserve"> ir remti bei stebėti galutinių planų įgyvendinimą. </w:t>
      </w:r>
      <w:r>
        <w:rPr>
          <w:rFonts w:ascii="Times New Roman" w:hAnsi="Times New Roman"/>
          <w:b/>
          <w:noProof/>
        </w:rPr>
        <w:t>Komisija įvertins, ar reikia imtis tolesnių priemonių bendram tikslui pasiekti, visų pirma atsinaujinančiųjų išteklių energijos ir energijos vartojimo efektyvumo srityse.</w:t>
      </w:r>
      <w:r>
        <w:rPr>
          <w:rFonts w:ascii="Times New Roman" w:hAnsi="Times New Roman"/>
          <w:noProof/>
        </w:rPr>
        <w:t xml:space="preserve"> </w:t>
      </w:r>
    </w:p>
    <w:p w14:paraId="508E2133" w14:textId="77777777" w:rsidR="005E019D" w:rsidRPr="005E019D" w:rsidRDefault="005E019D" w:rsidP="005E019D">
      <w:pPr>
        <w:spacing w:after="120" w:line="276" w:lineRule="auto"/>
        <w:jc w:val="both"/>
        <w:rPr>
          <w:rFonts w:ascii="Times New Roman" w:eastAsia="Times New Roman" w:hAnsi="Times New Roman" w:cs="Times New Roman"/>
          <w:noProof/>
          <w:kern w:val="0"/>
          <w14:ligatures w14:val="none"/>
        </w:rPr>
      </w:pPr>
      <w:r>
        <w:rPr>
          <w:rFonts w:ascii="Times New Roman" w:hAnsi="Times New Roman"/>
          <w:b/>
          <w:noProof/>
        </w:rPr>
        <w:t>Komisija taip pat toliau rems nacionalines įgyvendinimo pastangas ir gerins regioninio bendradarbiavimo lygį</w:t>
      </w:r>
      <w:r>
        <w:rPr>
          <w:rFonts w:ascii="Times New Roman" w:hAnsi="Times New Roman"/>
          <w:noProof/>
        </w:rPr>
        <w:t>, be kita ko, palaikydama dialogą įgyvendinimo klausimais su valstybėmis narėmis ir atitinkamais suinteresuotaisiais subjektais. Komisija ragina valstybes nares reguliariai aptarti pažangą ir politiką su visais suinteresuotaisiais subjektais tam, kad būtų nustatytos ir pašalintos įgyvendinimo kliūtys. Kas dvejus metus rengiamos NEKSVP pažangos ataskaitos yra svarbios pažangos vertinimo priemonės, kuriomis skatinamas skaidrumas, nuspėjamumas ir atskaitomybė kolektyviai siekiant tikslų.</w:t>
      </w:r>
    </w:p>
    <w:p w14:paraId="779C81E2" w14:textId="77777777" w:rsidR="005E019D" w:rsidRPr="005E019D" w:rsidRDefault="005E019D" w:rsidP="005E019D">
      <w:pPr>
        <w:spacing w:after="120" w:line="276" w:lineRule="auto"/>
        <w:jc w:val="both"/>
        <w:rPr>
          <w:rFonts w:ascii="Times New Roman" w:eastAsia="Yu Mincho" w:hAnsi="Times New Roman" w:cs="Times New Roman"/>
          <w:noProof/>
          <w:kern w:val="0"/>
          <w14:ligatures w14:val="none"/>
        </w:rPr>
      </w:pPr>
      <w:r>
        <w:rPr>
          <w:rFonts w:ascii="Times New Roman" w:hAnsi="Times New Roman"/>
          <w:b/>
          <w:noProof/>
        </w:rPr>
        <w:t>Atliekant būsimą Energetikos sąjungos ir klimato politikos veiksmų valdymo reglamento peržiūrą, NEKSVP bus persvarstyta, kaip laikotarpio po 2030 m. valdymo priemonė.</w:t>
      </w:r>
      <w:r>
        <w:rPr>
          <w:rFonts w:ascii="Times New Roman" w:hAnsi="Times New Roman"/>
          <w:noProof/>
        </w:rPr>
        <w:t xml:space="preserve"> Remiantis patirtimi, įgyta vertinant ir įgyvendinant reglamentą, į naująją sistemą bus įtraukti švarios pramonės kurso ir Konkurencingumo kelrodžio prioritetai, kad būtų pasiektas 2040 m. tikslas sukurti klestinčią ir savarankišką ekonomiką siekiant neutralizuoti poveikį klimatui ir skatinti didesnį atsparumą ir pasirengimą su klimatu susijusiai rizikai. Komisija sieks supaprastinti ir perorientuoti NEKSVP, kad jie taptų realiais investavimo planais, kuriais investuotojams užtikrinamas ilgalaikis nuspėjamumas, o suinteresuotiesiems subjektams – skaidri bendradarbiavimo sistema.</w:t>
      </w:r>
    </w:p>
    <w:p w14:paraId="77D00116" w14:textId="602187BB" w:rsidR="00597B54" w:rsidRDefault="00597B54">
      <w:pPr>
        <w:rPr>
          <w:noProof/>
        </w:rPr>
      </w:pPr>
    </w:p>
    <w:sectPr w:rsidR="00597B54" w:rsidSect="00597B54">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661FD7" w14:textId="77777777" w:rsidR="005F029E" w:rsidRDefault="005F029E" w:rsidP="00597B54">
      <w:pPr>
        <w:spacing w:after="0" w:line="240" w:lineRule="auto"/>
      </w:pPr>
      <w:r>
        <w:separator/>
      </w:r>
    </w:p>
  </w:endnote>
  <w:endnote w:type="continuationSeparator" w:id="0">
    <w:p w14:paraId="520E944D" w14:textId="77777777" w:rsidR="005F029E" w:rsidRDefault="005F029E" w:rsidP="00597B54">
      <w:pPr>
        <w:spacing w:after="0" w:line="240" w:lineRule="auto"/>
      </w:pPr>
      <w:r>
        <w:continuationSeparator/>
      </w:r>
    </w:p>
  </w:endnote>
  <w:endnote w:type="continuationNotice" w:id="1">
    <w:p w14:paraId="2D0BB846" w14:textId="77777777" w:rsidR="005F029E" w:rsidRDefault="005F02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Times New Roman Bold">
    <w:panose1 w:val="02020803070505020304"/>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37CABA" w14:textId="566892FB" w:rsidR="00071207" w:rsidRPr="00071207" w:rsidRDefault="00071207" w:rsidP="00071207">
    <w:pPr>
      <w:pStyle w:val="FooterCoverPage"/>
      <w:rPr>
        <w:rFonts w:ascii="Arial" w:hAnsi="Arial" w:cs="Arial"/>
        <w:b/>
        <w:sz w:val="48"/>
      </w:rPr>
    </w:pPr>
    <w:r w:rsidRPr="00071207">
      <w:rPr>
        <w:rFonts w:ascii="Arial" w:hAnsi="Arial" w:cs="Arial"/>
        <w:b/>
        <w:sz w:val="48"/>
      </w:rPr>
      <w:t>LT</w:t>
    </w:r>
    <w:r w:rsidRPr="00071207">
      <w:rPr>
        <w:rFonts w:ascii="Arial" w:hAnsi="Arial" w:cs="Arial"/>
        <w:b/>
        <w:sz w:val="48"/>
      </w:rPr>
      <w:tab/>
    </w:r>
    <w:r w:rsidRPr="00071207">
      <w:rPr>
        <w:rFonts w:ascii="Arial" w:hAnsi="Arial" w:cs="Arial"/>
        <w:b/>
        <w:sz w:val="48"/>
      </w:rPr>
      <w:tab/>
    </w:r>
    <w:r w:rsidRPr="00071207">
      <w:tab/>
    </w:r>
    <w:r w:rsidRPr="00071207">
      <w:rPr>
        <w:rFonts w:ascii="Arial" w:hAnsi="Arial" w:cs="Arial"/>
        <w:b/>
        <w:sz w:val="48"/>
      </w:rPr>
      <w:t>LT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BB45F1" w14:textId="060B1453" w:rsidR="00071207" w:rsidRPr="00071207" w:rsidRDefault="00071207" w:rsidP="00071207">
    <w:pPr>
      <w:pStyle w:val="FooterCoverPage"/>
      <w:rPr>
        <w:rFonts w:ascii="Arial" w:hAnsi="Arial" w:cs="Arial"/>
        <w:b/>
        <w:sz w:val="48"/>
      </w:rPr>
    </w:pPr>
    <w:r w:rsidRPr="00071207">
      <w:rPr>
        <w:rFonts w:ascii="Arial" w:hAnsi="Arial" w:cs="Arial"/>
        <w:b/>
        <w:sz w:val="48"/>
      </w:rPr>
      <w:t>LT</w:t>
    </w:r>
    <w:r w:rsidRPr="00071207">
      <w:rPr>
        <w:rFonts w:ascii="Arial" w:hAnsi="Arial" w:cs="Arial"/>
        <w:b/>
        <w:sz w:val="48"/>
      </w:rPr>
      <w:tab/>
    </w:r>
    <w:r w:rsidRPr="00071207">
      <w:rPr>
        <w:rFonts w:ascii="Arial" w:hAnsi="Arial" w:cs="Arial"/>
        <w:b/>
        <w:sz w:val="48"/>
      </w:rPr>
      <w:tab/>
    </w:r>
    <w:r w:rsidRPr="00071207">
      <w:tab/>
    </w:r>
    <w:r w:rsidRPr="00071207">
      <w:rPr>
        <w:rFonts w:ascii="Arial" w:hAnsi="Arial" w:cs="Arial"/>
        <w:b/>
        <w:sz w:val="48"/>
      </w:rPr>
      <w:t>LT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2254F8" w14:textId="77777777" w:rsidR="00071207" w:rsidRPr="00071207" w:rsidRDefault="00071207" w:rsidP="00071207">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E97958" w14:textId="77777777" w:rsidR="00597B54" w:rsidRDefault="00597B5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8235133"/>
      <w:docPartObj>
        <w:docPartGallery w:val="Page Numbers (Bottom of Page)"/>
        <w:docPartUnique/>
      </w:docPartObj>
    </w:sdtPr>
    <w:sdtEndPr>
      <w:rPr>
        <w:noProof/>
      </w:rPr>
    </w:sdtEndPr>
    <w:sdtContent>
      <w:p w14:paraId="23F54503" w14:textId="110C067A" w:rsidR="00607A30" w:rsidRDefault="00607A30">
        <w:pPr>
          <w:pStyle w:val="Footer"/>
          <w:jc w:val="center"/>
        </w:pPr>
        <w:r>
          <w:fldChar w:fldCharType="begin"/>
        </w:r>
        <w:r>
          <w:instrText xml:space="preserve"> PAGE   \* MERGEFORMAT </w:instrText>
        </w:r>
        <w:r>
          <w:fldChar w:fldCharType="separate"/>
        </w:r>
        <w:r w:rsidR="00071207">
          <w:rPr>
            <w:noProof/>
          </w:rPr>
          <w:t>1</w:t>
        </w:r>
        <w:r>
          <w:fldChar w:fldCharType="end"/>
        </w:r>
      </w:p>
    </w:sdtContent>
  </w:sdt>
  <w:p w14:paraId="21D4DB98" w14:textId="77777777" w:rsidR="00597B54" w:rsidRDefault="00597B5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F58440" w14:textId="77777777" w:rsidR="00597B54" w:rsidRDefault="00597B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FE8FA3" w14:textId="77777777" w:rsidR="005F029E" w:rsidRDefault="005F029E" w:rsidP="00597B54">
      <w:pPr>
        <w:spacing w:after="0" w:line="240" w:lineRule="auto"/>
      </w:pPr>
      <w:r>
        <w:separator/>
      </w:r>
    </w:p>
  </w:footnote>
  <w:footnote w:type="continuationSeparator" w:id="0">
    <w:p w14:paraId="7478AC12" w14:textId="77777777" w:rsidR="005F029E" w:rsidRDefault="005F029E" w:rsidP="00597B54">
      <w:pPr>
        <w:spacing w:after="0" w:line="240" w:lineRule="auto"/>
      </w:pPr>
      <w:r>
        <w:continuationSeparator/>
      </w:r>
    </w:p>
  </w:footnote>
  <w:footnote w:type="continuationNotice" w:id="1">
    <w:p w14:paraId="21B66430" w14:textId="77777777" w:rsidR="005F029E" w:rsidRDefault="005F029E">
      <w:pPr>
        <w:spacing w:after="0" w:line="240" w:lineRule="auto"/>
      </w:pPr>
    </w:p>
  </w:footnote>
  <w:footnote w:id="2">
    <w:p w14:paraId="3A859397" w14:textId="77777777" w:rsidR="005E019D" w:rsidRPr="005E019D" w:rsidRDefault="005E019D" w:rsidP="005E019D">
      <w:pPr>
        <w:pStyle w:val="f1"/>
        <w:jc w:val="both"/>
        <w:rPr>
          <w:rFonts w:ascii="Times New Roman" w:hAnsi="Times New Roman" w:cs="Times New Roman"/>
          <w:sz w:val="20"/>
          <w:szCs w:val="20"/>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sz w:val="20"/>
        </w:rPr>
        <w:t>2024 m. rugsėjo mėn. M. Draghi pranešimas „Europos konkurencingumo ateitis“.</w:t>
      </w:r>
    </w:p>
  </w:footnote>
  <w:footnote w:id="3">
    <w:p w14:paraId="317BE56F" w14:textId="77777777" w:rsidR="005E019D" w:rsidRPr="005E019D" w:rsidRDefault="005E019D" w:rsidP="005E019D">
      <w:pPr>
        <w:pStyle w:val="f1"/>
        <w:jc w:val="both"/>
        <w:rPr>
          <w:rFonts w:ascii="Times New Roman" w:hAnsi="Times New Roman"/>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COM (2025) 30 </w:t>
      </w:r>
      <w:r>
        <w:rPr>
          <w:rFonts w:ascii="Times New Roman" w:hAnsi="Times New Roman"/>
          <w:i/>
          <w:sz w:val="20"/>
        </w:rPr>
        <w:t>final</w:t>
      </w:r>
      <w:r>
        <w:rPr>
          <w:rFonts w:ascii="Times New Roman" w:hAnsi="Times New Roman"/>
          <w:sz w:val="20"/>
        </w:rPr>
        <w:t>.</w:t>
      </w:r>
    </w:p>
  </w:footnote>
  <w:footnote w:id="4">
    <w:p w14:paraId="791D98DB" w14:textId="77777777" w:rsidR="005E019D" w:rsidRPr="005E019D" w:rsidRDefault="005E019D" w:rsidP="005E019D">
      <w:pPr>
        <w:pStyle w:val="f1"/>
        <w:jc w:val="both"/>
        <w:rPr>
          <w:rFonts w:ascii="Times New Roman" w:hAnsi="Times New Roman"/>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COM (2025) 85 </w:t>
      </w:r>
      <w:r>
        <w:rPr>
          <w:rFonts w:ascii="Times New Roman" w:hAnsi="Times New Roman"/>
          <w:i/>
          <w:sz w:val="20"/>
        </w:rPr>
        <w:t>final</w:t>
      </w:r>
      <w:r>
        <w:rPr>
          <w:rFonts w:ascii="Times New Roman" w:hAnsi="Times New Roman"/>
          <w:sz w:val="20"/>
        </w:rPr>
        <w:t>.</w:t>
      </w:r>
    </w:p>
  </w:footnote>
  <w:footnote w:id="5">
    <w:p w14:paraId="7F7DF8F9" w14:textId="77777777" w:rsidR="005E019D" w:rsidRPr="005E019D" w:rsidRDefault="005E019D" w:rsidP="005E019D">
      <w:pPr>
        <w:pStyle w:val="f1"/>
        <w:jc w:val="both"/>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Komisija rekomendavo užsibrėžti šį tikslą savo komunikate „Mūsų ateities užtikrinimas. Europos 2040 m. klimato srities tikslas ir siekis iki 2050 m. užtikrinti poveikio klimatui neutralumą kuriant tvarią, teisingą ir klestinčią visuomenę“, COM(2024) 63 </w:t>
      </w:r>
      <w:r>
        <w:rPr>
          <w:rFonts w:ascii="Times New Roman" w:hAnsi="Times New Roman"/>
          <w:i/>
          <w:sz w:val="20"/>
        </w:rPr>
        <w:t>final</w:t>
      </w:r>
      <w:r>
        <w:rPr>
          <w:rFonts w:ascii="Times New Roman" w:hAnsi="Times New Roman"/>
          <w:sz w:val="20"/>
        </w:rPr>
        <w:t>.</w:t>
      </w:r>
    </w:p>
  </w:footnote>
  <w:footnote w:id="6">
    <w:p w14:paraId="1EC56C8F" w14:textId="77777777" w:rsidR="005E019D" w:rsidRPr="005E019D" w:rsidRDefault="005E019D" w:rsidP="005E019D">
      <w:pPr>
        <w:pStyle w:val="f1"/>
        <w:jc w:val="both"/>
        <w:rPr>
          <w:rFonts w:ascii="Times New Roman" w:hAnsi="Times New Roman"/>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COM (2025) 79 </w:t>
      </w:r>
      <w:r>
        <w:rPr>
          <w:rFonts w:ascii="Times New Roman" w:hAnsi="Times New Roman"/>
          <w:i/>
          <w:sz w:val="20"/>
        </w:rPr>
        <w:t>final</w:t>
      </w:r>
      <w:r>
        <w:rPr>
          <w:rFonts w:ascii="Times New Roman" w:hAnsi="Times New Roman"/>
          <w:sz w:val="20"/>
        </w:rPr>
        <w:t>.</w:t>
      </w:r>
    </w:p>
  </w:footnote>
  <w:footnote w:id="7">
    <w:p w14:paraId="16E2666B" w14:textId="77777777" w:rsidR="005E019D" w:rsidRPr="005E019D" w:rsidRDefault="005E019D" w:rsidP="005E019D">
      <w:pPr>
        <w:pStyle w:val="f1"/>
        <w:jc w:val="both"/>
        <w:rPr>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Privalomi pagal 2018 m. gruodžio 18 d. Reglamentą (ES) 2018/1999 dėl energetikos sąjungos ir klimato politikos veiksmų valdymo.</w:t>
      </w:r>
    </w:p>
  </w:footnote>
  <w:footnote w:id="8">
    <w:p w14:paraId="067FE0C1" w14:textId="77777777" w:rsidR="005E019D" w:rsidRPr="005E019D" w:rsidRDefault="005E019D" w:rsidP="005E019D">
      <w:pPr>
        <w:pStyle w:val="f1"/>
        <w:jc w:val="both"/>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Remiantis Eurostato duomenimis,</w:t>
      </w:r>
      <w:r>
        <w:rPr>
          <w:sz w:val="20"/>
        </w:rPr>
        <w:t xml:space="preserve"> </w:t>
      </w:r>
      <w:hyperlink r:id="rId1" w:history="1">
        <w:r>
          <w:rPr>
            <w:rStyle w:val="Hyperlink1"/>
            <w:rFonts w:ascii="Times New Roman" w:hAnsi="Times New Roman"/>
            <w:sz w:val="20"/>
          </w:rPr>
          <w:t>Gross domestic product (GDP) and main components (output</w:t>
        </w:r>
        <w:bookmarkStart w:id="2" w:name="_Hlt197066782"/>
        <w:bookmarkStart w:id="3" w:name="_Hlt197066783"/>
        <w:r>
          <w:rPr>
            <w:rStyle w:val="Hyperlink1"/>
            <w:rFonts w:ascii="Times New Roman" w:hAnsi="Times New Roman"/>
            <w:sz w:val="20"/>
          </w:rPr>
          <w:t>,</w:t>
        </w:r>
        <w:bookmarkEnd w:id="2"/>
        <w:bookmarkEnd w:id="3"/>
        <w:r>
          <w:rPr>
            <w:rStyle w:val="Hyperlink1"/>
            <w:rFonts w:ascii="Times New Roman" w:hAnsi="Times New Roman"/>
            <w:sz w:val="20"/>
          </w:rPr>
          <w:t xml:space="preserve"> expenditure and income)</w:t>
        </w:r>
      </w:hyperlink>
      <w:r>
        <w:t>.</w:t>
      </w:r>
    </w:p>
  </w:footnote>
  <w:footnote w:id="9">
    <w:p w14:paraId="72DE0355" w14:textId="77777777" w:rsidR="005E019D" w:rsidRPr="005E019D" w:rsidRDefault="005E019D" w:rsidP="005E019D">
      <w:pPr>
        <w:pStyle w:val="f1"/>
        <w:jc w:val="both"/>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Komunikatas COM (2023) 796 </w:t>
      </w:r>
      <w:r>
        <w:rPr>
          <w:rFonts w:ascii="Times New Roman" w:hAnsi="Times New Roman"/>
          <w:i/>
          <w:sz w:val="20"/>
        </w:rPr>
        <w:t>final</w:t>
      </w:r>
      <w:r>
        <w:rPr>
          <w:rFonts w:ascii="Times New Roman" w:hAnsi="Times New Roman"/>
          <w:sz w:val="20"/>
        </w:rPr>
        <w:t xml:space="preserve"> ir atskiros rekomendacijos valstybėms narėms.</w:t>
      </w:r>
    </w:p>
  </w:footnote>
  <w:footnote w:id="10">
    <w:p w14:paraId="4A32CF10" w14:textId="77777777" w:rsidR="005E019D" w:rsidRPr="005E019D" w:rsidRDefault="005E019D" w:rsidP="005E019D">
      <w:pPr>
        <w:pStyle w:val="f1"/>
        <w:jc w:val="both"/>
        <w:rPr>
          <w:rFonts w:ascii="Times New Roman" w:hAnsi="Times New Roman" w:cs="Times New Roman"/>
          <w:sz w:val="20"/>
          <w:szCs w:val="20"/>
        </w:rPr>
      </w:pPr>
      <w:r>
        <w:rPr>
          <w:rStyle w:val="FootnoteReference"/>
          <w:rFonts w:ascii="Times New Roman" w:hAnsi="Times New Roman" w:cs="Times New Roman"/>
          <w:sz w:val="20"/>
          <w:szCs w:val="20"/>
        </w:rPr>
        <w:footnoteRef/>
      </w:r>
      <w:r>
        <w:rPr>
          <w:rStyle w:val="FootnoteReference"/>
          <w:rFonts w:ascii="Times New Roman" w:hAnsi="Times New Roman"/>
          <w:sz w:val="20"/>
        </w:rPr>
        <w:t xml:space="preserve"> </w:t>
      </w:r>
      <w:r>
        <w:rPr>
          <w:rFonts w:ascii="Times New Roman" w:hAnsi="Times New Roman"/>
          <w:sz w:val="20"/>
        </w:rPr>
        <w:t xml:space="preserve">Valdymo reglamento 14 straipsnyje nustatyta, kad ne vėliau kaip 2024 m. birželio 30 d. kiekviena valstybė narė Komisijai pateikia savo atnaujintą paskutinį pateiktą integruotą nacionalinį energetikos ir klimato srities veiksmų planą. </w:t>
      </w:r>
    </w:p>
  </w:footnote>
  <w:footnote w:id="11">
    <w:p w14:paraId="1A3E63F8" w14:textId="77777777" w:rsidR="005E019D" w:rsidRPr="005E019D" w:rsidRDefault="005E019D" w:rsidP="005E019D">
      <w:pPr>
        <w:pStyle w:val="f1"/>
        <w:jc w:val="both"/>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sz w:val="20"/>
          <w:vertAlign w:val="superscript"/>
        </w:rPr>
        <w:t xml:space="preserve"> </w:t>
      </w:r>
      <w:r>
        <w:rPr>
          <w:rFonts w:ascii="Times New Roman" w:hAnsi="Times New Roman"/>
          <w:sz w:val="20"/>
        </w:rPr>
        <w:t>Komisija gali imtis veiksmų, susijusiems su galutinio NEKSVP nepateikimu.</w:t>
      </w:r>
    </w:p>
  </w:footnote>
  <w:footnote w:id="12">
    <w:p w14:paraId="668DDBB0" w14:textId="77777777" w:rsidR="005E019D" w:rsidRPr="005E019D" w:rsidRDefault="005E019D" w:rsidP="005E019D">
      <w:pPr>
        <w:pStyle w:val="f1"/>
        <w:jc w:val="both"/>
        <w:rPr>
          <w:rFonts w:ascii="Times New Roman" w:hAnsi="Times New Roman" w:cs="Times New Roman"/>
          <w:sz w:val="20"/>
          <w:szCs w:val="20"/>
        </w:rPr>
      </w:pPr>
      <w:r>
        <w:rPr>
          <w:rStyle w:val="FootnoteReference"/>
          <w:rFonts w:ascii="Times New Roman" w:hAnsi="Times New Roman" w:cs="Times New Roman"/>
          <w:sz w:val="20"/>
          <w:szCs w:val="20"/>
        </w:rPr>
        <w:footnoteRef/>
      </w:r>
      <w:r>
        <w:rPr>
          <w:rStyle w:val="FootnoteReference"/>
          <w:rFonts w:ascii="Times New Roman" w:hAnsi="Times New Roman"/>
          <w:sz w:val="20"/>
        </w:rPr>
        <w:t xml:space="preserve"> </w:t>
      </w:r>
      <w:r>
        <w:rPr>
          <w:rFonts w:ascii="Times New Roman" w:hAnsi="Times New Roman"/>
          <w:sz w:val="20"/>
        </w:rPr>
        <w:t>Valdymo reglamento 13 straipsnyje nustatyta, kad Komisija visų pirma įvertina, ar tikslai, uždaviniai ir įnašai yra pakankami siekiant kolektyviai įgyvendinti energetikos sąjungos uždavinius ir ES 2030 m. klimato ir energetikos politikos strategijos tikslus, taip pat ar planai atitinka 3–12 straipsnių reikalavimus ir ar valstybės narės deramai atsižvelgė į Komisijos rekomendacijas, pateiktas pagal 34 straipsnį.</w:t>
      </w:r>
    </w:p>
  </w:footnote>
  <w:footnote w:id="13">
    <w:p w14:paraId="6B31CA6C" w14:textId="77777777" w:rsidR="005E019D" w:rsidRPr="005E019D" w:rsidRDefault="005E019D" w:rsidP="005E019D">
      <w:pPr>
        <w:pStyle w:val="f1"/>
        <w:jc w:val="both"/>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Į galutinį atnaujintą Slovakijos NEKSVP, kuris buvo pateiktas tik 2025 m. balandžio 15 d., šiame komunikate atsižvelgta tik iš dalies. Belgija, Estija ir Lenkija dar nepateikė savo galutinių atnaujintų NEKSVP. Komisija planuoja paskelbti atskirus šių valstybių narių planų vertinimus netrukus po jų pateikimo.</w:t>
      </w:r>
    </w:p>
  </w:footnote>
  <w:footnote w:id="14">
    <w:p w14:paraId="702F891E" w14:textId="77777777" w:rsidR="005E019D" w:rsidRPr="005E019D" w:rsidRDefault="005E019D" w:rsidP="005E019D">
      <w:pPr>
        <w:pStyle w:val="f1"/>
        <w:jc w:val="both"/>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Bendras grynasis išmetamas ŠESD kiekis (įskaitant LULUCF absorbentus), į kurį įtrauktas Komisijos apskaičiuotas ES teisės aktais reglamentuojamas tarptautinio transporto išmetamas ŠESD kiekis. Nustatant šį įvertį atsižvelgta į preliminarią informaciją, kuria pasidalijo savo atitinkamų galutinių NEKSVP dar nepateikusios Estija ir Lenkija. Išsamesnė informacija pateikta priede.</w:t>
      </w:r>
    </w:p>
  </w:footnote>
  <w:footnote w:id="15">
    <w:p w14:paraId="6AAC35B6" w14:textId="77777777" w:rsidR="005E019D" w:rsidRPr="005E019D" w:rsidRDefault="005E019D" w:rsidP="005E019D">
      <w:pPr>
        <w:pStyle w:val="f1"/>
        <w:jc w:val="both"/>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Reglamentas (ES) 2023/857, kuriuo iš dalies keičiamas Reglamentas (ES) 2018/842.</w:t>
      </w:r>
    </w:p>
  </w:footnote>
  <w:footnote w:id="16">
    <w:p w14:paraId="6B958405" w14:textId="77777777" w:rsidR="005E019D" w:rsidRPr="005E019D" w:rsidRDefault="005E019D" w:rsidP="005E019D">
      <w:pPr>
        <w:pStyle w:val="f1"/>
        <w:jc w:val="both"/>
        <w:rPr>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Reglamentas (ES) 2023/839, kuriuo iš dalies keičiamas Reglamentas (ES) 2018/841.</w:t>
      </w:r>
    </w:p>
  </w:footnote>
  <w:footnote w:id="17">
    <w:p w14:paraId="61F6AC26" w14:textId="77777777" w:rsidR="005E019D" w:rsidRPr="005E019D" w:rsidRDefault="005E019D" w:rsidP="005E019D">
      <w:pPr>
        <w:pStyle w:val="f1"/>
        <w:jc w:val="both"/>
        <w:rPr>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Bendras grynasis išmetamas ŠESD kiekis (įskaitant LULUCF absorbentus), į kurį įtrauktas Komisijos apskaičiuotas ES teisės aktais reglamentuojamas tarptautinio oro ir jūrų transporto išmetamas ŠESD kiekis. Nustatant šį įvertį atsižvelgta į preliminarią informaciją, kuria pasidalijo savo atitinkamų galutinių NEKSVP dar nepateikusios Estija ir Lenkija. Išsamesnė informacija pateikta priede.</w:t>
      </w:r>
    </w:p>
  </w:footnote>
  <w:footnote w:id="18">
    <w:p w14:paraId="4F372337" w14:textId="77777777" w:rsidR="005E019D" w:rsidRPr="005E019D" w:rsidRDefault="005E019D" w:rsidP="005E019D">
      <w:pPr>
        <w:pStyle w:val="f1"/>
        <w:jc w:val="both"/>
        <w:rPr>
          <w:rFonts w:ascii="Times New Roman" w:hAnsi="Times New Roman" w:cs="Times New Roman"/>
          <w:sz w:val="20"/>
          <w:szCs w:val="20"/>
        </w:rPr>
      </w:pPr>
      <w:r>
        <w:rPr>
          <w:rStyle w:val="FootnoteReference"/>
          <w:rFonts w:ascii="Times New Roman" w:hAnsi="Times New Roman" w:cs="Times New Roman"/>
          <w:sz w:val="20"/>
          <w:szCs w:val="20"/>
        </w:rPr>
        <w:footnoteRef/>
      </w:r>
      <w:r>
        <w:rPr>
          <w:rStyle w:val="FootnoteReference"/>
          <w:sz w:val="20"/>
        </w:rPr>
        <w:t xml:space="preserve"> </w:t>
      </w:r>
      <w:r>
        <w:rPr>
          <w:rFonts w:ascii="Times New Roman" w:hAnsi="Times New Roman"/>
          <w:sz w:val="20"/>
        </w:rPr>
        <w:t>Nustatant šį įvertį atsižvelgta į preliminarią informaciją, kuria pasidalijo savo atitinkamų galutinių NEKSVP dar nepateikusios Estija ir Lenkija. Išsamesnė informacija pateikta priede.</w:t>
      </w:r>
    </w:p>
  </w:footnote>
  <w:footnote w:id="19">
    <w:p w14:paraId="114EE706" w14:textId="77777777" w:rsidR="005E019D" w:rsidRPr="005E019D" w:rsidRDefault="005E019D" w:rsidP="005E019D">
      <w:pPr>
        <w:pStyle w:val="f1"/>
        <w:jc w:val="both"/>
        <w:rPr>
          <w:rFonts w:ascii="Times New Roman" w:hAnsi="Times New Roman"/>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BG, CZ, EL, ES, HR, LV, LT, LU, HU, RO, SI, PT.</w:t>
      </w:r>
    </w:p>
  </w:footnote>
  <w:footnote w:id="20">
    <w:p w14:paraId="1B019631" w14:textId="77777777" w:rsidR="005E019D" w:rsidRPr="005E019D" w:rsidRDefault="005E019D" w:rsidP="005E019D">
      <w:pPr>
        <w:pStyle w:val="f1"/>
        <w:jc w:val="both"/>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DK, FR, NL, AT, FI, SE.</w:t>
      </w:r>
    </w:p>
  </w:footnote>
  <w:footnote w:id="21">
    <w:p w14:paraId="26EB9471" w14:textId="77777777" w:rsidR="005E019D" w:rsidRPr="005E019D" w:rsidRDefault="005E019D" w:rsidP="005E019D">
      <w:pPr>
        <w:pStyle w:val="f1"/>
        <w:jc w:val="both"/>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DE, IE, IT, CY, MT. Šios valstybės narės nesitiki pasiekti savo 2030 m. tikslo pagal PPR net ir naudodamosi turimomis vidaus lankstumo priemonėmis.</w:t>
      </w:r>
    </w:p>
  </w:footnote>
  <w:footnote w:id="22">
    <w:p w14:paraId="36AA8732" w14:textId="77777777" w:rsidR="005E019D" w:rsidRPr="005E019D" w:rsidRDefault="005E019D" w:rsidP="005E019D">
      <w:pPr>
        <w:pStyle w:val="f1"/>
        <w:jc w:val="both"/>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PPR valstybėms narėms suteikia lankstumo priemonių, kad jos galėtų dalį išmetamųjų teršalų kiekio kompensuoti mažindamos jų kiekį kituose sektoriuose, kuriems netaikomas PPR, arba ankstesniais metais išmestą teršalų kiekį. Atliekant šio vertinimo lankstumo analizę neatsižvelgta į galimą prekybą metinėmis išmetamųjų teršalų kvotomis tarp valstybių narių.</w:t>
      </w:r>
    </w:p>
  </w:footnote>
  <w:footnote w:id="23">
    <w:p w14:paraId="47116254" w14:textId="77777777" w:rsidR="005E019D" w:rsidRPr="005E019D" w:rsidRDefault="005E019D" w:rsidP="005E019D">
      <w:pPr>
        <w:pStyle w:val="f1"/>
        <w:jc w:val="both"/>
        <w:rPr>
          <w:rFonts w:ascii="Times New Roman" w:hAnsi="Times New Roman" w:cs="Times New Roman"/>
          <w:sz w:val="20"/>
          <w:szCs w:val="20"/>
        </w:rPr>
      </w:pPr>
      <w:r>
        <w:rPr>
          <w:rStyle w:val="FootnoteReference"/>
          <w:rFonts w:ascii="Times New Roman" w:hAnsi="Times New Roman" w:cs="Times New Roman"/>
          <w:sz w:val="20"/>
          <w:szCs w:val="20"/>
          <w:lang w:val="en-IE"/>
        </w:rPr>
        <w:footnoteRef/>
      </w:r>
      <w:r>
        <w:rPr>
          <w:rFonts w:ascii="Times New Roman" w:hAnsi="Times New Roman"/>
          <w:sz w:val="20"/>
        </w:rPr>
        <w:t xml:space="preserve"> Palyginti su metiniu vidutiniu LULUCF sektoriuje išmetamu ir absorbuojamu anglies dioksido kiekiu 2016–2018 m. ataskaitiniu laikotarpiu.</w:t>
      </w:r>
    </w:p>
  </w:footnote>
  <w:footnote w:id="24">
    <w:p w14:paraId="00F61034" w14:textId="77777777" w:rsidR="005E019D" w:rsidRPr="005E019D" w:rsidRDefault="005E019D" w:rsidP="005E019D">
      <w:pPr>
        <w:pStyle w:val="f1"/>
        <w:jc w:val="both"/>
        <w:rPr>
          <w:rFonts w:ascii="Times New Roman" w:hAnsi="Times New Roman" w:cs="Times New Roman"/>
          <w:sz w:val="20"/>
          <w:szCs w:val="20"/>
        </w:rPr>
      </w:pPr>
      <w:r>
        <w:rPr>
          <w:rStyle w:val="FootnoteReference"/>
          <w:rFonts w:ascii="Times New Roman" w:hAnsi="Times New Roman" w:cs="Times New Roman"/>
          <w:sz w:val="20"/>
          <w:szCs w:val="20"/>
          <w:lang w:val="en-IE"/>
        </w:rPr>
        <w:footnoteRef/>
      </w:r>
      <w:r>
        <w:rPr>
          <w:rFonts w:ascii="Times New Roman" w:hAnsi="Times New Roman"/>
          <w:sz w:val="20"/>
        </w:rPr>
        <w:t xml:space="preserve"> DK, EE, EL, LT, LU, NL, AT, PL, SI.</w:t>
      </w:r>
    </w:p>
  </w:footnote>
  <w:footnote w:id="25">
    <w:p w14:paraId="7AD84CA4" w14:textId="77777777" w:rsidR="005E019D" w:rsidRPr="005E019D" w:rsidRDefault="005E019D" w:rsidP="005E019D">
      <w:pPr>
        <w:pStyle w:val="f1"/>
        <w:jc w:val="both"/>
        <w:rPr>
          <w:sz w:val="20"/>
          <w:szCs w:val="20"/>
        </w:rPr>
      </w:pPr>
      <w:r>
        <w:rPr>
          <w:rStyle w:val="FootnoteReference"/>
          <w:rFonts w:ascii="Times New Roman" w:hAnsi="Times New Roman" w:cs="Times New Roman"/>
          <w:sz w:val="20"/>
          <w:szCs w:val="20"/>
          <w:lang w:val="en-IE"/>
        </w:rPr>
        <w:footnoteRef/>
      </w:r>
      <w:r>
        <w:rPr>
          <w:rFonts w:ascii="Times New Roman" w:hAnsi="Times New Roman"/>
          <w:sz w:val="20"/>
        </w:rPr>
        <w:t xml:space="preserve"> Pavyzdžiui, DE, FR, IT.</w:t>
      </w:r>
    </w:p>
  </w:footnote>
  <w:footnote w:id="26">
    <w:p w14:paraId="570120CB" w14:textId="77777777" w:rsidR="005E019D" w:rsidRPr="005E019D" w:rsidRDefault="005E019D" w:rsidP="005E019D">
      <w:pPr>
        <w:pStyle w:val="f1"/>
        <w:jc w:val="both"/>
        <w:rPr>
          <w:rFonts w:ascii="Times New Roman" w:hAnsi="Times New Roman" w:cs="Times New Roman"/>
          <w:sz w:val="20"/>
          <w:szCs w:val="20"/>
        </w:rPr>
      </w:pPr>
      <w:r>
        <w:rPr>
          <w:rStyle w:val="FootnoteReference"/>
          <w:rFonts w:ascii="Times New Roman" w:hAnsi="Times New Roman" w:cs="Times New Roman"/>
          <w:sz w:val="20"/>
          <w:szCs w:val="20"/>
          <w:lang w:val="en-IE"/>
        </w:rPr>
        <w:footnoteRef/>
      </w:r>
      <w:r>
        <w:rPr>
          <w:rFonts w:ascii="Times New Roman" w:hAnsi="Times New Roman"/>
          <w:sz w:val="20"/>
        </w:rPr>
        <w:t xml:space="preserve"> BG, DK, EL, FR, HR, IT, LT, NL, AT, PT, RO, SE aprašė keletą CCUS planų ar projektų, kuriuos numato įgyvendinti iki 2030 m. </w:t>
      </w:r>
    </w:p>
  </w:footnote>
  <w:footnote w:id="27">
    <w:p w14:paraId="615402CE" w14:textId="77777777" w:rsidR="005E019D" w:rsidRPr="005E019D" w:rsidRDefault="005E019D" w:rsidP="005E019D">
      <w:pPr>
        <w:pStyle w:val="f1"/>
        <w:jc w:val="both"/>
        <w:rPr>
          <w:sz w:val="20"/>
          <w:szCs w:val="20"/>
        </w:rPr>
      </w:pPr>
      <w:r>
        <w:rPr>
          <w:rStyle w:val="FootnoteReference"/>
          <w:sz w:val="20"/>
          <w:szCs w:val="20"/>
        </w:rPr>
        <w:footnoteRef/>
      </w:r>
      <w:r>
        <w:rPr>
          <w:sz w:val="20"/>
        </w:rPr>
        <w:t xml:space="preserve"> </w:t>
      </w:r>
      <w:r>
        <w:rPr>
          <w:rFonts w:ascii="Times New Roman" w:hAnsi="Times New Roman"/>
          <w:sz w:val="20"/>
        </w:rPr>
        <w:t>Žr. Reglamento (ES) 2024/1735 21 straipsnio 2 dalį.</w:t>
      </w:r>
    </w:p>
  </w:footnote>
  <w:footnote w:id="28">
    <w:p w14:paraId="6EFC8AB9" w14:textId="77777777" w:rsidR="005E019D" w:rsidRPr="005E019D" w:rsidRDefault="005E019D" w:rsidP="005E019D">
      <w:pPr>
        <w:pStyle w:val="f1"/>
        <w:jc w:val="both"/>
        <w:rPr>
          <w:sz w:val="20"/>
          <w:szCs w:val="20"/>
        </w:rPr>
      </w:pPr>
      <w:r>
        <w:rPr>
          <w:rStyle w:val="FootnoteReference"/>
          <w:sz w:val="20"/>
          <w:szCs w:val="20"/>
        </w:rPr>
        <w:footnoteRef/>
      </w:r>
      <w:r>
        <w:rPr>
          <w:rFonts w:ascii="Times New Roman" w:hAnsi="Times New Roman"/>
          <w:sz w:val="20"/>
        </w:rPr>
        <w:t xml:space="preserve"> </w:t>
      </w:r>
      <w:hyperlink r:id="rId2" w:history="1">
        <w:r>
          <w:rPr>
            <w:rStyle w:val="Hyperlink1"/>
            <w:rFonts w:ascii="Times New Roman" w:hAnsi="Times New Roman"/>
            <w:sz w:val="20"/>
          </w:rPr>
          <w:t>European Climate Risk Assessment (liet. Europos klimato rizikos vertinimas) (EUCRA)</w:t>
        </w:r>
      </w:hyperlink>
      <w:r>
        <w:rPr>
          <w:sz w:val="20"/>
        </w:rPr>
        <w:t>.</w:t>
      </w:r>
    </w:p>
  </w:footnote>
  <w:footnote w:id="29">
    <w:p w14:paraId="6962DF01" w14:textId="77777777" w:rsidR="005E019D" w:rsidRPr="005E019D" w:rsidRDefault="005E019D" w:rsidP="005E019D">
      <w:pPr>
        <w:pStyle w:val="f1"/>
        <w:jc w:val="both"/>
        <w:rPr>
          <w:sz w:val="20"/>
          <w:szCs w:val="20"/>
        </w:rPr>
      </w:pPr>
      <w:r>
        <w:rPr>
          <w:rStyle w:val="FootnoteReference"/>
          <w:sz w:val="20"/>
          <w:szCs w:val="20"/>
        </w:rPr>
        <w:footnoteRef/>
      </w:r>
      <w:r>
        <w:rPr>
          <w:sz w:val="20"/>
        </w:rPr>
        <w:t xml:space="preserve"> </w:t>
      </w:r>
      <w:r>
        <w:rPr>
          <w:rFonts w:ascii="Times New Roman" w:hAnsi="Times New Roman"/>
          <w:sz w:val="20"/>
        </w:rPr>
        <w:t>Safer Together Strengthening Europe’s Civilian and Military Preparedness and Readiness (liet. „Saugiau kartu. Europos civilinio ir karinio pasirengimo ir parengties stiprinimas“), 2024 m. spalio mėn. ataskaita, kurią parengė buvęs Suomijos Respublikos prezidentas Sauli Niinistö, eidamas Europos Komisijos pirmininko specialiojo patarėjo pareigas.</w:t>
      </w:r>
    </w:p>
  </w:footnote>
  <w:footnote w:id="30">
    <w:p w14:paraId="111216B0" w14:textId="77777777" w:rsidR="005E019D" w:rsidRPr="005E019D" w:rsidRDefault="005E019D" w:rsidP="005E019D">
      <w:pPr>
        <w:pStyle w:val="f1"/>
        <w:jc w:val="both"/>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IE, EL, ES, HR, AT, SI, FI.</w:t>
      </w:r>
    </w:p>
  </w:footnote>
  <w:footnote w:id="31">
    <w:p w14:paraId="7DFD11EF" w14:textId="77777777" w:rsidR="005E019D" w:rsidRPr="005E019D" w:rsidRDefault="005E019D" w:rsidP="005E019D">
      <w:pPr>
        <w:pStyle w:val="f1"/>
        <w:jc w:val="both"/>
        <w:rPr>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EL, ES, FR, HR, IT, PT. </w:t>
      </w:r>
    </w:p>
  </w:footnote>
  <w:footnote w:id="32">
    <w:p w14:paraId="70A60046" w14:textId="36799362" w:rsidR="005E019D" w:rsidRPr="005E019D" w:rsidRDefault="005E019D" w:rsidP="005E019D">
      <w:pPr>
        <w:pStyle w:val="f1"/>
        <w:jc w:val="both"/>
        <w:rPr>
          <w:rFonts w:ascii="Times New Roman" w:hAnsi="Times New Roman" w:cs="Times New Roman"/>
          <w:sz w:val="20"/>
          <w:szCs w:val="20"/>
        </w:rPr>
      </w:pPr>
      <w:r>
        <w:rPr>
          <w:rStyle w:val="FootnoteReference"/>
          <w:rFonts w:ascii="Times New Roman" w:hAnsi="Times New Roman" w:cs="Times New Roman"/>
          <w:sz w:val="20"/>
          <w:szCs w:val="20"/>
          <w:lang w:val="en-IE"/>
        </w:rPr>
        <w:footnoteRef/>
      </w:r>
      <w:r>
        <w:rPr>
          <w:rFonts w:ascii="Times New Roman" w:hAnsi="Times New Roman"/>
          <w:sz w:val="20"/>
        </w:rPr>
        <w:t xml:space="preserve"> SI, CZ, DK, ES, HR, CY, LV, LT, HU, NL, RO ir SE. </w:t>
      </w:r>
    </w:p>
  </w:footnote>
  <w:footnote w:id="33">
    <w:p w14:paraId="2B656069" w14:textId="77777777" w:rsidR="005E019D" w:rsidRPr="005E019D" w:rsidRDefault="005E019D" w:rsidP="005E019D">
      <w:pPr>
        <w:pStyle w:val="f1"/>
        <w:jc w:val="both"/>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color w:val="000000"/>
          <w:sz w:val="20"/>
        </w:rPr>
        <w:t xml:space="preserve"> Pagal Direktyvą 2009/28/EB ir reglamentus (ES) 2023/1805 ir (ES) 2023/2405.</w:t>
      </w:r>
    </w:p>
  </w:footnote>
  <w:footnote w:id="34">
    <w:p w14:paraId="6B307408" w14:textId="77777777" w:rsidR="005E019D" w:rsidRPr="005E019D" w:rsidRDefault="005E019D" w:rsidP="005E019D">
      <w:pPr>
        <w:pStyle w:val="f1"/>
        <w:jc w:val="both"/>
        <w:rPr>
          <w:rFonts w:ascii="Times New Roman" w:hAnsi="Times New Roman" w:cs="Times New Roman"/>
          <w:sz w:val="20"/>
          <w:szCs w:val="20"/>
        </w:rPr>
      </w:pPr>
      <w:r>
        <w:rPr>
          <w:rStyle w:val="FootnoteReference"/>
          <w:rFonts w:ascii="Times New Roman" w:hAnsi="Times New Roman" w:cs="Times New Roman"/>
          <w:sz w:val="20"/>
          <w:szCs w:val="20"/>
          <w:lang w:val="en-IE"/>
        </w:rPr>
        <w:footnoteRef/>
      </w:r>
      <w:r>
        <w:rPr>
          <w:rFonts w:ascii="Times New Roman" w:hAnsi="Times New Roman"/>
          <w:sz w:val="20"/>
        </w:rPr>
        <w:t xml:space="preserve"> Reglamentas (ES) 2024/3012.</w:t>
      </w:r>
    </w:p>
  </w:footnote>
  <w:footnote w:id="35">
    <w:p w14:paraId="3CE05995" w14:textId="77777777" w:rsidR="005E019D" w:rsidRPr="005E019D" w:rsidRDefault="005E019D" w:rsidP="005E019D">
      <w:pPr>
        <w:pStyle w:val="f1"/>
        <w:jc w:val="both"/>
        <w:rPr>
          <w:rFonts w:ascii="Times New Roman" w:hAnsi="Times New Roman"/>
          <w:sz w:val="20"/>
          <w:szCs w:val="20"/>
        </w:rPr>
      </w:pPr>
      <w:r>
        <w:rPr>
          <w:rStyle w:val="FootnoteReference"/>
          <w:rFonts w:ascii="Times New Roman" w:hAnsi="Times New Roman" w:cs="Times New Roman"/>
          <w:sz w:val="20"/>
          <w:szCs w:val="20"/>
          <w:lang w:val="en-IE"/>
        </w:rPr>
        <w:footnoteRef/>
      </w:r>
      <w:r>
        <w:rPr>
          <w:rFonts w:ascii="Times New Roman" w:hAnsi="Times New Roman"/>
          <w:sz w:val="20"/>
        </w:rPr>
        <w:t xml:space="preserve"> COM (2024) 62 </w:t>
      </w:r>
      <w:r>
        <w:rPr>
          <w:rFonts w:ascii="Times New Roman" w:hAnsi="Times New Roman"/>
          <w:i/>
          <w:sz w:val="20"/>
        </w:rPr>
        <w:t>final</w:t>
      </w:r>
      <w:r>
        <w:rPr>
          <w:rFonts w:ascii="Times New Roman" w:hAnsi="Times New Roman"/>
          <w:sz w:val="20"/>
        </w:rPr>
        <w:t>.</w:t>
      </w:r>
    </w:p>
  </w:footnote>
  <w:footnote w:id="36">
    <w:p w14:paraId="05D97A94" w14:textId="77777777" w:rsidR="005E019D" w:rsidRPr="005E019D" w:rsidRDefault="005E019D" w:rsidP="005E019D">
      <w:pPr>
        <w:pStyle w:val="f1"/>
        <w:jc w:val="both"/>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M. Draghi pranešimas dėl Europos konkurencingumo ateities.</w:t>
      </w:r>
    </w:p>
  </w:footnote>
  <w:footnote w:id="37">
    <w:p w14:paraId="03404441" w14:textId="77777777" w:rsidR="005E019D" w:rsidRPr="005E019D" w:rsidRDefault="005E019D" w:rsidP="005E019D">
      <w:pPr>
        <w:pStyle w:val="f1"/>
        <w:jc w:val="both"/>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Eurostato, „WindEurope“ ir „Solar Power Europe“ duomenys.</w:t>
      </w:r>
    </w:p>
  </w:footnote>
  <w:footnote w:id="38">
    <w:p w14:paraId="02C373BE" w14:textId="77777777" w:rsidR="005E019D" w:rsidRPr="005E019D" w:rsidRDefault="005E019D" w:rsidP="005E019D">
      <w:pPr>
        <w:pStyle w:val="f1"/>
        <w:jc w:val="both"/>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Žr. II priedą dėl metodikos.</w:t>
      </w:r>
    </w:p>
  </w:footnote>
  <w:footnote w:id="39">
    <w:p w14:paraId="538725D6" w14:textId="77777777" w:rsidR="005E019D" w:rsidRPr="005E019D" w:rsidRDefault="005E019D" w:rsidP="005E019D">
      <w:pPr>
        <w:pStyle w:val="f1"/>
        <w:jc w:val="both"/>
        <w:rPr>
          <w:rFonts w:ascii="Times New Roman" w:hAnsi="Times New Roman"/>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Palyginti su 38,6–39,3 proc. dalimi, nustatyta atliekant atnaujintų NEKSVP projektų vertinimą ES mastu, COM(2023) 796 </w:t>
      </w:r>
      <w:r>
        <w:rPr>
          <w:rFonts w:ascii="Times New Roman" w:hAnsi="Times New Roman"/>
          <w:i/>
          <w:sz w:val="20"/>
        </w:rPr>
        <w:t>final</w:t>
      </w:r>
      <w:r>
        <w:rPr>
          <w:rFonts w:ascii="Times New Roman" w:hAnsi="Times New Roman"/>
          <w:sz w:val="20"/>
        </w:rPr>
        <w:t>.</w:t>
      </w:r>
    </w:p>
  </w:footnote>
  <w:footnote w:id="40">
    <w:p w14:paraId="1F3BE0D8" w14:textId="77777777" w:rsidR="005E019D" w:rsidRPr="005E019D" w:rsidRDefault="005E019D" w:rsidP="005E019D">
      <w:pPr>
        <w:pStyle w:val="f1"/>
        <w:jc w:val="both"/>
        <w:rPr>
          <w:rFonts w:ascii="Times New Roman" w:hAnsi="Times New Roman"/>
          <w:sz w:val="20"/>
          <w:szCs w:val="20"/>
        </w:rPr>
      </w:pPr>
      <w:r>
        <w:rPr>
          <w:rStyle w:val="FootnoteReference"/>
          <w:sz w:val="20"/>
          <w:szCs w:val="20"/>
        </w:rPr>
        <w:footnoteRef/>
      </w:r>
      <w:r>
        <w:rPr>
          <w:sz w:val="20"/>
        </w:rPr>
        <w:t xml:space="preserve"> </w:t>
      </w:r>
      <w:r>
        <w:rPr>
          <w:rFonts w:ascii="Times New Roman" w:hAnsi="Times New Roman"/>
          <w:sz w:val="20"/>
        </w:rPr>
        <w:t xml:space="preserve">IE, IT, LV, LT, LU, HU, AT, PL, PT, RO, SI, FI, SE. </w:t>
      </w:r>
    </w:p>
    <w:p w14:paraId="572D8760" w14:textId="77777777" w:rsidR="005E019D" w:rsidRPr="005E019D" w:rsidRDefault="005E019D" w:rsidP="005E019D">
      <w:pPr>
        <w:pStyle w:val="f1"/>
        <w:rPr>
          <w:sz w:val="20"/>
          <w:szCs w:val="20"/>
        </w:rPr>
      </w:pPr>
    </w:p>
  </w:footnote>
  <w:footnote w:id="41">
    <w:p w14:paraId="08AF549B" w14:textId="77777777" w:rsidR="005E019D" w:rsidRPr="005E019D" w:rsidRDefault="005E019D" w:rsidP="005E019D">
      <w:pPr>
        <w:pStyle w:val="f1"/>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2023 m. spalio 18 d. Europos Parlamento ir Tarybos direktyva (ES) 2023/2413, kuria iš dalies keičiami Direktyva (ES) 2018/2001, Reglamentas (ES) 2018/1999 ir Direktyva 98/70/EB, kiek tai susiję su skatinimu naudoti atsinaujinančiųjų išteklių energiją, ir panaikinama Tarybos direktyva (ES) 2015/652</w:t>
      </w:r>
      <w:r>
        <w:t>.</w:t>
      </w:r>
    </w:p>
  </w:footnote>
  <w:footnote w:id="42">
    <w:p w14:paraId="494D72E8" w14:textId="77777777" w:rsidR="005E019D" w:rsidRPr="005E019D" w:rsidRDefault="005E019D" w:rsidP="005E019D">
      <w:pPr>
        <w:pStyle w:val="f1"/>
        <w:rPr>
          <w:rFonts w:ascii="Times New Roman" w:hAnsi="Times New Roman"/>
          <w:sz w:val="20"/>
          <w:szCs w:val="20"/>
        </w:rPr>
      </w:pPr>
      <w:r>
        <w:rPr>
          <w:rFonts w:ascii="Times New Roman" w:hAnsi="Times New Roman"/>
          <w:sz w:val="20"/>
        </w:rPr>
        <w:t xml:space="preserve"> IE, IT, LV, LT, LU, HU, AT, PL, PT, RO, SI, FI, SE. </w:t>
      </w:r>
    </w:p>
  </w:footnote>
  <w:footnote w:id="43">
    <w:p w14:paraId="3B3E1BC1" w14:textId="77777777" w:rsidR="005E019D" w:rsidRPr="005E019D" w:rsidRDefault="005E019D" w:rsidP="005E019D">
      <w:pPr>
        <w:pStyle w:val="f1"/>
        <w:jc w:val="both"/>
        <w:rPr>
          <w:rFonts w:ascii="Times New Roman" w:hAnsi="Times New Roman" w:cs="Times New Roman"/>
          <w:sz w:val="20"/>
          <w:szCs w:val="20"/>
        </w:rPr>
      </w:pPr>
      <w:r>
        <w:rPr>
          <w:rStyle w:val="FootnoteReference"/>
          <w:rFonts w:ascii="Times New Roman" w:hAnsi="Times New Roman" w:cs="Times New Roman"/>
          <w:sz w:val="20"/>
          <w:szCs w:val="20"/>
        </w:rPr>
        <w:footnoteRef/>
      </w:r>
      <w:r>
        <w:rPr>
          <w:rStyle w:val="FootnoteReference"/>
          <w:rFonts w:ascii="Times New Roman" w:hAnsi="Times New Roman"/>
          <w:sz w:val="20"/>
        </w:rPr>
        <w:t xml:space="preserve"> </w:t>
      </w:r>
      <w:r>
        <w:rPr>
          <w:rFonts w:ascii="Times New Roman" w:hAnsi="Times New Roman"/>
          <w:sz w:val="20"/>
        </w:rPr>
        <w:t xml:space="preserve">Atsižvelgiant į vidutinį metinį padidėjimą pagal </w:t>
      </w:r>
      <w:hyperlink r:id="rId3" w:history="1">
        <w:r>
          <w:rPr>
            <w:rFonts w:ascii="Times New Roman" w:hAnsi="Times New Roman"/>
            <w:sz w:val="20"/>
          </w:rPr>
          <w:t>2023 m. spalio 18 d. Europos Parlamento ir Tarybos direktyvos (ES) 2023/2413, kuria iš dalies keičiami Direktyva (ES) 2018/2001, Reglamentas (ES) 2018/1999 ir Direktyva 98/70/EB, kiek tai susiję su skatinimu naudoti atsinaujinančiųjų išteklių energiją, ir panaikinama Tarybos direktyva (ES) 2015/652, 23 straipsnį.</w:t>
        </w:r>
      </w:hyperlink>
      <w:r>
        <w:rPr>
          <w:rFonts w:ascii="Times New Roman" w:hAnsi="Times New Roman"/>
          <w:sz w:val="20"/>
        </w:rPr>
        <w:t xml:space="preserve"> </w:t>
      </w:r>
    </w:p>
  </w:footnote>
  <w:footnote w:id="44">
    <w:p w14:paraId="58BB7D0D" w14:textId="77777777" w:rsidR="005E019D" w:rsidRPr="005E019D" w:rsidRDefault="005E019D" w:rsidP="005E019D">
      <w:pPr>
        <w:pStyle w:val="f1"/>
        <w:rPr>
          <w:rFonts w:ascii="Times New Roman" w:hAnsi="Times New Roman"/>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BG, CZ, DK, ES, IT, LV, LU, NL, SI, FI, SE.</w:t>
      </w:r>
    </w:p>
  </w:footnote>
  <w:footnote w:id="45">
    <w:p w14:paraId="2BB92F92" w14:textId="77777777" w:rsidR="005E019D" w:rsidRPr="005E019D" w:rsidRDefault="005E019D" w:rsidP="005E019D">
      <w:pPr>
        <w:pStyle w:val="f1"/>
        <w:rPr>
          <w:rFonts w:ascii="Times New Roman" w:hAnsi="Times New Roman"/>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BG, DK, DE, FR, IT, LV, NL, PT, SI, FI. </w:t>
      </w:r>
    </w:p>
  </w:footnote>
  <w:footnote w:id="46">
    <w:p w14:paraId="7A62B154" w14:textId="77777777" w:rsidR="005E019D" w:rsidRPr="005E019D" w:rsidRDefault="005E019D" w:rsidP="005E019D">
      <w:pPr>
        <w:pStyle w:val="f1"/>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ES ir CY nenustato konkretaus tikslo, tačiau teigia, kad jos siekia įgyvendinti būtinas priemones, kad iki 2030 m. būtų pasiektas novatoriškų atsinaujinančiųjų išteklių energijos technologijų orientacinis tikslas.</w:t>
      </w:r>
    </w:p>
  </w:footnote>
  <w:footnote w:id="47">
    <w:p w14:paraId="3739D3AF" w14:textId="77777777" w:rsidR="005E019D" w:rsidRPr="005E019D" w:rsidRDefault="005E019D" w:rsidP="005E019D">
      <w:pPr>
        <w:pStyle w:val="f1"/>
        <w:rPr>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Bulgarijos galutiniame NEKSVP nėra biometano gamybos kiekybinių planų.</w:t>
      </w:r>
    </w:p>
  </w:footnote>
  <w:footnote w:id="48">
    <w:p w14:paraId="3ED58B9D" w14:textId="04D6B3B4" w:rsidR="005E019D" w:rsidRPr="005645BB" w:rsidRDefault="005E019D" w:rsidP="005645BB">
      <w:pPr>
        <w:pStyle w:val="f1"/>
        <w:jc w:val="both"/>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Pagal antrąjį kvietimą teikti paraiškas, kuris baigėsi 2025 m. kovo mėn., Liuksemburgas dalyvauja kaip prisidedančioji šalis, kurios savanoriškas įnašas į mechanizmą yra 52,4 mln. EUR. Priimančiosios šalys yra Suomija ir Estija. Įgyvendinus konkursą laimėjusius projektus, esami pajėgumai bus papildyti bendru 445,65 MW atsinaujinančiųjų išteklių energijos įrenginių pajėgumu; tikimasi, kad šie įrenginiai bus pradėti eksploatuoti 2027–2028 m. </w:t>
      </w:r>
    </w:p>
  </w:footnote>
  <w:footnote w:id="49">
    <w:p w14:paraId="0D0E8728" w14:textId="77777777" w:rsidR="005E019D" w:rsidRPr="005E019D" w:rsidRDefault="005E019D" w:rsidP="005E019D">
      <w:pPr>
        <w:pStyle w:val="f1"/>
        <w:jc w:val="both"/>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Laikantis Direktyvoje (ES) 2023/1791 (nauja redakcija išdėstyta Energijos vartojimo efektyvumo direktyva) nustatyto tikslo.</w:t>
      </w:r>
    </w:p>
  </w:footnote>
  <w:footnote w:id="50">
    <w:p w14:paraId="2159CCB2" w14:textId="77777777" w:rsidR="005E019D" w:rsidRPr="005E019D" w:rsidRDefault="005E019D" w:rsidP="005E019D">
      <w:pPr>
        <w:pStyle w:val="f1"/>
        <w:jc w:val="both"/>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Palyginti su 2020 m. ES atskaitos scenarijaus projekcijomis.</w:t>
      </w:r>
    </w:p>
  </w:footnote>
  <w:footnote w:id="51">
    <w:p w14:paraId="6D256711" w14:textId="77777777" w:rsidR="005E019D" w:rsidRPr="005E019D" w:rsidRDefault="005E019D" w:rsidP="005E019D">
      <w:pPr>
        <w:pStyle w:val="f1"/>
        <w:jc w:val="both"/>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Vertinimas grindžiamas 24 valstybių narių užmojų lygiu. </w:t>
      </w:r>
    </w:p>
  </w:footnote>
  <w:footnote w:id="52">
    <w:p w14:paraId="0163CFBE" w14:textId="77777777" w:rsidR="005E019D" w:rsidRPr="005E019D" w:rsidRDefault="005E019D" w:rsidP="005E019D">
      <w:pPr>
        <w:pStyle w:val="f1"/>
        <w:jc w:val="both"/>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BG, DK, DE, IE, EL, HR, CY, HU, NL, AT, PT, RO, SI, SK, FI.</w:t>
      </w:r>
    </w:p>
  </w:footnote>
  <w:footnote w:id="53">
    <w:p w14:paraId="4EEFD61C" w14:textId="77777777" w:rsidR="005E019D" w:rsidRPr="005E019D" w:rsidRDefault="005E019D" w:rsidP="005E019D">
      <w:pPr>
        <w:pStyle w:val="f1"/>
        <w:jc w:val="both"/>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CZ, DK, DE, IE, FR, CY, NL, PT, RO. Vertinimas grindžiamas 24 valstybių narių užmojų lygiu. </w:t>
      </w:r>
    </w:p>
  </w:footnote>
  <w:footnote w:id="54">
    <w:p w14:paraId="61F5DAF1" w14:textId="77777777" w:rsidR="005E019D" w:rsidRPr="005E019D" w:rsidRDefault="005E019D" w:rsidP="005E019D">
      <w:pPr>
        <w:pStyle w:val="f1"/>
        <w:jc w:val="both"/>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Žr. šio komunikato II priedą.</w:t>
      </w:r>
    </w:p>
  </w:footnote>
  <w:footnote w:id="55">
    <w:p w14:paraId="2FDD4989" w14:textId="77777777" w:rsidR="005E019D" w:rsidRPr="005E019D" w:rsidRDefault="005E019D" w:rsidP="005E019D">
      <w:pPr>
        <w:pStyle w:val="f1"/>
        <w:jc w:val="both"/>
        <w:rPr>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Kai kuriais atvejais papildomas priemones apimančio scenarijaus projekcijos yra 10 proc. didesnės už valstybių narių įnašą, apie kurį pranešta.</w:t>
      </w:r>
      <w:r>
        <w:rPr>
          <w:sz w:val="20"/>
        </w:rPr>
        <w:t xml:space="preserve"> </w:t>
      </w:r>
    </w:p>
  </w:footnote>
  <w:footnote w:id="56">
    <w:p w14:paraId="575ADB85" w14:textId="77777777" w:rsidR="005E019D" w:rsidRPr="005E019D" w:rsidRDefault="005E019D" w:rsidP="005E019D">
      <w:pPr>
        <w:spacing w:after="0"/>
        <w:jc w:val="both"/>
        <w:rPr>
          <w:sz w:val="20"/>
          <w:szCs w:val="20"/>
        </w:rPr>
      </w:pPr>
      <w:r>
        <w:rPr>
          <w:rStyle w:val="FootnoteReference"/>
          <w:sz w:val="20"/>
          <w:szCs w:val="20"/>
        </w:rPr>
        <w:footnoteRef/>
      </w:r>
      <w:r>
        <w:rPr>
          <w:sz w:val="20"/>
        </w:rPr>
        <w:t xml:space="preserve"> </w:t>
      </w:r>
      <w:r>
        <w:rPr>
          <w:rFonts w:ascii="Times New Roman" w:hAnsi="Times New Roman"/>
          <w:sz w:val="20"/>
        </w:rPr>
        <w:t xml:space="preserve">Nacionalinių ilgalaikių renovacijos strategijų analizė, SWD(2022) 375 </w:t>
      </w:r>
      <w:r>
        <w:rPr>
          <w:rFonts w:ascii="Times New Roman" w:hAnsi="Times New Roman"/>
          <w:i/>
          <w:sz w:val="20"/>
        </w:rPr>
        <w:t>final</w:t>
      </w:r>
      <w:r>
        <w:rPr>
          <w:rFonts w:ascii="Times New Roman" w:hAnsi="Times New Roman"/>
          <w:sz w:val="20"/>
        </w:rPr>
        <w:t xml:space="preserve">. </w:t>
      </w:r>
    </w:p>
  </w:footnote>
  <w:footnote w:id="57">
    <w:p w14:paraId="53A4537C" w14:textId="77777777" w:rsidR="005E019D" w:rsidRPr="005E019D" w:rsidRDefault="005E019D" w:rsidP="005E019D">
      <w:pPr>
        <w:pStyle w:val="f1"/>
        <w:jc w:val="both"/>
        <w:rPr>
          <w:rFonts w:ascii="Times New Roman" w:hAnsi="Times New Roman"/>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CZ, EL, ES, CY, LV, LU, NL.</w:t>
      </w:r>
    </w:p>
  </w:footnote>
  <w:footnote w:id="58">
    <w:p w14:paraId="6223918A" w14:textId="77777777" w:rsidR="005E019D" w:rsidRPr="005E019D" w:rsidRDefault="005E019D" w:rsidP="005E019D">
      <w:pPr>
        <w:pStyle w:val="f1"/>
        <w:jc w:val="both"/>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BG, DE, LV, HU, MT, NL, PT, Sl, FI.</w:t>
      </w:r>
    </w:p>
  </w:footnote>
  <w:footnote w:id="59">
    <w:p w14:paraId="09933EA4" w14:textId="77777777" w:rsidR="005E019D" w:rsidRPr="005E019D" w:rsidRDefault="005E019D" w:rsidP="005E019D">
      <w:pPr>
        <w:pStyle w:val="f1"/>
        <w:jc w:val="both"/>
        <w:rPr>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Mažesnis galutinės energijos suvartojimas, palyginti su prognozuojamu energijos suvartojimu 2030 m. pagal 2020 m. atskaitos scenarijų.</w:t>
      </w:r>
    </w:p>
  </w:footnote>
  <w:footnote w:id="60">
    <w:p w14:paraId="70D6D571" w14:textId="77777777" w:rsidR="005E019D" w:rsidRPr="005E019D" w:rsidRDefault="005E019D" w:rsidP="005E019D">
      <w:pPr>
        <w:pStyle w:val="f1"/>
        <w:jc w:val="both"/>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w:t>
      </w:r>
      <w:hyperlink r:id="rId4" w:history="1">
        <w:r>
          <w:rPr>
            <w:rStyle w:val="Hyperlink1"/>
            <w:rFonts w:ascii="Times New Roman" w:hAnsi="Times New Roman"/>
            <w:sz w:val="20"/>
          </w:rPr>
          <w:t>EUR-Lex - 52025DC0046 - LT - EUR-Lex.</w:t>
        </w:r>
      </w:hyperlink>
    </w:p>
  </w:footnote>
  <w:footnote w:id="61">
    <w:p w14:paraId="7CC75545" w14:textId="77777777" w:rsidR="005E019D" w:rsidRPr="005E019D" w:rsidRDefault="005E019D" w:rsidP="005E019D">
      <w:pPr>
        <w:pStyle w:val="f1"/>
        <w:jc w:val="both"/>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2024 m. ES klimato politikos veiksmų pažangos ataskaita, COM(2024) 498 </w:t>
      </w:r>
      <w:r>
        <w:rPr>
          <w:rFonts w:ascii="Times New Roman" w:hAnsi="Times New Roman"/>
          <w:i/>
          <w:sz w:val="20"/>
        </w:rPr>
        <w:t>final</w:t>
      </w:r>
      <w:r>
        <w:rPr>
          <w:rFonts w:ascii="Times New Roman" w:hAnsi="Times New Roman"/>
          <w:sz w:val="20"/>
        </w:rPr>
        <w:t>. Į šį skaičių neįtrauktos transporto išlaidos.</w:t>
      </w:r>
    </w:p>
  </w:footnote>
  <w:footnote w:id="62">
    <w:p w14:paraId="061F36C6" w14:textId="77777777" w:rsidR="005E019D" w:rsidRPr="005E019D" w:rsidRDefault="005E019D" w:rsidP="005E019D">
      <w:pPr>
        <w:pStyle w:val="f1"/>
        <w:jc w:val="both"/>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Laikantis Europos klimato teisės akto reikalavimo nuolat daryti pažangą didinant gebėjimą prisitaikyti, stiprinant atsparumą klimato kaitai ir mažinant su ja susijusį pažeidžiamumą, Komisijos konkurencingumo kelrodyje (COM (2025) 30 </w:t>
      </w:r>
      <w:r>
        <w:rPr>
          <w:rFonts w:ascii="Times New Roman" w:hAnsi="Times New Roman"/>
          <w:i/>
          <w:sz w:val="20"/>
        </w:rPr>
        <w:t>final</w:t>
      </w:r>
      <w:r>
        <w:rPr>
          <w:rFonts w:ascii="Times New Roman" w:hAnsi="Times New Roman"/>
          <w:sz w:val="20"/>
        </w:rPr>
        <w:t xml:space="preserve">) pateikto raginimo ir Europos Audito Rūmų rekomendacijos (Specialioji ataskaita 2024/15 „Prisitaikymas prie klimato kaitos ES. Veiksmai neatitinka užmojų“). </w:t>
      </w:r>
    </w:p>
  </w:footnote>
  <w:footnote w:id="63">
    <w:p w14:paraId="76850366" w14:textId="77777777" w:rsidR="005E019D" w:rsidRPr="005E019D" w:rsidRDefault="005E019D" w:rsidP="005E019D">
      <w:pPr>
        <w:pStyle w:val="f1"/>
        <w:jc w:val="both"/>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Valstybės narės pateikė specialius naujus ekonomikos gaivinimo ir atsparumo didinimo planų skyrius, kuriuose aprašytos reformos ir investicijos ES energetikos sistemos atsparumui, saugumui ir tvarumui didinti (iki 2024 m. pabaigos pateikti ir patvirtinti 26 skyriai „REPowerEU“). Iki šiol valstybės narės su energetika susijusioms priemonėms pagal savo nacionalinius ekonomikos gaivinimo ir atsparumo didinimo planus ir skyrius „REPowerEU“ iš viso skyrė 184,7 mlrd. EUR.</w:t>
      </w:r>
    </w:p>
  </w:footnote>
  <w:footnote w:id="64">
    <w:p w14:paraId="67E0461B" w14:textId="77777777" w:rsidR="005E019D" w:rsidRPr="005E019D" w:rsidRDefault="005E019D" w:rsidP="005E019D">
      <w:pPr>
        <w:pStyle w:val="f1"/>
        <w:jc w:val="both"/>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DE, DK, IE, EL, ES, IT, LU, MT, NL, AT, PT, SI.</w:t>
      </w:r>
    </w:p>
  </w:footnote>
  <w:footnote w:id="65">
    <w:p w14:paraId="21EE62EF" w14:textId="77777777" w:rsidR="005E019D" w:rsidRPr="005E019D" w:rsidRDefault="005E019D" w:rsidP="005E019D">
      <w:pPr>
        <w:pStyle w:val="f1"/>
        <w:jc w:val="both"/>
        <w:rPr>
          <w:rFonts w:ascii="Times New Roman" w:hAnsi="Times New Roman"/>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EL, LT, HU, MT, NL.</w:t>
      </w:r>
    </w:p>
  </w:footnote>
  <w:footnote w:id="66">
    <w:p w14:paraId="51563E98" w14:textId="77777777" w:rsidR="005E019D" w:rsidRPr="005E019D" w:rsidRDefault="005E019D" w:rsidP="005E019D">
      <w:pPr>
        <w:pStyle w:val="f1"/>
        <w:jc w:val="both"/>
        <w:rPr>
          <w:rFonts w:ascii="Times New Roman" w:hAnsi="Times New Roman"/>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CZ, RO.</w:t>
      </w:r>
    </w:p>
  </w:footnote>
  <w:footnote w:id="67">
    <w:p w14:paraId="74AC29E7" w14:textId="77777777" w:rsidR="005E019D" w:rsidRPr="005E019D" w:rsidRDefault="005E019D" w:rsidP="005E019D">
      <w:pPr>
        <w:pStyle w:val="f1"/>
        <w:jc w:val="both"/>
        <w:rPr>
          <w:rFonts w:ascii="Times New Roman" w:hAnsi="Times New Roman"/>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BG, DK, CY, NL.</w:t>
      </w:r>
    </w:p>
  </w:footnote>
  <w:footnote w:id="68">
    <w:p w14:paraId="0BD07736" w14:textId="77777777" w:rsidR="005E019D" w:rsidRPr="005E019D" w:rsidRDefault="005E019D" w:rsidP="005E019D">
      <w:pPr>
        <w:pStyle w:val="f1"/>
        <w:jc w:val="both"/>
        <w:rPr>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FI, SE.</w:t>
      </w:r>
    </w:p>
  </w:footnote>
  <w:footnote w:id="69">
    <w:p w14:paraId="577A027F" w14:textId="77777777" w:rsidR="005E019D" w:rsidRPr="005E019D" w:rsidRDefault="005E019D" w:rsidP="005E019D">
      <w:pPr>
        <w:pStyle w:val="f1"/>
        <w:jc w:val="both"/>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Pasiūlymas dėl Europos Parlamento ir Tarybos reglamento, kuriuo dėl konkrečių priemonių strateginiams uždaviniams spręsti atliekant laikotarpio vidurio peržiūrą iš dalies keičiami reglamentai (ES) 2021/1058 ir (ES) 2021/1056, (COM(2025) 123). </w:t>
      </w:r>
    </w:p>
  </w:footnote>
  <w:footnote w:id="70">
    <w:p w14:paraId="7EBE9E98" w14:textId="77777777" w:rsidR="005E019D" w:rsidRPr="005E019D" w:rsidRDefault="005E019D" w:rsidP="005E019D">
      <w:pPr>
        <w:pStyle w:val="f1"/>
        <w:jc w:val="both"/>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CZ, HU, MT, AT.</w:t>
      </w:r>
    </w:p>
  </w:footnote>
  <w:footnote w:id="71">
    <w:p w14:paraId="71D732F7" w14:textId="77777777" w:rsidR="005E019D" w:rsidRPr="005E019D" w:rsidRDefault="005E019D" w:rsidP="005E019D">
      <w:pPr>
        <w:pStyle w:val="f1"/>
        <w:jc w:val="both"/>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BG, DK, EL, ES, CY, LT, AT, SE.</w:t>
      </w:r>
    </w:p>
  </w:footnote>
  <w:footnote w:id="72">
    <w:p w14:paraId="67CB1069" w14:textId="77777777" w:rsidR="005E019D" w:rsidRPr="005E019D" w:rsidRDefault="005E019D" w:rsidP="005E019D">
      <w:pPr>
        <w:pStyle w:val="f1"/>
        <w:jc w:val="both"/>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BG, DK, FR, CY, LU, NL.</w:t>
      </w:r>
    </w:p>
  </w:footnote>
  <w:footnote w:id="73">
    <w:p w14:paraId="74416E86" w14:textId="77777777" w:rsidR="005E019D" w:rsidRPr="005E019D" w:rsidRDefault="005E019D" w:rsidP="005E019D">
      <w:pPr>
        <w:pStyle w:val="f1"/>
        <w:jc w:val="both"/>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w:t>
      </w:r>
      <w:r>
        <w:rPr>
          <w:rFonts w:ascii="Times New Roman" w:hAnsi="Times New Roman"/>
          <w:color w:val="000000"/>
          <w:sz w:val="20"/>
        </w:rPr>
        <w:t>EL, ES, FR, CY, LU, HU, AT, SE.</w:t>
      </w:r>
    </w:p>
  </w:footnote>
  <w:footnote w:id="74">
    <w:p w14:paraId="0D39F77B" w14:textId="77777777" w:rsidR="005E019D" w:rsidRPr="005E019D" w:rsidRDefault="005E019D" w:rsidP="005E019D">
      <w:pPr>
        <w:pStyle w:val="f1"/>
        <w:jc w:val="both"/>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w:t>
      </w:r>
      <w:r>
        <w:rPr>
          <w:rStyle w:val="normaltextrun"/>
          <w:rFonts w:ascii="Times New Roman" w:hAnsi="Times New Roman"/>
          <w:color w:val="000000"/>
          <w:sz w:val="20"/>
        </w:rPr>
        <w:t>EL, ES, FR, IT, LT, LU, HU, FI.</w:t>
      </w:r>
    </w:p>
  </w:footnote>
  <w:footnote w:id="75">
    <w:p w14:paraId="03D7D346" w14:textId="77777777" w:rsidR="005E019D" w:rsidRPr="005E019D" w:rsidRDefault="005E019D" w:rsidP="005E019D">
      <w:pPr>
        <w:pStyle w:val="f1"/>
        <w:jc w:val="both"/>
        <w:rPr>
          <w:rFonts w:ascii="Times New Roman" w:hAnsi="Times New Roman"/>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w:t>
      </w:r>
      <w:r>
        <w:rPr>
          <w:rFonts w:ascii="Times New Roman" w:hAnsi="Times New Roman"/>
          <w:color w:val="000000"/>
          <w:sz w:val="20"/>
        </w:rPr>
        <w:t>LV, NL.</w:t>
      </w:r>
    </w:p>
  </w:footnote>
  <w:footnote w:id="76">
    <w:p w14:paraId="09D0D0A4" w14:textId="77777777" w:rsidR="005E019D" w:rsidRPr="005E019D" w:rsidRDefault="005E019D" w:rsidP="005E019D">
      <w:pPr>
        <w:pStyle w:val="f1"/>
        <w:jc w:val="both"/>
        <w:rPr>
          <w:rFonts w:ascii="Times New Roman" w:hAnsi="Times New Roman"/>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w:t>
      </w:r>
      <w:r>
        <w:rPr>
          <w:rStyle w:val="normaltextrun"/>
          <w:rFonts w:ascii="Times New Roman" w:hAnsi="Times New Roman"/>
          <w:color w:val="000000"/>
          <w:sz w:val="20"/>
        </w:rPr>
        <w:t>CZ, IT, CY.</w:t>
      </w:r>
    </w:p>
  </w:footnote>
  <w:footnote w:id="77">
    <w:p w14:paraId="2AE0DD80" w14:textId="77777777" w:rsidR="005E019D" w:rsidRPr="005E019D" w:rsidRDefault="005E019D" w:rsidP="005E019D">
      <w:pPr>
        <w:pStyle w:val="f1"/>
        <w:jc w:val="both"/>
        <w:rPr>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w:t>
      </w:r>
      <w:r>
        <w:rPr>
          <w:rStyle w:val="normaltextrun"/>
          <w:rFonts w:ascii="Times New Roman" w:hAnsi="Times New Roman"/>
          <w:color w:val="000000"/>
          <w:sz w:val="20"/>
        </w:rPr>
        <w:t>DE, IT, LV, LT, NL, PT.</w:t>
      </w:r>
    </w:p>
  </w:footnote>
  <w:footnote w:id="78">
    <w:p w14:paraId="0F9E3AA4" w14:textId="77777777" w:rsidR="005E019D" w:rsidRPr="005E019D" w:rsidRDefault="005E019D" w:rsidP="005E019D">
      <w:pPr>
        <w:pStyle w:val="f1"/>
        <w:rPr>
          <w:sz w:val="20"/>
          <w:szCs w:val="20"/>
        </w:rPr>
      </w:pPr>
      <w:r>
        <w:rPr>
          <w:rStyle w:val="FootnoteReference"/>
          <w:sz w:val="20"/>
          <w:szCs w:val="20"/>
        </w:rPr>
        <w:footnoteRef/>
      </w:r>
      <w:r>
        <w:rPr>
          <w:sz w:val="20"/>
        </w:rPr>
        <w:t xml:space="preserve"> </w:t>
      </w:r>
      <w:r>
        <w:rPr>
          <w:rFonts w:ascii="Times New Roman" w:hAnsi="Times New Roman"/>
          <w:sz w:val="20"/>
        </w:rPr>
        <w:t>COM(2025) 90.</w:t>
      </w:r>
    </w:p>
  </w:footnote>
  <w:footnote w:id="79">
    <w:p w14:paraId="443C4F77" w14:textId="77777777" w:rsidR="005E019D" w:rsidRPr="005E019D" w:rsidRDefault="005E019D" w:rsidP="005E019D">
      <w:pPr>
        <w:pStyle w:val="f1"/>
        <w:rPr>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AT, ES, IT, HU, PT, FI, SE.</w:t>
      </w:r>
    </w:p>
  </w:footnote>
  <w:footnote w:id="80">
    <w:p w14:paraId="58C1504F" w14:textId="77777777" w:rsidR="005E019D" w:rsidRPr="005E019D" w:rsidRDefault="005E019D" w:rsidP="005E019D">
      <w:pPr>
        <w:pStyle w:val="f1"/>
        <w:rPr>
          <w:sz w:val="20"/>
          <w:szCs w:val="20"/>
        </w:rPr>
      </w:pPr>
      <w:r>
        <w:rPr>
          <w:rStyle w:val="FootnoteReference"/>
          <w:sz w:val="20"/>
          <w:szCs w:val="20"/>
        </w:rPr>
        <w:footnoteRef/>
      </w:r>
      <w:r>
        <w:rPr>
          <w:sz w:val="20"/>
        </w:rPr>
        <w:t xml:space="preserve"> </w:t>
      </w:r>
      <w:r>
        <w:rPr>
          <w:rFonts w:ascii="Times New Roman" w:hAnsi="Times New Roman"/>
          <w:sz w:val="20"/>
        </w:rPr>
        <w:t>ACER stebėsenos ataskaita „Electricity infrastructure development to support a competitive and sustainable energy system“ (liet. „Elektros energijos infrastruktūros plėtra siekiant remti konkurencingą ir tvarią energetikos sistemą“), 2024 m. gruodžio mėn.</w:t>
      </w:r>
    </w:p>
  </w:footnote>
  <w:footnote w:id="81">
    <w:p w14:paraId="0B32DCDD" w14:textId="77777777" w:rsidR="005E019D" w:rsidRPr="005E019D" w:rsidRDefault="005E019D" w:rsidP="005E019D">
      <w:pPr>
        <w:pStyle w:val="f1"/>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Lietuvos ir Rumunijos pavyzdys.</w:t>
      </w:r>
    </w:p>
  </w:footnote>
  <w:footnote w:id="82">
    <w:p w14:paraId="394FCEEC" w14:textId="77777777" w:rsidR="005E019D" w:rsidRPr="005E019D" w:rsidRDefault="005E019D" w:rsidP="005E019D">
      <w:pPr>
        <w:pStyle w:val="f1"/>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Nuostatos dėl energijos nepritekliaus įtrauktos į Direktyvą (ES) 2023/1791 dėl energijos vartojimo efektyvumo (nauja redakcija) ir Direktyvą (ES) 2024/1275 dėl pastatų energinio naudingumo (nauja redakcija).</w:t>
      </w:r>
    </w:p>
  </w:footnote>
  <w:footnote w:id="83">
    <w:p w14:paraId="45C1F5E5" w14:textId="77777777" w:rsidR="005E019D" w:rsidRPr="005E019D" w:rsidRDefault="005E019D" w:rsidP="005E019D">
      <w:pPr>
        <w:spacing w:after="0" w:line="240" w:lineRule="auto"/>
        <w:jc w:val="both"/>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Įperkamos energijos veiksmų plane (2 veiksmas) pabrėžiamas tinklų ir jungčių, kaip energetikos pertvarkos ir pramonės priklausomybės nuo iškastinio kuro mažinimo veiksnių, vaidmuo ir pateikti keturi pavyzdžiai, kai trūksta pavyzdinių regioninio ir ES lygmens projektų, įskaitant jūrinio tinklo Šiaurės jūrose sukūrimą, Baltijos valstybių fizinės integracijos su Vidurio Europa stiprinimą, Pirėnų pusiasalio jungčių su Vidurio Europa stiprinimą ir tinklų sujungimo tarp Pietryčių ir Vidurio Europos didinimą.</w:t>
      </w:r>
    </w:p>
  </w:footnote>
  <w:footnote w:id="84">
    <w:p w14:paraId="4F885765" w14:textId="1ACF02A4" w:rsidR="005E019D" w:rsidRPr="005E019D" w:rsidRDefault="005E019D" w:rsidP="005E019D">
      <w:pPr>
        <w:pStyle w:val="f1"/>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Europos Komisija įsteigė keturias aukšto lygio grupes, kad jos teiktų strategines valdymo ir politikos gaires dėl reglamentavimo ir infrastruktūros plėtros bei stebėtų pažangą, daromą įgyvendinant bendro intereso projektus prioritetiniuose regionuose. Jų veikla apima: Šiaurės jūros šalių energetikos srities bendradarbiavimą (NSEC),</w:t>
      </w:r>
    </w:p>
    <w:p w14:paraId="3C8DB01C" w14:textId="77777777" w:rsidR="005E019D" w:rsidRPr="005E019D" w:rsidRDefault="005E019D" w:rsidP="005E019D">
      <w:pPr>
        <w:pStyle w:val="f1"/>
        <w:rPr>
          <w:rFonts w:ascii="Times New Roman" w:hAnsi="Times New Roman" w:cs="Times New Roman"/>
          <w:sz w:val="20"/>
          <w:szCs w:val="20"/>
        </w:rPr>
      </w:pPr>
      <w:r>
        <w:rPr>
          <w:rFonts w:ascii="Times New Roman" w:hAnsi="Times New Roman"/>
          <w:sz w:val="20"/>
        </w:rPr>
        <w:t xml:space="preserve">Pietvakarių Europos jungtis, Baltijos energijos rinkos jungčių planą (BEMIP), Vidurio </w:t>
      </w:r>
    </w:p>
    <w:p w14:paraId="22A9E3A9" w14:textId="77777777" w:rsidR="005E019D" w:rsidRPr="005E019D" w:rsidRDefault="005E019D" w:rsidP="005E019D">
      <w:pPr>
        <w:pStyle w:val="f1"/>
        <w:rPr>
          <w:rFonts w:ascii="Times New Roman" w:hAnsi="Times New Roman" w:cs="Times New Roman"/>
          <w:sz w:val="20"/>
          <w:szCs w:val="20"/>
        </w:rPr>
      </w:pPr>
      <w:r>
        <w:rPr>
          <w:rFonts w:ascii="Times New Roman" w:hAnsi="Times New Roman"/>
          <w:sz w:val="20"/>
        </w:rPr>
        <w:t>ir Pietryčių Europos energijos tinklų sujungiamumo iniciatyvą (CESEC).</w:t>
      </w:r>
    </w:p>
  </w:footnote>
  <w:footnote w:id="85">
    <w:p w14:paraId="6A8F9ACA" w14:textId="77777777" w:rsidR="005E019D" w:rsidRPr="005E019D" w:rsidRDefault="005E019D" w:rsidP="005E019D">
      <w:pPr>
        <w:pStyle w:val="f1"/>
        <w:jc w:val="both"/>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DE, FR, SI.</w:t>
      </w:r>
    </w:p>
  </w:footnote>
  <w:footnote w:id="86">
    <w:p w14:paraId="223233C4" w14:textId="77777777" w:rsidR="005E019D" w:rsidRPr="005E019D" w:rsidRDefault="005E019D" w:rsidP="005E019D">
      <w:pPr>
        <w:pStyle w:val="f1"/>
        <w:jc w:val="both"/>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2018 m. gruodžio 11 d. Europos Parlamento ir Tarybos direktyva (ES) 2018/2001 dėl skatinimo naudoti atsinaujinančiųjų išteklių energiją.</w:t>
      </w:r>
    </w:p>
  </w:footnote>
  <w:footnote w:id="87">
    <w:p w14:paraId="7AF8ADC2" w14:textId="77777777" w:rsidR="005E019D" w:rsidRPr="005E019D" w:rsidRDefault="005E019D" w:rsidP="005E019D">
      <w:pPr>
        <w:pStyle w:val="f1"/>
        <w:jc w:val="both"/>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DK, IT, LU, NL, PT, SI.</w:t>
      </w:r>
    </w:p>
  </w:footnote>
  <w:footnote w:id="88">
    <w:p w14:paraId="312ED73A" w14:textId="77777777" w:rsidR="005E019D" w:rsidRPr="005E019D" w:rsidRDefault="005E019D" w:rsidP="005E019D">
      <w:pPr>
        <w:pStyle w:val="f1"/>
        <w:jc w:val="both"/>
        <w:rPr>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Palyginti su baziniu laikotarpiu, apibrėžiamu kaip praėjusių penkerių metų vidurkis, su kuriuo lyginama padėtis laikotarpiu nuo 2022 m. rugpjūčio mėn. iki 2023 m. gegužės mėn. (kaip nustatyta reglamente dėl dujų poreikio mažinimo). Taigi, rugpjūčio–gruodžio mėn. bazinis laikotarpis yra 2017–2021 m., o sausio–gegužės mėn. bazinis laikotarpis yra 2018–2022 m.</w:t>
      </w:r>
    </w:p>
  </w:footnote>
  <w:footnote w:id="89">
    <w:p w14:paraId="6D038756" w14:textId="77777777" w:rsidR="005E019D" w:rsidRPr="005E019D" w:rsidRDefault="005E019D" w:rsidP="005E019D">
      <w:pPr>
        <w:pStyle w:val="f1"/>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Reglamentas (ES) 2024/174.</w:t>
      </w:r>
    </w:p>
  </w:footnote>
  <w:footnote w:id="90">
    <w:p w14:paraId="3B6BE215" w14:textId="77777777" w:rsidR="005E019D" w:rsidRPr="005E019D" w:rsidRDefault="005E019D" w:rsidP="005E019D">
      <w:pPr>
        <w:pStyle w:val="f1"/>
        <w:jc w:val="both"/>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2023 m. kovo 14 d. Komisijos rekomendacija dėl energijos kaupimo – nuo iškastinio kuro nepriklausomos ir saugios ES energetikos sistemos pagrindo, 2023/C 103/01.</w:t>
      </w:r>
    </w:p>
  </w:footnote>
  <w:footnote w:id="91">
    <w:p w14:paraId="34CD1293" w14:textId="77777777" w:rsidR="005E019D" w:rsidRPr="005E019D" w:rsidRDefault="005E019D" w:rsidP="005E019D">
      <w:pPr>
        <w:pStyle w:val="f1"/>
        <w:rPr>
          <w:rFonts w:ascii="Times New Roman" w:hAnsi="Times New Roman"/>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BG, CZ, DK, DE, EL, IT, CY, LV, LU, HU, PT, SI, FI,.</w:t>
      </w:r>
    </w:p>
  </w:footnote>
  <w:footnote w:id="92">
    <w:p w14:paraId="3A4E6E2A" w14:textId="77777777" w:rsidR="005E019D" w:rsidRPr="005E019D" w:rsidRDefault="005E019D" w:rsidP="005E019D">
      <w:pPr>
        <w:pStyle w:val="f1"/>
        <w:rPr>
          <w:rFonts w:ascii="Times New Roman" w:hAnsi="Times New Roman"/>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IE, LT, MT, RO</w:t>
      </w:r>
    </w:p>
  </w:footnote>
  <w:footnote w:id="93">
    <w:p w14:paraId="6DE51626" w14:textId="77777777" w:rsidR="005E019D" w:rsidRPr="005E019D" w:rsidRDefault="005E019D" w:rsidP="005E019D">
      <w:pPr>
        <w:pStyle w:val="f1"/>
        <w:rPr>
          <w:rFonts w:ascii="Times New Roman" w:hAnsi="Times New Roman"/>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IE, FR, NL, FI.</w:t>
      </w:r>
    </w:p>
  </w:footnote>
  <w:footnote w:id="94">
    <w:p w14:paraId="088FA84B" w14:textId="77777777" w:rsidR="005E019D" w:rsidRPr="005E019D" w:rsidRDefault="005E019D" w:rsidP="005E019D">
      <w:pPr>
        <w:pStyle w:val="f1"/>
        <w:rPr>
          <w:rFonts w:ascii="Times New Roman" w:hAnsi="Times New Roman"/>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BG, CZ, HU, SK, FI.</w:t>
      </w:r>
    </w:p>
  </w:footnote>
  <w:footnote w:id="95">
    <w:p w14:paraId="0A37FBB9" w14:textId="77777777" w:rsidR="005E019D" w:rsidRPr="005E019D" w:rsidRDefault="005E019D" w:rsidP="005E019D">
      <w:pPr>
        <w:spacing w:after="0"/>
        <w:rPr>
          <w:rFonts w:ascii="Times New Roman" w:hAnsi="Times New Roman" w:cs="Times New Roman"/>
          <w:sz w:val="20"/>
          <w:szCs w:val="20"/>
        </w:rPr>
      </w:pPr>
      <w:r>
        <w:rPr>
          <w:rStyle w:val="FootnoteReference"/>
          <w:rFonts w:ascii="Times New Roman" w:hAnsi="Times New Roman" w:cs="Times New Roman"/>
          <w:sz w:val="20"/>
          <w:szCs w:val="20"/>
        </w:rPr>
        <w:footnoteRef/>
      </w:r>
      <w:r>
        <w:rPr>
          <w:rStyle w:val="FootnoteReference"/>
          <w:rFonts w:ascii="Times New Roman" w:hAnsi="Times New Roman"/>
          <w:sz w:val="20"/>
        </w:rPr>
        <w:t xml:space="preserve"> </w:t>
      </w:r>
      <w:r>
        <w:rPr>
          <w:rFonts w:ascii="Times New Roman" w:hAnsi="Times New Roman"/>
          <w:sz w:val="20"/>
        </w:rPr>
        <w:t xml:space="preserve">COM(2025) 440 </w:t>
      </w:r>
      <w:r>
        <w:rPr>
          <w:rFonts w:ascii="Times New Roman" w:hAnsi="Times New Roman"/>
          <w:i/>
          <w:sz w:val="20"/>
        </w:rPr>
        <w:t>final</w:t>
      </w:r>
      <w:r>
        <w:rPr>
          <w:rFonts w:ascii="Times New Roman" w:hAnsi="Times New Roman"/>
          <w:sz w:val="20"/>
        </w:rPr>
        <w:t>, 2025 5 6.</w:t>
      </w:r>
    </w:p>
  </w:footnote>
  <w:footnote w:id="96">
    <w:p w14:paraId="20C09DB5" w14:textId="77777777" w:rsidR="005E019D" w:rsidRPr="005E019D" w:rsidRDefault="005E019D" w:rsidP="005E019D">
      <w:pPr>
        <w:pStyle w:val="f1"/>
        <w:jc w:val="both"/>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Direktyva (ES) 2022/2555 dėl priemonių aukštam bendram kibernetinio saugumo lygiui visoje Sąjungoje užtikrinti, taikoma elektros energijos, centralizuoto šilumos ir vėsumos tiekimo, naftos, dujų ir vandenilio sektoriams, ir Direktyva (ES) 2022/2557 dėl ypatingos svarbos subjektų atsparumo, taikoma energetikos sektoriui.</w:t>
      </w:r>
    </w:p>
  </w:footnote>
  <w:footnote w:id="97">
    <w:p w14:paraId="186EF6C2" w14:textId="77777777" w:rsidR="005E019D" w:rsidRPr="005E019D" w:rsidRDefault="005E019D" w:rsidP="005E019D">
      <w:pPr>
        <w:pStyle w:val="f1"/>
        <w:rPr>
          <w:rFonts w:ascii="Times New Roman" w:hAnsi="Times New Roman"/>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BG, EL, IT, CY, LV, HU, RO.</w:t>
      </w:r>
    </w:p>
  </w:footnote>
  <w:footnote w:id="98">
    <w:p w14:paraId="73FD2752" w14:textId="77777777" w:rsidR="005E019D" w:rsidRPr="005E019D" w:rsidRDefault="005E019D" w:rsidP="005E019D">
      <w:pPr>
        <w:spacing w:after="0"/>
        <w:rPr>
          <w:rFonts w:ascii="Times New Roman" w:eastAsia="Calibri" w:hAnsi="Times New Roman" w:cs="Times New Roman"/>
          <w:sz w:val="20"/>
          <w:szCs w:val="20"/>
        </w:rPr>
      </w:pPr>
      <w:r>
        <w:rPr>
          <w:rFonts w:ascii="Times New Roman" w:hAnsi="Times New Roman" w:cs="Times New Roman"/>
          <w:sz w:val="20"/>
          <w:szCs w:val="20"/>
          <w:vertAlign w:val="superscript"/>
        </w:rPr>
        <w:footnoteRef/>
      </w:r>
      <w:r>
        <w:rPr>
          <w:rFonts w:ascii="Times New Roman" w:hAnsi="Times New Roman"/>
          <w:color w:val="333333"/>
          <w:sz w:val="20"/>
        </w:rPr>
        <w:t>2023 m. gegužės 10 d. Europos Parlamento ir Tarybos reglamentas (ES) 2023/955, kuriuo įsteigiamas Socialinis klimato fondas ir iš dalies keičiamas Reglamentas (ES) 2021/1060.</w:t>
      </w:r>
    </w:p>
  </w:footnote>
  <w:footnote w:id="99">
    <w:p w14:paraId="51DA737E" w14:textId="77777777" w:rsidR="005E019D" w:rsidRPr="005E019D" w:rsidRDefault="005E019D" w:rsidP="005E019D">
      <w:pPr>
        <w:pStyle w:val="f1"/>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Malta, Austrija ir Rumunija pateikė labai mažai informacijos.</w:t>
      </w:r>
    </w:p>
  </w:footnote>
  <w:footnote w:id="100">
    <w:p w14:paraId="448D889B" w14:textId="77777777" w:rsidR="005E019D" w:rsidRPr="005E019D" w:rsidRDefault="005E019D" w:rsidP="005E019D">
      <w:pPr>
        <w:pStyle w:val="f1"/>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ES, NL, PT.</w:t>
      </w:r>
    </w:p>
  </w:footnote>
  <w:footnote w:id="101">
    <w:p w14:paraId="04BE885D" w14:textId="77777777" w:rsidR="005E019D" w:rsidRPr="005E019D" w:rsidRDefault="005E019D" w:rsidP="005E019D">
      <w:pPr>
        <w:pStyle w:val="f1"/>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DK, IT, CY, FI.</w:t>
      </w:r>
    </w:p>
  </w:footnote>
  <w:footnote w:id="102">
    <w:p w14:paraId="1C821A66" w14:textId="77777777" w:rsidR="005E019D" w:rsidRPr="005E019D" w:rsidRDefault="005E019D" w:rsidP="005E019D">
      <w:pPr>
        <w:pStyle w:val="f1"/>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DE, IE, EL.</w:t>
      </w:r>
    </w:p>
  </w:footnote>
  <w:footnote w:id="103">
    <w:p w14:paraId="463B80E3" w14:textId="77777777" w:rsidR="005E019D" w:rsidRPr="005E019D" w:rsidRDefault="005E019D" w:rsidP="005E019D">
      <w:pPr>
        <w:pStyle w:val="f1"/>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FR, DK, DE, IE, MT, FI, SE.</w:t>
      </w:r>
    </w:p>
  </w:footnote>
  <w:footnote w:id="104">
    <w:p w14:paraId="73CC6964" w14:textId="77777777" w:rsidR="005E019D" w:rsidRPr="005E019D" w:rsidRDefault="005E019D" w:rsidP="005E019D">
      <w:pPr>
        <w:pStyle w:val="f1"/>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CZ, EL, HU, MT.</w:t>
      </w:r>
    </w:p>
  </w:footnote>
  <w:footnote w:id="105">
    <w:p w14:paraId="03F414DF" w14:textId="77777777" w:rsidR="005E019D" w:rsidRPr="005E019D" w:rsidRDefault="005E019D" w:rsidP="005E019D">
      <w:pPr>
        <w:pStyle w:val="f1"/>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DE, LU, HU, AT, RO.</w:t>
      </w:r>
    </w:p>
  </w:footnote>
  <w:footnote w:id="106">
    <w:p w14:paraId="45D16616" w14:textId="77777777" w:rsidR="005E019D" w:rsidRPr="005E019D" w:rsidRDefault="005E019D" w:rsidP="005E019D">
      <w:pPr>
        <w:pStyle w:val="f1"/>
        <w:rPr>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DK, IE, ES, NL, PT, FI, SE.</w:t>
      </w:r>
    </w:p>
  </w:footnote>
  <w:footnote w:id="107">
    <w:p w14:paraId="0D4620E1" w14:textId="77777777" w:rsidR="005E019D" w:rsidRPr="005E019D" w:rsidRDefault="005E019D" w:rsidP="005E019D">
      <w:pPr>
        <w:pStyle w:val="f1"/>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Reglamentas (ES) 2021/1056.</w:t>
      </w:r>
    </w:p>
  </w:footnote>
  <w:footnote w:id="108">
    <w:p w14:paraId="566804C5" w14:textId="77777777" w:rsidR="005E019D" w:rsidRPr="00C60982" w:rsidRDefault="005E019D" w:rsidP="005E019D">
      <w:pPr>
        <w:pStyle w:val="f1"/>
        <w:jc w:val="both"/>
        <w:rPr>
          <w:rFonts w:ascii="Times New Roman" w:hAnsi="Times New Roman" w:cs="Times New Roman"/>
        </w:rPr>
      </w:pPr>
      <w:r>
        <w:rPr>
          <w:rStyle w:val="FootnoteReference"/>
          <w:rFonts w:ascii="Times New Roman" w:hAnsi="Times New Roman" w:cs="Times New Roman"/>
          <w:sz w:val="20"/>
          <w:szCs w:val="20"/>
        </w:rPr>
        <w:footnoteRef/>
      </w:r>
      <w:r>
        <w:rPr>
          <w:rFonts w:ascii="Times New Roman" w:hAnsi="Times New Roman"/>
          <w:sz w:val="20"/>
        </w:rPr>
        <w:t xml:space="preserve"> </w:t>
      </w:r>
      <w:hyperlink r:id="rId5" w:history="1">
        <w:r>
          <w:rPr>
            <w:rStyle w:val="Hyperlink1"/>
            <w:rFonts w:ascii="Times New Roman" w:hAnsi="Times New Roman"/>
            <w:sz w:val="20"/>
          </w:rPr>
          <w:t>https://commission.europa.eu/strategy-and-policy/eu-budget/performance-and-reporting/horizontal-priorities/green-budgeting/climate-mainstreaming_en?prefLang=lt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1A97BF" w14:textId="77777777" w:rsidR="00071207" w:rsidRPr="00071207" w:rsidRDefault="00071207" w:rsidP="00071207">
    <w:pPr>
      <w:pStyle w:val="HeaderCoverPag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AE21C1" w14:textId="77777777" w:rsidR="00071207" w:rsidRPr="00071207" w:rsidRDefault="00071207" w:rsidP="00071207">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642C2C" w14:textId="77777777" w:rsidR="00071207" w:rsidRPr="00071207" w:rsidRDefault="00071207" w:rsidP="00071207">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131DB6" w14:textId="77777777" w:rsidR="00597B54" w:rsidRDefault="00597B5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D1C1C3" w14:textId="77777777" w:rsidR="00597B54" w:rsidRDefault="00597B5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2FFDFA" w14:textId="77777777" w:rsidR="00597B54" w:rsidRDefault="00597B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F2F94"/>
    <w:multiLevelType w:val="hybridMultilevel"/>
    <w:tmpl w:val="63B48D9C"/>
    <w:lvl w:ilvl="0" w:tplc="A4DE6F60">
      <w:start w:val="1"/>
      <w:numFmt w:val="upperRoman"/>
      <w:lvlText w:val="%1."/>
      <w:lvlJc w:val="right"/>
      <w:pPr>
        <w:ind w:left="720" w:hanging="360"/>
      </w:pPr>
      <w:rPr>
        <w:color w:val="0F4761" w:themeColor="accent1" w:themeShade="BF"/>
      </w:rPr>
    </w:lvl>
    <w:lvl w:ilvl="1" w:tplc="1092F4E8">
      <w:start w:val="1"/>
      <w:numFmt w:val="lowerLetter"/>
      <w:lvlText w:val="%2."/>
      <w:lvlJc w:val="left"/>
      <w:pPr>
        <w:ind w:left="1440" w:hanging="360"/>
      </w:pPr>
    </w:lvl>
    <w:lvl w:ilvl="2" w:tplc="2D8A5EE4" w:tentative="1">
      <w:start w:val="1"/>
      <w:numFmt w:val="lowerRoman"/>
      <w:lvlText w:val="%3."/>
      <w:lvlJc w:val="right"/>
      <w:pPr>
        <w:ind w:left="2160" w:hanging="180"/>
      </w:pPr>
    </w:lvl>
    <w:lvl w:ilvl="3" w:tplc="B462969C" w:tentative="1">
      <w:start w:val="1"/>
      <w:numFmt w:val="decimal"/>
      <w:lvlText w:val="%4."/>
      <w:lvlJc w:val="left"/>
      <w:pPr>
        <w:ind w:left="2880" w:hanging="360"/>
      </w:pPr>
    </w:lvl>
    <w:lvl w:ilvl="4" w:tplc="47F26C6E" w:tentative="1">
      <w:start w:val="1"/>
      <w:numFmt w:val="lowerLetter"/>
      <w:lvlText w:val="%5."/>
      <w:lvlJc w:val="left"/>
      <w:pPr>
        <w:ind w:left="3600" w:hanging="360"/>
      </w:pPr>
    </w:lvl>
    <w:lvl w:ilvl="5" w:tplc="2DE06F90" w:tentative="1">
      <w:start w:val="1"/>
      <w:numFmt w:val="lowerRoman"/>
      <w:lvlText w:val="%6."/>
      <w:lvlJc w:val="right"/>
      <w:pPr>
        <w:ind w:left="4320" w:hanging="180"/>
      </w:pPr>
    </w:lvl>
    <w:lvl w:ilvl="6" w:tplc="6C5A2EF8" w:tentative="1">
      <w:start w:val="1"/>
      <w:numFmt w:val="decimal"/>
      <w:lvlText w:val="%7."/>
      <w:lvlJc w:val="left"/>
      <w:pPr>
        <w:ind w:left="5040" w:hanging="360"/>
      </w:pPr>
    </w:lvl>
    <w:lvl w:ilvl="7" w:tplc="43461F7E" w:tentative="1">
      <w:start w:val="1"/>
      <w:numFmt w:val="lowerLetter"/>
      <w:lvlText w:val="%8."/>
      <w:lvlJc w:val="left"/>
      <w:pPr>
        <w:ind w:left="5760" w:hanging="360"/>
      </w:pPr>
    </w:lvl>
    <w:lvl w:ilvl="8" w:tplc="96328D02" w:tentative="1">
      <w:start w:val="1"/>
      <w:numFmt w:val="lowerRoman"/>
      <w:lvlText w:val="%9."/>
      <w:lvlJc w:val="right"/>
      <w:pPr>
        <w:ind w:left="6480" w:hanging="180"/>
      </w:pPr>
    </w:lvl>
  </w:abstractNum>
  <w:abstractNum w:abstractNumId="1" w15:restartNumberingAfterBreak="0">
    <w:nsid w:val="08D32A4E"/>
    <w:multiLevelType w:val="multilevel"/>
    <w:tmpl w:val="5D78173C"/>
    <w:lvl w:ilvl="0">
      <w:start w:val="1"/>
      <w:numFmt w:val="upperRoman"/>
      <w:lvlText w:val="%1."/>
      <w:lvlJc w:val="left"/>
      <w:pPr>
        <w:ind w:left="0" w:firstLine="0"/>
      </w:pPr>
    </w:lvl>
    <w:lvl w:ilvl="1">
      <w:start w:val="1"/>
      <w:numFmt w:val="upperRoman"/>
      <w:lvlText w:val="%2."/>
      <w:lvlJc w:val="right"/>
      <w:pPr>
        <w:ind w:left="1080" w:hanging="36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 w15:restartNumberingAfterBreak="0">
    <w:nsid w:val="13251EC5"/>
    <w:multiLevelType w:val="hybridMultilevel"/>
    <w:tmpl w:val="ED4AF04E"/>
    <w:lvl w:ilvl="0" w:tplc="18090001">
      <w:numFmt w:val="bullet"/>
      <w:lvlText w:val=""/>
      <w:lvlJc w:val="left"/>
      <w:pPr>
        <w:ind w:left="720" w:hanging="360"/>
      </w:pPr>
      <w:rPr>
        <w:rFonts w:ascii="Symbol" w:eastAsia="Times New Roman" w:hAnsi="Symbol"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5DE246F"/>
    <w:multiLevelType w:val="hybridMultilevel"/>
    <w:tmpl w:val="CBDA02BA"/>
    <w:lvl w:ilvl="0" w:tplc="FACC133E">
      <w:start w:val="1"/>
      <w:numFmt w:val="lowerLetter"/>
      <w:lvlText w:val="%1)"/>
      <w:lvlJc w:val="left"/>
      <w:pPr>
        <w:ind w:left="720" w:hanging="360"/>
      </w:pPr>
    </w:lvl>
    <w:lvl w:ilvl="1" w:tplc="A2C6F25A">
      <w:start w:val="1"/>
      <w:numFmt w:val="lowerLetter"/>
      <w:lvlText w:val="%2)"/>
      <w:lvlJc w:val="left"/>
      <w:pPr>
        <w:ind w:left="720" w:hanging="360"/>
      </w:pPr>
    </w:lvl>
    <w:lvl w:ilvl="2" w:tplc="19DEA8FA">
      <w:start w:val="1"/>
      <w:numFmt w:val="lowerLetter"/>
      <w:lvlText w:val="%3)"/>
      <w:lvlJc w:val="left"/>
      <w:pPr>
        <w:ind w:left="720" w:hanging="360"/>
      </w:pPr>
    </w:lvl>
    <w:lvl w:ilvl="3" w:tplc="08480E84">
      <w:start w:val="1"/>
      <w:numFmt w:val="lowerLetter"/>
      <w:lvlText w:val="%4)"/>
      <w:lvlJc w:val="left"/>
      <w:pPr>
        <w:ind w:left="720" w:hanging="360"/>
      </w:pPr>
    </w:lvl>
    <w:lvl w:ilvl="4" w:tplc="6152DD8A">
      <w:start w:val="1"/>
      <w:numFmt w:val="lowerLetter"/>
      <w:lvlText w:val="%5)"/>
      <w:lvlJc w:val="left"/>
      <w:pPr>
        <w:ind w:left="720" w:hanging="360"/>
      </w:pPr>
    </w:lvl>
    <w:lvl w:ilvl="5" w:tplc="8632BC92">
      <w:start w:val="1"/>
      <w:numFmt w:val="lowerLetter"/>
      <w:lvlText w:val="%6)"/>
      <w:lvlJc w:val="left"/>
      <w:pPr>
        <w:ind w:left="720" w:hanging="360"/>
      </w:pPr>
    </w:lvl>
    <w:lvl w:ilvl="6" w:tplc="A06028A2">
      <w:start w:val="1"/>
      <w:numFmt w:val="lowerLetter"/>
      <w:lvlText w:val="%7)"/>
      <w:lvlJc w:val="left"/>
      <w:pPr>
        <w:ind w:left="720" w:hanging="360"/>
      </w:pPr>
    </w:lvl>
    <w:lvl w:ilvl="7" w:tplc="21B4692C">
      <w:start w:val="1"/>
      <w:numFmt w:val="lowerLetter"/>
      <w:lvlText w:val="%8)"/>
      <w:lvlJc w:val="left"/>
      <w:pPr>
        <w:ind w:left="720" w:hanging="360"/>
      </w:pPr>
    </w:lvl>
    <w:lvl w:ilvl="8" w:tplc="3CBC604C">
      <w:start w:val="1"/>
      <w:numFmt w:val="lowerLetter"/>
      <w:lvlText w:val="%9)"/>
      <w:lvlJc w:val="left"/>
      <w:pPr>
        <w:ind w:left="720" w:hanging="360"/>
      </w:pPr>
    </w:lvl>
  </w:abstractNum>
  <w:abstractNum w:abstractNumId="4" w15:restartNumberingAfterBreak="0">
    <w:nsid w:val="17250D77"/>
    <w:multiLevelType w:val="hybridMultilevel"/>
    <w:tmpl w:val="75A6C91A"/>
    <w:lvl w:ilvl="0" w:tplc="A10852A8">
      <w:start w:val="1"/>
      <w:numFmt w:val="decimal"/>
      <w:lvlText w:val="%1)"/>
      <w:lvlJc w:val="left"/>
      <w:pPr>
        <w:ind w:left="1020" w:hanging="360"/>
      </w:pPr>
    </w:lvl>
    <w:lvl w:ilvl="1" w:tplc="6C661CCC">
      <w:start w:val="1"/>
      <w:numFmt w:val="decimal"/>
      <w:lvlText w:val="%2)"/>
      <w:lvlJc w:val="left"/>
      <w:pPr>
        <w:ind w:left="1020" w:hanging="360"/>
      </w:pPr>
    </w:lvl>
    <w:lvl w:ilvl="2" w:tplc="154C6AF8">
      <w:start w:val="1"/>
      <w:numFmt w:val="decimal"/>
      <w:lvlText w:val="%3)"/>
      <w:lvlJc w:val="left"/>
      <w:pPr>
        <w:ind w:left="1020" w:hanging="360"/>
      </w:pPr>
    </w:lvl>
    <w:lvl w:ilvl="3" w:tplc="207EF082">
      <w:start w:val="1"/>
      <w:numFmt w:val="decimal"/>
      <w:lvlText w:val="%4)"/>
      <w:lvlJc w:val="left"/>
      <w:pPr>
        <w:ind w:left="1020" w:hanging="360"/>
      </w:pPr>
    </w:lvl>
    <w:lvl w:ilvl="4" w:tplc="715443BE">
      <w:start w:val="1"/>
      <w:numFmt w:val="decimal"/>
      <w:lvlText w:val="%5)"/>
      <w:lvlJc w:val="left"/>
      <w:pPr>
        <w:ind w:left="1020" w:hanging="360"/>
      </w:pPr>
    </w:lvl>
    <w:lvl w:ilvl="5" w:tplc="570CBA00">
      <w:start w:val="1"/>
      <w:numFmt w:val="decimal"/>
      <w:lvlText w:val="%6)"/>
      <w:lvlJc w:val="left"/>
      <w:pPr>
        <w:ind w:left="1020" w:hanging="360"/>
      </w:pPr>
    </w:lvl>
    <w:lvl w:ilvl="6" w:tplc="26F27B4A">
      <w:start w:val="1"/>
      <w:numFmt w:val="decimal"/>
      <w:lvlText w:val="%7)"/>
      <w:lvlJc w:val="left"/>
      <w:pPr>
        <w:ind w:left="1020" w:hanging="360"/>
      </w:pPr>
    </w:lvl>
    <w:lvl w:ilvl="7" w:tplc="359E533A">
      <w:start w:val="1"/>
      <w:numFmt w:val="decimal"/>
      <w:lvlText w:val="%8)"/>
      <w:lvlJc w:val="left"/>
      <w:pPr>
        <w:ind w:left="1020" w:hanging="360"/>
      </w:pPr>
    </w:lvl>
    <w:lvl w:ilvl="8" w:tplc="360236FA">
      <w:start w:val="1"/>
      <w:numFmt w:val="decimal"/>
      <w:lvlText w:val="%9)"/>
      <w:lvlJc w:val="left"/>
      <w:pPr>
        <w:ind w:left="1020" w:hanging="360"/>
      </w:pPr>
    </w:lvl>
  </w:abstractNum>
  <w:abstractNum w:abstractNumId="5" w15:restartNumberingAfterBreak="0">
    <w:nsid w:val="17775514"/>
    <w:multiLevelType w:val="hybridMultilevel"/>
    <w:tmpl w:val="69C4DED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7B651A8"/>
    <w:multiLevelType w:val="hybridMultilevel"/>
    <w:tmpl w:val="932A5BC2"/>
    <w:lvl w:ilvl="0" w:tplc="62503396">
      <w:numFmt w:val="bullet"/>
      <w:lvlText w:val="-"/>
      <w:lvlJc w:val="left"/>
      <w:pPr>
        <w:ind w:left="1080" w:hanging="360"/>
      </w:pPr>
      <w:rPr>
        <w:rFonts w:ascii="Times New Roman" w:eastAsiaTheme="minorEastAsia" w:hAnsi="Times New Roman" w:cs="Times New Roman"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7" w15:restartNumberingAfterBreak="0">
    <w:nsid w:val="19155F5C"/>
    <w:multiLevelType w:val="multilevel"/>
    <w:tmpl w:val="33709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FC757E0"/>
    <w:multiLevelType w:val="hybridMultilevel"/>
    <w:tmpl w:val="20909AAE"/>
    <w:lvl w:ilvl="0" w:tplc="ECDA0524">
      <w:start w:val="1"/>
      <w:numFmt w:val="decimal"/>
      <w:lvlText w:val="%1."/>
      <w:lvlJc w:val="left"/>
      <w:pPr>
        <w:ind w:left="720" w:hanging="360"/>
      </w:pPr>
      <w:rPr>
        <w:i w:val="0"/>
      </w:rPr>
    </w:lvl>
    <w:lvl w:ilvl="1" w:tplc="8EC6D0A4" w:tentative="1">
      <w:start w:val="1"/>
      <w:numFmt w:val="lowerLetter"/>
      <w:lvlText w:val="%2."/>
      <w:lvlJc w:val="left"/>
      <w:pPr>
        <w:ind w:left="1440" w:hanging="360"/>
      </w:pPr>
    </w:lvl>
    <w:lvl w:ilvl="2" w:tplc="D932D3B2" w:tentative="1">
      <w:start w:val="1"/>
      <w:numFmt w:val="lowerRoman"/>
      <w:lvlText w:val="%3."/>
      <w:lvlJc w:val="right"/>
      <w:pPr>
        <w:ind w:left="2160" w:hanging="180"/>
      </w:pPr>
    </w:lvl>
    <w:lvl w:ilvl="3" w:tplc="F2B261FE" w:tentative="1">
      <w:start w:val="1"/>
      <w:numFmt w:val="decimal"/>
      <w:lvlText w:val="%4."/>
      <w:lvlJc w:val="left"/>
      <w:pPr>
        <w:ind w:left="2880" w:hanging="360"/>
      </w:pPr>
    </w:lvl>
    <w:lvl w:ilvl="4" w:tplc="DC9288FC" w:tentative="1">
      <w:start w:val="1"/>
      <w:numFmt w:val="lowerLetter"/>
      <w:lvlText w:val="%5."/>
      <w:lvlJc w:val="left"/>
      <w:pPr>
        <w:ind w:left="3600" w:hanging="360"/>
      </w:pPr>
    </w:lvl>
    <w:lvl w:ilvl="5" w:tplc="CE12355E" w:tentative="1">
      <w:start w:val="1"/>
      <w:numFmt w:val="lowerRoman"/>
      <w:lvlText w:val="%6."/>
      <w:lvlJc w:val="right"/>
      <w:pPr>
        <w:ind w:left="4320" w:hanging="180"/>
      </w:pPr>
    </w:lvl>
    <w:lvl w:ilvl="6" w:tplc="B9AA47A8" w:tentative="1">
      <w:start w:val="1"/>
      <w:numFmt w:val="decimal"/>
      <w:lvlText w:val="%7."/>
      <w:lvlJc w:val="left"/>
      <w:pPr>
        <w:ind w:left="5040" w:hanging="360"/>
      </w:pPr>
    </w:lvl>
    <w:lvl w:ilvl="7" w:tplc="6FE0465E" w:tentative="1">
      <w:start w:val="1"/>
      <w:numFmt w:val="lowerLetter"/>
      <w:lvlText w:val="%8."/>
      <w:lvlJc w:val="left"/>
      <w:pPr>
        <w:ind w:left="5760" w:hanging="360"/>
      </w:pPr>
    </w:lvl>
    <w:lvl w:ilvl="8" w:tplc="FD5C623A" w:tentative="1">
      <w:start w:val="1"/>
      <w:numFmt w:val="lowerRoman"/>
      <w:lvlText w:val="%9."/>
      <w:lvlJc w:val="right"/>
      <w:pPr>
        <w:ind w:left="6480" w:hanging="180"/>
      </w:pPr>
    </w:lvl>
  </w:abstractNum>
  <w:abstractNum w:abstractNumId="9" w15:restartNumberingAfterBreak="0">
    <w:nsid w:val="20261630"/>
    <w:multiLevelType w:val="hybridMultilevel"/>
    <w:tmpl w:val="E2B85E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30432B74"/>
    <w:multiLevelType w:val="hybridMultilevel"/>
    <w:tmpl w:val="7CF43E0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31D906FB"/>
    <w:multiLevelType w:val="hybridMultilevel"/>
    <w:tmpl w:val="14C62E9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35FC3D96"/>
    <w:multiLevelType w:val="hybridMultilevel"/>
    <w:tmpl w:val="2E9A34A2"/>
    <w:lvl w:ilvl="0" w:tplc="1D7C7998">
      <w:start w:val="1"/>
      <w:numFmt w:val="upperRoman"/>
      <w:lvlText w:val="%1."/>
      <w:lvlJc w:val="left"/>
      <w:pPr>
        <w:ind w:left="1080" w:hanging="720"/>
      </w:pPr>
    </w:lvl>
    <w:lvl w:ilvl="1" w:tplc="505EA356" w:tentative="1">
      <w:start w:val="1"/>
      <w:numFmt w:val="lowerLetter"/>
      <w:lvlText w:val="%2."/>
      <w:lvlJc w:val="left"/>
      <w:pPr>
        <w:ind w:left="1440" w:hanging="360"/>
      </w:pPr>
    </w:lvl>
    <w:lvl w:ilvl="2" w:tplc="8880377A" w:tentative="1">
      <w:start w:val="1"/>
      <w:numFmt w:val="lowerRoman"/>
      <w:lvlText w:val="%3."/>
      <w:lvlJc w:val="right"/>
      <w:pPr>
        <w:ind w:left="2160" w:hanging="180"/>
      </w:pPr>
    </w:lvl>
    <w:lvl w:ilvl="3" w:tplc="B3486C8A" w:tentative="1">
      <w:start w:val="1"/>
      <w:numFmt w:val="decimal"/>
      <w:lvlText w:val="%4."/>
      <w:lvlJc w:val="left"/>
      <w:pPr>
        <w:ind w:left="2880" w:hanging="360"/>
      </w:pPr>
    </w:lvl>
    <w:lvl w:ilvl="4" w:tplc="88CEBCC6" w:tentative="1">
      <w:start w:val="1"/>
      <w:numFmt w:val="lowerLetter"/>
      <w:lvlText w:val="%5."/>
      <w:lvlJc w:val="left"/>
      <w:pPr>
        <w:ind w:left="3600" w:hanging="360"/>
      </w:pPr>
    </w:lvl>
    <w:lvl w:ilvl="5" w:tplc="8C58B5CA" w:tentative="1">
      <w:start w:val="1"/>
      <w:numFmt w:val="lowerRoman"/>
      <w:lvlText w:val="%6."/>
      <w:lvlJc w:val="right"/>
      <w:pPr>
        <w:ind w:left="4320" w:hanging="180"/>
      </w:pPr>
    </w:lvl>
    <w:lvl w:ilvl="6" w:tplc="8C96EBF6" w:tentative="1">
      <w:start w:val="1"/>
      <w:numFmt w:val="decimal"/>
      <w:lvlText w:val="%7."/>
      <w:lvlJc w:val="left"/>
      <w:pPr>
        <w:ind w:left="5040" w:hanging="360"/>
      </w:pPr>
    </w:lvl>
    <w:lvl w:ilvl="7" w:tplc="FF6C95A8" w:tentative="1">
      <w:start w:val="1"/>
      <w:numFmt w:val="lowerLetter"/>
      <w:lvlText w:val="%8."/>
      <w:lvlJc w:val="left"/>
      <w:pPr>
        <w:ind w:left="5760" w:hanging="360"/>
      </w:pPr>
    </w:lvl>
    <w:lvl w:ilvl="8" w:tplc="BFB4DEBA" w:tentative="1">
      <w:start w:val="1"/>
      <w:numFmt w:val="lowerRoman"/>
      <w:lvlText w:val="%9."/>
      <w:lvlJc w:val="right"/>
      <w:pPr>
        <w:ind w:left="6480" w:hanging="180"/>
      </w:pPr>
    </w:lvl>
  </w:abstractNum>
  <w:abstractNum w:abstractNumId="14" w15:restartNumberingAfterBreak="0">
    <w:nsid w:val="3FA79D86"/>
    <w:multiLevelType w:val="hybridMultilevel"/>
    <w:tmpl w:val="10947544"/>
    <w:lvl w:ilvl="0" w:tplc="37144EE0">
      <w:start w:val="1"/>
      <w:numFmt w:val="bullet"/>
      <w:lvlText w:val="·"/>
      <w:lvlJc w:val="left"/>
      <w:pPr>
        <w:ind w:left="720" w:hanging="360"/>
      </w:pPr>
      <w:rPr>
        <w:rFonts w:ascii="Symbol" w:hAnsi="Symbol" w:hint="default"/>
      </w:rPr>
    </w:lvl>
    <w:lvl w:ilvl="1" w:tplc="7D860586">
      <w:start w:val="1"/>
      <w:numFmt w:val="bullet"/>
      <w:lvlText w:val="o"/>
      <w:lvlJc w:val="left"/>
      <w:pPr>
        <w:ind w:left="1440" w:hanging="360"/>
      </w:pPr>
      <w:rPr>
        <w:rFonts w:ascii="Courier New" w:hAnsi="Courier New" w:hint="default"/>
      </w:rPr>
    </w:lvl>
    <w:lvl w:ilvl="2" w:tplc="26561A16">
      <w:start w:val="1"/>
      <w:numFmt w:val="bullet"/>
      <w:lvlText w:val=""/>
      <w:lvlJc w:val="left"/>
      <w:pPr>
        <w:ind w:left="2160" w:hanging="360"/>
      </w:pPr>
      <w:rPr>
        <w:rFonts w:ascii="Wingdings" w:hAnsi="Wingdings" w:hint="default"/>
      </w:rPr>
    </w:lvl>
    <w:lvl w:ilvl="3" w:tplc="FFBA16C2">
      <w:start w:val="1"/>
      <w:numFmt w:val="bullet"/>
      <w:lvlText w:val=""/>
      <w:lvlJc w:val="left"/>
      <w:pPr>
        <w:ind w:left="2880" w:hanging="360"/>
      </w:pPr>
      <w:rPr>
        <w:rFonts w:ascii="Symbol" w:hAnsi="Symbol" w:hint="default"/>
      </w:rPr>
    </w:lvl>
    <w:lvl w:ilvl="4" w:tplc="628623E8">
      <w:start w:val="1"/>
      <w:numFmt w:val="bullet"/>
      <w:lvlText w:val="o"/>
      <w:lvlJc w:val="left"/>
      <w:pPr>
        <w:ind w:left="3600" w:hanging="360"/>
      </w:pPr>
      <w:rPr>
        <w:rFonts w:ascii="Courier New" w:hAnsi="Courier New" w:hint="default"/>
      </w:rPr>
    </w:lvl>
    <w:lvl w:ilvl="5" w:tplc="EF540384">
      <w:start w:val="1"/>
      <w:numFmt w:val="bullet"/>
      <w:lvlText w:val=""/>
      <w:lvlJc w:val="left"/>
      <w:pPr>
        <w:ind w:left="4320" w:hanging="360"/>
      </w:pPr>
      <w:rPr>
        <w:rFonts w:ascii="Wingdings" w:hAnsi="Wingdings" w:hint="default"/>
      </w:rPr>
    </w:lvl>
    <w:lvl w:ilvl="6" w:tplc="244CEE5C">
      <w:start w:val="1"/>
      <w:numFmt w:val="bullet"/>
      <w:lvlText w:val=""/>
      <w:lvlJc w:val="left"/>
      <w:pPr>
        <w:ind w:left="5040" w:hanging="360"/>
      </w:pPr>
      <w:rPr>
        <w:rFonts w:ascii="Symbol" w:hAnsi="Symbol" w:hint="default"/>
      </w:rPr>
    </w:lvl>
    <w:lvl w:ilvl="7" w:tplc="FB20B3FC">
      <w:start w:val="1"/>
      <w:numFmt w:val="bullet"/>
      <w:lvlText w:val="o"/>
      <w:lvlJc w:val="left"/>
      <w:pPr>
        <w:ind w:left="5760" w:hanging="360"/>
      </w:pPr>
      <w:rPr>
        <w:rFonts w:ascii="Courier New" w:hAnsi="Courier New" w:hint="default"/>
      </w:rPr>
    </w:lvl>
    <w:lvl w:ilvl="8" w:tplc="3D32F490">
      <w:start w:val="1"/>
      <w:numFmt w:val="bullet"/>
      <w:lvlText w:val=""/>
      <w:lvlJc w:val="left"/>
      <w:pPr>
        <w:ind w:left="6480" w:hanging="360"/>
      </w:pPr>
      <w:rPr>
        <w:rFonts w:ascii="Wingdings" w:hAnsi="Wingdings" w:hint="default"/>
      </w:rPr>
    </w:lvl>
  </w:abstractNum>
  <w:abstractNum w:abstractNumId="15" w15:restartNumberingAfterBreak="0">
    <w:nsid w:val="406F10C4"/>
    <w:multiLevelType w:val="hybridMultilevel"/>
    <w:tmpl w:val="B8B0D44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42F02781"/>
    <w:multiLevelType w:val="hybridMultilevel"/>
    <w:tmpl w:val="1452DC1E"/>
    <w:lvl w:ilvl="0" w:tplc="F3E66C72">
      <w:start w:val="1"/>
      <w:numFmt w:val="bullet"/>
      <w:lvlText w:val="·"/>
      <w:lvlJc w:val="left"/>
      <w:pPr>
        <w:ind w:left="720" w:hanging="360"/>
      </w:pPr>
      <w:rPr>
        <w:rFonts w:ascii="Symbol" w:hAnsi="Symbol" w:hint="default"/>
      </w:rPr>
    </w:lvl>
    <w:lvl w:ilvl="1" w:tplc="B80087CA">
      <w:start w:val="1"/>
      <w:numFmt w:val="bullet"/>
      <w:lvlText w:val="o"/>
      <w:lvlJc w:val="left"/>
      <w:pPr>
        <w:ind w:left="1440" w:hanging="360"/>
      </w:pPr>
      <w:rPr>
        <w:rFonts w:ascii="Courier New" w:hAnsi="Courier New" w:cs="Times New Roman" w:hint="default"/>
      </w:rPr>
    </w:lvl>
    <w:lvl w:ilvl="2" w:tplc="B464FE26">
      <w:start w:val="1"/>
      <w:numFmt w:val="bullet"/>
      <w:lvlText w:val=""/>
      <w:lvlJc w:val="left"/>
      <w:pPr>
        <w:ind w:left="2160" w:hanging="360"/>
      </w:pPr>
      <w:rPr>
        <w:rFonts w:ascii="Wingdings" w:hAnsi="Wingdings" w:hint="default"/>
      </w:rPr>
    </w:lvl>
    <w:lvl w:ilvl="3" w:tplc="9406105E">
      <w:start w:val="1"/>
      <w:numFmt w:val="bullet"/>
      <w:lvlText w:val=""/>
      <w:lvlJc w:val="left"/>
      <w:pPr>
        <w:ind w:left="2880" w:hanging="360"/>
      </w:pPr>
      <w:rPr>
        <w:rFonts w:ascii="Symbol" w:hAnsi="Symbol" w:hint="default"/>
      </w:rPr>
    </w:lvl>
    <w:lvl w:ilvl="4" w:tplc="595CA03C">
      <w:start w:val="1"/>
      <w:numFmt w:val="bullet"/>
      <w:lvlText w:val="o"/>
      <w:lvlJc w:val="left"/>
      <w:pPr>
        <w:ind w:left="3600" w:hanging="360"/>
      </w:pPr>
      <w:rPr>
        <w:rFonts w:ascii="Courier New" w:hAnsi="Courier New" w:cs="Times New Roman" w:hint="default"/>
      </w:rPr>
    </w:lvl>
    <w:lvl w:ilvl="5" w:tplc="A4642112">
      <w:start w:val="1"/>
      <w:numFmt w:val="bullet"/>
      <w:lvlText w:val=""/>
      <w:lvlJc w:val="left"/>
      <w:pPr>
        <w:ind w:left="4320" w:hanging="360"/>
      </w:pPr>
      <w:rPr>
        <w:rFonts w:ascii="Wingdings" w:hAnsi="Wingdings" w:hint="default"/>
      </w:rPr>
    </w:lvl>
    <w:lvl w:ilvl="6" w:tplc="FA46175E">
      <w:start w:val="1"/>
      <w:numFmt w:val="bullet"/>
      <w:lvlText w:val=""/>
      <w:lvlJc w:val="left"/>
      <w:pPr>
        <w:ind w:left="5040" w:hanging="360"/>
      </w:pPr>
      <w:rPr>
        <w:rFonts w:ascii="Symbol" w:hAnsi="Symbol" w:hint="default"/>
      </w:rPr>
    </w:lvl>
    <w:lvl w:ilvl="7" w:tplc="C25E2DB4">
      <w:start w:val="1"/>
      <w:numFmt w:val="bullet"/>
      <w:lvlText w:val="o"/>
      <w:lvlJc w:val="left"/>
      <w:pPr>
        <w:ind w:left="5760" w:hanging="360"/>
      </w:pPr>
      <w:rPr>
        <w:rFonts w:ascii="Courier New" w:hAnsi="Courier New" w:cs="Times New Roman" w:hint="default"/>
      </w:rPr>
    </w:lvl>
    <w:lvl w:ilvl="8" w:tplc="A3CAFEB8">
      <w:start w:val="1"/>
      <w:numFmt w:val="bullet"/>
      <w:lvlText w:val=""/>
      <w:lvlJc w:val="left"/>
      <w:pPr>
        <w:ind w:left="6480" w:hanging="360"/>
      </w:pPr>
      <w:rPr>
        <w:rFonts w:ascii="Wingdings" w:hAnsi="Wingdings" w:hint="default"/>
      </w:rPr>
    </w:lvl>
  </w:abstractNum>
  <w:abstractNum w:abstractNumId="17" w15:restartNumberingAfterBreak="0">
    <w:nsid w:val="467117A7"/>
    <w:multiLevelType w:val="multilevel"/>
    <w:tmpl w:val="51745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6CB16BB"/>
    <w:multiLevelType w:val="hybridMultilevel"/>
    <w:tmpl w:val="AD5E9AF0"/>
    <w:lvl w:ilvl="0" w:tplc="E81AE5C0">
      <w:numFmt w:val="bullet"/>
      <w:lvlText w:val="-"/>
      <w:lvlJc w:val="left"/>
      <w:pPr>
        <w:ind w:left="720" w:hanging="360"/>
      </w:pPr>
      <w:rPr>
        <w:rFonts w:ascii="Aptos" w:eastAsia="Aptos" w:hAnsi="Aptos" w:cs="Times New Roman"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9" w15:restartNumberingAfterBreak="0">
    <w:nsid w:val="4DA17051"/>
    <w:multiLevelType w:val="hybridMultilevel"/>
    <w:tmpl w:val="5E323DEE"/>
    <w:lvl w:ilvl="0" w:tplc="24DEB34A">
      <w:start w:val="1"/>
      <w:numFmt w:val="decimal"/>
      <w:lvlText w:val="%1."/>
      <w:lvlJc w:val="left"/>
      <w:pPr>
        <w:ind w:left="720" w:hanging="360"/>
      </w:pPr>
    </w:lvl>
    <w:lvl w:ilvl="1" w:tplc="A5787338">
      <w:start w:val="1"/>
      <w:numFmt w:val="decimal"/>
      <w:lvlText w:val="%2."/>
      <w:lvlJc w:val="left"/>
      <w:pPr>
        <w:ind w:left="720" w:hanging="360"/>
      </w:pPr>
    </w:lvl>
    <w:lvl w:ilvl="2" w:tplc="B1A0EE68">
      <w:start w:val="1"/>
      <w:numFmt w:val="decimal"/>
      <w:lvlText w:val="%3."/>
      <w:lvlJc w:val="left"/>
      <w:pPr>
        <w:ind w:left="720" w:hanging="360"/>
      </w:pPr>
    </w:lvl>
    <w:lvl w:ilvl="3" w:tplc="A5C042EE">
      <w:start w:val="1"/>
      <w:numFmt w:val="decimal"/>
      <w:lvlText w:val="%4."/>
      <w:lvlJc w:val="left"/>
      <w:pPr>
        <w:ind w:left="720" w:hanging="360"/>
      </w:pPr>
    </w:lvl>
    <w:lvl w:ilvl="4" w:tplc="330A6B3A">
      <w:start w:val="1"/>
      <w:numFmt w:val="decimal"/>
      <w:lvlText w:val="%5."/>
      <w:lvlJc w:val="left"/>
      <w:pPr>
        <w:ind w:left="720" w:hanging="360"/>
      </w:pPr>
    </w:lvl>
    <w:lvl w:ilvl="5" w:tplc="29841B0C">
      <w:start w:val="1"/>
      <w:numFmt w:val="decimal"/>
      <w:lvlText w:val="%6."/>
      <w:lvlJc w:val="left"/>
      <w:pPr>
        <w:ind w:left="720" w:hanging="360"/>
      </w:pPr>
    </w:lvl>
    <w:lvl w:ilvl="6" w:tplc="1C040CFE">
      <w:start w:val="1"/>
      <w:numFmt w:val="decimal"/>
      <w:lvlText w:val="%7."/>
      <w:lvlJc w:val="left"/>
      <w:pPr>
        <w:ind w:left="720" w:hanging="360"/>
      </w:pPr>
    </w:lvl>
    <w:lvl w:ilvl="7" w:tplc="AF969B5C">
      <w:start w:val="1"/>
      <w:numFmt w:val="decimal"/>
      <w:lvlText w:val="%8."/>
      <w:lvlJc w:val="left"/>
      <w:pPr>
        <w:ind w:left="720" w:hanging="360"/>
      </w:pPr>
    </w:lvl>
    <w:lvl w:ilvl="8" w:tplc="90244F52">
      <w:start w:val="1"/>
      <w:numFmt w:val="decimal"/>
      <w:lvlText w:val="%9."/>
      <w:lvlJc w:val="left"/>
      <w:pPr>
        <w:ind w:left="720" w:hanging="360"/>
      </w:pPr>
    </w:lvl>
  </w:abstractNum>
  <w:abstractNum w:abstractNumId="20" w15:restartNumberingAfterBreak="0">
    <w:nsid w:val="51DC4D46"/>
    <w:multiLevelType w:val="hybridMultilevel"/>
    <w:tmpl w:val="CCF8D9DA"/>
    <w:lvl w:ilvl="0" w:tplc="0EB8235E">
      <w:start w:val="1"/>
      <w:numFmt w:val="bullet"/>
      <w:lvlText w:val=""/>
      <w:lvlJc w:val="left"/>
      <w:pPr>
        <w:ind w:left="720" w:hanging="360"/>
      </w:pPr>
      <w:rPr>
        <w:rFonts w:ascii="Symbol" w:hAnsi="Symbol" w:hint="default"/>
      </w:rPr>
    </w:lvl>
    <w:lvl w:ilvl="1" w:tplc="20BAEA0A">
      <w:start w:val="1"/>
      <w:numFmt w:val="bullet"/>
      <w:lvlText w:val="o"/>
      <w:lvlJc w:val="left"/>
      <w:pPr>
        <w:ind w:left="1440" w:hanging="360"/>
      </w:pPr>
      <w:rPr>
        <w:rFonts w:ascii="Courier New" w:hAnsi="Courier New" w:hint="default"/>
      </w:rPr>
    </w:lvl>
    <w:lvl w:ilvl="2" w:tplc="47EA4D66">
      <w:start w:val="1"/>
      <w:numFmt w:val="bullet"/>
      <w:lvlText w:val=""/>
      <w:lvlJc w:val="left"/>
      <w:pPr>
        <w:ind w:left="2160" w:hanging="360"/>
      </w:pPr>
      <w:rPr>
        <w:rFonts w:ascii="Wingdings" w:hAnsi="Wingdings" w:hint="default"/>
      </w:rPr>
    </w:lvl>
    <w:lvl w:ilvl="3" w:tplc="97A630C4">
      <w:start w:val="1"/>
      <w:numFmt w:val="bullet"/>
      <w:lvlText w:val=""/>
      <w:lvlJc w:val="left"/>
      <w:pPr>
        <w:ind w:left="2880" w:hanging="360"/>
      </w:pPr>
      <w:rPr>
        <w:rFonts w:ascii="Symbol" w:hAnsi="Symbol" w:hint="default"/>
      </w:rPr>
    </w:lvl>
    <w:lvl w:ilvl="4" w:tplc="44A01384">
      <w:start w:val="1"/>
      <w:numFmt w:val="bullet"/>
      <w:lvlText w:val="o"/>
      <w:lvlJc w:val="left"/>
      <w:pPr>
        <w:ind w:left="3600" w:hanging="360"/>
      </w:pPr>
      <w:rPr>
        <w:rFonts w:ascii="Courier New" w:hAnsi="Courier New" w:hint="default"/>
      </w:rPr>
    </w:lvl>
    <w:lvl w:ilvl="5" w:tplc="F6D879D0">
      <w:start w:val="1"/>
      <w:numFmt w:val="bullet"/>
      <w:lvlText w:val=""/>
      <w:lvlJc w:val="left"/>
      <w:pPr>
        <w:ind w:left="4320" w:hanging="360"/>
      </w:pPr>
      <w:rPr>
        <w:rFonts w:ascii="Wingdings" w:hAnsi="Wingdings" w:hint="default"/>
      </w:rPr>
    </w:lvl>
    <w:lvl w:ilvl="6" w:tplc="AB5EA4FE">
      <w:start w:val="1"/>
      <w:numFmt w:val="bullet"/>
      <w:lvlText w:val=""/>
      <w:lvlJc w:val="left"/>
      <w:pPr>
        <w:ind w:left="5040" w:hanging="360"/>
      </w:pPr>
      <w:rPr>
        <w:rFonts w:ascii="Symbol" w:hAnsi="Symbol" w:hint="default"/>
      </w:rPr>
    </w:lvl>
    <w:lvl w:ilvl="7" w:tplc="3FD89440">
      <w:start w:val="1"/>
      <w:numFmt w:val="bullet"/>
      <w:lvlText w:val="o"/>
      <w:lvlJc w:val="left"/>
      <w:pPr>
        <w:ind w:left="5760" w:hanging="360"/>
      </w:pPr>
      <w:rPr>
        <w:rFonts w:ascii="Courier New" w:hAnsi="Courier New" w:hint="default"/>
      </w:rPr>
    </w:lvl>
    <w:lvl w:ilvl="8" w:tplc="CA28D664">
      <w:start w:val="1"/>
      <w:numFmt w:val="bullet"/>
      <w:lvlText w:val=""/>
      <w:lvlJc w:val="left"/>
      <w:pPr>
        <w:ind w:left="6480" w:hanging="360"/>
      </w:pPr>
      <w:rPr>
        <w:rFonts w:ascii="Wingdings" w:hAnsi="Wingdings" w:hint="default"/>
      </w:rPr>
    </w:lvl>
  </w:abstractNum>
  <w:abstractNum w:abstractNumId="21" w15:restartNumberingAfterBreak="0">
    <w:nsid w:val="57022913"/>
    <w:multiLevelType w:val="hybridMultilevel"/>
    <w:tmpl w:val="CE24F32C"/>
    <w:lvl w:ilvl="0" w:tplc="4112DC30">
      <w:start w:val="1"/>
      <w:numFmt w:val="bullet"/>
      <w:lvlText w:val=""/>
      <w:lvlJc w:val="left"/>
      <w:pPr>
        <w:ind w:left="720" w:hanging="360"/>
      </w:pPr>
      <w:rPr>
        <w:rFonts w:ascii="Symbol" w:hAnsi="Symbol" w:hint="default"/>
      </w:rPr>
    </w:lvl>
    <w:lvl w:ilvl="1" w:tplc="9EF6E9DA">
      <w:start w:val="1"/>
      <w:numFmt w:val="bullet"/>
      <w:lvlText w:val="o"/>
      <w:lvlJc w:val="left"/>
      <w:pPr>
        <w:ind w:left="1440" w:hanging="360"/>
      </w:pPr>
      <w:rPr>
        <w:rFonts w:ascii="Courier New" w:hAnsi="Courier New" w:hint="default"/>
      </w:rPr>
    </w:lvl>
    <w:lvl w:ilvl="2" w:tplc="FF364CCA" w:tentative="1">
      <w:start w:val="1"/>
      <w:numFmt w:val="bullet"/>
      <w:lvlText w:val=""/>
      <w:lvlJc w:val="left"/>
      <w:pPr>
        <w:ind w:left="2160" w:hanging="360"/>
      </w:pPr>
      <w:rPr>
        <w:rFonts w:ascii="Wingdings" w:hAnsi="Wingdings" w:hint="default"/>
      </w:rPr>
    </w:lvl>
    <w:lvl w:ilvl="3" w:tplc="4C32A28A" w:tentative="1">
      <w:start w:val="1"/>
      <w:numFmt w:val="bullet"/>
      <w:lvlText w:val=""/>
      <w:lvlJc w:val="left"/>
      <w:pPr>
        <w:ind w:left="2880" w:hanging="360"/>
      </w:pPr>
      <w:rPr>
        <w:rFonts w:ascii="Symbol" w:hAnsi="Symbol" w:hint="default"/>
      </w:rPr>
    </w:lvl>
    <w:lvl w:ilvl="4" w:tplc="2F2273FA" w:tentative="1">
      <w:start w:val="1"/>
      <w:numFmt w:val="bullet"/>
      <w:lvlText w:val="o"/>
      <w:lvlJc w:val="left"/>
      <w:pPr>
        <w:ind w:left="3600" w:hanging="360"/>
      </w:pPr>
      <w:rPr>
        <w:rFonts w:ascii="Courier New" w:hAnsi="Courier New" w:hint="default"/>
      </w:rPr>
    </w:lvl>
    <w:lvl w:ilvl="5" w:tplc="A1047D8A" w:tentative="1">
      <w:start w:val="1"/>
      <w:numFmt w:val="bullet"/>
      <w:lvlText w:val=""/>
      <w:lvlJc w:val="left"/>
      <w:pPr>
        <w:ind w:left="4320" w:hanging="360"/>
      </w:pPr>
      <w:rPr>
        <w:rFonts w:ascii="Wingdings" w:hAnsi="Wingdings" w:hint="default"/>
      </w:rPr>
    </w:lvl>
    <w:lvl w:ilvl="6" w:tplc="78A6E984" w:tentative="1">
      <w:start w:val="1"/>
      <w:numFmt w:val="bullet"/>
      <w:lvlText w:val=""/>
      <w:lvlJc w:val="left"/>
      <w:pPr>
        <w:ind w:left="5040" w:hanging="360"/>
      </w:pPr>
      <w:rPr>
        <w:rFonts w:ascii="Symbol" w:hAnsi="Symbol" w:hint="default"/>
      </w:rPr>
    </w:lvl>
    <w:lvl w:ilvl="7" w:tplc="FD5A14B2" w:tentative="1">
      <w:start w:val="1"/>
      <w:numFmt w:val="bullet"/>
      <w:lvlText w:val="o"/>
      <w:lvlJc w:val="left"/>
      <w:pPr>
        <w:ind w:left="5760" w:hanging="360"/>
      </w:pPr>
      <w:rPr>
        <w:rFonts w:ascii="Courier New" w:hAnsi="Courier New" w:hint="default"/>
      </w:rPr>
    </w:lvl>
    <w:lvl w:ilvl="8" w:tplc="672C7D1C" w:tentative="1">
      <w:start w:val="1"/>
      <w:numFmt w:val="bullet"/>
      <w:lvlText w:val=""/>
      <w:lvlJc w:val="left"/>
      <w:pPr>
        <w:ind w:left="6480" w:hanging="360"/>
      </w:pPr>
      <w:rPr>
        <w:rFonts w:ascii="Wingdings" w:hAnsi="Wingdings" w:hint="default"/>
      </w:rPr>
    </w:lvl>
  </w:abstractNum>
  <w:abstractNum w:abstractNumId="22" w15:restartNumberingAfterBreak="0">
    <w:nsid w:val="5A5A77A1"/>
    <w:multiLevelType w:val="hybridMultilevel"/>
    <w:tmpl w:val="6F3E35C8"/>
    <w:lvl w:ilvl="0" w:tplc="A9F6AFD0">
      <w:numFmt w:val="bullet"/>
      <w:lvlText w:val="-"/>
      <w:lvlJc w:val="left"/>
      <w:pPr>
        <w:ind w:left="720" w:hanging="360"/>
      </w:pPr>
      <w:rPr>
        <w:rFonts w:ascii="Times New Roman" w:eastAsiaTheme="minorEastAsia"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6027065B"/>
    <w:multiLevelType w:val="hybridMultilevel"/>
    <w:tmpl w:val="038C656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60B72726"/>
    <w:multiLevelType w:val="hybridMultilevel"/>
    <w:tmpl w:val="233622FE"/>
    <w:lvl w:ilvl="0" w:tplc="0C0A0001">
      <w:start w:val="1"/>
      <w:numFmt w:val="bullet"/>
      <w:lvlText w:val=""/>
      <w:lvlJc w:val="left"/>
      <w:pPr>
        <w:ind w:left="781" w:hanging="360"/>
      </w:pPr>
      <w:rPr>
        <w:rFonts w:ascii="Symbol" w:hAnsi="Symbol" w:hint="default"/>
      </w:rPr>
    </w:lvl>
    <w:lvl w:ilvl="1" w:tplc="0C0A0003" w:tentative="1">
      <w:start w:val="1"/>
      <w:numFmt w:val="bullet"/>
      <w:lvlText w:val="o"/>
      <w:lvlJc w:val="left"/>
      <w:pPr>
        <w:ind w:left="1501" w:hanging="360"/>
      </w:pPr>
      <w:rPr>
        <w:rFonts w:ascii="Courier New" w:hAnsi="Courier New" w:cs="Courier New" w:hint="default"/>
      </w:rPr>
    </w:lvl>
    <w:lvl w:ilvl="2" w:tplc="0C0A0005" w:tentative="1">
      <w:start w:val="1"/>
      <w:numFmt w:val="bullet"/>
      <w:lvlText w:val=""/>
      <w:lvlJc w:val="left"/>
      <w:pPr>
        <w:ind w:left="2221" w:hanging="360"/>
      </w:pPr>
      <w:rPr>
        <w:rFonts w:ascii="Wingdings" w:hAnsi="Wingdings" w:hint="default"/>
      </w:rPr>
    </w:lvl>
    <w:lvl w:ilvl="3" w:tplc="0C0A0001" w:tentative="1">
      <w:start w:val="1"/>
      <w:numFmt w:val="bullet"/>
      <w:lvlText w:val=""/>
      <w:lvlJc w:val="left"/>
      <w:pPr>
        <w:ind w:left="2941" w:hanging="360"/>
      </w:pPr>
      <w:rPr>
        <w:rFonts w:ascii="Symbol" w:hAnsi="Symbol" w:hint="default"/>
      </w:rPr>
    </w:lvl>
    <w:lvl w:ilvl="4" w:tplc="0C0A0003" w:tentative="1">
      <w:start w:val="1"/>
      <w:numFmt w:val="bullet"/>
      <w:lvlText w:val="o"/>
      <w:lvlJc w:val="left"/>
      <w:pPr>
        <w:ind w:left="3661" w:hanging="360"/>
      </w:pPr>
      <w:rPr>
        <w:rFonts w:ascii="Courier New" w:hAnsi="Courier New" w:cs="Courier New" w:hint="default"/>
      </w:rPr>
    </w:lvl>
    <w:lvl w:ilvl="5" w:tplc="0C0A0005" w:tentative="1">
      <w:start w:val="1"/>
      <w:numFmt w:val="bullet"/>
      <w:lvlText w:val=""/>
      <w:lvlJc w:val="left"/>
      <w:pPr>
        <w:ind w:left="4381" w:hanging="360"/>
      </w:pPr>
      <w:rPr>
        <w:rFonts w:ascii="Wingdings" w:hAnsi="Wingdings" w:hint="default"/>
      </w:rPr>
    </w:lvl>
    <w:lvl w:ilvl="6" w:tplc="0C0A0001" w:tentative="1">
      <w:start w:val="1"/>
      <w:numFmt w:val="bullet"/>
      <w:lvlText w:val=""/>
      <w:lvlJc w:val="left"/>
      <w:pPr>
        <w:ind w:left="5101" w:hanging="360"/>
      </w:pPr>
      <w:rPr>
        <w:rFonts w:ascii="Symbol" w:hAnsi="Symbol" w:hint="default"/>
      </w:rPr>
    </w:lvl>
    <w:lvl w:ilvl="7" w:tplc="0C0A0003" w:tentative="1">
      <w:start w:val="1"/>
      <w:numFmt w:val="bullet"/>
      <w:lvlText w:val="o"/>
      <w:lvlJc w:val="left"/>
      <w:pPr>
        <w:ind w:left="5821" w:hanging="360"/>
      </w:pPr>
      <w:rPr>
        <w:rFonts w:ascii="Courier New" w:hAnsi="Courier New" w:cs="Courier New" w:hint="default"/>
      </w:rPr>
    </w:lvl>
    <w:lvl w:ilvl="8" w:tplc="0C0A0005" w:tentative="1">
      <w:start w:val="1"/>
      <w:numFmt w:val="bullet"/>
      <w:lvlText w:val=""/>
      <w:lvlJc w:val="left"/>
      <w:pPr>
        <w:ind w:left="6541" w:hanging="360"/>
      </w:pPr>
      <w:rPr>
        <w:rFonts w:ascii="Wingdings" w:hAnsi="Wingdings" w:hint="default"/>
      </w:rPr>
    </w:lvl>
  </w:abstractNum>
  <w:abstractNum w:abstractNumId="25" w15:restartNumberingAfterBreak="0">
    <w:nsid w:val="64207C39"/>
    <w:multiLevelType w:val="hybridMultilevel"/>
    <w:tmpl w:val="F2CC33B8"/>
    <w:lvl w:ilvl="0" w:tplc="4BAEE996">
      <w:start w:val="23"/>
      <w:numFmt w:val="bullet"/>
      <w:lvlText w:val="-"/>
      <w:lvlJc w:val="left"/>
      <w:pPr>
        <w:ind w:left="720" w:hanging="360"/>
      </w:pPr>
      <w:rPr>
        <w:rFonts w:ascii="Arial" w:eastAsia="Times New Roman" w:hAnsi="Arial" w:cs="Aria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6" w15:restartNumberingAfterBreak="0">
    <w:nsid w:val="677E1ED7"/>
    <w:multiLevelType w:val="hybridMultilevel"/>
    <w:tmpl w:val="8D9E8C28"/>
    <w:lvl w:ilvl="0" w:tplc="B4B890D4">
      <w:start w:val="1"/>
      <w:numFmt w:val="bullet"/>
      <w:lvlText w:val=""/>
      <w:lvlJc w:val="left"/>
      <w:pPr>
        <w:ind w:left="720" w:hanging="360"/>
      </w:pPr>
      <w:rPr>
        <w:rFonts w:ascii="Symbol" w:hAnsi="Symbol" w:hint="default"/>
      </w:rPr>
    </w:lvl>
    <w:lvl w:ilvl="1" w:tplc="A494748A">
      <w:start w:val="1"/>
      <w:numFmt w:val="bullet"/>
      <w:lvlText w:val="o"/>
      <w:lvlJc w:val="left"/>
      <w:pPr>
        <w:ind w:left="1440" w:hanging="360"/>
      </w:pPr>
      <w:rPr>
        <w:rFonts w:ascii="Courier New" w:hAnsi="Courier New" w:hint="default"/>
      </w:rPr>
    </w:lvl>
    <w:lvl w:ilvl="2" w:tplc="7662297C" w:tentative="1">
      <w:start w:val="1"/>
      <w:numFmt w:val="bullet"/>
      <w:lvlText w:val=""/>
      <w:lvlJc w:val="left"/>
      <w:pPr>
        <w:ind w:left="2160" w:hanging="360"/>
      </w:pPr>
      <w:rPr>
        <w:rFonts w:ascii="Wingdings" w:hAnsi="Wingdings" w:hint="default"/>
      </w:rPr>
    </w:lvl>
    <w:lvl w:ilvl="3" w:tplc="C47EACC6" w:tentative="1">
      <w:start w:val="1"/>
      <w:numFmt w:val="bullet"/>
      <w:lvlText w:val=""/>
      <w:lvlJc w:val="left"/>
      <w:pPr>
        <w:ind w:left="2880" w:hanging="360"/>
      </w:pPr>
      <w:rPr>
        <w:rFonts w:ascii="Symbol" w:hAnsi="Symbol" w:hint="default"/>
      </w:rPr>
    </w:lvl>
    <w:lvl w:ilvl="4" w:tplc="CC965160" w:tentative="1">
      <w:start w:val="1"/>
      <w:numFmt w:val="bullet"/>
      <w:lvlText w:val="o"/>
      <w:lvlJc w:val="left"/>
      <w:pPr>
        <w:ind w:left="3600" w:hanging="360"/>
      </w:pPr>
      <w:rPr>
        <w:rFonts w:ascii="Courier New" w:hAnsi="Courier New" w:hint="default"/>
      </w:rPr>
    </w:lvl>
    <w:lvl w:ilvl="5" w:tplc="6AF00B5E" w:tentative="1">
      <w:start w:val="1"/>
      <w:numFmt w:val="bullet"/>
      <w:lvlText w:val=""/>
      <w:lvlJc w:val="left"/>
      <w:pPr>
        <w:ind w:left="4320" w:hanging="360"/>
      </w:pPr>
      <w:rPr>
        <w:rFonts w:ascii="Wingdings" w:hAnsi="Wingdings" w:hint="default"/>
      </w:rPr>
    </w:lvl>
    <w:lvl w:ilvl="6" w:tplc="71EA9080" w:tentative="1">
      <w:start w:val="1"/>
      <w:numFmt w:val="bullet"/>
      <w:lvlText w:val=""/>
      <w:lvlJc w:val="left"/>
      <w:pPr>
        <w:ind w:left="5040" w:hanging="360"/>
      </w:pPr>
      <w:rPr>
        <w:rFonts w:ascii="Symbol" w:hAnsi="Symbol" w:hint="default"/>
      </w:rPr>
    </w:lvl>
    <w:lvl w:ilvl="7" w:tplc="056C47AC" w:tentative="1">
      <w:start w:val="1"/>
      <w:numFmt w:val="bullet"/>
      <w:lvlText w:val="o"/>
      <w:lvlJc w:val="left"/>
      <w:pPr>
        <w:ind w:left="5760" w:hanging="360"/>
      </w:pPr>
      <w:rPr>
        <w:rFonts w:ascii="Courier New" w:hAnsi="Courier New" w:hint="default"/>
      </w:rPr>
    </w:lvl>
    <w:lvl w:ilvl="8" w:tplc="DEB2E774" w:tentative="1">
      <w:start w:val="1"/>
      <w:numFmt w:val="bullet"/>
      <w:lvlText w:val=""/>
      <w:lvlJc w:val="left"/>
      <w:pPr>
        <w:ind w:left="6480" w:hanging="360"/>
      </w:pPr>
      <w:rPr>
        <w:rFonts w:ascii="Wingdings" w:hAnsi="Wingdings" w:hint="default"/>
      </w:rPr>
    </w:lvl>
  </w:abstractNum>
  <w:abstractNum w:abstractNumId="27" w15:restartNumberingAfterBreak="0">
    <w:nsid w:val="69F24075"/>
    <w:multiLevelType w:val="hybridMultilevel"/>
    <w:tmpl w:val="35BE3B1A"/>
    <w:lvl w:ilvl="0" w:tplc="1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8" w15:restartNumberingAfterBreak="0">
    <w:nsid w:val="6FB261D5"/>
    <w:multiLevelType w:val="hybridMultilevel"/>
    <w:tmpl w:val="C99616C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7154003B"/>
    <w:multiLevelType w:val="hybridMultilevel"/>
    <w:tmpl w:val="17BCF62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73B83866"/>
    <w:multiLevelType w:val="hybridMultilevel"/>
    <w:tmpl w:val="61266234"/>
    <w:lvl w:ilvl="0" w:tplc="1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1" w15:restartNumberingAfterBreak="0">
    <w:nsid w:val="78D72D38"/>
    <w:multiLevelType w:val="hybridMultilevel"/>
    <w:tmpl w:val="F908740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7977290A"/>
    <w:multiLevelType w:val="hybridMultilevel"/>
    <w:tmpl w:val="D6983498"/>
    <w:lvl w:ilvl="0" w:tplc="D63E83D4">
      <w:start w:val="1"/>
      <w:numFmt w:val="decimal"/>
      <w:lvlText w:val="%1."/>
      <w:lvlJc w:val="left"/>
      <w:pPr>
        <w:ind w:left="1069" w:hanging="360"/>
      </w:pPr>
      <w:rPr>
        <w:rFonts w:hint="default"/>
      </w:rPr>
    </w:lvl>
    <w:lvl w:ilvl="1" w:tplc="18090019" w:tentative="1">
      <w:start w:val="1"/>
      <w:numFmt w:val="lowerLetter"/>
      <w:lvlText w:val="%2."/>
      <w:lvlJc w:val="left"/>
      <w:pPr>
        <w:ind w:left="1789" w:hanging="360"/>
      </w:pPr>
    </w:lvl>
    <w:lvl w:ilvl="2" w:tplc="1809001B" w:tentative="1">
      <w:start w:val="1"/>
      <w:numFmt w:val="lowerRoman"/>
      <w:lvlText w:val="%3."/>
      <w:lvlJc w:val="right"/>
      <w:pPr>
        <w:ind w:left="2509" w:hanging="180"/>
      </w:pPr>
    </w:lvl>
    <w:lvl w:ilvl="3" w:tplc="1809000F" w:tentative="1">
      <w:start w:val="1"/>
      <w:numFmt w:val="decimal"/>
      <w:lvlText w:val="%4."/>
      <w:lvlJc w:val="left"/>
      <w:pPr>
        <w:ind w:left="3229" w:hanging="360"/>
      </w:pPr>
    </w:lvl>
    <w:lvl w:ilvl="4" w:tplc="18090019" w:tentative="1">
      <w:start w:val="1"/>
      <w:numFmt w:val="lowerLetter"/>
      <w:lvlText w:val="%5."/>
      <w:lvlJc w:val="left"/>
      <w:pPr>
        <w:ind w:left="3949" w:hanging="360"/>
      </w:pPr>
    </w:lvl>
    <w:lvl w:ilvl="5" w:tplc="1809001B" w:tentative="1">
      <w:start w:val="1"/>
      <w:numFmt w:val="lowerRoman"/>
      <w:lvlText w:val="%6."/>
      <w:lvlJc w:val="right"/>
      <w:pPr>
        <w:ind w:left="4669" w:hanging="180"/>
      </w:pPr>
    </w:lvl>
    <w:lvl w:ilvl="6" w:tplc="1809000F" w:tentative="1">
      <w:start w:val="1"/>
      <w:numFmt w:val="decimal"/>
      <w:lvlText w:val="%7."/>
      <w:lvlJc w:val="left"/>
      <w:pPr>
        <w:ind w:left="5389" w:hanging="360"/>
      </w:pPr>
    </w:lvl>
    <w:lvl w:ilvl="7" w:tplc="18090019" w:tentative="1">
      <w:start w:val="1"/>
      <w:numFmt w:val="lowerLetter"/>
      <w:lvlText w:val="%8."/>
      <w:lvlJc w:val="left"/>
      <w:pPr>
        <w:ind w:left="6109" w:hanging="360"/>
      </w:pPr>
    </w:lvl>
    <w:lvl w:ilvl="8" w:tplc="1809001B" w:tentative="1">
      <w:start w:val="1"/>
      <w:numFmt w:val="lowerRoman"/>
      <w:lvlText w:val="%9."/>
      <w:lvlJc w:val="right"/>
      <w:pPr>
        <w:ind w:left="6829" w:hanging="180"/>
      </w:pPr>
    </w:lvl>
  </w:abstractNum>
  <w:abstractNum w:abstractNumId="33" w15:restartNumberingAfterBreak="0">
    <w:nsid w:val="7B8913FA"/>
    <w:multiLevelType w:val="hybridMultilevel"/>
    <w:tmpl w:val="0478E7B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7BF11CBC"/>
    <w:multiLevelType w:val="hybridMultilevel"/>
    <w:tmpl w:val="63B48D9C"/>
    <w:lvl w:ilvl="0" w:tplc="D6BA5B38">
      <w:start w:val="1"/>
      <w:numFmt w:val="upperRoman"/>
      <w:lvlText w:val="%1."/>
      <w:lvlJc w:val="right"/>
      <w:pPr>
        <w:ind w:left="720" w:hanging="360"/>
      </w:pPr>
      <w:rPr>
        <w:color w:val="0F4761" w:themeColor="accent1" w:themeShade="BF"/>
      </w:rPr>
    </w:lvl>
    <w:lvl w:ilvl="1" w:tplc="D8523E0E">
      <w:start w:val="1"/>
      <w:numFmt w:val="lowerLetter"/>
      <w:lvlText w:val="%2."/>
      <w:lvlJc w:val="left"/>
      <w:pPr>
        <w:ind w:left="1440" w:hanging="360"/>
      </w:pPr>
    </w:lvl>
    <w:lvl w:ilvl="2" w:tplc="00589460" w:tentative="1">
      <w:start w:val="1"/>
      <w:numFmt w:val="lowerRoman"/>
      <w:lvlText w:val="%3."/>
      <w:lvlJc w:val="right"/>
      <w:pPr>
        <w:ind w:left="2160" w:hanging="180"/>
      </w:pPr>
    </w:lvl>
    <w:lvl w:ilvl="3" w:tplc="B6F6908A" w:tentative="1">
      <w:start w:val="1"/>
      <w:numFmt w:val="decimal"/>
      <w:lvlText w:val="%4."/>
      <w:lvlJc w:val="left"/>
      <w:pPr>
        <w:ind w:left="2880" w:hanging="360"/>
      </w:pPr>
    </w:lvl>
    <w:lvl w:ilvl="4" w:tplc="95601364" w:tentative="1">
      <w:start w:val="1"/>
      <w:numFmt w:val="lowerLetter"/>
      <w:lvlText w:val="%5."/>
      <w:lvlJc w:val="left"/>
      <w:pPr>
        <w:ind w:left="3600" w:hanging="360"/>
      </w:pPr>
    </w:lvl>
    <w:lvl w:ilvl="5" w:tplc="6BF29B62" w:tentative="1">
      <w:start w:val="1"/>
      <w:numFmt w:val="lowerRoman"/>
      <w:lvlText w:val="%6."/>
      <w:lvlJc w:val="right"/>
      <w:pPr>
        <w:ind w:left="4320" w:hanging="180"/>
      </w:pPr>
    </w:lvl>
    <w:lvl w:ilvl="6" w:tplc="A0AA07C8" w:tentative="1">
      <w:start w:val="1"/>
      <w:numFmt w:val="decimal"/>
      <w:lvlText w:val="%7."/>
      <w:lvlJc w:val="left"/>
      <w:pPr>
        <w:ind w:left="5040" w:hanging="360"/>
      </w:pPr>
    </w:lvl>
    <w:lvl w:ilvl="7" w:tplc="F9164E74" w:tentative="1">
      <w:start w:val="1"/>
      <w:numFmt w:val="lowerLetter"/>
      <w:lvlText w:val="%8."/>
      <w:lvlJc w:val="left"/>
      <w:pPr>
        <w:ind w:left="5760" w:hanging="360"/>
      </w:pPr>
    </w:lvl>
    <w:lvl w:ilvl="8" w:tplc="130AA2E6" w:tentative="1">
      <w:start w:val="1"/>
      <w:numFmt w:val="lowerRoman"/>
      <w:lvlText w:val="%9."/>
      <w:lvlJc w:val="right"/>
      <w:pPr>
        <w:ind w:left="6480" w:hanging="180"/>
      </w:pPr>
    </w:lvl>
  </w:abstractNum>
  <w:abstractNum w:abstractNumId="35" w15:restartNumberingAfterBreak="0">
    <w:nsid w:val="7C2C779F"/>
    <w:multiLevelType w:val="hybridMultilevel"/>
    <w:tmpl w:val="C79C23D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7DD80A58"/>
    <w:multiLevelType w:val="hybridMultilevel"/>
    <w:tmpl w:val="C382020A"/>
    <w:lvl w:ilvl="0" w:tplc="18090001">
      <w:numFmt w:val="bullet"/>
      <w:lvlText w:val=""/>
      <w:lvlJc w:val="left"/>
      <w:pPr>
        <w:ind w:left="720" w:hanging="360"/>
      </w:pPr>
      <w:rPr>
        <w:rFonts w:ascii="Symbol" w:eastAsia="Times New Roman" w:hAnsi="Symbol"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4"/>
  </w:num>
  <w:num w:numId="2">
    <w:abstractNumId w:val="20"/>
  </w:num>
  <w:num w:numId="3">
    <w:abstractNumId w:val="8"/>
  </w:num>
  <w:num w:numId="4">
    <w:abstractNumId w:val="13"/>
  </w:num>
  <w:num w:numId="5">
    <w:abstractNumId w:val="21"/>
  </w:num>
  <w:num w:numId="6">
    <w:abstractNumId w:val="0"/>
  </w:num>
  <w:num w:numId="7">
    <w:abstractNumId w:val="1"/>
  </w:num>
  <w:num w:numId="8">
    <w:abstractNumId w:val="26"/>
  </w:num>
  <w:num w:numId="9">
    <w:abstractNumId w:val="34"/>
  </w:num>
  <w:num w:numId="10">
    <w:abstractNumId w:val="15"/>
  </w:num>
  <w:num w:numId="11">
    <w:abstractNumId w:val="11"/>
  </w:num>
  <w:num w:numId="12">
    <w:abstractNumId w:val="28"/>
  </w:num>
  <w:num w:numId="13">
    <w:abstractNumId w:val="35"/>
  </w:num>
  <w:num w:numId="14">
    <w:abstractNumId w:val="33"/>
  </w:num>
  <w:num w:numId="15">
    <w:abstractNumId w:val="16"/>
  </w:num>
  <w:num w:numId="16">
    <w:abstractNumId w:val="30"/>
  </w:num>
  <w:num w:numId="17">
    <w:abstractNumId w:val="6"/>
  </w:num>
  <w:num w:numId="18">
    <w:abstractNumId w:val="25"/>
  </w:num>
  <w:num w:numId="19">
    <w:abstractNumId w:val="27"/>
  </w:num>
  <w:num w:numId="20">
    <w:abstractNumId w:val="18"/>
  </w:num>
  <w:num w:numId="21">
    <w:abstractNumId w:val="7"/>
  </w:num>
  <w:num w:numId="22">
    <w:abstractNumId w:val="17"/>
  </w:num>
  <w:num w:numId="23">
    <w:abstractNumId w:val="31"/>
  </w:num>
  <w:num w:numId="24">
    <w:abstractNumId w:val="29"/>
  </w:num>
  <w:num w:numId="25">
    <w:abstractNumId w:val="23"/>
  </w:num>
  <w:num w:numId="26">
    <w:abstractNumId w:val="5"/>
  </w:num>
  <w:num w:numId="27">
    <w:abstractNumId w:val="9"/>
  </w:num>
  <w:num w:numId="28">
    <w:abstractNumId w:val="12"/>
  </w:num>
  <w:num w:numId="29">
    <w:abstractNumId w:val="10"/>
  </w:num>
  <w:num w:numId="30">
    <w:abstractNumId w:val="32"/>
  </w:num>
  <w:num w:numId="31">
    <w:abstractNumId w:val="22"/>
  </w:num>
  <w:num w:numId="32">
    <w:abstractNumId w:val="24"/>
  </w:num>
  <w:num w:numId="33">
    <w:abstractNumId w:val="36"/>
  </w:num>
  <w:num w:numId="34">
    <w:abstractNumId w:val="2"/>
  </w:num>
  <w:num w:numId="35">
    <w:abstractNumId w:val="4"/>
  </w:num>
  <w:num w:numId="36">
    <w:abstractNumId w:val="19"/>
  </w:num>
  <w:num w:numId="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markup="0"/>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CORRIGENDUM" w:val="&lt;UNUSED&gt;"/>
    <w:docVar w:name="LW_COVERPAGE_EXISTS" w:val="True"/>
    <w:docVar w:name="LW_COVERPAGE_GUID" w:val="A6652A9E-3F36-4A74-9936-1FD3DBC53F33"/>
    <w:docVar w:name="LW_COVERPAGE_TYPE" w:val="1"/>
    <w:docVar w:name="LW_CROSSREFERENCE" w:val="{SWD(2025) 140 final}"/>
    <w:docVar w:name="LW_DocType" w:val="NORMAL"/>
    <w:docVar w:name="LW_EMISSION" w:val="2025 05 27"/>
    <w:docVar w:name="LW_EMISSION_ISODATE" w:val="2025-05-27"/>
    <w:docVar w:name="LW_EMISSION_LOCATION" w:val="BRX"/>
    <w:docVar w:name="LW_EMISSION_PREFIX" w:val="Briuselis, "/>
    <w:docVar w:name="LW_EMISSION_SUFFIX" w:val=" "/>
    <w:docVar w:name="LW_ID_DOCTYPE_NONLW" w:val="CP-014"/>
    <w:docVar w:name="LW_LANGUE" w:val="LT"/>
    <w:docVar w:name="LW_LEVEL_OF_SENSITIVITY" w:val="Standard treatment"/>
    <w:docVar w:name="LW_NOM.INST" w:val="EUROPOS KOMISIJA"/>
    <w:docVar w:name="LW_NOM.INST_JOINTDOC" w:val="&lt;EMPTY&gt;"/>
    <w:docVar w:name="LW_PART_NBR" w:val="1"/>
    <w:docVar w:name="LW_PART_NBR_TOTAL" w:val="1"/>
    <w:docVar w:name="LW_REF.INST.NEW" w:val="COM"/>
    <w:docVar w:name="LW_REF.INST.NEW_ADOPTED" w:val="final"/>
    <w:docVar w:name="LW_REF.INST.NEW_TEXT" w:val="(2025) 274"/>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Galutini\u371? atnaujint\u371? nacionalini\u371? energetikos ir klimato srities veiksm\u371? plan\u371? vertinimas ES mastu _x000b_S\u261?jungos 2030 m. energetikos ir klimato srities tiksl\u371? \u303?gyvendinimas"/>
    <w:docVar w:name="LW_TYPE.DOC.CP" w:val="KOMISIJOS KOMUNIKATAS EUROPOS PARLAMENTUI, TARYBAI, EUROPOS EKONOMIKOS IR SOCIALINI\u370? REIKAL\u370? KOMITETUI IR REGION\u370? KOMITETUI"/>
    <w:docVar w:name="LW_TYPE.DOC.CP.USERTEXT" w:val="&lt;EMPTY&gt;"/>
    <w:docVar w:name="LwApiVersions" w:val="LW4CoDe 1.24.5.0; LW 9.0, Build 20240221"/>
  </w:docVars>
  <w:rsids>
    <w:rsidRoot w:val="00597B54"/>
    <w:rsid w:val="00071207"/>
    <w:rsid w:val="000B0BAE"/>
    <w:rsid w:val="00120602"/>
    <w:rsid w:val="0012586A"/>
    <w:rsid w:val="0016153D"/>
    <w:rsid w:val="0028443E"/>
    <w:rsid w:val="002E5925"/>
    <w:rsid w:val="003D698B"/>
    <w:rsid w:val="00477CB8"/>
    <w:rsid w:val="004C35F5"/>
    <w:rsid w:val="0050111B"/>
    <w:rsid w:val="00512D1D"/>
    <w:rsid w:val="005645BB"/>
    <w:rsid w:val="00597B54"/>
    <w:rsid w:val="005E019D"/>
    <w:rsid w:val="005F029E"/>
    <w:rsid w:val="00607A30"/>
    <w:rsid w:val="006862A9"/>
    <w:rsid w:val="006A04E5"/>
    <w:rsid w:val="006F02B9"/>
    <w:rsid w:val="00865B12"/>
    <w:rsid w:val="008E1A33"/>
    <w:rsid w:val="009264A7"/>
    <w:rsid w:val="00AD481A"/>
    <w:rsid w:val="00AD52F6"/>
    <w:rsid w:val="00BF6B99"/>
    <w:rsid w:val="00C3342E"/>
    <w:rsid w:val="00C628A7"/>
    <w:rsid w:val="00CC57B7"/>
    <w:rsid w:val="00D11FD2"/>
    <w:rsid w:val="00E62A83"/>
    <w:rsid w:val="00F2581F"/>
    <w:rsid w:val="00FD46FE"/>
    <w:rsid w:val="00FD63CC"/>
    <w:rsid w:val="559622E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F6FD3E9"/>
  <w15:chartTrackingRefBased/>
  <w15:docId w15:val="{25714D6B-9E68-477E-A8AB-B8C5E3F58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97B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97B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97B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597B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7B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7B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7B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7B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7B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7B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97B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97B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597B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7B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7B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7B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7B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7B54"/>
    <w:rPr>
      <w:rFonts w:eastAsiaTheme="majorEastAsia" w:cstheme="majorBidi"/>
      <w:color w:val="272727" w:themeColor="text1" w:themeTint="D8"/>
    </w:rPr>
  </w:style>
  <w:style w:type="paragraph" w:styleId="Title">
    <w:name w:val="Title"/>
    <w:basedOn w:val="Normal"/>
    <w:next w:val="Normal"/>
    <w:link w:val="TitleChar"/>
    <w:uiPriority w:val="10"/>
    <w:qFormat/>
    <w:rsid w:val="00597B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7B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7B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7B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7B54"/>
    <w:pPr>
      <w:spacing w:before="160"/>
      <w:jc w:val="center"/>
    </w:pPr>
    <w:rPr>
      <w:i/>
      <w:iCs/>
      <w:color w:val="404040" w:themeColor="text1" w:themeTint="BF"/>
    </w:rPr>
  </w:style>
  <w:style w:type="character" w:customStyle="1" w:styleId="QuoteChar">
    <w:name w:val="Quote Char"/>
    <w:basedOn w:val="DefaultParagraphFont"/>
    <w:link w:val="Quote"/>
    <w:uiPriority w:val="29"/>
    <w:rsid w:val="00597B54"/>
    <w:rPr>
      <w:i/>
      <w:iCs/>
      <w:color w:val="404040" w:themeColor="text1" w:themeTint="BF"/>
    </w:rPr>
  </w:style>
  <w:style w:type="paragraph" w:styleId="ListParagraph">
    <w:name w:val="List Paragraph"/>
    <w:aliases w:val="Numbered Para 1,Dot pt,List Paragraph Char Char Char,Indicator Text,List Paragraph1,Bullet Points,MAIN CONTENT,List Paragraph12,F5 List Paragraph,Heading 2_sj,Report Para,WinDForce-Letter,List Paragraph (numbered (a),LIST,L"/>
    <w:basedOn w:val="Normal"/>
    <w:link w:val="ListParagraphChar"/>
    <w:uiPriority w:val="34"/>
    <w:qFormat/>
    <w:rsid w:val="00597B54"/>
    <w:pPr>
      <w:ind w:left="720"/>
      <w:contextualSpacing/>
    </w:pPr>
  </w:style>
  <w:style w:type="character" w:styleId="IntenseEmphasis">
    <w:name w:val="Intense Emphasis"/>
    <w:basedOn w:val="DefaultParagraphFont"/>
    <w:uiPriority w:val="21"/>
    <w:qFormat/>
    <w:rsid w:val="00597B54"/>
    <w:rPr>
      <w:i/>
      <w:iCs/>
      <w:color w:val="0F4761" w:themeColor="accent1" w:themeShade="BF"/>
    </w:rPr>
  </w:style>
  <w:style w:type="paragraph" w:styleId="IntenseQuote">
    <w:name w:val="Intense Quote"/>
    <w:basedOn w:val="Normal"/>
    <w:next w:val="Normal"/>
    <w:link w:val="IntenseQuoteChar"/>
    <w:uiPriority w:val="30"/>
    <w:qFormat/>
    <w:rsid w:val="00597B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7B54"/>
    <w:rPr>
      <w:i/>
      <w:iCs/>
      <w:color w:val="0F4761" w:themeColor="accent1" w:themeShade="BF"/>
    </w:rPr>
  </w:style>
  <w:style w:type="character" w:styleId="IntenseReference">
    <w:name w:val="Intense Reference"/>
    <w:basedOn w:val="DefaultParagraphFont"/>
    <w:uiPriority w:val="32"/>
    <w:qFormat/>
    <w:rsid w:val="00597B54"/>
    <w:rPr>
      <w:b/>
      <w:bCs/>
      <w:smallCaps/>
      <w:color w:val="0F4761" w:themeColor="accent1" w:themeShade="BF"/>
      <w:spacing w:val="5"/>
    </w:rPr>
  </w:style>
  <w:style w:type="character" w:customStyle="1" w:styleId="Marker">
    <w:name w:val="Marker"/>
    <w:basedOn w:val="DefaultParagraphFont"/>
    <w:rsid w:val="00597B54"/>
    <w:rPr>
      <w:color w:val="0000FF"/>
      <w:shd w:val="clear" w:color="auto" w:fill="auto"/>
    </w:rPr>
  </w:style>
  <w:style w:type="paragraph" w:styleId="Header">
    <w:name w:val="header"/>
    <w:basedOn w:val="Normal"/>
    <w:link w:val="HeaderChar"/>
    <w:uiPriority w:val="99"/>
    <w:unhideWhenUsed/>
    <w:rsid w:val="00597B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7B54"/>
  </w:style>
  <w:style w:type="paragraph" w:styleId="Footer">
    <w:name w:val="footer"/>
    <w:basedOn w:val="Normal"/>
    <w:link w:val="FooterChar"/>
    <w:uiPriority w:val="99"/>
    <w:unhideWhenUsed/>
    <w:rsid w:val="00597B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7B54"/>
  </w:style>
  <w:style w:type="paragraph" w:customStyle="1" w:styleId="Pagedecouverture">
    <w:name w:val="Page de couverture"/>
    <w:basedOn w:val="Normal"/>
    <w:next w:val="Normal"/>
    <w:link w:val="PagedecouvertureChar"/>
    <w:rsid w:val="00597B54"/>
    <w:pPr>
      <w:spacing w:after="0" w:line="240" w:lineRule="auto"/>
      <w:jc w:val="both"/>
    </w:pPr>
    <w:rPr>
      <w:rFonts w:ascii="Times New Roman" w:hAnsi="Times New Roman" w:cs="Times New Roman"/>
      <w:kern w:val="0"/>
      <w:szCs w:val="22"/>
      <w14:ligatures w14:val="none"/>
    </w:rPr>
  </w:style>
  <w:style w:type="paragraph" w:customStyle="1" w:styleId="FooterCoverPage">
    <w:name w:val="Footer Cover Page"/>
    <w:basedOn w:val="Normal"/>
    <w:link w:val="FooterCoverPageChar"/>
    <w:rsid w:val="00597B54"/>
    <w:pPr>
      <w:tabs>
        <w:tab w:val="center" w:pos="4535"/>
        <w:tab w:val="right" w:pos="9071"/>
        <w:tab w:val="right" w:pos="9921"/>
      </w:tabs>
      <w:spacing w:before="360" w:after="0" w:line="240" w:lineRule="auto"/>
      <w:ind w:left="-850" w:right="-850"/>
    </w:pPr>
    <w:rPr>
      <w:rFonts w:ascii="Times New Roman" w:hAnsi="Times New Roman" w:cs="Times New Roman"/>
    </w:rPr>
  </w:style>
  <w:style w:type="character" w:customStyle="1" w:styleId="FooterCoverPageChar">
    <w:name w:val="Footer Cover Page Char"/>
    <w:basedOn w:val="DefaultParagraphFont"/>
    <w:link w:val="FooterCoverPage"/>
    <w:rsid w:val="00597B54"/>
    <w:rPr>
      <w:rFonts w:ascii="Times New Roman" w:hAnsi="Times New Roman" w:cs="Times New Roman"/>
    </w:rPr>
  </w:style>
  <w:style w:type="paragraph" w:customStyle="1" w:styleId="FooterSensitivity">
    <w:name w:val="Footer Sensitivity"/>
    <w:basedOn w:val="Normal"/>
    <w:link w:val="FooterSensitivityChar"/>
    <w:rsid w:val="00597B54"/>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sid w:val="00597B54"/>
    <w:rPr>
      <w:rFonts w:ascii="Times New Roman" w:hAnsi="Times New Roman" w:cs="Times New Roman"/>
      <w:b/>
      <w:sz w:val="32"/>
    </w:rPr>
  </w:style>
  <w:style w:type="paragraph" w:customStyle="1" w:styleId="HeaderCoverPage">
    <w:name w:val="Header Cover Page"/>
    <w:basedOn w:val="Normal"/>
    <w:link w:val="HeaderCoverPageChar"/>
    <w:rsid w:val="00597B54"/>
    <w:pPr>
      <w:tabs>
        <w:tab w:val="center" w:pos="4535"/>
        <w:tab w:val="right" w:pos="9071"/>
      </w:tabs>
      <w:spacing w:after="120" w:line="240" w:lineRule="auto"/>
      <w:jc w:val="both"/>
    </w:pPr>
    <w:rPr>
      <w:rFonts w:ascii="Times New Roman" w:hAnsi="Times New Roman" w:cs="Times New Roman"/>
    </w:rPr>
  </w:style>
  <w:style w:type="character" w:customStyle="1" w:styleId="HeaderCoverPageChar">
    <w:name w:val="Header Cover Page Char"/>
    <w:basedOn w:val="DefaultParagraphFont"/>
    <w:link w:val="HeaderCoverPage"/>
    <w:rsid w:val="00597B54"/>
    <w:rPr>
      <w:rFonts w:ascii="Times New Roman" w:hAnsi="Times New Roman" w:cs="Times New Roman"/>
    </w:rPr>
  </w:style>
  <w:style w:type="paragraph" w:customStyle="1" w:styleId="HeaderSensitivity">
    <w:name w:val="Header Sensitivity"/>
    <w:basedOn w:val="Normal"/>
    <w:link w:val="HeaderSensitivityChar"/>
    <w:rsid w:val="00597B54"/>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sid w:val="00597B54"/>
    <w:rPr>
      <w:rFonts w:ascii="Times New Roman" w:hAnsi="Times New Roman" w:cs="Times New Roman"/>
      <w:b/>
      <w:sz w:val="32"/>
    </w:rPr>
  </w:style>
  <w:style w:type="paragraph" w:customStyle="1" w:styleId="HeaderSensitivityRight">
    <w:name w:val="Header Sensitivity Right"/>
    <w:basedOn w:val="Normal"/>
    <w:link w:val="HeaderSensitivityRightChar"/>
    <w:rsid w:val="00597B54"/>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sid w:val="00597B54"/>
    <w:rPr>
      <w:rFonts w:ascii="Times New Roman" w:hAnsi="Times New Roman" w:cs="Times New Roman"/>
      <w:sz w:val="28"/>
    </w:rPr>
  </w:style>
  <w:style w:type="numbering" w:customStyle="1" w:styleId="NoList1">
    <w:name w:val="No List1"/>
    <w:next w:val="NoList"/>
    <w:uiPriority w:val="99"/>
    <w:semiHidden/>
    <w:unhideWhenUsed/>
    <w:rsid w:val="005E019D"/>
  </w:style>
  <w:style w:type="table" w:styleId="TableGrid">
    <w:name w:val="Table Grid"/>
    <w:uiPriority w:val="39"/>
    <w:rsid w:val="005E019D"/>
    <w:pPr>
      <w:spacing w:after="0" w:line="240" w:lineRule="auto"/>
    </w:pPr>
    <w:rPr>
      <w:rFonts w:ascii="Times New Roman" w:eastAsia="Times New Roman" w:hAnsi="Times New Roman" w:cs="Times New Roman"/>
      <w:kern w:val="0"/>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5E019D"/>
    <w:rPr>
      <w:sz w:val="16"/>
      <w:szCs w:val="16"/>
    </w:rPr>
  </w:style>
  <w:style w:type="paragraph" w:customStyle="1" w:styleId="CommentText1">
    <w:name w:val="Comment Text1"/>
    <w:basedOn w:val="Normal"/>
    <w:next w:val="CommentText"/>
    <w:link w:val="CommentTextChar"/>
    <w:uiPriority w:val="99"/>
    <w:unhideWhenUsed/>
    <w:rsid w:val="005E019D"/>
    <w:pPr>
      <w:spacing w:after="120" w:line="264" w:lineRule="auto"/>
    </w:pPr>
  </w:style>
  <w:style w:type="character" w:customStyle="1" w:styleId="CommentTextChar">
    <w:name w:val="Comment Text Char"/>
    <w:basedOn w:val="DefaultParagraphFont"/>
    <w:link w:val="CommentText1"/>
    <w:uiPriority w:val="99"/>
    <w:rsid w:val="005E019D"/>
    <w:rPr>
      <w:lang w:val="lt-LT"/>
    </w:rPr>
  </w:style>
  <w:style w:type="paragraph" w:customStyle="1" w:styleId="CommentSubject1">
    <w:name w:val="Comment Subject1"/>
    <w:basedOn w:val="CommentText"/>
    <w:next w:val="CommentText"/>
    <w:uiPriority w:val="99"/>
    <w:semiHidden/>
    <w:unhideWhenUsed/>
    <w:rsid w:val="005E019D"/>
    <w:pPr>
      <w:spacing w:after="120" w:line="264" w:lineRule="auto"/>
    </w:pPr>
    <w:rPr>
      <w:rFonts w:eastAsia="Yu Mincho"/>
      <w:b/>
      <w:bCs/>
      <w:kern w:val="0"/>
      <w14:ligatures w14:val="none"/>
    </w:rPr>
  </w:style>
  <w:style w:type="character" w:customStyle="1" w:styleId="CommentSubjectChar">
    <w:name w:val="Comment Subject Char"/>
    <w:basedOn w:val="CommentTextChar"/>
    <w:link w:val="CommentSubject"/>
    <w:uiPriority w:val="99"/>
    <w:semiHidden/>
    <w:rsid w:val="005E019D"/>
    <w:rPr>
      <w:b/>
      <w:bCs/>
      <w:lang w:val="lt-LT"/>
    </w:rPr>
  </w:style>
  <w:style w:type="paragraph" w:customStyle="1" w:styleId="Caption1">
    <w:name w:val="Caption1"/>
    <w:basedOn w:val="Normal"/>
    <w:next w:val="Normal"/>
    <w:uiPriority w:val="35"/>
    <w:unhideWhenUsed/>
    <w:qFormat/>
    <w:rsid w:val="005E019D"/>
    <w:pPr>
      <w:spacing w:after="120" w:line="240" w:lineRule="auto"/>
    </w:pPr>
    <w:rPr>
      <w:rFonts w:eastAsia="Yu Mincho"/>
      <w:b/>
      <w:bCs/>
      <w:smallCaps/>
      <w:color w:val="595959"/>
      <w:spacing w:val="6"/>
      <w:kern w:val="0"/>
      <w:sz w:val="20"/>
      <w:szCs w:val="20"/>
      <w14:ligatures w14:val="none"/>
    </w:rPr>
  </w:style>
  <w:style w:type="character" w:styleId="Strong">
    <w:name w:val="Strong"/>
    <w:basedOn w:val="DefaultParagraphFont"/>
    <w:uiPriority w:val="22"/>
    <w:qFormat/>
    <w:rsid w:val="005E019D"/>
    <w:rPr>
      <w:b/>
      <w:bCs/>
    </w:rPr>
  </w:style>
  <w:style w:type="character" w:styleId="Emphasis">
    <w:name w:val="Emphasis"/>
    <w:basedOn w:val="DefaultParagraphFont"/>
    <w:uiPriority w:val="20"/>
    <w:qFormat/>
    <w:rsid w:val="005E019D"/>
    <w:rPr>
      <w:i/>
      <w:iCs/>
    </w:rPr>
  </w:style>
  <w:style w:type="paragraph" w:customStyle="1" w:styleId="NoSpacing1">
    <w:name w:val="No Spacing1"/>
    <w:next w:val="NoSpacing"/>
    <w:uiPriority w:val="1"/>
    <w:qFormat/>
    <w:rsid w:val="005E019D"/>
    <w:pPr>
      <w:spacing w:after="0" w:line="240" w:lineRule="auto"/>
    </w:pPr>
    <w:rPr>
      <w:rFonts w:eastAsia="Yu Mincho"/>
      <w:kern w:val="0"/>
      <w:sz w:val="20"/>
      <w:szCs w:val="20"/>
      <w14:ligatures w14:val="none"/>
    </w:rPr>
  </w:style>
  <w:style w:type="character" w:customStyle="1" w:styleId="SubtleEmphasis1">
    <w:name w:val="Subtle Emphasis1"/>
    <w:basedOn w:val="DefaultParagraphFont"/>
    <w:uiPriority w:val="19"/>
    <w:qFormat/>
    <w:rsid w:val="005E019D"/>
    <w:rPr>
      <w:i/>
      <w:iCs/>
      <w:color w:val="404040"/>
    </w:rPr>
  </w:style>
  <w:style w:type="character" w:customStyle="1" w:styleId="SubtleReference1">
    <w:name w:val="Subtle Reference1"/>
    <w:basedOn w:val="DefaultParagraphFont"/>
    <w:uiPriority w:val="31"/>
    <w:qFormat/>
    <w:rsid w:val="005E019D"/>
    <w:rPr>
      <w:smallCaps/>
      <w:color w:val="404040"/>
      <w:u w:val="single" w:color="7F7F7F"/>
    </w:rPr>
  </w:style>
  <w:style w:type="character" w:styleId="BookTitle">
    <w:name w:val="Book Title"/>
    <w:basedOn w:val="DefaultParagraphFont"/>
    <w:uiPriority w:val="33"/>
    <w:qFormat/>
    <w:rsid w:val="005E019D"/>
    <w:rPr>
      <w:b/>
      <w:bCs/>
      <w:smallCaps/>
    </w:rPr>
  </w:style>
  <w:style w:type="paragraph" w:customStyle="1" w:styleId="TOCHeading1">
    <w:name w:val="TOC Heading1"/>
    <w:basedOn w:val="Heading1"/>
    <w:next w:val="Normal"/>
    <w:uiPriority w:val="39"/>
    <w:semiHidden/>
    <w:unhideWhenUsed/>
    <w:qFormat/>
    <w:rsid w:val="005E019D"/>
    <w:pPr>
      <w:spacing w:before="40" w:after="240" w:line="240" w:lineRule="auto"/>
      <w:ind w:left="432" w:hanging="432"/>
      <w:jc w:val="both"/>
      <w:outlineLvl w:val="9"/>
    </w:pPr>
    <w:rPr>
      <w:rFonts w:ascii="Times New Roman Bold" w:hAnsi="Times New Roman Bold" w:cs="Times New Roman"/>
      <w:b/>
      <w:bCs/>
      <w:caps/>
      <w:color w:val="000000"/>
      <w:kern w:val="0"/>
      <w:sz w:val="24"/>
      <w:szCs w:val="24"/>
      <w14:ligatures w14:val="none"/>
    </w:rPr>
  </w:style>
  <w:style w:type="character" w:customStyle="1" w:styleId="Mention">
    <w:name w:val="Mention"/>
    <w:basedOn w:val="DefaultParagraphFont"/>
    <w:uiPriority w:val="99"/>
    <w:unhideWhenUsed/>
    <w:rsid w:val="005E019D"/>
    <w:rPr>
      <w:color w:val="2B579A"/>
      <w:shd w:val="clear" w:color="auto" w:fill="E1DFDD"/>
    </w:rPr>
  </w:style>
  <w:style w:type="paragraph" w:customStyle="1" w:styleId="Revision1">
    <w:name w:val="Revision1"/>
    <w:next w:val="Revision"/>
    <w:hidden/>
    <w:uiPriority w:val="99"/>
    <w:semiHidden/>
    <w:rsid w:val="005E019D"/>
    <w:pPr>
      <w:spacing w:after="0" w:line="240" w:lineRule="auto"/>
    </w:pPr>
    <w:rPr>
      <w:rFonts w:eastAsia="Yu Mincho"/>
      <w:kern w:val="0"/>
      <w:sz w:val="20"/>
      <w:szCs w:val="20"/>
      <w14:ligatures w14:val="none"/>
    </w:rPr>
  </w:style>
  <w:style w:type="paragraph" w:customStyle="1" w:styleId="f1">
    <w:name w:val="f1"/>
    <w:basedOn w:val="Normal"/>
    <w:next w:val="FootnoteText"/>
    <w:link w:val="FootnoteTextChar"/>
    <w:uiPriority w:val="99"/>
    <w:unhideWhenUsed/>
    <w:qFormat/>
    <w:rsid w:val="005E019D"/>
    <w:pPr>
      <w:spacing w:after="0" w:line="240" w:lineRule="auto"/>
    </w:pPr>
  </w:style>
  <w:style w:type="character" w:customStyle="1" w:styleId="FootnoteTextChar">
    <w:name w:val="Footnote Text Char"/>
    <w:aliases w:val="Footnote Text Char Char Char,Footnote text Char,Footnote Text Char2 Char Char,Footnote Text Char1 Char1 Char Char,Footnote Text Char2 Char Char Char Char,Footnote Text Char1 Char1 Char Char Char Char,Plonk Char,fn Char,Fußnote Char"/>
    <w:basedOn w:val="DefaultParagraphFont"/>
    <w:link w:val="f1"/>
    <w:uiPriority w:val="99"/>
    <w:rsid w:val="005E019D"/>
    <w:rPr>
      <w:lang w:val="lt-LT"/>
    </w:rPr>
  </w:style>
  <w:style w:type="character" w:styleId="FootnoteReference">
    <w:name w:val="footnote reference"/>
    <w:aliases w:val="BVI fnr,SUPERS,Footnote symbol,(Footnote Reference),Footnote,Voetnootverwijzing,Times 10 Point,Exposant 3 Point,Footnote reference number,note TESI,Odwołanie przypisu,Footnote Reference Number,Footnote Reference_LVL6,number,stylish,fr"/>
    <w:basedOn w:val="DefaultParagraphFont"/>
    <w:link w:val="ftrefCharCharCharCharCharCharCharCharChar"/>
    <w:uiPriority w:val="99"/>
    <w:unhideWhenUsed/>
    <w:qFormat/>
    <w:rsid w:val="005E019D"/>
    <w:rPr>
      <w:vertAlign w:val="superscript"/>
    </w:rPr>
  </w:style>
  <w:style w:type="character" w:customStyle="1" w:styleId="ListParagraphChar">
    <w:name w:val="List Paragraph Char"/>
    <w:aliases w:val="Numbered Para 1 Char,Dot pt Char,List Paragraph Char Char Char Char,Indicator Text Char,List Paragraph1 Char,Bullet Points Char,MAIN CONTENT Char,List Paragraph12 Char,F5 List Paragraph Char,Heading 2_sj Char,Report Para Char,L Char"/>
    <w:basedOn w:val="DefaultParagraphFont"/>
    <w:link w:val="ListParagraph"/>
    <w:uiPriority w:val="34"/>
    <w:qFormat/>
    <w:locked/>
    <w:rsid w:val="005E019D"/>
  </w:style>
  <w:style w:type="character" w:customStyle="1" w:styleId="eop">
    <w:name w:val="eop"/>
    <w:basedOn w:val="DefaultParagraphFont"/>
    <w:rsid w:val="005E019D"/>
  </w:style>
  <w:style w:type="character" w:customStyle="1" w:styleId="Hyperlink1">
    <w:name w:val="Hyperlink1"/>
    <w:basedOn w:val="DefaultParagraphFont"/>
    <w:uiPriority w:val="99"/>
    <w:unhideWhenUsed/>
    <w:rsid w:val="005E019D"/>
    <w:rPr>
      <w:color w:val="0563C1"/>
      <w:u w:val="single"/>
    </w:rPr>
  </w:style>
  <w:style w:type="character" w:customStyle="1" w:styleId="normaltextrun">
    <w:name w:val="normaltextrun"/>
    <w:basedOn w:val="DefaultParagraphFont"/>
    <w:rsid w:val="005E019D"/>
    <w:rPr>
      <w:rFonts w:ascii="Calibri" w:eastAsia="Yu Mincho" w:hAnsi="Calibri" w:cs="Arial"/>
      <w:sz w:val="22"/>
      <w:szCs w:val="22"/>
    </w:rPr>
  </w:style>
  <w:style w:type="paragraph" w:customStyle="1" w:styleId="Normal1">
    <w:name w:val="Normal1"/>
    <w:basedOn w:val="Normal"/>
    <w:uiPriority w:val="1"/>
    <w:rsid w:val="005E019D"/>
    <w:pPr>
      <w:spacing w:beforeAutospacing="1" w:after="120" w:afterAutospacing="1" w:line="240" w:lineRule="auto"/>
    </w:pPr>
    <w:rPr>
      <w:rFonts w:eastAsia="Yu Mincho"/>
      <w:kern w:val="0"/>
      <w:sz w:val="22"/>
      <w:szCs w:val="22"/>
      <w:lang w:eastAsia="en-IE"/>
      <w14:ligatures w14:val="none"/>
    </w:rPr>
  </w:style>
  <w:style w:type="character" w:customStyle="1" w:styleId="UnresolvedMention">
    <w:name w:val="Unresolved Mention"/>
    <w:basedOn w:val="DefaultParagraphFont"/>
    <w:uiPriority w:val="99"/>
    <w:semiHidden/>
    <w:unhideWhenUsed/>
    <w:rsid w:val="005E019D"/>
    <w:rPr>
      <w:color w:val="605E5C"/>
      <w:shd w:val="clear" w:color="auto" w:fill="E1DFDD"/>
    </w:rPr>
  </w:style>
  <w:style w:type="paragraph" w:customStyle="1" w:styleId="paragraph">
    <w:name w:val="paragraph"/>
    <w:basedOn w:val="Normal"/>
    <w:rsid w:val="005E019D"/>
    <w:pPr>
      <w:spacing w:before="100" w:beforeAutospacing="1" w:after="100" w:afterAutospacing="1" w:line="240" w:lineRule="auto"/>
    </w:pPr>
    <w:rPr>
      <w:rFonts w:ascii="Times New Roman" w:eastAsia="Times New Roman" w:hAnsi="Times New Roman" w:cs="Times New Roman"/>
      <w:kern w:val="0"/>
      <w:lang w:eastAsia="en-IE"/>
      <w14:ligatures w14:val="none"/>
    </w:rPr>
  </w:style>
  <w:style w:type="paragraph" w:customStyle="1" w:styleId="ftrefCharCharCharCharCharCharCharCharChar">
    <w:name w:val="ftref Char Char Char Char Char Char Char Char Char"/>
    <w:aliases w:val="Footnote Char Char Char Char Char Char Char Char Char,BVI fnr Char Char Char Char Char Char Char Char Char,BVI fnr Char Char Char Char Char Char Char Char Char Char"/>
    <w:basedOn w:val="Normal"/>
    <w:next w:val="Normal"/>
    <w:link w:val="FootnoteReference"/>
    <w:uiPriority w:val="99"/>
    <w:rsid w:val="005E019D"/>
    <w:pPr>
      <w:spacing w:line="240" w:lineRule="exact"/>
    </w:pPr>
    <w:rPr>
      <w:vertAlign w:val="superscript"/>
    </w:rPr>
  </w:style>
  <w:style w:type="paragraph" w:customStyle="1" w:styleId="LegalNumPar">
    <w:name w:val="LegalNumPar"/>
    <w:basedOn w:val="Normal"/>
    <w:rsid w:val="005E019D"/>
    <w:pPr>
      <w:numPr>
        <w:numId w:val="29"/>
      </w:numPr>
      <w:spacing w:after="120" w:line="360" w:lineRule="auto"/>
    </w:pPr>
    <w:rPr>
      <w:rFonts w:eastAsia="Yu Mincho"/>
      <w:kern w:val="0"/>
      <w:szCs w:val="20"/>
      <w14:ligatures w14:val="none"/>
    </w:rPr>
  </w:style>
  <w:style w:type="paragraph" w:customStyle="1" w:styleId="LegalNumPar2">
    <w:name w:val="LegalNumPar2"/>
    <w:basedOn w:val="Normal"/>
    <w:rsid w:val="005E019D"/>
    <w:pPr>
      <w:numPr>
        <w:ilvl w:val="1"/>
        <w:numId w:val="29"/>
      </w:numPr>
      <w:spacing w:after="120" w:line="360" w:lineRule="auto"/>
    </w:pPr>
    <w:rPr>
      <w:rFonts w:eastAsia="Yu Mincho"/>
      <w:kern w:val="0"/>
      <w:szCs w:val="20"/>
      <w14:ligatures w14:val="none"/>
    </w:rPr>
  </w:style>
  <w:style w:type="paragraph" w:customStyle="1" w:styleId="LegalNumPar3">
    <w:name w:val="LegalNumPar3"/>
    <w:basedOn w:val="Normal"/>
    <w:rsid w:val="005E019D"/>
    <w:pPr>
      <w:numPr>
        <w:ilvl w:val="2"/>
        <w:numId w:val="29"/>
      </w:numPr>
      <w:spacing w:after="120" w:line="240" w:lineRule="auto"/>
    </w:pPr>
    <w:rPr>
      <w:rFonts w:eastAsia="Yu Mincho"/>
      <w:kern w:val="0"/>
      <w:szCs w:val="20"/>
      <w14:ligatures w14:val="none"/>
    </w:rPr>
  </w:style>
  <w:style w:type="table" w:customStyle="1" w:styleId="GridTable1Light1">
    <w:name w:val="Grid Table 1 Light1"/>
    <w:basedOn w:val="TableNormal"/>
    <w:next w:val="GridTable1Light"/>
    <w:uiPriority w:val="46"/>
    <w:rsid w:val="005E019D"/>
    <w:pPr>
      <w:spacing w:after="0" w:line="240" w:lineRule="auto"/>
    </w:pPr>
    <w:rPr>
      <w:rFonts w:eastAsia="Yu Mincho"/>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styleId="NormalWeb">
    <w:name w:val="Normal (Web)"/>
    <w:basedOn w:val="Normal"/>
    <w:uiPriority w:val="99"/>
    <w:unhideWhenUsed/>
    <w:rsid w:val="005E019D"/>
    <w:pPr>
      <w:spacing w:before="100" w:beforeAutospacing="1" w:after="100" w:afterAutospacing="1" w:line="240" w:lineRule="auto"/>
    </w:pPr>
    <w:rPr>
      <w:rFonts w:ascii="Times New Roman" w:eastAsia="Times New Roman" w:hAnsi="Times New Roman" w:cs="Times New Roman"/>
      <w:kern w:val="0"/>
      <w:lang w:eastAsia="en-IE"/>
      <w14:ligatures w14:val="none"/>
    </w:rPr>
  </w:style>
  <w:style w:type="paragraph" w:customStyle="1" w:styleId="EndnoteText1">
    <w:name w:val="Endnote Text1"/>
    <w:basedOn w:val="Normal"/>
    <w:next w:val="EndnoteText"/>
    <w:link w:val="EndnoteTextChar"/>
    <w:uiPriority w:val="99"/>
    <w:semiHidden/>
    <w:unhideWhenUsed/>
    <w:rsid w:val="005E019D"/>
    <w:pPr>
      <w:spacing w:after="0" w:line="240" w:lineRule="auto"/>
    </w:pPr>
  </w:style>
  <w:style w:type="character" w:customStyle="1" w:styleId="EndnoteTextChar">
    <w:name w:val="Endnote Text Char"/>
    <w:basedOn w:val="DefaultParagraphFont"/>
    <w:link w:val="EndnoteText1"/>
    <w:uiPriority w:val="99"/>
    <w:semiHidden/>
    <w:rsid w:val="005E019D"/>
    <w:rPr>
      <w:lang w:val="lt-LT"/>
    </w:rPr>
  </w:style>
  <w:style w:type="character" w:styleId="EndnoteReference">
    <w:name w:val="endnote reference"/>
    <w:basedOn w:val="DefaultParagraphFont"/>
    <w:uiPriority w:val="99"/>
    <w:semiHidden/>
    <w:unhideWhenUsed/>
    <w:rsid w:val="005E019D"/>
    <w:rPr>
      <w:vertAlign w:val="superscript"/>
    </w:rPr>
  </w:style>
  <w:style w:type="paragraph" w:customStyle="1" w:styleId="Typedudocument">
    <w:name w:val="Type du document"/>
    <w:basedOn w:val="Normal"/>
    <w:next w:val="Normal"/>
    <w:rsid w:val="005E019D"/>
    <w:pPr>
      <w:spacing w:before="360" w:after="0" w:line="240" w:lineRule="auto"/>
      <w:jc w:val="center"/>
    </w:pPr>
    <w:rPr>
      <w:rFonts w:ascii="Times New Roman" w:hAnsi="Times New Roman" w:cs="Times New Roman"/>
      <w:b/>
      <w:kern w:val="0"/>
      <w:szCs w:val="22"/>
      <w14:ligatures w14:val="none"/>
    </w:rPr>
  </w:style>
  <w:style w:type="paragraph" w:customStyle="1" w:styleId="Titreobjet">
    <w:name w:val="Titre objet"/>
    <w:basedOn w:val="Normal"/>
    <w:next w:val="Normal"/>
    <w:rsid w:val="005E019D"/>
    <w:pPr>
      <w:spacing w:before="360" w:after="360" w:line="240" w:lineRule="auto"/>
      <w:jc w:val="center"/>
    </w:pPr>
    <w:rPr>
      <w:rFonts w:ascii="Times New Roman" w:hAnsi="Times New Roman" w:cs="Times New Roman"/>
      <w:b/>
      <w:kern w:val="0"/>
      <w:szCs w:val="22"/>
      <w14:ligatures w14:val="none"/>
    </w:rPr>
  </w:style>
  <w:style w:type="character" w:customStyle="1" w:styleId="PagedecouvertureChar">
    <w:name w:val="Page de couverture Char"/>
    <w:basedOn w:val="DefaultParagraphFont"/>
    <w:link w:val="Pagedecouverture"/>
    <w:rsid w:val="005E019D"/>
    <w:rPr>
      <w:rFonts w:ascii="Times New Roman" w:hAnsi="Times New Roman" w:cs="Times New Roman"/>
      <w:kern w:val="0"/>
      <w:szCs w:val="22"/>
      <w14:ligatures w14:val="none"/>
    </w:rPr>
  </w:style>
  <w:style w:type="character" w:customStyle="1" w:styleId="FollowedHyperlink1">
    <w:name w:val="FollowedHyperlink1"/>
    <w:basedOn w:val="DefaultParagraphFont"/>
    <w:uiPriority w:val="99"/>
    <w:semiHidden/>
    <w:unhideWhenUsed/>
    <w:rsid w:val="005E019D"/>
    <w:rPr>
      <w:color w:val="954F72"/>
      <w:u w:val="single"/>
    </w:rPr>
  </w:style>
  <w:style w:type="paragraph" w:customStyle="1" w:styleId="Disclaimer">
    <w:name w:val="Disclaimer"/>
    <w:basedOn w:val="Normal"/>
    <w:rsid w:val="005E019D"/>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hAnsi="Times New Roman" w:cs="Times New Roman"/>
      <w:kern w:val="0"/>
      <w:szCs w:val="22"/>
      <w14:ligatures w14:val="none"/>
    </w:rPr>
  </w:style>
  <w:style w:type="paragraph" w:customStyle="1" w:styleId="SecurityMarking">
    <w:name w:val="SecurityMarking"/>
    <w:basedOn w:val="Normal"/>
    <w:rsid w:val="005E019D"/>
    <w:pPr>
      <w:spacing w:after="0" w:line="276" w:lineRule="auto"/>
      <w:ind w:left="5103"/>
    </w:pPr>
    <w:rPr>
      <w:rFonts w:ascii="Times New Roman" w:hAnsi="Times New Roman" w:cs="Times New Roman"/>
      <w:kern w:val="0"/>
      <w:sz w:val="28"/>
      <w:szCs w:val="22"/>
      <w14:ligatures w14:val="none"/>
    </w:rPr>
  </w:style>
  <w:style w:type="paragraph" w:customStyle="1" w:styleId="DateMarking">
    <w:name w:val="DateMarking"/>
    <w:basedOn w:val="Normal"/>
    <w:rsid w:val="005E019D"/>
    <w:pPr>
      <w:spacing w:after="0" w:line="276" w:lineRule="auto"/>
      <w:ind w:left="5103"/>
    </w:pPr>
    <w:rPr>
      <w:rFonts w:ascii="Times New Roman" w:hAnsi="Times New Roman" w:cs="Times New Roman"/>
      <w:i/>
      <w:kern w:val="0"/>
      <w:sz w:val="28"/>
      <w:szCs w:val="22"/>
      <w14:ligatures w14:val="none"/>
    </w:rPr>
  </w:style>
  <w:style w:type="paragraph" w:customStyle="1" w:styleId="ReleasableTo">
    <w:name w:val="ReleasableTo"/>
    <w:basedOn w:val="Normal"/>
    <w:rsid w:val="005E019D"/>
    <w:pPr>
      <w:spacing w:after="0" w:line="276" w:lineRule="auto"/>
      <w:ind w:left="5103"/>
    </w:pPr>
    <w:rPr>
      <w:rFonts w:ascii="Times New Roman" w:hAnsi="Times New Roman" w:cs="Times New Roman"/>
      <w:i/>
      <w:kern w:val="0"/>
      <w:sz w:val="28"/>
      <w:szCs w:val="22"/>
      <w14:ligatures w14:val="none"/>
    </w:rPr>
  </w:style>
  <w:style w:type="paragraph" w:styleId="CommentText">
    <w:name w:val="annotation text"/>
    <w:basedOn w:val="Normal"/>
    <w:link w:val="CommentTextChar1"/>
    <w:uiPriority w:val="99"/>
    <w:semiHidden/>
    <w:unhideWhenUsed/>
    <w:rsid w:val="005E019D"/>
    <w:pPr>
      <w:spacing w:line="240" w:lineRule="auto"/>
    </w:pPr>
    <w:rPr>
      <w:sz w:val="20"/>
      <w:szCs w:val="20"/>
    </w:rPr>
  </w:style>
  <w:style w:type="character" w:customStyle="1" w:styleId="CommentTextChar1">
    <w:name w:val="Comment Text Char1"/>
    <w:basedOn w:val="DefaultParagraphFont"/>
    <w:link w:val="CommentText"/>
    <w:uiPriority w:val="99"/>
    <w:semiHidden/>
    <w:rsid w:val="005E019D"/>
    <w:rPr>
      <w:sz w:val="20"/>
      <w:szCs w:val="20"/>
    </w:rPr>
  </w:style>
  <w:style w:type="paragraph" w:styleId="CommentSubject">
    <w:name w:val="annotation subject"/>
    <w:basedOn w:val="CommentText"/>
    <w:next w:val="CommentText"/>
    <w:link w:val="CommentSubjectChar"/>
    <w:uiPriority w:val="99"/>
    <w:semiHidden/>
    <w:unhideWhenUsed/>
    <w:rsid w:val="005E019D"/>
    <w:rPr>
      <w:b/>
      <w:bCs/>
      <w:sz w:val="24"/>
      <w:szCs w:val="24"/>
    </w:rPr>
  </w:style>
  <w:style w:type="character" w:customStyle="1" w:styleId="CommentSubjectChar1">
    <w:name w:val="Comment Subject Char1"/>
    <w:basedOn w:val="CommentTextChar1"/>
    <w:uiPriority w:val="99"/>
    <w:semiHidden/>
    <w:rsid w:val="005E019D"/>
    <w:rPr>
      <w:b/>
      <w:bCs/>
      <w:sz w:val="20"/>
      <w:szCs w:val="20"/>
    </w:rPr>
  </w:style>
  <w:style w:type="paragraph" w:styleId="NoSpacing">
    <w:name w:val="No Spacing"/>
    <w:uiPriority w:val="1"/>
    <w:qFormat/>
    <w:rsid w:val="005E019D"/>
    <w:pPr>
      <w:spacing w:after="0" w:line="240" w:lineRule="auto"/>
    </w:pPr>
  </w:style>
  <w:style w:type="character" w:styleId="SubtleEmphasis">
    <w:name w:val="Subtle Emphasis"/>
    <w:basedOn w:val="DefaultParagraphFont"/>
    <w:uiPriority w:val="19"/>
    <w:qFormat/>
    <w:rsid w:val="005E019D"/>
    <w:rPr>
      <w:i/>
      <w:iCs/>
      <w:color w:val="404040" w:themeColor="text1" w:themeTint="BF"/>
    </w:rPr>
  </w:style>
  <w:style w:type="character" w:styleId="SubtleReference">
    <w:name w:val="Subtle Reference"/>
    <w:basedOn w:val="DefaultParagraphFont"/>
    <w:uiPriority w:val="31"/>
    <w:qFormat/>
    <w:rsid w:val="005E019D"/>
    <w:rPr>
      <w:smallCaps/>
      <w:color w:val="5A5A5A" w:themeColor="text1" w:themeTint="A5"/>
    </w:rPr>
  </w:style>
  <w:style w:type="paragraph" w:styleId="Revision">
    <w:name w:val="Revision"/>
    <w:hidden/>
    <w:uiPriority w:val="99"/>
    <w:semiHidden/>
    <w:rsid w:val="005E019D"/>
    <w:pPr>
      <w:spacing w:after="0" w:line="240" w:lineRule="auto"/>
    </w:pPr>
  </w:style>
  <w:style w:type="paragraph" w:styleId="FootnoteText">
    <w:name w:val="footnote text"/>
    <w:basedOn w:val="Normal"/>
    <w:link w:val="FootnoteTextChar1"/>
    <w:uiPriority w:val="99"/>
    <w:semiHidden/>
    <w:unhideWhenUsed/>
    <w:rsid w:val="005E019D"/>
    <w:pPr>
      <w:spacing w:after="0" w:line="240" w:lineRule="auto"/>
    </w:pPr>
    <w:rPr>
      <w:sz w:val="20"/>
      <w:szCs w:val="20"/>
    </w:rPr>
  </w:style>
  <w:style w:type="character" w:customStyle="1" w:styleId="FootnoteTextChar1">
    <w:name w:val="Footnote Text Char1"/>
    <w:basedOn w:val="DefaultParagraphFont"/>
    <w:link w:val="FootnoteText"/>
    <w:uiPriority w:val="99"/>
    <w:semiHidden/>
    <w:rsid w:val="005E019D"/>
    <w:rPr>
      <w:sz w:val="20"/>
      <w:szCs w:val="20"/>
    </w:rPr>
  </w:style>
  <w:style w:type="character" w:styleId="Hyperlink">
    <w:name w:val="Hyperlink"/>
    <w:basedOn w:val="DefaultParagraphFont"/>
    <w:uiPriority w:val="99"/>
    <w:semiHidden/>
    <w:unhideWhenUsed/>
    <w:rsid w:val="005E019D"/>
    <w:rPr>
      <w:color w:val="467886" w:themeColor="hyperlink"/>
      <w:u w:val="single"/>
    </w:rPr>
  </w:style>
  <w:style w:type="table" w:styleId="GridTable1Light">
    <w:name w:val="Grid Table 1 Light"/>
    <w:basedOn w:val="TableNormal"/>
    <w:uiPriority w:val="46"/>
    <w:rsid w:val="005E019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EndnoteText">
    <w:name w:val="endnote text"/>
    <w:basedOn w:val="Normal"/>
    <w:link w:val="EndnoteTextChar1"/>
    <w:uiPriority w:val="99"/>
    <w:semiHidden/>
    <w:unhideWhenUsed/>
    <w:rsid w:val="005E019D"/>
    <w:pPr>
      <w:spacing w:after="0" w:line="240" w:lineRule="auto"/>
    </w:pPr>
    <w:rPr>
      <w:sz w:val="20"/>
      <w:szCs w:val="20"/>
    </w:rPr>
  </w:style>
  <w:style w:type="character" w:customStyle="1" w:styleId="EndnoteTextChar1">
    <w:name w:val="Endnote Text Char1"/>
    <w:basedOn w:val="DefaultParagraphFont"/>
    <w:link w:val="EndnoteText"/>
    <w:uiPriority w:val="99"/>
    <w:semiHidden/>
    <w:rsid w:val="005E019D"/>
    <w:rPr>
      <w:sz w:val="20"/>
      <w:szCs w:val="20"/>
    </w:rPr>
  </w:style>
  <w:style w:type="character" w:styleId="FollowedHyperlink">
    <w:name w:val="FollowedHyperlink"/>
    <w:basedOn w:val="DefaultParagraphFont"/>
    <w:uiPriority w:val="99"/>
    <w:semiHidden/>
    <w:unhideWhenUsed/>
    <w:rsid w:val="005E019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LT/TXT/PDF/?uri=OJ:L_202302413" TargetMode="External"/><Relationship Id="rId2" Type="http://schemas.openxmlformats.org/officeDocument/2006/relationships/hyperlink" Target="https://www.eea.europa.eu/en/analysis/publications/european-climate-risk-assessment" TargetMode="External"/><Relationship Id="rId1" Type="http://schemas.openxmlformats.org/officeDocument/2006/relationships/hyperlink" Target="https://ec.europa.eu/eurostat/databrowser/view/nama_10_gdp/default/table?lang=en" TargetMode="External"/><Relationship Id="rId5" Type="http://schemas.openxmlformats.org/officeDocument/2006/relationships/hyperlink" Target="https://commission.europa.eu/strategy-and-policy/eu-budget/performance-and-reporting/horizontal-priorities/green-budgeting/climate-mainstreaming_en?prefLang=lt" TargetMode="External"/><Relationship Id="rId4" Type="http://schemas.openxmlformats.org/officeDocument/2006/relationships/hyperlink" Target="https://eur-lex.europa.eu/legal-content/LT/TXT/?uri=CELEX:52025DC00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062882A23142B42BEA7BDEECAE38CBC" ma:contentTypeVersion="6" ma:contentTypeDescription="Create a new document." ma:contentTypeScope="" ma:versionID="4fb655133c12bb38ead6450f685565a5">
  <xsd:schema xmlns:xsd="http://www.w3.org/2001/XMLSchema" xmlns:xs="http://www.w3.org/2001/XMLSchema" xmlns:p="http://schemas.microsoft.com/office/2006/metadata/properties" xmlns:ns2="b9dc0b9a-c69c-4cd3-a0e2-5f92821c28cc" xmlns:ns3="8b8bc127-4aaa-49ec-9822-40a440d69fa2" targetNamespace="http://schemas.microsoft.com/office/2006/metadata/properties" ma:root="true" ma:fieldsID="610f9125c92640b039e5c9075f959c73" ns2:_="" ns3:_="">
    <xsd:import namespace="b9dc0b9a-c69c-4cd3-a0e2-5f92821c28cc"/>
    <xsd:import namespace="8b8bc127-4aaa-49ec-9822-40a440d69fa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dc0b9a-c69c-4cd3-a0e2-5f92821c28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8bc127-4aaa-49ec-9822-40a440d69fa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D8E99D-75BE-48AE-AA9C-DD4482BC7B6E}">
  <ds:schemaRefs>
    <ds:schemaRef ds:uri="http://schemas.microsoft.com/sharepoint/v3/contenttype/forms"/>
  </ds:schemaRefs>
</ds:datastoreItem>
</file>

<file path=customXml/itemProps2.xml><?xml version="1.0" encoding="utf-8"?>
<ds:datastoreItem xmlns:ds="http://schemas.openxmlformats.org/officeDocument/2006/customXml" ds:itemID="{9FFB072A-663F-4759-BC7F-02DF22E8B4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dc0b9a-c69c-4cd3-a0e2-5f92821c28cc"/>
    <ds:schemaRef ds:uri="8b8bc127-4aaa-49ec-9822-40a440d69f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45CAB9-581F-47E5-8B7F-14B3710E8DB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414D38D-DED5-491C-A031-F88137CCF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8</Pages>
  <Words>12634</Words>
  <Characters>72015</Characters>
  <Application>Microsoft Office Word</Application>
  <DocSecurity>0</DocSecurity>
  <Lines>600</Lines>
  <Paragraphs>168</Paragraphs>
  <ScaleCrop>false</ScaleCrop>
  <Manager/>
  <Company/>
  <LinksUpToDate>false</LinksUpToDate>
  <CharactersWithSpaces>84481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19</cp:revision>
  <dcterms:created xsi:type="dcterms:W3CDTF">2025-05-21T13:45:00Z</dcterms:created>
  <dcterms:modified xsi:type="dcterms:W3CDTF">2025-07-22T07:26:00Z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CP-014</vt:lpwstr>
  </property>
  <property fmtid="{D5CDD505-2E9C-101B-9397-08002B2CF9AE}" pid="7" name="Last edited using">
    <vt:lpwstr>LW 9.1, Build 20240808</vt:lpwstr>
  </property>
  <property fmtid="{D5CDD505-2E9C-101B-9397-08002B2CF9AE}" pid="8" name="Created using">
    <vt:lpwstr>LW 9.1, Build 20240808</vt:lpwstr>
  </property>
  <property fmtid="{D5CDD505-2E9C-101B-9397-08002B2CF9AE}" pid="9" name="MSIP_Label_6bd9ddd1-4d20-43f6-abfa-fc3c07406f94_Enabled">
    <vt:lpwstr>true</vt:lpwstr>
  </property>
  <property fmtid="{D5CDD505-2E9C-101B-9397-08002B2CF9AE}" pid="10" name="MSIP_Label_6bd9ddd1-4d20-43f6-abfa-fc3c07406f94_SetDate">
    <vt:lpwstr>2025-05-21T13:49:15Z</vt:lpwstr>
  </property>
  <property fmtid="{D5CDD505-2E9C-101B-9397-08002B2CF9AE}" pid="11" name="MSIP_Label_6bd9ddd1-4d20-43f6-abfa-fc3c07406f94_Method">
    <vt:lpwstr>Standard</vt:lpwstr>
  </property>
  <property fmtid="{D5CDD505-2E9C-101B-9397-08002B2CF9AE}" pid="12" name="MSIP_Label_6bd9ddd1-4d20-43f6-abfa-fc3c07406f94_Name">
    <vt:lpwstr>Commission Use</vt:lpwstr>
  </property>
  <property fmtid="{D5CDD505-2E9C-101B-9397-08002B2CF9AE}" pid="13" name="MSIP_Label_6bd9ddd1-4d20-43f6-abfa-fc3c07406f94_SiteId">
    <vt:lpwstr>b24c8b06-522c-46fe-9080-70926f8dddb1</vt:lpwstr>
  </property>
  <property fmtid="{D5CDD505-2E9C-101B-9397-08002B2CF9AE}" pid="14" name="MSIP_Label_6bd9ddd1-4d20-43f6-abfa-fc3c07406f94_ActionId">
    <vt:lpwstr>a6bbb197-15c9-465e-b265-4c354256f011</vt:lpwstr>
  </property>
  <property fmtid="{D5CDD505-2E9C-101B-9397-08002B2CF9AE}" pid="15" name="MSIP_Label_6bd9ddd1-4d20-43f6-abfa-fc3c07406f94_ContentBits">
    <vt:lpwstr>0</vt:lpwstr>
  </property>
  <property fmtid="{D5CDD505-2E9C-101B-9397-08002B2CF9AE}" pid="16" name="ContentTypeId">
    <vt:lpwstr>0x010100A062882A23142B42BEA7BDEECAE38CBC</vt:lpwstr>
  </property>
</Properties>
</file>