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F4F8" w14:textId="598C7EE2" w:rsidR="00597B54" w:rsidRDefault="009C512A" w:rsidP="009C512A">
      <w:pPr>
        <w:pStyle w:val="Pagedecouverture"/>
        <w:rPr>
          <w:noProof/>
        </w:rPr>
      </w:pPr>
      <w:bookmarkStart w:id="0" w:name="LW_BM_COVERPAGE"/>
      <w:r>
        <w:rPr>
          <w:noProof/>
        </w:rPr>
        <w:pict w14:anchorId="5C1FE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BF23E04-F53C-4BDC-8BB5-9659A1AA7D68" style="width:455.25pt;height:351.75pt">
            <v:imagedata r:id="rId11" o:title=""/>
          </v:shape>
        </w:pict>
      </w:r>
    </w:p>
    <w:bookmarkEnd w:id="0"/>
    <w:p w14:paraId="4983912E" w14:textId="77777777" w:rsidR="00597B54" w:rsidRDefault="00597B54" w:rsidP="00597B54">
      <w:pPr>
        <w:rPr>
          <w:noProof/>
        </w:rPr>
        <w:sectPr w:rsidR="00597B54" w:rsidSect="009C512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FB2D82D" w14:textId="3B1C393F" w:rsidR="009C5F1D" w:rsidRPr="009C5F1D" w:rsidRDefault="009C5F1D" w:rsidP="009C5F1D">
      <w:pPr>
        <w:pStyle w:val="Typedudocument"/>
        <w:rPr>
          <w:noProof/>
        </w:rPr>
      </w:pPr>
      <w:bookmarkStart w:id="1" w:name="_GoBack"/>
      <w:bookmarkEnd w:id="1"/>
      <w:r w:rsidRPr="009C5F1D">
        <w:rPr>
          <w:noProof/>
        </w:rPr>
        <w:lastRenderedPageBreak/>
        <w:t>SPOROČILO KOMISIJE EVROPSKEMU PARLAMENTU, SVETU, EVROPSKEMU EKONOMSKO-SOCIALNEMU ODBORU IN ODBORU REGIJ</w:t>
      </w:r>
    </w:p>
    <w:p w14:paraId="7E5A2C4B" w14:textId="4CE21B3B" w:rsidR="009C5F1D" w:rsidRPr="009C5F1D" w:rsidRDefault="009C5F1D" w:rsidP="009C5F1D">
      <w:pPr>
        <w:pStyle w:val="Titreobjet"/>
        <w:rPr>
          <w:noProof/>
        </w:rPr>
      </w:pPr>
      <w:bookmarkStart w:id="2" w:name="_Hlk202967395"/>
      <w:r w:rsidRPr="009C5F1D">
        <w:rPr>
          <w:noProof/>
        </w:rPr>
        <w:t xml:space="preserve">Ocena končnih posodobljenih nacionalnih energetskih in podnebnih načrtov na ravni celotne EU </w:t>
      </w:r>
      <w:r w:rsidRPr="009C5F1D">
        <w:rPr>
          <w:noProof/>
        </w:rPr>
        <w:br/>
        <w:t>Uresničevanje energetskih in podnebnih ciljev Unije za leto 2030</w:t>
      </w:r>
      <w:bookmarkEnd w:id="2"/>
    </w:p>
    <w:p w14:paraId="11742C04" w14:textId="7F91258A"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Uvod: URESNIČEVANJE okvira politike za leto 2030</w:t>
      </w:r>
    </w:p>
    <w:p w14:paraId="30C93E24"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Cilj Evropske unije (EU), da do leta 2050 postane podnebno nevtralna, je tudi pot k doseganju energetske neodvisnosti in povečanju naše konkurenčnosti</w:t>
      </w:r>
      <w:r>
        <w:rPr>
          <w:rFonts w:ascii="Times New Roman" w:hAnsi="Times New Roman"/>
          <w:noProof/>
        </w:rPr>
        <w:t>. Do mejnika za doseganje energetskih in podnebnih ciljev EU, tj. do leta 2030, je le še pet let, zato potreba po zmanjšanju naše odvisnosti od fosilnih goriv še nikoli ni bila tako velika, saj zvišujejo stroške energije, povečujejo našo odvisnost od tretjih držav in pospešujejo posledice podnebnih sprememb, ki jih že danes močno čutimo po vsej Evropi. Samo v letu 2023 je EU uvozila fosilna goriva v vrednosti več kot 430 milijard EUR. To je 430 milijard EUR, ki bi jih bilo mogoče preusmeriti v naložbe v prehod na čisto energijo k bolj neodvisni in varni EU.</w:t>
      </w:r>
    </w:p>
    <w:p w14:paraId="3361B6C2"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EU mora postati vozlišče inovacij</w:t>
      </w:r>
      <w:r>
        <w:rPr>
          <w:rFonts w:ascii="Times New Roman" w:hAnsi="Times New Roman"/>
          <w:noProof/>
        </w:rPr>
        <w:t xml:space="preserve">, </w:t>
      </w:r>
      <w:r>
        <w:rPr>
          <w:rFonts w:ascii="Times New Roman" w:hAnsi="Times New Roman"/>
          <w:b/>
          <w:noProof/>
        </w:rPr>
        <w:t>kjer se bodo razvijali, proizvajali in tržili tehnologije, storitve in čisti proizvodi prihodnosti</w:t>
      </w:r>
      <w:r w:rsidRPr="005E019D">
        <w:rPr>
          <w:rFonts w:ascii="Times New Roman" w:eastAsia="Yu Mincho" w:hAnsi="Times New Roman" w:cs="Times New Roman"/>
          <w:noProof/>
          <w:kern w:val="0"/>
          <w:vertAlign w:val="superscript"/>
          <w:lang w:val="en-GB"/>
        </w:rPr>
        <w:footnoteReference w:id="2"/>
      </w:r>
      <w:r>
        <w:rPr>
          <w:rFonts w:ascii="Times New Roman" w:hAnsi="Times New Roman"/>
          <w:noProof/>
        </w:rPr>
        <w:t>.</w:t>
      </w:r>
      <w:r>
        <w:rPr>
          <w:rFonts w:ascii="Times New Roman" w:hAnsi="Times New Roman"/>
          <w:b/>
          <w:noProof/>
        </w:rPr>
        <w:t xml:space="preserve"> </w:t>
      </w:r>
      <w:r>
        <w:rPr>
          <w:rFonts w:ascii="Times New Roman" w:hAnsi="Times New Roman"/>
          <w:noProof/>
        </w:rPr>
        <w:t>Komisija je s kompasom za konkurenčnost</w:t>
      </w:r>
      <w:r w:rsidRPr="005E019D">
        <w:rPr>
          <w:rFonts w:ascii="Times New Roman" w:eastAsia="Yu Mincho" w:hAnsi="Times New Roman" w:cs="Times New Roman"/>
          <w:noProof/>
          <w:kern w:val="0"/>
          <w:vertAlign w:val="superscript"/>
          <w:lang w:val="en-GB"/>
        </w:rPr>
        <w:footnoteReference w:id="3"/>
      </w:r>
      <w:r>
        <w:rPr>
          <w:rFonts w:ascii="Times New Roman" w:hAnsi="Times New Roman"/>
          <w:noProof/>
        </w:rPr>
        <w:t xml:space="preserve"> in dogovorom o čisti industriji</w:t>
      </w:r>
      <w:r w:rsidRPr="005E019D">
        <w:rPr>
          <w:rFonts w:ascii="Times New Roman" w:eastAsia="Yu Mincho" w:hAnsi="Times New Roman" w:cs="Times New Roman"/>
          <w:noProof/>
          <w:kern w:val="0"/>
          <w:vertAlign w:val="superscript"/>
          <w:lang w:val="en-GB"/>
        </w:rPr>
        <w:footnoteReference w:id="4"/>
      </w:r>
      <w:r>
        <w:rPr>
          <w:rFonts w:ascii="Times New Roman" w:hAnsi="Times New Roman"/>
          <w:noProof/>
        </w:rPr>
        <w:t xml:space="preserve"> določila smer za oživitev gospodarske dinamike v EU s strategijo za rast in blaginjo, ki združuje podnebje in konkurenčnost. V dogovoru o čisti industriji je predstavljen načrt za preoblikovanje razogljičenja v gonilo rasti evropske industrije z zagotavljanjem jasnih poslovnih spodbud za energetsko intenzivne sektorje in proizvodnjo čistih tehnologij, vključno s priporočenim vmesnim ciljem 90-odstotnega zmanjšanja neto emisij toplogrednih plinov do leta 2040</w:t>
      </w:r>
      <w:r w:rsidRPr="005E019D">
        <w:rPr>
          <w:rFonts w:ascii="Times New Roman" w:eastAsia="Yu Mincho" w:hAnsi="Times New Roman" w:cs="Times New Roman"/>
          <w:noProof/>
          <w:kern w:val="0"/>
          <w:vertAlign w:val="superscript"/>
          <w:lang w:val="en-GB"/>
        </w:rPr>
        <w:footnoteReference w:id="5"/>
      </w:r>
      <w:r>
        <w:rPr>
          <w:rFonts w:ascii="Times New Roman" w:hAnsi="Times New Roman"/>
          <w:noProof/>
        </w:rPr>
        <w:t>. Kot energetski del teh strategij je akcijski načrt za cenovno dostopno energijo</w:t>
      </w:r>
      <w:r w:rsidRPr="005E019D">
        <w:rPr>
          <w:rFonts w:ascii="Times New Roman" w:eastAsia="Yu Mincho" w:hAnsi="Times New Roman" w:cs="Times New Roman"/>
          <w:noProof/>
          <w:kern w:val="0"/>
          <w:vertAlign w:val="superscript"/>
          <w:lang w:val="en-GB"/>
        </w:rPr>
        <w:footnoteReference w:id="6"/>
      </w:r>
      <w:r>
        <w:rPr>
          <w:rFonts w:ascii="Times New Roman" w:hAnsi="Times New Roman"/>
          <w:noProof/>
        </w:rPr>
        <w:t xml:space="preserve"> osredotočen na zniževanje stroškov energije za državljane, podjetja, industrijske panoge in skupnosti po vsej EU.</w:t>
      </w:r>
    </w:p>
    <w:p w14:paraId="46ACF57C" w14:textId="3A02CED1"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EU si je zadala ambiciozen okvir, ki ji bo omogočil, da bo do leta 2050 postala razogljičeno gospodarstvo</w:t>
      </w:r>
      <w:r>
        <w:rPr>
          <w:rFonts w:ascii="Times New Roman" w:hAnsi="Times New Roman"/>
          <w:noProof/>
        </w:rPr>
        <w:t>. Predpogoj za to, da EU vztraja na začrtani poti, da bi dosegla ambicije za leto 2040 in podnebno nevtralnost do leta 2050, hkrati pa v celoti izkoristila možnosti prehoda, sta stabilnost in celovito izvajanje zakonodajnega okvira, ki je vzpostavljen za doseganje podnebnih in energetskih ciljev za leto 2030.</w:t>
      </w:r>
    </w:p>
    <w:p w14:paraId="74527B0C"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Izvajanje obstoječega pravnega okvira za leto 2030 na najpreprostejši, najpravičnejši in stroškovno najučinkovitejši način je ena od političnih prednostnih nalog Komisije. </w:t>
      </w:r>
      <w:r>
        <w:rPr>
          <w:rFonts w:ascii="Times New Roman" w:hAnsi="Times New Roman"/>
          <w:noProof/>
        </w:rPr>
        <w:t>Nacionalni energetski in podnebni načrti (NEPN)</w:t>
      </w:r>
      <w:r w:rsidRPr="005E019D">
        <w:rPr>
          <w:rFonts w:ascii="Times New Roman" w:eastAsia="Yu Mincho" w:hAnsi="Times New Roman" w:cs="Times New Roman"/>
          <w:noProof/>
          <w:kern w:val="0"/>
          <w:vertAlign w:val="superscript"/>
        </w:rPr>
        <w:footnoteReference w:id="7"/>
      </w:r>
      <w:r>
        <w:rPr>
          <w:rFonts w:ascii="Times New Roman" w:hAnsi="Times New Roman"/>
          <w:b/>
          <w:noProof/>
        </w:rPr>
        <w:t xml:space="preserve"> </w:t>
      </w:r>
      <w:r>
        <w:rPr>
          <w:rFonts w:ascii="Times New Roman" w:hAnsi="Times New Roman"/>
          <w:noProof/>
        </w:rPr>
        <w:t xml:space="preserve">so strateško gonilo za uresničevanje, s katerim lahko EU in njene države članice skupaj dosežejo cilje energetske in podnebne politike do leta 2030 ter tlakujejo pot k pravi energetski uniji. Države članice, javne uprave in deležniki na vseh ravneh so stebri uresničevanja. Z določitvijo prednostnih nalog in ambicij, prepoznavanjem izzivov, povezanih z energijo in podnebjem, ter načrtovanjem potrebnih politik in naložb NEPN prispevajo k ustvarjanju verodostojnega in predvidljivega okolja, ugodnega za konkurenčno evropsko industrijo, ter k znižanju stroškov energije, hkrati pa vključujejo vprašanje podnebnih tveganj in pripravljenosti. Zagotavljajo boljše usklajevanje politik med državami članicami in med področji politike za spodbujanje rasti, povečanje odpornosti in zagotovitev pravičnega prehoda. </w:t>
      </w:r>
    </w:p>
    <w:p w14:paraId="1B4775DF"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EU je že pokazala, da lahko konkurenčnost, energetski prehod in podnebni ukrepi gredo z roko v roki.</w:t>
      </w:r>
      <w:r>
        <w:rPr>
          <w:rFonts w:ascii="Times New Roman" w:hAnsi="Times New Roman"/>
          <w:noProof/>
        </w:rPr>
        <w:t xml:space="preserve"> Leta 2023 so bile neto emisije toplogrednih plinov 37 % pod ravnmi iz leta 1990, BDP EU pa se je v istem obdobju povečal za 68 %. To je posledica stalnega izboljševanja energetske učinkovitosti, uvajanja energije iz obnovljivih virov, novih tehnologij in inovativnih industrijskih procesov. Leta 2023 je bila energija iz obnovljivih virov vodilni vir električne energije v EU, saj je predstavljala 24 % celotne proizvodnje energije, poraba končne energije pa je znašala 894 milijonov ton ekvivalenta nafte (Mtoe) v primerjavi s ciljem 763 Mtoe za porabo končne energije do leta 2030.  Leta 2023 je EU v primerjavi z letom 2014 porabila 2 % manj končne energije, njen BDP pa se je v istem obdobju povečal za 38 %</w:t>
      </w:r>
      <w:r w:rsidRPr="005E019D">
        <w:rPr>
          <w:rFonts w:ascii="Times New Roman" w:eastAsia="Times New Roman" w:hAnsi="Times New Roman" w:cs="Times New Roman"/>
          <w:noProof/>
          <w:kern w:val="0"/>
          <w:vertAlign w:val="superscript"/>
        </w:rPr>
        <w:footnoteReference w:id="8"/>
      </w:r>
      <w:r>
        <w:rPr>
          <w:rFonts w:ascii="Times New Roman" w:hAnsi="Times New Roman"/>
          <w:noProof/>
        </w:rPr>
        <w:t>. Hitro uvajanje čiste energije v EU bo ščitilo evropska gospodinjstva in podjetja pred nestanovitnimi fosilnimi gorivi, okrepilo konkurenčnost in vodilni položaj na področju čistih tehnologij ter prispevalo h krepitvi energetske neodvisnosti. Ambiciozen okvir do leta 2030, ki temelji na jasnih ciljih in strateškem načrtovanju, je že bil ključnega pomena za približevanje EU našim podnebnim in energetskim ciljem.</w:t>
      </w:r>
    </w:p>
    <w:p w14:paraId="1F819EE4" w14:textId="558C34FF"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Ocena končnih posodobljenih NEPN kaže, da bi se EU z njihovim celovitim izvajanjem približala doseganju svojih ciljev.</w:t>
      </w:r>
      <w:r>
        <w:rPr>
          <w:rFonts w:ascii="Times New Roman" w:hAnsi="Times New Roman"/>
          <w:noProof/>
        </w:rPr>
        <w:t xml:space="preserve"> Analiza, povzeta v tem sporočilu, razkriva znatne izboljšave v primerjavi z osnutki načrtov in kaže, da je EU na dobri poti, da doseže cilja zmanjšanja neto emisij toplogrednih plinov za vsaj 55 % do leta 2030 v primerjavi z letom 1990 in povečanja deleža energije iz obnovljivih virov na vsaj 42,5 % z željo doseči 45 %, čeprav so potrebna nadaljnja prizadevanja za zmanjšanje porabe energije za 11,7 %. Kljub tem izboljšavam še vedno obstajajo nekatere vrzeli. Z vmesnim podnebnim ciljem za leto 2040 se lahko zagotovi večja predvidljivost in okrepijo poslovni razlogi za prehod na čisto energijo, predstavljen v načrtih, kar nam pomaga doseči cilje za leto 2030. </w:t>
      </w:r>
    </w:p>
    <w:p w14:paraId="4AB9511E" w14:textId="77777777" w:rsidR="005E019D" w:rsidRPr="005E019D" w:rsidDel="00C97DFB"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Končni posodobljeni NEPN so bili pripravljeni po obsežnem postopku posvetovanja</w:t>
      </w:r>
      <w:r>
        <w:rPr>
          <w:rFonts w:ascii="Times New Roman" w:hAnsi="Times New Roman"/>
          <w:noProof/>
        </w:rPr>
        <w:t xml:space="preserve"> na nacionalni in regionalni ravni ter vključevali ponavljajoč se postopek s Komisijo, v katerem so bili ocenjeni osnutki in izdana priporočila državam članicam za pripravo ambicioznih in verodostojnih končnih načrtov</w:t>
      </w:r>
      <w:r w:rsidRPr="005E019D">
        <w:rPr>
          <w:rFonts w:ascii="Times New Roman" w:eastAsia="Yu Mincho" w:hAnsi="Times New Roman" w:cs="Times New Roman"/>
          <w:noProof/>
          <w:kern w:val="0"/>
          <w:vertAlign w:val="superscript"/>
        </w:rPr>
        <w:footnoteReference w:id="9"/>
      </w:r>
      <w:r>
        <w:rPr>
          <w:rFonts w:ascii="Times New Roman" w:hAnsi="Times New Roman"/>
          <w:noProof/>
        </w:rPr>
        <w:t>. Do konca aprila je 24 držav članic predložilo svoje končne posodobljene NEPN</w:t>
      </w:r>
      <w:r w:rsidRPr="005E019D">
        <w:rPr>
          <w:rFonts w:ascii="Times New Roman" w:eastAsia="Yu Mincho" w:hAnsi="Times New Roman" w:cs="Times New Roman"/>
          <w:noProof/>
          <w:kern w:val="0"/>
          <w:vertAlign w:val="superscript"/>
        </w:rPr>
        <w:footnoteReference w:id="10"/>
      </w:r>
      <w:r>
        <w:rPr>
          <w:rFonts w:ascii="Times New Roman" w:hAnsi="Times New Roman"/>
          <w:noProof/>
        </w:rPr>
        <w:t>. Države članice, ki tega še niso storile – Belgija, Estonija in Poljska –, so pozvane, naj čim prej dokončajo svoje načrte</w:t>
      </w:r>
      <w:r w:rsidRPr="005E019D">
        <w:rPr>
          <w:rFonts w:ascii="Times New Roman" w:eastAsia="Yu Mincho" w:hAnsi="Times New Roman" w:cs="Times New Roman"/>
          <w:noProof/>
          <w:kern w:val="0"/>
          <w:vertAlign w:val="superscript"/>
        </w:rPr>
        <w:footnoteReference w:id="11"/>
      </w:r>
      <w:r>
        <w:rPr>
          <w:rFonts w:ascii="Times New Roman" w:hAnsi="Times New Roman"/>
          <w:noProof/>
        </w:rPr>
        <w:t>.</w:t>
      </w:r>
    </w:p>
    <w:p w14:paraId="4269BFE5"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V tej oceni na ravni celotne EU so ocenjene skupne ambicije držav članic</w:t>
      </w:r>
      <w:r w:rsidRPr="005E019D">
        <w:rPr>
          <w:rFonts w:ascii="Times New Roman" w:eastAsia="Yu Mincho" w:hAnsi="Times New Roman" w:cs="Times New Roman"/>
          <w:noProof/>
          <w:kern w:val="0"/>
          <w:vertAlign w:val="superscript"/>
          <w:lang w:val="en-GB"/>
        </w:rPr>
        <w:footnoteReference w:id="12"/>
      </w:r>
      <w:r>
        <w:rPr>
          <w:rFonts w:ascii="Times New Roman" w:hAnsi="Times New Roman"/>
          <w:noProof/>
        </w:rPr>
        <w:t>, ugotovljeno je pomanjkanje ambicij, ki ga je treba nemudoma obravnavati, ter so opisani skupni izzivi in priložnosti za prihodnost. Priložen ji je delovni dokument služb Komisije z ocenami končnih NEPN</w:t>
      </w:r>
      <w:r w:rsidRPr="005E019D">
        <w:rPr>
          <w:rFonts w:ascii="Times New Roman" w:eastAsia="Yu Mincho" w:hAnsi="Times New Roman" w:cs="Times New Roman"/>
          <w:noProof/>
          <w:kern w:val="0"/>
          <w:vertAlign w:val="superscript"/>
          <w:lang w:val="en-GB"/>
        </w:rPr>
        <w:footnoteReference w:id="13"/>
      </w:r>
      <w:r>
        <w:rPr>
          <w:rFonts w:ascii="Times New Roman" w:hAnsi="Times New Roman"/>
          <w:noProof/>
        </w:rPr>
        <w:t xml:space="preserve"> posameznih držav članic in ciljno usmerjene smernice za lažje izvajanje.</w:t>
      </w:r>
    </w:p>
    <w:p w14:paraId="6DF37F6B"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rPr>
          <w:rFonts w:ascii="Times New Roman" w:eastAsia="Yu Mincho" w:hAnsi="Times New Roman" w:cs="Times New Roman"/>
          <w:noProof/>
          <w:kern w:val="0"/>
          <w14:ligatures w14:val="none"/>
        </w:rPr>
      </w:pPr>
      <w:r>
        <w:rPr>
          <w:rFonts w:ascii="Times New Roman" w:hAnsi="Times New Roman"/>
          <w:b/>
          <w:i/>
          <w:noProof/>
        </w:rPr>
        <w:t>Glavne ugotovitve ocene na ravni celotne EU</w:t>
      </w:r>
      <w:r>
        <w:rPr>
          <w:rFonts w:ascii="Times New Roman" w:hAnsi="Times New Roman"/>
          <w:noProof/>
        </w:rPr>
        <w:t xml:space="preserve"> </w:t>
      </w:r>
    </w:p>
    <w:p w14:paraId="316C13CC"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Komisija na podlagi projekcij držav članic ocenjuje, da bo skupno zmanjšanje </w:t>
      </w:r>
      <w:r>
        <w:rPr>
          <w:rFonts w:ascii="Times New Roman" w:hAnsi="Times New Roman"/>
          <w:b/>
          <w:noProof/>
        </w:rPr>
        <w:t>neto emisij toplogrednih plinov</w:t>
      </w:r>
      <w:r w:rsidRPr="005E019D">
        <w:rPr>
          <w:rFonts w:ascii="Times New Roman" w:eastAsia="Yu Mincho" w:hAnsi="Times New Roman" w:cs="Times New Roman"/>
          <w:noProof/>
          <w:kern w:val="0"/>
          <w:vertAlign w:val="superscript"/>
          <w:lang w:val="en-US"/>
        </w:rPr>
        <w:footnoteReference w:id="14"/>
      </w:r>
      <w:r>
        <w:rPr>
          <w:rFonts w:ascii="Times New Roman" w:hAnsi="Times New Roman"/>
          <w:noProof/>
        </w:rPr>
        <w:t xml:space="preserve"> leta 2030 znašalo približno 54 % v primerjavi z letom 1990, kar kaže, da je EU na dobri poti, da doseže cilj za leto 2030. To je odvisno od celovitega izvajanja obstoječih in dodatnih politik ter ukrepov držav članic, pa tudi politik EU.</w:t>
      </w:r>
    </w:p>
    <w:p w14:paraId="1A40508E"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Emisije toplogrednih plinov iz sektorjev, ki jih zajema </w:t>
      </w:r>
      <w:r>
        <w:rPr>
          <w:rFonts w:ascii="Times New Roman" w:hAnsi="Times New Roman"/>
          <w:b/>
          <w:noProof/>
        </w:rPr>
        <w:t>uredba o porazdelitvi prizadevanj</w:t>
      </w:r>
      <w:r w:rsidRPr="005E019D">
        <w:rPr>
          <w:rFonts w:ascii="Times New Roman" w:eastAsia="Calibri" w:hAnsi="Times New Roman" w:cs="Times New Roman"/>
          <w:b/>
          <w:bCs/>
          <w:noProof/>
          <w:kern w:val="0"/>
          <w:vertAlign w:val="superscript"/>
          <w:lang w:val="en-GB"/>
        </w:rPr>
        <w:footnoteReference w:id="15"/>
      </w:r>
      <w:r>
        <w:rPr>
          <w:rFonts w:ascii="Times New Roman" w:hAnsi="Times New Roman"/>
          <w:noProof/>
        </w:rPr>
        <w:t>, naj bi se do leta 2030 zmanjšale za približno 38 % v primerjavi z letom 2005, kar je približno 2 odstotni točki manj od 40-odstotnega cilja EU.</w:t>
      </w:r>
    </w:p>
    <w:p w14:paraId="305F0A17"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Čeprav je v primerjavi z osnutki načrtov več držav članic okrepilo prizadevanja na področju </w:t>
      </w:r>
      <w:r>
        <w:rPr>
          <w:rFonts w:ascii="Times New Roman" w:hAnsi="Times New Roman"/>
          <w:b/>
          <w:noProof/>
        </w:rPr>
        <w:t>sektorja zemljišč</w:t>
      </w:r>
      <w:r>
        <w:rPr>
          <w:rFonts w:ascii="Times New Roman" w:hAnsi="Times New Roman"/>
          <w:noProof/>
        </w:rPr>
        <w:t>, še vedno obstaja vrzel v višini približno 45–60 Mt ekvivalenta CO</w:t>
      </w:r>
      <w:r>
        <w:rPr>
          <w:rFonts w:ascii="Times New Roman" w:hAnsi="Times New Roman"/>
          <w:noProof/>
          <w:vertAlign w:val="subscript"/>
        </w:rPr>
        <w:t>2</w:t>
      </w:r>
      <w:r>
        <w:rPr>
          <w:rFonts w:ascii="Times New Roman" w:hAnsi="Times New Roman"/>
          <w:noProof/>
        </w:rPr>
        <w:t xml:space="preserve"> (kar ustreza približno 100 % do 140 % cilja dodatnih odvzemov) v primerjavi s ciljem za leto 2030 v skladu z uredbo o rabi zemljišč, spremembi rabe zemljišč in gozdarstvu (LULUCF)</w:t>
      </w:r>
      <w:r w:rsidRPr="005E019D">
        <w:rPr>
          <w:rFonts w:ascii="Times New Roman" w:eastAsia="Yu Mincho" w:hAnsi="Times New Roman" w:cs="Times New Roman"/>
          <w:noProof/>
          <w:kern w:val="0"/>
          <w:vertAlign w:val="superscript"/>
          <w:lang w:val="en-US"/>
        </w:rPr>
        <w:footnoteReference w:id="16"/>
      </w:r>
      <w:r>
        <w:rPr>
          <w:rFonts w:ascii="Times New Roman" w:hAnsi="Times New Roman"/>
          <w:noProof/>
        </w:rPr>
        <w:t xml:space="preserve">. </w:t>
      </w:r>
    </w:p>
    <w:p w14:paraId="4912D82A"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Kar zadeva </w:t>
      </w:r>
      <w:r>
        <w:rPr>
          <w:rFonts w:ascii="Times New Roman" w:hAnsi="Times New Roman"/>
          <w:b/>
          <w:noProof/>
        </w:rPr>
        <w:t>prilagajanje podnebnim spremembam</w:t>
      </w:r>
      <w:r>
        <w:rPr>
          <w:rFonts w:ascii="Times New Roman" w:hAnsi="Times New Roman"/>
          <w:noProof/>
        </w:rPr>
        <w:t>, le nekateri končni NEPN v zadostni meri vključujejo pripravljenost in odpornost na podnebne vplive. V omejenem številu načrtov so obravnavani ukrepi v smislu odpornosti v zvezi z vodo.</w:t>
      </w:r>
    </w:p>
    <w:p w14:paraId="72FBABDB" w14:textId="0CFD218B"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Večina držav članic predlaga nacionalne prispevke, ki so v skladu z zavezujočim ciljem EU za leto 2030 za vsaj 42,5-odstotni delež </w:t>
      </w:r>
      <w:r>
        <w:rPr>
          <w:rFonts w:ascii="Times New Roman" w:hAnsi="Times New Roman"/>
          <w:b/>
          <w:noProof/>
        </w:rPr>
        <w:t>energije iz obnovljivih virov</w:t>
      </w:r>
      <w:r>
        <w:rPr>
          <w:rFonts w:ascii="Times New Roman" w:hAnsi="Times New Roman"/>
          <w:noProof/>
        </w:rPr>
        <w:t xml:space="preserve">. Vendar še vedno obstaja omejena vrzel v ambicijah v višini 1,5 odstotne točke. </w:t>
      </w:r>
    </w:p>
    <w:p w14:paraId="3BFCE047"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Kljub izboljšanju prispevkov držav članic k cilju EU za 11,7-odstotno </w:t>
      </w:r>
      <w:r>
        <w:rPr>
          <w:rFonts w:ascii="Times New Roman" w:hAnsi="Times New Roman"/>
          <w:b/>
          <w:noProof/>
        </w:rPr>
        <w:t>energetsko učinkovitost</w:t>
      </w:r>
      <w:r>
        <w:rPr>
          <w:rFonts w:ascii="Times New Roman" w:hAnsi="Times New Roman"/>
          <w:noProof/>
        </w:rPr>
        <w:t xml:space="preserve"> do leta 2030 pa vrzel v ambicijah v obsegu 31,1 Mtoe še naprej obstaja za porabo končne energije in v obsegu 47,3 Mtoe za porabo primarne energije. Za porabo končne energije to pomeni 8,1-odstotno raven ambicij EU.</w:t>
      </w:r>
    </w:p>
    <w:p w14:paraId="6F34D709"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V načrtih je </w:t>
      </w:r>
      <w:r>
        <w:rPr>
          <w:rFonts w:ascii="Times New Roman" w:hAnsi="Times New Roman"/>
          <w:b/>
          <w:noProof/>
        </w:rPr>
        <w:t>energetska varnost</w:t>
      </w:r>
      <w:r>
        <w:rPr>
          <w:rFonts w:ascii="Times New Roman" w:hAnsi="Times New Roman"/>
          <w:noProof/>
        </w:rPr>
        <w:t xml:space="preserve"> okrepljena z manjšo porabo plina in bolj raznolikimi viri energije, vključno z večjo vlogo jedrske energije pri proizvodnji električne energije in toplote v več državah članicah. Vendar moramo infrastrukturo dodatno prilagoditi razogljičenemu energetskemu sistemu, večji elektrifikaciji na podlagi nestalnih obnovljivih virov energije in hitro spreminjajočim se grožnjam, kot so podnebne spremembe in kibernetska varnost.</w:t>
      </w:r>
    </w:p>
    <w:p w14:paraId="592A6CE7"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Na </w:t>
      </w:r>
      <w:r>
        <w:rPr>
          <w:rFonts w:ascii="Times New Roman" w:hAnsi="Times New Roman"/>
          <w:b/>
          <w:noProof/>
        </w:rPr>
        <w:t>notranjem trgu z energijo</w:t>
      </w:r>
      <w:r>
        <w:rPr>
          <w:rFonts w:ascii="Times New Roman" w:hAnsi="Times New Roman"/>
          <w:noProof/>
        </w:rPr>
        <w:t xml:space="preserve"> so države članice uvedle nove ukrepe za spodbujanje prožnosti, stabilizacijo trgov in lažji prodor obnovljivih virov energije v svoje končne načrte. Vendar so potrebni dodatni ukrepi za razvoj čezmejnih povezav in nadaljnje povezovanje trgov.</w:t>
      </w:r>
    </w:p>
    <w:p w14:paraId="4BA0C4D7"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Končni načrti kažejo večjo osredotočenost na </w:t>
      </w:r>
      <w:r>
        <w:rPr>
          <w:rFonts w:ascii="Times New Roman" w:hAnsi="Times New Roman"/>
          <w:b/>
          <w:noProof/>
        </w:rPr>
        <w:t>konkurenčnost industrije, odpornost dobavnih verig, inovacije ter razvoj spretnosti</w:t>
      </w:r>
      <w:r>
        <w:rPr>
          <w:rFonts w:ascii="Times New Roman" w:hAnsi="Times New Roman"/>
          <w:noProof/>
        </w:rPr>
        <w:t xml:space="preserve">. Vendar dovolj posebni in izvedljivi cilji na teh področjih z nekaterimi izjemami pogosto niso vključeni v načrte. </w:t>
      </w:r>
    </w:p>
    <w:p w14:paraId="71AC4DA9"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V približno polovici načrtov je priznan pomen</w:t>
      </w:r>
      <w:r>
        <w:rPr>
          <w:rFonts w:ascii="Times New Roman" w:hAnsi="Times New Roman"/>
          <w:b/>
          <w:noProof/>
        </w:rPr>
        <w:t xml:space="preserve"> postopne odprave subvencij za fosilna goriva</w:t>
      </w:r>
      <w:r>
        <w:rPr>
          <w:rFonts w:ascii="Times New Roman" w:hAnsi="Times New Roman"/>
          <w:noProof/>
        </w:rPr>
        <w:t>. Kljub temu večinoma ni seznama obstoječih subvencij za fosilna goriva, konkretnih časovnih okvirov in ukrepov za njihovo postopno odpravo.</w:t>
      </w:r>
    </w:p>
    <w:p w14:paraId="7A2C3943"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Glede </w:t>
      </w:r>
      <w:r>
        <w:rPr>
          <w:rFonts w:ascii="Times New Roman" w:hAnsi="Times New Roman"/>
          <w:b/>
          <w:noProof/>
        </w:rPr>
        <w:t>pravičnega prehoda</w:t>
      </w:r>
      <w:r>
        <w:rPr>
          <w:rFonts w:ascii="Times New Roman" w:hAnsi="Times New Roman"/>
          <w:noProof/>
        </w:rPr>
        <w:t xml:space="preserve"> so v načrtih večinoma opisani učinki energetskega prehoda na potrebe po spretnostih ter usposabljanju, ni pa podrobne analize socialnih učinkov in učinkov na zaposlovanje, zlasti za ranljiva gospodinjstva, delavce in regije. Konkretnejši ukrepi in jasna navedba sredstev za ublažitev teh učinkov bi bili koristni. Poleg tega države članice ne zagotavljajo zadostne analitične podlage za pripravo svojih socialnih načrtov za podnebje.</w:t>
      </w:r>
    </w:p>
    <w:p w14:paraId="0D9DBCB3"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Večina držav članic rešuje vprašanje </w:t>
      </w:r>
      <w:r>
        <w:rPr>
          <w:rFonts w:ascii="Times New Roman" w:hAnsi="Times New Roman"/>
          <w:b/>
          <w:noProof/>
        </w:rPr>
        <w:t>energijske revščine</w:t>
      </w:r>
      <w:r>
        <w:rPr>
          <w:rFonts w:ascii="Times New Roman" w:hAnsi="Times New Roman"/>
          <w:noProof/>
        </w:rPr>
        <w:t xml:space="preserve"> in določa strukturne ukrepe ali ukrepe dohodkovne podpore s poudarkom na energetski učinkovitosti, prenovi stavb in razogljičenju. Hkrati le nekaj držav članic zagotavlja jasne opredelitve energijske revščine ali določa posebne cilje za njeno zmanjšanje. </w:t>
      </w:r>
    </w:p>
    <w:p w14:paraId="775CCE27"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rPr>
        <w:t>Ocene naložb držav članic</w:t>
      </w:r>
      <w:r>
        <w:rPr>
          <w:rFonts w:ascii="Times New Roman" w:hAnsi="Times New Roman"/>
          <w:noProof/>
        </w:rPr>
        <w:t xml:space="preserve"> so se znatno izboljšale v primerjavi z osnutki načrtov, vendar so potrebni nadaljnja prizadevanja za njihovo izboljšanje in </w:t>
      </w:r>
      <w:r>
        <w:rPr>
          <w:rFonts w:ascii="Times New Roman" w:hAnsi="Times New Roman"/>
          <w:noProof/>
          <w:color w:val="000000"/>
        </w:rPr>
        <w:t>razvoj celovite strategije za mobilizacijo javnega in zasebnega financiranja, da bi izboljšali gotovost za vlagatelje, zaradi česar bodo lahko NEPN postali učinkoviti naložbeni načrti.</w:t>
      </w:r>
    </w:p>
    <w:p w14:paraId="3E5DB809" w14:textId="77777777" w:rsidR="005E019D" w:rsidRPr="005E019D" w:rsidRDefault="005E019D" w:rsidP="005E019D">
      <w:pPr>
        <w:pBdr>
          <w:top w:val="single" w:sz="4" w:space="1" w:color="auto"/>
          <w:left w:val="single" w:sz="4" w:space="4" w:color="auto"/>
          <w:bottom w:val="single" w:sz="4" w:space="0" w:color="auto"/>
          <w:right w:val="single" w:sz="4" w:space="4" w:color="auto"/>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color w:val="000000"/>
        </w:rPr>
        <w:t xml:space="preserve">Jasnejši pregled nad </w:t>
      </w:r>
      <w:r>
        <w:rPr>
          <w:rFonts w:ascii="Times New Roman" w:hAnsi="Times New Roman"/>
          <w:b/>
          <w:noProof/>
          <w:color w:val="000000"/>
        </w:rPr>
        <w:t>postopkom</w:t>
      </w:r>
      <w:r>
        <w:rPr>
          <w:rFonts w:ascii="Times New Roman" w:hAnsi="Times New Roman"/>
          <w:noProof/>
          <w:color w:val="000000"/>
        </w:rPr>
        <w:t xml:space="preserve"> </w:t>
      </w:r>
      <w:r>
        <w:rPr>
          <w:rFonts w:ascii="Times New Roman" w:hAnsi="Times New Roman"/>
          <w:b/>
          <w:noProof/>
          <w:color w:val="000000"/>
        </w:rPr>
        <w:t>javnega posvetovanja</w:t>
      </w:r>
      <w:r>
        <w:rPr>
          <w:rFonts w:ascii="Times New Roman" w:hAnsi="Times New Roman"/>
          <w:noProof/>
          <w:color w:val="000000"/>
        </w:rPr>
        <w:t xml:space="preserve"> za pripravo končnih NEPN je zagotovljen v večini načrtov. Postopki sodelovanja bi lahko bili bolj vključujoči in </w:t>
      </w:r>
      <w:r>
        <w:rPr>
          <w:rFonts w:ascii="Times New Roman" w:hAnsi="Times New Roman"/>
          <w:noProof/>
        </w:rPr>
        <w:t>učinkovitejši, zagotavljali več informacij in daljša časovna obdobja za posvetovanje.</w:t>
      </w:r>
    </w:p>
    <w:p w14:paraId="2C6A1381" w14:textId="77777777" w:rsidR="005E019D" w:rsidRPr="005E019D" w:rsidRDefault="005E019D" w:rsidP="005E019D">
      <w:pPr>
        <w:spacing w:after="120" w:line="264" w:lineRule="auto"/>
        <w:rPr>
          <w:rFonts w:ascii="Times New Roman" w:eastAsia="Yu Mincho" w:hAnsi="Times New Roman" w:cs="Times New Roman"/>
          <w:noProof/>
          <w:kern w:val="0"/>
          <w:lang w:val="en-GB"/>
          <w14:ligatures w14:val="none"/>
        </w:rPr>
      </w:pPr>
    </w:p>
    <w:p w14:paraId="7C7AF45B" w14:textId="77777777"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 xml:space="preserve">Razogljičeno gospodarstvo s čistim in konkurenčnim energetskim sektorjem  </w:t>
      </w:r>
    </w:p>
    <w:p w14:paraId="13FD459E"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 xml:space="preserve">Razogljičenje </w:t>
      </w:r>
    </w:p>
    <w:p w14:paraId="766469EE" w14:textId="77777777" w:rsidR="005E019D" w:rsidRPr="005E019D" w:rsidRDefault="005E019D" w:rsidP="005E019D">
      <w:pPr>
        <w:spacing w:before="120" w:after="120" w:line="264" w:lineRule="auto"/>
        <w:jc w:val="both"/>
        <w:rPr>
          <w:rFonts w:ascii="Times New Roman" w:eastAsia="Yu Mincho" w:hAnsi="Times New Roman" w:cs="Times New Roman"/>
          <w:bCs/>
          <w:noProof/>
          <w:kern w:val="0"/>
          <w14:ligatures w14:val="none"/>
        </w:rPr>
      </w:pPr>
      <w:r>
        <w:rPr>
          <w:rFonts w:ascii="Times New Roman" w:hAnsi="Times New Roman"/>
          <w:b/>
          <w:noProof/>
        </w:rPr>
        <w:t>Končni posodobljeni NEPN pomenijo znatno izboljšanje v primerjavi z osnutki načrtov, s čimer se je EU znatno približala doseganju cilja vsaj 55-odstotnega zmanjšanja emisij toplogrednih plinov do leta 2030</w:t>
      </w:r>
      <w:r>
        <w:rPr>
          <w:rFonts w:ascii="Times New Roman" w:hAnsi="Times New Roman"/>
          <w:noProof/>
        </w:rPr>
        <w:t>.</w:t>
      </w:r>
      <w:r>
        <w:rPr>
          <w:rFonts w:ascii="Times New Roman" w:hAnsi="Times New Roman"/>
          <w:b/>
          <w:noProof/>
        </w:rPr>
        <w:t xml:space="preserve"> </w:t>
      </w:r>
      <w:r>
        <w:rPr>
          <w:rFonts w:ascii="Times New Roman" w:hAnsi="Times New Roman"/>
          <w:noProof/>
        </w:rPr>
        <w:t>Komisija na podlagi analize projekcij držav članic v predloženih načrtih ocenjuje, da se bodo skupne neto emisije toplogrednih plinov leta 2030 zmanjšale za približno 54 % v primerjavi z letom 1990</w:t>
      </w:r>
      <w:r w:rsidRPr="005E019D">
        <w:rPr>
          <w:rFonts w:ascii="Times New Roman" w:eastAsia="Yu Mincho" w:hAnsi="Times New Roman" w:cs="Times New Roman"/>
          <w:noProof/>
          <w:kern w:val="0"/>
          <w:vertAlign w:val="superscript"/>
          <w:lang w:val="en-GB"/>
        </w:rPr>
        <w:footnoteReference w:id="17"/>
      </w:r>
      <w:r>
        <w:rPr>
          <w:rFonts w:ascii="Times New Roman" w:hAnsi="Times New Roman"/>
          <w:noProof/>
        </w:rPr>
        <w:t>, kar kaže, da je EU na dobri poti, da doseže svoj cilj za leto 2030. Čeprav ta rezultat podpirajo obstoječi in novi nacionalni ukrepi, ga ne bi bilo mogoče doseči brez prispevka politik in ukrepov EU v okviru svežnja „Pripravljeni na 55“, kot so sistem EU za trgovanje z emisijami in standardi CO</w:t>
      </w:r>
      <w:r>
        <w:rPr>
          <w:rFonts w:ascii="Times New Roman" w:hAnsi="Times New Roman"/>
          <w:noProof/>
          <w:vertAlign w:val="subscript"/>
        </w:rPr>
        <w:t>2</w:t>
      </w:r>
      <w:r>
        <w:rPr>
          <w:rFonts w:ascii="Times New Roman" w:hAnsi="Times New Roman"/>
          <w:noProof/>
        </w:rPr>
        <w:t xml:space="preserve"> za vozila. </w:t>
      </w:r>
    </w:p>
    <w:p w14:paraId="0540BDC2" w14:textId="71D8F318"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Čeprav so končni načrti za sektorje, ki jih zajema uredba o porazdelitvi prizadevanj, precej ambicioznejši od osnutkov, še vedno obstaja vrzel v primerjavi s ciljem za leto 2030. </w:t>
      </w:r>
      <w:r>
        <w:rPr>
          <w:rFonts w:ascii="Times New Roman" w:hAnsi="Times New Roman"/>
          <w:noProof/>
        </w:rPr>
        <w:t>V skladu z uredbo o porazdelitvi prizadevanj je treba emisije iz domačega prometa, stavb, kmetijstva, male industrije in odpadkov do leta 2030 zmanjšati za 40 % v primerjavi z letom 2005. Na podlagi</w:t>
      </w:r>
      <w:r>
        <w:rPr>
          <w:rFonts w:ascii="Times New Roman" w:hAnsi="Times New Roman"/>
          <w:b/>
          <w:noProof/>
        </w:rPr>
        <w:t xml:space="preserve"> </w:t>
      </w:r>
      <w:r>
        <w:rPr>
          <w:rFonts w:ascii="Times New Roman" w:hAnsi="Times New Roman"/>
          <w:noProof/>
        </w:rPr>
        <w:t>razpoložljivih projekcij naj bi se emisije do leta 2030 zmanjšale za približno 38 % v primerjavi z ravnmi iz leta 2005, kar je približno 2 odstotni točki manj od cilja EU</w:t>
      </w:r>
      <w:r w:rsidRPr="005E019D">
        <w:rPr>
          <w:rFonts w:ascii="Times New Roman" w:eastAsia="Yu Mincho" w:hAnsi="Times New Roman" w:cs="Times New Roman"/>
          <w:noProof/>
          <w:kern w:val="0"/>
          <w:vertAlign w:val="superscript"/>
          <w:lang w:val="en-GB"/>
        </w:rPr>
        <w:footnoteReference w:id="18"/>
      </w:r>
      <w:r>
        <w:rPr>
          <w:rFonts w:ascii="Times New Roman" w:hAnsi="Times New Roman"/>
          <w:noProof/>
        </w:rPr>
        <w:t>. Po zaslugi dodatnih ali okrepljenih ukrepov to pomeni znatno izboljšanje v primerjavi z vrzeljo, ki je na podlagi ocene osnutkov NEPN na ravni celotne EU znašala več kot 6 odstotnih točk. Dvanajst držav članic</w:t>
      </w:r>
      <w:r w:rsidRPr="005E019D">
        <w:rPr>
          <w:rFonts w:ascii="Times New Roman" w:eastAsia="Yu Mincho" w:hAnsi="Times New Roman" w:cs="Times New Roman"/>
          <w:noProof/>
          <w:kern w:val="0"/>
          <w:vertAlign w:val="superscript"/>
          <w:lang w:val="en-GB"/>
        </w:rPr>
        <w:footnoteReference w:id="19"/>
      </w:r>
      <w:r>
        <w:rPr>
          <w:rFonts w:ascii="Times New Roman" w:hAnsi="Times New Roman"/>
          <w:noProof/>
        </w:rPr>
        <w:t xml:space="preserve"> pričakuje, da bodo svoje cilj</w:t>
      </w:r>
      <w:r w:rsidR="00305ED2">
        <w:rPr>
          <w:rFonts w:ascii="Times New Roman" w:hAnsi="Times New Roman"/>
          <w:noProof/>
        </w:rPr>
        <w:t>e</w:t>
      </w:r>
      <w:r>
        <w:rPr>
          <w:rFonts w:ascii="Times New Roman" w:hAnsi="Times New Roman"/>
          <w:noProof/>
        </w:rPr>
        <w:t xml:space="preserve"> do leta 2030 iz uredbe o porazdelitvi prizadevanj dosegle z obstoječimi in dodatnimi politikami in ukrepi (v primerjavi z osmimi v osnutkih načrtov), še šest</w:t>
      </w:r>
      <w:r w:rsidRPr="005E019D">
        <w:rPr>
          <w:rFonts w:ascii="Times New Roman" w:eastAsia="Yu Mincho" w:hAnsi="Times New Roman" w:cs="Times New Roman"/>
          <w:noProof/>
          <w:kern w:val="0"/>
          <w:vertAlign w:val="superscript"/>
          <w:lang w:val="en-GB"/>
        </w:rPr>
        <w:footnoteReference w:id="20"/>
      </w:r>
      <w:r>
        <w:rPr>
          <w:rFonts w:ascii="Times New Roman" w:hAnsi="Times New Roman"/>
          <w:noProof/>
        </w:rPr>
        <w:t xml:space="preserve"> pa jih pričakuje, da bodo svoje cilje dosegle z uporabo razpoložljivih domačih prožnosti. Pet držav članic</w:t>
      </w:r>
      <w:r w:rsidRPr="005E019D">
        <w:rPr>
          <w:rFonts w:ascii="Times New Roman" w:eastAsia="Yu Mincho" w:hAnsi="Times New Roman" w:cs="Times New Roman"/>
          <w:noProof/>
          <w:kern w:val="0"/>
          <w:vertAlign w:val="superscript"/>
          <w:lang w:val="en-GB"/>
        </w:rPr>
        <w:footnoteReference w:id="21"/>
      </w:r>
      <w:r>
        <w:rPr>
          <w:rFonts w:ascii="Times New Roman" w:hAnsi="Times New Roman"/>
          <w:noProof/>
        </w:rPr>
        <w:t xml:space="preserve"> pričakuje, da bodo odstopale od svojih ciljev za leto 2030</w:t>
      </w:r>
      <w:r w:rsidRPr="005E019D">
        <w:rPr>
          <w:rFonts w:ascii="Times New Roman" w:eastAsia="Yu Mincho" w:hAnsi="Times New Roman" w:cs="Times New Roman"/>
          <w:noProof/>
          <w:kern w:val="0"/>
          <w:vertAlign w:val="superscript"/>
          <w:lang w:val="en-GB"/>
        </w:rPr>
        <w:footnoteReference w:id="22"/>
      </w:r>
      <w:r>
        <w:rPr>
          <w:rFonts w:ascii="Times New Roman" w:hAnsi="Times New Roman"/>
          <w:noProof/>
        </w:rPr>
        <w:t xml:space="preserve">. </w:t>
      </w:r>
    </w:p>
    <w:p w14:paraId="1FBC7D57"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Projekcije za sektor zemljišč, ki so jih predložile države članice, kažejo, da EU ni na dobri poti, da bi dosegla svoj cilj za leto 2030 glede ustvarjanja dodatnih 42 Mt ekvivalenta CO₂ neto odvzemov do leta 2030</w:t>
      </w:r>
      <w:r w:rsidRPr="005E019D">
        <w:rPr>
          <w:rFonts w:ascii="Times New Roman" w:eastAsia="Yu Mincho" w:hAnsi="Times New Roman" w:cs="Times New Roman"/>
          <w:noProof/>
          <w:vertAlign w:val="superscript"/>
          <w:lang w:val="en-GB"/>
        </w:rPr>
        <w:footnoteReference w:id="23"/>
      </w:r>
      <w:r>
        <w:rPr>
          <w:rFonts w:ascii="Times New Roman" w:hAnsi="Times New Roman"/>
          <w:noProof/>
        </w:rPr>
        <w:t>.</w:t>
      </w:r>
      <w:r>
        <w:rPr>
          <w:rFonts w:ascii="Times New Roman" w:hAnsi="Times New Roman"/>
          <w:b/>
          <w:noProof/>
        </w:rPr>
        <w:t xml:space="preserve"> </w:t>
      </w:r>
      <w:r>
        <w:rPr>
          <w:rFonts w:ascii="Times New Roman" w:hAnsi="Times New Roman"/>
          <w:noProof/>
        </w:rPr>
        <w:t>Sektor zemljišč je v zadnjih letih shranjeval vse manj ogljika iz ozračja. Zbirna analiza kaže, da se ponor ogljika v primerjavi s sedanjimi ravnmi predvidoma ne bo izboljšal. EU dejansko še vedno ne dosega cilja za leto 2030, in sicer zaostaja za približno 45 do 60 Mt ekvivalenta CO</w:t>
      </w:r>
      <w:r>
        <w:rPr>
          <w:rFonts w:ascii="Times New Roman" w:hAnsi="Times New Roman"/>
          <w:noProof/>
          <w:vertAlign w:val="subscript"/>
        </w:rPr>
        <w:t>2</w:t>
      </w:r>
      <w:r>
        <w:rPr>
          <w:rFonts w:ascii="Times New Roman" w:hAnsi="Times New Roman"/>
          <w:noProof/>
        </w:rPr>
        <w:t>. Kljub temu je več držav članic okrepilo svoje ambicije in zagotovilo konkretnejše načine za doseganje svojega cilja za leto 2030 z dodatnimi politikami v sektorju zemljišč. Devet držav članic</w:t>
      </w:r>
      <w:r w:rsidRPr="005E019D">
        <w:rPr>
          <w:rFonts w:ascii="Times New Roman" w:eastAsia="Yu Mincho" w:hAnsi="Times New Roman" w:cs="Times New Roman"/>
          <w:noProof/>
          <w:kern w:val="0"/>
          <w:vertAlign w:val="superscript"/>
          <w:lang w:val="en-GB"/>
        </w:rPr>
        <w:footnoteReference w:id="24"/>
      </w:r>
      <w:r>
        <w:rPr>
          <w:rFonts w:ascii="Times New Roman" w:hAnsi="Times New Roman"/>
          <w:noProof/>
        </w:rPr>
        <w:t xml:space="preserve"> (v primerjavi s petimi v osnutkih načrtov) zdaj predvideva, da bodo dosegle svoje cilje LULUCF. Med njimi je Danska nedavno uvedla pomembne reforme, vključno z določanjem cen emisij iz kmetijstva in uporabo ustvarjenih prihodkov za financiranje prehoda sektorja zemljišč. V več končnih načrtih je priznana tudi potreba po naložbah v boljše spremljanje zemljišč, poročanje o njih in njihovo preverjanje, da bi zagotovili kakovostnejše podatke za uspešno in učinkovito oblikovanje politik v sektorju. Vendar večina načrtov ne vsebuje dovolj podrobnosti o ukrepih, potrebnih za doseganje ciljev, in količinske določitve njihovih učinkov. Učinkovitejša splošna uporaba biomase (za energijo, hrano, krmo in izdelke na biološki osnovi) s prehodom na izdelke na biološki osnovi z višjo dodano vrednostjo bi bila za sektor zemljišč ključnega pomena.</w:t>
      </w:r>
      <w:r>
        <w:rPr>
          <w:rFonts w:ascii="Times New Roman" w:hAnsi="Times New Roman"/>
          <w:noProof/>
          <w:color w:val="000000"/>
        </w:rPr>
        <w:t xml:space="preserve"> </w:t>
      </w:r>
    </w:p>
    <w:p w14:paraId="1D213F7C"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V končnih NEPN je v primerjavi z osnutki večji poudarek na politikah za razogljičenje prometa in stavb, vendar so potrebna dodatna prizadevanja.</w:t>
      </w:r>
      <w:r>
        <w:rPr>
          <w:rFonts w:ascii="Times New Roman" w:hAnsi="Times New Roman"/>
          <w:noProof/>
        </w:rPr>
        <w:t xml:space="preserve"> Sistem EU za trgovanje z emisijami za zgorevanje goriv v stavbah, cestnem prometu in dodatnih sektorjih (ETS2) ter spremljevalni Socialni sklad za podnebje imata ključno vlogo pri zmanjševanju emisij v cestnem prometu in stavbah, vendar so nujna dopolnilna nacionalna prizadevanja. Večina držav članic je na podlagi politik EU, kot so standardi CO</w:t>
      </w:r>
      <w:r>
        <w:rPr>
          <w:rFonts w:ascii="Times New Roman" w:hAnsi="Times New Roman"/>
          <w:noProof/>
          <w:vertAlign w:val="subscript"/>
        </w:rPr>
        <w:t>2</w:t>
      </w:r>
      <w:r>
        <w:rPr>
          <w:rFonts w:ascii="Times New Roman" w:hAnsi="Times New Roman"/>
          <w:noProof/>
        </w:rPr>
        <w:t xml:space="preserve"> za vozila in uredba o infrastrukturi za alternativna goriva, načrtovala ukrepe za podporo trajnostnemu prehodu prometnega sektorja. Načrti vključujejo ukrepe za podporo elektrifikaciji in uvedbi brezemisijske infrastrukture za ceste, železnice, pristanišča in letališča ter ukrepe za spodbujanje prehoda na javni prevoz in aktivno/nemotorizirano</w:t>
      </w:r>
      <w:r>
        <w:rPr>
          <w:rFonts w:ascii="Times New Roman" w:hAnsi="Times New Roman"/>
          <w:b/>
          <w:noProof/>
        </w:rPr>
        <w:t xml:space="preserve"> </w:t>
      </w:r>
      <w:r>
        <w:rPr>
          <w:rFonts w:ascii="Times New Roman" w:hAnsi="Times New Roman"/>
          <w:noProof/>
        </w:rPr>
        <w:t>mobilnost. Države članice pričakujejo, da bodo ti ukrepi v prihodnjih letih znatno zmanjšali emisije iz prometa, za kar bo poleg stalnega spremljanja potrebno hitro izvajanje politik in ukrepov EU ter nacionalnih politik in ukrepov. Nekatere države članice</w:t>
      </w:r>
      <w:r w:rsidRPr="005E019D">
        <w:rPr>
          <w:rFonts w:ascii="Times New Roman" w:eastAsia="Yu Mincho" w:hAnsi="Times New Roman" w:cs="Times New Roman"/>
          <w:noProof/>
          <w:kern w:val="0"/>
          <w:vertAlign w:val="superscript"/>
          <w:lang w:val="en-GB"/>
        </w:rPr>
        <w:footnoteReference w:id="25"/>
      </w:r>
      <w:r>
        <w:rPr>
          <w:rFonts w:ascii="Times New Roman" w:hAnsi="Times New Roman"/>
          <w:noProof/>
        </w:rPr>
        <w:t xml:space="preserve"> imajo še vedno programe podpore za vozila na fosilna goriva, ki so v nasprotju s cilji razogljičenja in bi jih bilo treba postopno opustiti. Kot je navedeno v oddelkih 2.2 in 2.3, države članice zvezi s </w:t>
      </w:r>
      <w:r>
        <w:rPr>
          <w:rFonts w:ascii="Times New Roman" w:hAnsi="Times New Roman"/>
          <w:b/>
          <w:noProof/>
        </w:rPr>
        <w:t>stavbnim</w:t>
      </w:r>
      <w:r>
        <w:rPr>
          <w:rFonts w:ascii="Times New Roman" w:hAnsi="Times New Roman"/>
          <w:noProof/>
        </w:rPr>
        <w:t xml:space="preserve"> sektorjem sprejemajo ukrepe za spodbujanje obnovljivih virov energije za ogrevanje in hlajenje ter za podporo prenovi stavb, vendar je za načrtovanje in izvajanje ustreznih politik treba storiti več.</w:t>
      </w:r>
    </w:p>
    <w:p w14:paraId="1F8D3976" w14:textId="2596FE56"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Kar zadeva zajemanje, uporabo in shranjevanje ogljika (CCUS), končni posodobljeni načrti vključujejo dodatne informacije in ambicioznejše projekte. </w:t>
      </w:r>
      <w:r>
        <w:rPr>
          <w:rFonts w:ascii="Times New Roman" w:hAnsi="Times New Roman"/>
          <w:noProof/>
        </w:rPr>
        <w:t>Več kot polovica držav članic je vsaj delno upoštevala s tem povezana priporočila Komisije</w:t>
      </w:r>
      <w:r w:rsidRPr="005E019D">
        <w:rPr>
          <w:rFonts w:ascii="Times New Roman" w:eastAsia="Yu Mincho" w:hAnsi="Times New Roman" w:cs="Times New Roman"/>
          <w:noProof/>
          <w:kern w:val="0"/>
          <w:vertAlign w:val="superscript"/>
          <w:lang w:val="en-GB"/>
        </w:rPr>
        <w:footnoteReference w:id="26"/>
      </w:r>
      <w:r>
        <w:rPr>
          <w:rFonts w:ascii="Times New Roman" w:hAnsi="Times New Roman"/>
          <w:noProof/>
        </w:rPr>
        <w:t>. V nasprotju z osnutki načrtov končni načrti zmanjšujejo vrzel v primerjavi s ciljem 50 milijonov ton CO</w:t>
      </w:r>
      <w:r>
        <w:rPr>
          <w:rFonts w:ascii="Times New Roman" w:hAnsi="Times New Roman"/>
          <w:noProof/>
          <w:vertAlign w:val="subscript"/>
        </w:rPr>
        <w:t>2</w:t>
      </w:r>
      <w:r>
        <w:rPr>
          <w:rFonts w:ascii="Times New Roman" w:hAnsi="Times New Roman"/>
          <w:noProof/>
        </w:rPr>
        <w:t xml:space="preserve"> letno do leta 2030, kot je bil določen v aktu o neto ničelni industriji. Na podlagi razpoložljivih informacij nameravajo države članice v letu 2030 zajeti 42,4 Mt ekvivalenta CO</w:t>
      </w:r>
      <w:r>
        <w:rPr>
          <w:rFonts w:ascii="Times New Roman" w:hAnsi="Times New Roman"/>
          <w:noProof/>
          <w:vertAlign w:val="subscript"/>
        </w:rPr>
        <w:t>2</w:t>
      </w:r>
      <w:r>
        <w:rPr>
          <w:rFonts w:ascii="Times New Roman" w:hAnsi="Times New Roman"/>
          <w:noProof/>
        </w:rPr>
        <w:t xml:space="preserve"> na leto, od tega 14,9 Mt ekvivalenta CO</w:t>
      </w:r>
      <w:r>
        <w:rPr>
          <w:rFonts w:ascii="Times New Roman" w:hAnsi="Times New Roman"/>
          <w:noProof/>
          <w:vertAlign w:val="subscript"/>
        </w:rPr>
        <w:t>2</w:t>
      </w:r>
      <w:r>
        <w:rPr>
          <w:rFonts w:ascii="Times New Roman" w:hAnsi="Times New Roman"/>
          <w:noProof/>
        </w:rPr>
        <w:t xml:space="preserve"> iz biogenih virov. Države članice ocenjujejo, da bo zmogljivost vbrizgavanja v letu 2030 znašala od 27,1 do 45,1 Mt ekvivalenta CO</w:t>
      </w:r>
      <w:r>
        <w:rPr>
          <w:rFonts w:ascii="Times New Roman" w:hAnsi="Times New Roman"/>
          <w:noProof/>
          <w:vertAlign w:val="subscript"/>
        </w:rPr>
        <w:t>2</w:t>
      </w:r>
      <w:r>
        <w:rPr>
          <w:rFonts w:ascii="Times New Roman" w:hAnsi="Times New Roman"/>
          <w:noProof/>
        </w:rPr>
        <w:t xml:space="preserve"> letno. Nekatere države članice niso poročale o načrtovani zmogljivosti vbrizgavanja na svojem ozemlju. Vendar uredba o krepitvi ekosistema proizvodnje neto ničelnih tehnologij Evrope</w:t>
      </w:r>
      <w:r w:rsidRPr="005E019D">
        <w:rPr>
          <w:rFonts w:ascii="Times New Roman" w:eastAsia="Yu Mincho" w:hAnsi="Times New Roman" w:cs="Times New Roman"/>
          <w:noProof/>
          <w:kern w:val="0"/>
          <w:vertAlign w:val="superscript"/>
          <w:lang w:val="en-GB"/>
        </w:rPr>
        <w:footnoteReference w:id="27"/>
      </w:r>
      <w:r>
        <w:rPr>
          <w:rFonts w:ascii="Times New Roman" w:hAnsi="Times New Roman"/>
          <w:noProof/>
        </w:rPr>
        <w:t xml:space="preserve"> od junija 2024 zahteva, da države članice letno poročajo o prihodnjem razvoju projektov v zvezi s povpraševanjem po zmogljivostih zajemanja in vbrizgavanja CO</w:t>
      </w:r>
      <w:r>
        <w:rPr>
          <w:rFonts w:ascii="Times New Roman" w:hAnsi="Times New Roman"/>
          <w:noProof/>
          <w:vertAlign w:val="subscript"/>
        </w:rPr>
        <w:t>2</w:t>
      </w:r>
      <w:r>
        <w:rPr>
          <w:rFonts w:ascii="Times New Roman" w:hAnsi="Times New Roman"/>
          <w:noProof/>
        </w:rPr>
        <w:t xml:space="preserve"> na njihovem ozemlju. Več posodobljenih načrtov kaže nujnost razvoja omrežja cevovodov za CO</w:t>
      </w:r>
      <w:r>
        <w:rPr>
          <w:rFonts w:ascii="Times New Roman" w:hAnsi="Times New Roman"/>
          <w:noProof/>
          <w:vertAlign w:val="subscript"/>
        </w:rPr>
        <w:t>2</w:t>
      </w:r>
      <w:r>
        <w:rPr>
          <w:rFonts w:ascii="Times New Roman" w:hAnsi="Times New Roman"/>
          <w:noProof/>
        </w:rPr>
        <w:t xml:space="preserve">, nekatere države članice pa so napredek dosegle tudi pri vzpostavljanju potrebnega regulativnega in omogočitvenega okvira za upravljanje industrijskega ogljika. </w:t>
      </w:r>
    </w:p>
    <w:p w14:paraId="07E22D4D" w14:textId="2AF2D655"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Kar zadeva prilagajanje, so države članice priporočila Komisije obravnavale le delno. </w:t>
      </w:r>
      <w:r>
        <w:rPr>
          <w:rFonts w:ascii="Times New Roman" w:hAnsi="Times New Roman"/>
          <w:noProof/>
        </w:rPr>
        <w:t>To je zelo zaskrbljujoče glede na ugotovitve iz poročila Evropske agencije za okolje iz marca 2024 z naslovom „Evropska ocena podnebnih tveganj (EUCRA)“</w:t>
      </w:r>
      <w:r w:rsidRPr="005E019D">
        <w:rPr>
          <w:rFonts w:ascii="Times New Roman" w:eastAsia="Yu Mincho" w:hAnsi="Times New Roman" w:cs="Times New Roman"/>
          <w:noProof/>
          <w:kern w:val="0"/>
          <w:vertAlign w:val="superscript"/>
          <w:lang w:val="en-GB"/>
        </w:rPr>
        <w:footnoteReference w:id="28"/>
      </w:r>
      <w:r>
        <w:rPr>
          <w:rFonts w:ascii="Times New Roman" w:hAnsi="Times New Roman"/>
          <w:noProof/>
        </w:rPr>
        <w:t>, v katerem je bilo ugotovljeno, da EU in države članice ne dohajajo naraščajočih podnebnih tveganj. V poročilu predsednika Niinistöja iz oktobra 2024</w:t>
      </w:r>
      <w:r w:rsidRPr="005E019D">
        <w:rPr>
          <w:rFonts w:ascii="Times New Roman" w:eastAsia="Yu Mincho" w:hAnsi="Times New Roman" w:cs="Times New Roman"/>
          <w:noProof/>
          <w:kern w:val="0"/>
          <w:vertAlign w:val="superscript"/>
          <w:lang w:val="en-GB"/>
        </w:rPr>
        <w:footnoteReference w:id="29"/>
      </w:r>
      <w:r>
        <w:rPr>
          <w:rFonts w:ascii="Times New Roman" w:hAnsi="Times New Roman"/>
          <w:noProof/>
        </w:rPr>
        <w:t xml:space="preserve"> je navedeno, da so podnebne spremembe multiplikator tveganja, in poudarjeno, da je treba vključiti načelo „vgrajene pripravljenosti“, da bi vse grožnje reševali celostno. </w:t>
      </w:r>
    </w:p>
    <w:p w14:paraId="0AF096C0" w14:textId="41154309"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Kljub temu pa le peščica končnih načrtov</w:t>
      </w:r>
      <w:r w:rsidRPr="005E019D">
        <w:rPr>
          <w:rFonts w:ascii="Times New Roman" w:eastAsia="Yu Mincho" w:hAnsi="Times New Roman" w:cs="Times New Roman"/>
          <w:b/>
          <w:noProof/>
          <w:kern w:val="0"/>
          <w:vertAlign w:val="superscript"/>
          <w:lang w:val="en-GB"/>
        </w:rPr>
        <w:footnoteReference w:id="30"/>
      </w:r>
      <w:r>
        <w:rPr>
          <w:rFonts w:ascii="Times New Roman" w:hAnsi="Times New Roman"/>
          <w:b/>
          <w:noProof/>
        </w:rPr>
        <w:t xml:space="preserve"> ustrezno vključuje politike in ukrepe prilagajanja v različne razsežnosti energetske unije</w:t>
      </w:r>
      <w:r>
        <w:rPr>
          <w:rFonts w:ascii="Times New Roman" w:hAnsi="Times New Roman"/>
          <w:noProof/>
        </w:rPr>
        <w:t>. V številnih primerih načrti vključujejo navzkrižna sklicevanja na nacionalne strategije in načrte za prilagajanje. V drugih načrtih so vidiki prilagajanja in povezave upoštevani le delno, manjkajo pa tudi kvantitativne meritve potreb po prilagajanju ter učinkov in koristi politik prilagajanja. Informacije o podnebnih ranljivostih in tveganjih za energetsko unijo so pogosto pomanjkljive. Nekateri načrti obravnavajo posledice podnebnih sprememb na prihodnjo razpoložljivost vode in z njo povezana tveganja za energetski sektor</w:t>
      </w:r>
      <w:r w:rsidRPr="005E019D">
        <w:rPr>
          <w:rFonts w:ascii="Times New Roman" w:eastAsia="Yu Mincho" w:hAnsi="Times New Roman" w:cs="Times New Roman"/>
          <w:noProof/>
          <w:kern w:val="0"/>
          <w:vertAlign w:val="superscript"/>
          <w:lang w:val="en-GB"/>
        </w:rPr>
        <w:footnoteReference w:id="31"/>
      </w:r>
      <w:r>
        <w:rPr>
          <w:rFonts w:ascii="Times New Roman" w:hAnsi="Times New Roman"/>
          <w:noProof/>
        </w:rPr>
        <w:t xml:space="preserve"> (na primer tveganja nezadostne ali motene oskrbe z vodo za proizvodnjo električne energije iz hidroelektrarn in čistega vodika ter za hlajenje elektrarn, vključno z jedrskimi elektrarnami). Le omejeno število držav članic je določilo pomembne dodatne politike prilagajanja in prilagoditvene ukrepe</w:t>
      </w:r>
      <w:r w:rsidRPr="005E019D">
        <w:rPr>
          <w:rFonts w:ascii="Times New Roman" w:eastAsia="Yu Mincho" w:hAnsi="Times New Roman" w:cs="Times New Roman"/>
          <w:noProof/>
          <w:kern w:val="0"/>
          <w:vertAlign w:val="superscript"/>
          <w:lang w:val="en-GB"/>
        </w:rPr>
        <w:footnoteReference w:id="32"/>
      </w:r>
      <w:r>
        <w:rPr>
          <w:rFonts w:ascii="Times New Roman" w:hAnsi="Times New Roman"/>
          <w:noProof/>
        </w:rPr>
        <w:t>.</w:t>
      </w:r>
      <w:r>
        <w:rPr>
          <w:rFonts w:ascii="Times New Roman" w:hAnsi="Times New Roman"/>
          <w:i/>
          <w:noProof/>
        </w:rPr>
        <w:t xml:space="preserve"> </w:t>
      </w:r>
      <w:r>
        <w:rPr>
          <w:rFonts w:ascii="Times New Roman" w:hAnsi="Times New Roman"/>
          <w:noProof/>
        </w:rPr>
        <w:t xml:space="preserve">Čeprav je v nekaterih primerih priznana vloga sonaravnih rešitev, obstaja neizkoriščen potencial za spodbujanje njihove uporabe v podporo ciljem energetske unije. </w:t>
      </w:r>
    </w:p>
    <w:p w14:paraId="4AD40AEE" w14:textId="77777777" w:rsidR="005E019D" w:rsidRPr="005E019D" w:rsidRDefault="005E019D" w:rsidP="005E019D">
      <w:pPr>
        <w:spacing w:before="120" w:after="120" w:line="264" w:lineRule="auto"/>
        <w:jc w:val="both"/>
        <w:rPr>
          <w:rFonts w:ascii="Times New Roman" w:eastAsia="Yu Mincho" w:hAnsi="Times New Roman" w:cs="Times New Roman"/>
          <w:noProof/>
          <w:kern w:val="0"/>
          <w:lang w:val="en-GB"/>
          <w14:ligatures w14:val="none"/>
        </w:rPr>
      </w:pPr>
    </w:p>
    <w:p w14:paraId="43B43BBB" w14:textId="77777777" w:rsidR="005E019D" w:rsidRPr="005E019D" w:rsidRDefault="005E019D" w:rsidP="005E019D">
      <w:pPr>
        <w:spacing w:before="120" w:after="120" w:line="264" w:lineRule="auto"/>
        <w:jc w:val="both"/>
        <w:rPr>
          <w:rFonts w:ascii="Times New Roman" w:eastAsia="Yu Mincho" w:hAnsi="Times New Roman" w:cs="Times New Roman"/>
          <w:i/>
          <w:iCs/>
          <w:noProof/>
          <w:kern w:val="0"/>
          <w:lang w:val="en-GB"/>
          <w14:ligatures w14:val="none"/>
        </w:rPr>
      </w:pPr>
    </w:p>
    <w:p w14:paraId="746444A8"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b/>
          <w:i/>
          <w:noProof/>
          <w:color w:val="000000"/>
          <w:kern w:val="0"/>
          <w14:ligatures w14:val="none"/>
        </w:rPr>
      </w:pPr>
      <w:r>
        <w:rPr>
          <w:rFonts w:ascii="Times New Roman" w:hAnsi="Times New Roman"/>
          <w:b/>
          <w:i/>
          <w:noProof/>
          <w:color w:val="000000"/>
        </w:rPr>
        <w:t>Pot naprej</w:t>
      </w:r>
    </w:p>
    <w:p w14:paraId="45AAC50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i/>
          <w:noProof/>
          <w:color w:val="000000"/>
          <w:kern w:val="0"/>
          <w14:ligatures w14:val="none"/>
        </w:rPr>
      </w:pPr>
      <w:r>
        <w:rPr>
          <w:rFonts w:ascii="Times New Roman" w:hAnsi="Times New Roman"/>
          <w:i/>
          <w:noProof/>
          <w:color w:val="000000"/>
        </w:rPr>
        <w:t>Kljub znatnemu izboljšanju v primerjavi z osnutki načrtov še vedno obstaja vrzel pri doseganju ciljev do leta 2030 iz uredbe o porazdelitvi prizadevanj in ciljev LULUCF. Potrebni so dodatni ukrepi za doseganje ciljev in okrepitev prizadevanj za prilagajanje podnebnim spremembam.</w:t>
      </w:r>
    </w:p>
    <w:p w14:paraId="4356BD2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Komisija bo še naprej sodelovala v konstruktivnem dialogu z državami članicami in jih še naprej podpirala, da bi olajšala izvajanje in po potrebi okrepila ambicije</w:t>
      </w:r>
      <w:r>
        <w:rPr>
          <w:rFonts w:ascii="Times New Roman" w:hAnsi="Times New Roman"/>
          <w:noProof/>
          <w:color w:val="000000"/>
        </w:rPr>
        <w:t xml:space="preserve">. Komisija bo vsako leto spremljala napredek pri doseganju ciljev iz uredbe o porazdelitvi prizadevanj in ciljev LULUCF, pri čemer bo po potrebi uporabila orodja, kot je zahteva po načrtu popravljalnih ukrepov. </w:t>
      </w:r>
    </w:p>
    <w:p w14:paraId="71A409F6" w14:textId="2F15B358"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 xml:space="preserve">Države članice, ki niso na dobri poti, da bi dosegle svoje cilje iz uredbe o porazdelitvi prizadevanj, se spodbuja, </w:t>
      </w:r>
      <w:r w:rsidR="00305ED2">
        <w:rPr>
          <w:rFonts w:ascii="Times New Roman" w:hAnsi="Times New Roman"/>
          <w:b/>
          <w:noProof/>
          <w:color w:val="000000"/>
        </w:rPr>
        <w:t>da</w:t>
      </w:r>
      <w:r>
        <w:rPr>
          <w:rFonts w:ascii="Times New Roman" w:hAnsi="Times New Roman"/>
          <w:b/>
          <w:noProof/>
          <w:color w:val="000000"/>
        </w:rPr>
        <w:t xml:space="preserve"> razvijejo trdno strategijo za združevanje dodatnih ukrepov z uporabo razpoložljivih prožnosti</w:t>
      </w:r>
      <w:r>
        <w:rPr>
          <w:rFonts w:ascii="Times New Roman" w:hAnsi="Times New Roman"/>
          <w:noProof/>
          <w:color w:val="000000"/>
        </w:rPr>
        <w:t xml:space="preserve">. Vse države članice bi morale hitro začeti izvajati ETS2, da bi zagotovile stroškovno učinkovito zmanjšanje emisij iz </w:t>
      </w:r>
      <w:r>
        <w:rPr>
          <w:rFonts w:ascii="Times New Roman" w:hAnsi="Times New Roman"/>
          <w:b/>
          <w:noProof/>
          <w:color w:val="000000"/>
        </w:rPr>
        <w:t>cestnega prometa in stavb</w:t>
      </w:r>
      <w:r>
        <w:rPr>
          <w:rFonts w:ascii="Times New Roman" w:hAnsi="Times New Roman"/>
          <w:noProof/>
          <w:color w:val="000000"/>
        </w:rPr>
        <w:t xml:space="preserve"> ter pospešile dopolnilne nacionalne ukrepe za razogljičenje teh sektorjev. Ključni elementi za prometni sektor vključujejo elektrifikacijo in uvedbo infrastrukture, upravljanje povpraševanja, povečanje uporabe javnega in skupnega prevoza ter aktivne/nemotorizirane</w:t>
      </w:r>
      <w:r>
        <w:rPr>
          <w:rFonts w:ascii="Times New Roman" w:hAnsi="Times New Roman"/>
          <w:b/>
          <w:noProof/>
          <w:color w:val="000000"/>
        </w:rPr>
        <w:t xml:space="preserve"> </w:t>
      </w:r>
      <w:r>
        <w:rPr>
          <w:rFonts w:ascii="Times New Roman" w:hAnsi="Times New Roman"/>
          <w:noProof/>
          <w:color w:val="000000"/>
        </w:rPr>
        <w:t xml:space="preserve">mobilnosti. </w:t>
      </w:r>
    </w:p>
    <w:p w14:paraId="3D1F1F6C" w14:textId="5F68D906"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Države članice bi morale tudi še naprej zmanjševati emisije iz letalskega in pomorskega prometa. V ta namen bi morale podpirati proizvodnjo obnovljivih in nizkoogljičnih pomorskih goriv ter trajnostnih letalskih goriv</w:t>
      </w:r>
      <w:r w:rsidRPr="00305ED2">
        <w:rPr>
          <w:noProof/>
          <w:color w:val="000000"/>
          <w:kern w:val="0"/>
          <w:vertAlign w:val="superscript"/>
        </w:rPr>
        <w:footnoteReference w:id="33"/>
      </w:r>
      <w:r w:rsidR="00305ED2">
        <w:rPr>
          <w:rFonts w:ascii="Times New Roman" w:hAnsi="Times New Roman"/>
          <w:noProof/>
          <w:color w:val="000000"/>
        </w:rPr>
        <w:t xml:space="preserve"> </w:t>
      </w:r>
      <w:r>
        <w:rPr>
          <w:rFonts w:ascii="Times New Roman" w:hAnsi="Times New Roman"/>
          <w:noProof/>
          <w:color w:val="000000"/>
        </w:rPr>
        <w:t>in vlagati v infrastrukturo za prihodnje brezemisijske zrakoplove in elektrifikacijo delovanja pristanišč in letališč.</w:t>
      </w:r>
    </w:p>
    <w:p w14:paraId="6E055237"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Države članice bi morale nujno dopolniti svoje zemljiške, biogospodarske in energetske politike</w:t>
      </w:r>
      <w:r>
        <w:rPr>
          <w:rFonts w:ascii="Times New Roman" w:hAnsi="Times New Roman"/>
          <w:noProof/>
          <w:color w:val="000000"/>
        </w:rPr>
        <w:t xml:space="preserve">, da bi dosegle bolj trajnostno raven pridobivanja in večje neto odvzeme v kmetijstvu in gozdarstvu ob upoštevanju krožnosti. Bolj ciljno usmerjena uporaba javnih sredstev, kot sta skupna kmetijska politika ali državna pomoč, bi lahko podprla uporabo boljših tehnologij spremljanja in praks gospodarjenja z zemljišči, ki dosegajo največje podnebne koristi, spodbujajo sonaravne rešitve, krepijo odpornost proti podnebnim spremembam ter tako ščitijo prehransko varnost in biotsko raznovrstnost. </w:t>
      </w:r>
    </w:p>
    <w:p w14:paraId="5D2FFBF8" w14:textId="757436AE"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Države članice bi lahko razmislile tudi o tržnih pristopih na podlagi uredbe EU o okviru Unije za certificiranje trajnih odvzemov ogljika, gospodarjenja z ogljikom in shranjevanja ogljika v izdelkih</w:t>
      </w:r>
      <w:r w:rsidRPr="005E019D">
        <w:rPr>
          <w:rFonts w:ascii="Times New Roman" w:eastAsia="Times New Roman" w:hAnsi="Times New Roman" w:cs="Times New Roman"/>
          <w:noProof/>
          <w:color w:val="000000"/>
          <w:kern w:val="0"/>
          <w:vertAlign w:val="superscript"/>
          <w:lang w:val="en-GB"/>
        </w:rPr>
        <w:footnoteReference w:id="34"/>
      </w:r>
      <w:r>
        <w:rPr>
          <w:rFonts w:ascii="Times New Roman" w:hAnsi="Times New Roman"/>
          <w:noProof/>
          <w:color w:val="000000"/>
        </w:rPr>
        <w:t xml:space="preserve">. Komisija bo leta 2025 sprejela </w:t>
      </w:r>
      <w:r>
        <w:rPr>
          <w:rFonts w:ascii="Times New Roman" w:hAnsi="Times New Roman"/>
          <w:b/>
          <w:noProof/>
          <w:color w:val="000000"/>
        </w:rPr>
        <w:t>metodologije gospodarjenja z ogljikom v kmetijstvu</w:t>
      </w:r>
      <w:r>
        <w:rPr>
          <w:rFonts w:ascii="Times New Roman" w:hAnsi="Times New Roman"/>
          <w:noProof/>
          <w:color w:val="000000"/>
        </w:rPr>
        <w:t xml:space="preserve"> v skladu s to uredbo, da bi še naprej spodbujala trajnostne zemljiške politike, ki koristijo biotski raznovrstnosti. </w:t>
      </w:r>
    </w:p>
    <w:p w14:paraId="14E239D4"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Bolj trajnostna proizvodnja in učinkovitejša raba biomase sta ključna gradnika prihajajoče nove </w:t>
      </w:r>
      <w:r>
        <w:rPr>
          <w:rFonts w:ascii="Times New Roman" w:hAnsi="Times New Roman"/>
          <w:b/>
          <w:noProof/>
          <w:color w:val="000000"/>
        </w:rPr>
        <w:t>strategije EU za biogospodarstvo</w:t>
      </w:r>
      <w:r>
        <w:rPr>
          <w:rFonts w:ascii="Times New Roman" w:hAnsi="Times New Roman"/>
          <w:noProof/>
          <w:color w:val="000000"/>
        </w:rPr>
        <w:t xml:space="preserve"> (ki naj bi bila sprejeta do konca leta 2025). Izboljšano in bolj racionalizirano spremljanje biomase bi bilo orodje, ki bi omogočilo uresničitev tega cilja.</w:t>
      </w:r>
    </w:p>
    <w:p w14:paraId="45D14099" w14:textId="30CA0E7B" w:rsidR="005E019D" w:rsidRPr="00305ED2"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hAnsi="Times New Roman"/>
          <w:b/>
          <w:noProof/>
          <w:color w:val="000000"/>
        </w:rPr>
      </w:pPr>
      <w:r>
        <w:rPr>
          <w:rFonts w:ascii="Times New Roman" w:hAnsi="Times New Roman"/>
          <w:b/>
          <w:noProof/>
          <w:color w:val="000000"/>
        </w:rPr>
        <w:t>Države članice spodbuja</w:t>
      </w:r>
      <w:r w:rsidR="00305ED2">
        <w:rPr>
          <w:rFonts w:ascii="Times New Roman" w:hAnsi="Times New Roman"/>
          <w:b/>
          <w:noProof/>
          <w:color w:val="000000"/>
        </w:rPr>
        <w:t>mo</w:t>
      </w:r>
      <w:r>
        <w:rPr>
          <w:rFonts w:ascii="Times New Roman" w:hAnsi="Times New Roman"/>
          <w:b/>
          <w:noProof/>
          <w:color w:val="000000"/>
        </w:rPr>
        <w:t>, da izboljšajo ocenjevanje podnebnih ranljivosti in tveganj</w:t>
      </w:r>
      <w:r>
        <w:rPr>
          <w:rFonts w:ascii="Times New Roman" w:hAnsi="Times New Roman"/>
          <w:noProof/>
          <w:color w:val="000000"/>
        </w:rPr>
        <w:t>, vključno s prepoznavanjem nosilcev odgovornosti za tveganja v povezanih sektorskih politikah ter upoštevanjem kaskadnih in sestavljenih tveganj v skladu s poročilom EUCRA. Podnebni scenariji in ocene tveganja morajo prispevati k načrtovanju naložb in ukrepov, povezanih z energijo in vodo.</w:t>
      </w:r>
    </w:p>
    <w:p w14:paraId="07A80B79" w14:textId="7816ED2E"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Države članice spodbuja</w:t>
      </w:r>
      <w:r w:rsidR="00305ED2">
        <w:rPr>
          <w:rFonts w:ascii="Times New Roman" w:hAnsi="Times New Roman"/>
          <w:b/>
          <w:noProof/>
          <w:color w:val="000000"/>
        </w:rPr>
        <w:t>mo</w:t>
      </w:r>
      <w:r>
        <w:rPr>
          <w:rFonts w:ascii="Times New Roman" w:hAnsi="Times New Roman"/>
          <w:b/>
          <w:noProof/>
          <w:color w:val="000000"/>
        </w:rPr>
        <w:t>, da</w:t>
      </w:r>
      <w:r>
        <w:rPr>
          <w:rFonts w:ascii="Times New Roman" w:hAnsi="Times New Roman"/>
          <w:noProof/>
          <w:color w:val="000000"/>
        </w:rPr>
        <w:t xml:space="preserve"> pri pripravi prihodnjih</w:t>
      </w:r>
      <w:r>
        <w:rPr>
          <w:rFonts w:ascii="Times New Roman" w:hAnsi="Times New Roman"/>
          <w:b/>
          <w:noProof/>
          <w:color w:val="000000"/>
        </w:rPr>
        <w:t xml:space="preserve"> načrtov za obnovo narave</w:t>
      </w:r>
      <w:r>
        <w:rPr>
          <w:rFonts w:ascii="Times New Roman" w:hAnsi="Times New Roman"/>
          <w:noProof/>
          <w:color w:val="000000"/>
        </w:rPr>
        <w:t xml:space="preserve"> z ukrepi za blažitev podnebnih sprememb in prilagajanje nanje </w:t>
      </w:r>
      <w:r>
        <w:rPr>
          <w:rFonts w:ascii="Times New Roman" w:hAnsi="Times New Roman"/>
          <w:b/>
          <w:noProof/>
          <w:color w:val="000000"/>
        </w:rPr>
        <w:t>okrepijo svoja prizadevanja za opredelitev sinergij</w:t>
      </w:r>
      <w:r>
        <w:rPr>
          <w:rFonts w:ascii="Times New Roman" w:hAnsi="Times New Roman"/>
          <w:noProof/>
          <w:color w:val="000000"/>
        </w:rPr>
        <w:t xml:space="preserve"> ter ustrezno prednostno razvrstijo izvajanje ukrepov.</w:t>
      </w:r>
    </w:p>
    <w:p w14:paraId="54CCC4E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Komisija bo leta 2026 predstavila </w:t>
      </w:r>
      <w:r>
        <w:rPr>
          <w:rFonts w:ascii="Times New Roman" w:hAnsi="Times New Roman"/>
          <w:b/>
          <w:noProof/>
          <w:color w:val="000000"/>
        </w:rPr>
        <w:t>evropski načrt za prilagajanje podnebnim spremembam</w:t>
      </w:r>
      <w:r>
        <w:rPr>
          <w:rFonts w:ascii="Times New Roman" w:hAnsi="Times New Roman"/>
          <w:noProof/>
          <w:color w:val="000000"/>
        </w:rPr>
        <w:t>, da bi države članice podprla zlasti pri pripravljenosti in načrtovanju ter zagotovila redne znanstveno utemeljene ocene tveganja.</w:t>
      </w:r>
    </w:p>
    <w:p w14:paraId="4EAB72C4"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Z izvajanjem dogovora o čisti industriji in strategije za industrijsko upravljanje ogljika</w:t>
      </w:r>
      <w:r w:rsidRPr="00305ED2">
        <w:rPr>
          <w:noProof/>
          <w:color w:val="000000"/>
          <w:kern w:val="0"/>
          <w:vertAlign w:val="superscript"/>
          <w:lang w:val="en-GB"/>
        </w:rPr>
        <w:footnoteReference w:id="35"/>
      </w:r>
      <w:r>
        <w:rPr>
          <w:rFonts w:ascii="Times New Roman" w:hAnsi="Times New Roman"/>
          <w:noProof/>
          <w:color w:val="000000"/>
        </w:rPr>
        <w:t xml:space="preserve"> bo Komisija še naprej podpirala</w:t>
      </w:r>
      <w:r>
        <w:rPr>
          <w:rFonts w:ascii="Times New Roman" w:hAnsi="Times New Roman"/>
          <w:b/>
          <w:noProof/>
          <w:color w:val="000000"/>
        </w:rPr>
        <w:t xml:space="preserve"> razvoj trga za zajeti CO</w:t>
      </w:r>
      <w:r>
        <w:rPr>
          <w:rFonts w:ascii="Times New Roman" w:hAnsi="Times New Roman"/>
          <w:b/>
          <w:noProof/>
          <w:color w:val="000000"/>
          <w:vertAlign w:val="subscript"/>
        </w:rPr>
        <w:t>2</w:t>
      </w:r>
      <w:r>
        <w:rPr>
          <w:rFonts w:ascii="Times New Roman" w:hAnsi="Times New Roman"/>
          <w:noProof/>
          <w:color w:val="000000"/>
        </w:rPr>
        <w:t>. Države članice se spodbuja k pospeševanju razvoja infrastrukture za shranjevanje in transport CO</w:t>
      </w:r>
      <w:r>
        <w:rPr>
          <w:rFonts w:ascii="Times New Roman" w:hAnsi="Times New Roman"/>
          <w:noProof/>
          <w:color w:val="000000"/>
          <w:vertAlign w:val="subscript"/>
        </w:rPr>
        <w:t>2</w:t>
      </w:r>
      <w:r>
        <w:rPr>
          <w:rFonts w:ascii="Times New Roman" w:hAnsi="Times New Roman"/>
          <w:noProof/>
          <w:color w:val="000000"/>
        </w:rPr>
        <w:t xml:space="preserve"> za doseganje ciljev akta o neto ničelni industriji. </w:t>
      </w:r>
    </w:p>
    <w:p w14:paraId="225EABA9"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Banka za razogljičenje industrije</w:t>
      </w:r>
      <w:r>
        <w:rPr>
          <w:rFonts w:ascii="Times New Roman" w:hAnsi="Times New Roman"/>
          <w:noProof/>
          <w:color w:val="000000"/>
        </w:rPr>
        <w:t>, cilj katere je financiranje v višini 100 milijard EUR, bo ključnega pomena tudi za naložbe EU v inovacije in čiste tehnologije, saj bo podpirala razogljičenje ključnih industrijskih procesov v različnih sektorjih.</w:t>
      </w:r>
    </w:p>
    <w:p w14:paraId="24EC3FCC" w14:textId="338C418C"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Države članice </w:t>
      </w:r>
      <w:r w:rsidR="00305ED2">
        <w:rPr>
          <w:rFonts w:ascii="Times New Roman" w:hAnsi="Times New Roman"/>
          <w:noProof/>
          <w:color w:val="000000"/>
        </w:rPr>
        <w:t>spodbujamo, da</w:t>
      </w:r>
      <w:r>
        <w:rPr>
          <w:rFonts w:ascii="Times New Roman" w:hAnsi="Times New Roman"/>
          <w:noProof/>
          <w:color w:val="000000"/>
        </w:rPr>
        <w:t xml:space="preserve"> pri izvajanju NEPN dodatno upoštevajo kompromise in sinergije načrtovanih ukrepov s prednostnimi nalogami na področju okolja, kot sta onesnaževanje zraka in krožnost. </w:t>
      </w:r>
    </w:p>
    <w:p w14:paraId="165840F1" w14:textId="77777777" w:rsidR="005E019D" w:rsidRPr="005E019D" w:rsidRDefault="005E019D" w:rsidP="005E019D">
      <w:pPr>
        <w:spacing w:after="120" w:line="264" w:lineRule="auto"/>
        <w:rPr>
          <w:rFonts w:ascii="Times New Roman" w:eastAsia="Yu Mincho" w:hAnsi="Times New Roman" w:cs="Times New Roman"/>
          <w:noProof/>
          <w:kern w:val="0"/>
          <w:lang w:val="en-GB"/>
          <w14:ligatures w14:val="none"/>
        </w:rPr>
      </w:pPr>
    </w:p>
    <w:p w14:paraId="52C00A22"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Energija iz obnovljivih virov</w:t>
      </w:r>
    </w:p>
    <w:p w14:paraId="2C51971D" w14:textId="77777777" w:rsidR="005E019D" w:rsidRPr="005E019D" w:rsidRDefault="005E019D" w:rsidP="005E019D">
      <w:pPr>
        <w:spacing w:before="120" w:after="120" w:line="264" w:lineRule="auto"/>
        <w:jc w:val="both"/>
        <w:rPr>
          <w:rFonts w:ascii="Times New Roman" w:eastAsia="Yu Mincho" w:hAnsi="Times New Roman" w:cs="Times New Roman"/>
          <w:b/>
          <w:noProof/>
          <w:kern w:val="0"/>
          <w14:ligatures w14:val="none"/>
        </w:rPr>
      </w:pPr>
      <w:r>
        <w:rPr>
          <w:rFonts w:ascii="Times New Roman" w:hAnsi="Times New Roman"/>
          <w:b/>
          <w:noProof/>
        </w:rPr>
        <w:t>Kot je navedeno v kompasu za konkurenčnost, je EU strateško naravnana tako, da ohrani vodilno vlogo na področju energije iz obnovljivih virov na svetovni ravni, vendar mora zagotoviti, da ambiciozno povpraševanje po razogljičenju ustreza vodilnemu položaju na področju tehnologij, ki jo bodo oskrbovale</w:t>
      </w:r>
      <w:r w:rsidRPr="005E019D">
        <w:rPr>
          <w:rFonts w:ascii="Times New Roman" w:eastAsia="Yu Mincho" w:hAnsi="Times New Roman" w:cs="Times New Roman"/>
          <w:b/>
          <w:noProof/>
          <w:kern w:val="0"/>
          <w:vertAlign w:val="superscript"/>
        </w:rPr>
        <w:footnoteReference w:id="36"/>
      </w:r>
      <w:r>
        <w:rPr>
          <w:rFonts w:ascii="Times New Roman" w:hAnsi="Times New Roman"/>
          <w:b/>
          <w:noProof/>
        </w:rPr>
        <w:t>.</w:t>
      </w:r>
    </w:p>
    <w:p w14:paraId="511F086E"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EU je zavezana vsaj 42,5-odstotnemu cilju glede energije iz obnovljivih virov, pri čemer si želi do leta 2030 doseči 45 %.</w:t>
      </w:r>
      <w:r>
        <w:rPr>
          <w:rFonts w:ascii="Times New Roman" w:hAnsi="Times New Roman"/>
          <w:b/>
          <w:noProof/>
        </w:rPr>
        <w:t xml:space="preserve"> </w:t>
      </w:r>
      <w:r>
        <w:rPr>
          <w:rFonts w:ascii="Times New Roman" w:hAnsi="Times New Roman"/>
          <w:noProof/>
        </w:rPr>
        <w:t xml:space="preserve">Ta cilj ni le steber evropskega zelenega dogovora, temveč je tudi osrednjega pomena za izvajanje akcijskega načrta Komisije za cenovno dostopno energijo. EU želi s pospešitvijo uvajanja obnovljivih virov energije zaščititi potrošnike pred nestanovitnimi cenami fosilnih goriv, dolgoročno znižati račune za energijo in okrepiti svojo energetsko suverenost. </w:t>
      </w:r>
    </w:p>
    <w:p w14:paraId="2E933615" w14:textId="033108F8"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bookmarkStart w:id="5" w:name="_Hlk193882336"/>
      <w:bookmarkEnd w:id="5"/>
      <w:r>
        <w:rPr>
          <w:rFonts w:ascii="Times New Roman" w:hAnsi="Times New Roman"/>
          <w:noProof/>
        </w:rPr>
        <w:t>Med letoma 2022 in 2024 so države članice namestile približno 205 GW</w:t>
      </w:r>
      <w:r w:rsidRPr="005E019D">
        <w:rPr>
          <w:rFonts w:ascii="Times New Roman" w:eastAsia="Yu Mincho" w:hAnsi="Times New Roman" w:cs="Times New Roman"/>
          <w:noProof/>
          <w:kern w:val="0"/>
          <w:vertAlign w:val="superscript"/>
        </w:rPr>
        <w:footnoteReference w:id="37"/>
      </w:r>
      <w:r>
        <w:rPr>
          <w:rFonts w:ascii="Times New Roman" w:hAnsi="Times New Roman"/>
          <w:noProof/>
        </w:rPr>
        <w:t xml:space="preserve"> zmogljivosti za proizvodnjo električne energije iz obnovljivih virov, kar je več kot povečanje med letoma 2014 in 2022, dokazuje pa politično voljo za preoblikovanje energetskega sistema, zmanjšanje strateških odvisnosti ter spodbujanje trajnostne gospodarske rasti in inovacij. Obnovljivi viri energije niso nujni le z vidika podnebja. So ključni vzvod za zagotavljanje cenovno dostopne, varne in domače energije za vse Evropejce. Odjemalci električne energije v EU naj bi v obdobju 2021–2023 po zaslugi dodatne proizvodnje električne energije iz novih nameščenih fotovoltaičnih in vetrnih zmogljivosti po ocenah prihranili 100 milijard EUR. Prispevki, ki so jih predlagale države članice, kažejo močno zavezanost uvajanju obnovljivih virov energije, vendar </w:t>
      </w:r>
      <w:r>
        <w:rPr>
          <w:rFonts w:ascii="Times New Roman" w:hAnsi="Times New Roman"/>
          <w:b/>
          <w:noProof/>
        </w:rPr>
        <w:t>kažejo na 41-odstotni</w:t>
      </w:r>
      <w:r w:rsidRPr="005E019D">
        <w:rPr>
          <w:rFonts w:ascii="Times New Roman" w:eastAsia="Yu Mincho" w:hAnsi="Times New Roman" w:cs="Times New Roman"/>
          <w:noProof/>
          <w:kern w:val="0"/>
          <w:vertAlign w:val="superscript"/>
          <w:lang w:val="en-US"/>
        </w:rPr>
        <w:footnoteReference w:id="38"/>
      </w:r>
      <w:r>
        <w:rPr>
          <w:rFonts w:ascii="Times New Roman" w:hAnsi="Times New Roman"/>
          <w:noProof/>
        </w:rPr>
        <w:t xml:space="preserve"> </w:t>
      </w:r>
      <w:r>
        <w:rPr>
          <w:rFonts w:ascii="Times New Roman" w:hAnsi="Times New Roman"/>
          <w:b/>
          <w:noProof/>
        </w:rPr>
        <w:t>delež energije iz obnovljivih virov</w:t>
      </w:r>
      <w:r w:rsidRPr="005E019D">
        <w:rPr>
          <w:rFonts w:ascii="Times New Roman" w:eastAsia="Yu Mincho" w:hAnsi="Times New Roman" w:cs="Times New Roman"/>
          <w:noProof/>
          <w:kern w:val="0"/>
          <w:vertAlign w:val="superscript"/>
          <w:lang w:val="en-US"/>
        </w:rPr>
        <w:footnoteReference w:id="39"/>
      </w:r>
      <w:r>
        <w:rPr>
          <w:rFonts w:ascii="Times New Roman" w:hAnsi="Times New Roman"/>
          <w:b/>
          <w:noProof/>
        </w:rPr>
        <w:t xml:space="preserve"> </w:t>
      </w:r>
      <w:r>
        <w:rPr>
          <w:rFonts w:ascii="Times New Roman" w:hAnsi="Times New Roman"/>
          <w:noProof/>
        </w:rPr>
        <w:t xml:space="preserve">v bruto porabi končne energije do leta 2030. </w:t>
      </w:r>
      <w:r>
        <w:rPr>
          <w:rFonts w:ascii="Times New Roman" w:hAnsi="Times New Roman"/>
          <w:b/>
          <w:noProof/>
        </w:rPr>
        <w:t>Hkrati</w:t>
      </w:r>
      <w:r>
        <w:rPr>
          <w:rFonts w:ascii="Times New Roman" w:hAnsi="Times New Roman"/>
          <w:noProof/>
        </w:rPr>
        <w:t xml:space="preserve"> bolj optimistična ocena, ki temelji na projekcijah držav članic, kaže, da bi lahko EU dosegla 42,6 %, kar kaže na potencial, da lahko gre še dlje. </w:t>
      </w:r>
    </w:p>
    <w:p w14:paraId="608EA077" w14:textId="77777777" w:rsidR="005E019D" w:rsidRPr="005E019D" w:rsidRDefault="005E019D" w:rsidP="005E019D">
      <w:pPr>
        <w:spacing w:after="120" w:line="276" w:lineRule="auto"/>
        <w:jc w:val="both"/>
        <w:rPr>
          <w:rFonts w:ascii="Times New Roman" w:eastAsia="Times New Roman" w:hAnsi="Times New Roman" w:cs="Times New Roman"/>
          <w:noProof/>
          <w:kern w:val="0"/>
          <w14:ligatures w14:val="none"/>
        </w:rPr>
      </w:pPr>
      <w:r>
        <w:rPr>
          <w:rFonts w:ascii="Times New Roman" w:hAnsi="Times New Roman"/>
          <w:noProof/>
        </w:rPr>
        <w:t xml:space="preserve">To predstavlja </w:t>
      </w:r>
      <w:r>
        <w:rPr>
          <w:rFonts w:ascii="Times New Roman" w:hAnsi="Times New Roman"/>
          <w:b/>
          <w:noProof/>
        </w:rPr>
        <w:t xml:space="preserve">znaten napredek v primerjavi s 33,1 -odstotnim do 33,7-odstotnim </w:t>
      </w:r>
      <w:r>
        <w:rPr>
          <w:rFonts w:ascii="Times New Roman" w:hAnsi="Times New Roman"/>
          <w:noProof/>
        </w:rPr>
        <w:t xml:space="preserve">deležem obnovljivih virov energije, napovedanim v </w:t>
      </w:r>
      <w:r>
        <w:rPr>
          <w:rFonts w:ascii="Times New Roman" w:hAnsi="Times New Roman"/>
          <w:b/>
          <w:noProof/>
        </w:rPr>
        <w:t>prvotnih končnih NEPN za leto 2019</w:t>
      </w:r>
      <w:r>
        <w:rPr>
          <w:rFonts w:ascii="Times New Roman" w:hAnsi="Times New Roman"/>
          <w:noProof/>
        </w:rPr>
        <w:t xml:space="preserve">, in je tudi višji od skupnega deleža, ki izhaja iz osnutkov posodobljenih NEPN, ki naj bi bili predloženi junija 2023. Dejstvo pa je, da </w:t>
      </w:r>
      <w:r>
        <w:rPr>
          <w:rFonts w:ascii="Times New Roman" w:hAnsi="Times New Roman"/>
          <w:b/>
          <w:noProof/>
        </w:rPr>
        <w:t>čeprav sta več kot dve tretjini držav članic</w:t>
      </w:r>
      <w:r>
        <w:rPr>
          <w:rFonts w:ascii="Times New Roman" w:hAnsi="Times New Roman"/>
          <w:noProof/>
        </w:rPr>
        <w:t xml:space="preserve"> znatno povečali svoje ambicije, do cilja 42,5 % še vedno obstaja omejena vrzel v višini 1,5 odstotne točke, za njeno zapolnitev pa so potrebni nujni ukrepi</w:t>
      </w:r>
      <w:r w:rsidRPr="005E019D">
        <w:rPr>
          <w:rFonts w:ascii="Times New Roman" w:eastAsia="Yu Mincho" w:hAnsi="Times New Roman" w:cs="Times New Roman"/>
          <w:b/>
          <w:bCs/>
          <w:noProof/>
          <w:kern w:val="0"/>
          <w:vertAlign w:val="superscript"/>
          <w:lang w:val="en-GB"/>
        </w:rPr>
        <w:footnoteReference w:id="40"/>
      </w:r>
      <w:r>
        <w:rPr>
          <w:rFonts w:ascii="Times New Roman" w:hAnsi="Times New Roman"/>
          <w:noProof/>
        </w:rPr>
        <w:t>. A če bi države članice v celoti izpolnile svoje projekcije, ne bi bilo vrzeli v ambicijah pri doseganju zavezujočega 42,5-odstotnega cilja. Tudi v najboljšem primeru pa skupni prispevki še vedno ne bodo dosegli želenega 45-odstotnega cilja EU glede obnovljivih virov energije v skladu z direktivo o energiji iz obnovljivih virov</w:t>
      </w:r>
      <w:r w:rsidRPr="005E019D">
        <w:rPr>
          <w:rFonts w:ascii="Times New Roman" w:eastAsia="Times New Roman" w:hAnsi="Times New Roman" w:cs="Times New Roman"/>
          <w:noProof/>
          <w:kern w:val="0"/>
          <w:vertAlign w:val="superscript"/>
          <w:lang w:val="en-GB"/>
        </w:rPr>
        <w:footnoteReference w:id="41"/>
      </w:r>
      <w:r>
        <w:rPr>
          <w:rFonts w:ascii="Times New Roman" w:hAnsi="Times New Roman"/>
          <w:noProof/>
        </w:rPr>
        <w:t>, kakor je bila spremenjena. Zdaj je izziv, kako te projekcije uresničiti s konkretnimi ukrepi in tako zagotoviti, da bosta EU in države članice izpolnile svoje zaveze.</w:t>
      </w:r>
    </w:p>
    <w:p w14:paraId="5AAED117"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Številne države članice so predstavile ukrepe za pospešitev postopkov izdaje dovoljenj ter povečanje števila pogodb o nakupu električne energije in lastne porabe, pri čemer nekatere države opisujejo načrte za določitev območij za pospešeno uvajanje obnovljivih virov energije. </w:t>
      </w:r>
      <w:r>
        <w:rPr>
          <w:rFonts w:ascii="Times New Roman" w:hAnsi="Times New Roman"/>
          <w:b/>
          <w:noProof/>
        </w:rPr>
        <w:t>22 držav članic</w:t>
      </w:r>
      <w:r w:rsidRPr="005E019D">
        <w:rPr>
          <w:rFonts w:ascii="Times New Roman" w:eastAsia="Times New Roman" w:hAnsi="Times New Roman" w:cs="Times New Roman"/>
          <w:b/>
          <w:bCs/>
          <w:noProof/>
          <w:kern w:val="0"/>
          <w:vertAlign w:val="superscript"/>
        </w:rPr>
        <w:footnoteReference w:id="42"/>
      </w:r>
      <w:r>
        <w:rPr>
          <w:rFonts w:ascii="Times New Roman" w:hAnsi="Times New Roman"/>
          <w:b/>
          <w:noProof/>
        </w:rPr>
        <w:t xml:space="preserve"> je določilo cilj za leto 2030 za obnovljive vire energije na področju ogrevanja in hlajenja, ki je v skladu z revidirano direktivo o energiji iz obnovljivih virov</w:t>
      </w:r>
      <w:r w:rsidRPr="005E019D">
        <w:rPr>
          <w:rFonts w:ascii="Times New Roman" w:eastAsia="Times New Roman" w:hAnsi="Times New Roman" w:cs="Times New Roman"/>
          <w:noProof/>
          <w:kern w:val="0"/>
          <w:vertAlign w:val="superscript"/>
        </w:rPr>
        <w:footnoteReference w:id="43"/>
      </w:r>
      <w:r>
        <w:rPr>
          <w:rFonts w:ascii="Times New Roman" w:hAnsi="Times New Roman"/>
          <w:noProof/>
        </w:rPr>
        <w:t>. Poleg tega enajst držav članic</w:t>
      </w:r>
      <w:r w:rsidRPr="005E019D">
        <w:rPr>
          <w:rFonts w:ascii="Times New Roman" w:eastAsia="Yu Mincho" w:hAnsi="Times New Roman" w:cs="Times New Roman"/>
          <w:noProof/>
          <w:kern w:val="0"/>
          <w:vertAlign w:val="superscript"/>
        </w:rPr>
        <w:footnoteReference w:id="44"/>
      </w:r>
      <w:r>
        <w:rPr>
          <w:rFonts w:ascii="Times New Roman" w:hAnsi="Times New Roman"/>
          <w:noProof/>
        </w:rPr>
        <w:t xml:space="preserve"> vključuje poseben cilj za obnovljiva goriva nebiološkega izvora za industrijo. Prav tako so nekatere države članice navedle svoje načrtovane zmogljivosti elektrolizatorjev do leta 2030, druge pa še vedno ocenjujejo izvedljivost ciljev glede obnovljivih goriv nebiološkega izvora v industriji.</w:t>
      </w:r>
    </w:p>
    <w:p w14:paraId="7F9853B7" w14:textId="3C00A20E" w:rsidR="005E019D" w:rsidRPr="005E019D" w:rsidRDefault="005E019D" w:rsidP="005E019D">
      <w:pPr>
        <w:spacing w:before="120" w:after="120" w:line="240" w:lineRule="auto"/>
        <w:jc w:val="both"/>
        <w:rPr>
          <w:rFonts w:ascii="Times New Roman" w:eastAsia="Yu Mincho" w:hAnsi="Times New Roman" w:cs="Times New Roman"/>
          <w:noProof/>
          <w:kern w:val="0"/>
          <w14:ligatures w14:val="none"/>
        </w:rPr>
      </w:pPr>
      <w:r>
        <w:rPr>
          <w:rFonts w:ascii="Times New Roman" w:hAnsi="Times New Roman"/>
          <w:b/>
          <w:noProof/>
        </w:rPr>
        <w:t>Kar zadeva inovativne tehnologije za energijo iz obnovljivih virov, je deset držav članic</w:t>
      </w:r>
      <w:r w:rsidRPr="005E019D">
        <w:rPr>
          <w:rFonts w:ascii="Times New Roman" w:eastAsia="Yu Mincho" w:hAnsi="Times New Roman" w:cs="Times New Roman"/>
          <w:b/>
          <w:bCs/>
          <w:noProof/>
          <w:kern w:val="0"/>
          <w:vertAlign w:val="superscript"/>
          <w:lang w:val="en-GB"/>
        </w:rPr>
        <w:footnoteReference w:id="45"/>
      </w:r>
      <w:r>
        <w:rPr>
          <w:rFonts w:ascii="Times New Roman" w:hAnsi="Times New Roman"/>
          <w:b/>
          <w:noProof/>
        </w:rPr>
        <w:t xml:space="preserve"> določilo ambiciozne cilje za nove nameščene zmogljivosti do leta 2030, </w:t>
      </w:r>
      <w:r>
        <w:rPr>
          <w:rFonts w:ascii="Times New Roman" w:hAnsi="Times New Roman"/>
          <w:noProof/>
        </w:rPr>
        <w:t>namen katerih je doseči okvirni 5-odstotni cilj, določen v revidirani direktivi o energiji iz obnovljivih virov</w:t>
      </w:r>
      <w:r w:rsidRPr="005E019D">
        <w:rPr>
          <w:rFonts w:ascii="Times New Roman" w:eastAsia="Yu Mincho" w:hAnsi="Times New Roman" w:cs="Times New Roman"/>
          <w:noProof/>
          <w:kern w:val="0"/>
          <w:vertAlign w:val="superscript"/>
        </w:rPr>
        <w:footnoteReference w:id="46"/>
      </w:r>
      <w:r>
        <w:rPr>
          <w:rFonts w:ascii="Times New Roman" w:hAnsi="Times New Roman"/>
          <w:noProof/>
        </w:rPr>
        <w:t xml:space="preserve">. Čeprav je večina držav članic obravnavala priporočila Komisije o gorivu iz obnovljivih virov in bioenergiji, v načrtih še vedno ni informacij o domači oskrbi z gozdno biomaso za energetske namene, o tem, kako se bo gozdna biomasa uporabljala za proizvodnjo energije in ali države članice izpolnjujejo ustrezne obveznosti iz uredbe o LULUCF. </w:t>
      </w:r>
    </w:p>
    <w:p w14:paraId="11D0970F" w14:textId="77777777" w:rsidR="005E019D" w:rsidRPr="005E019D" w:rsidRDefault="005E019D" w:rsidP="005E019D">
      <w:pPr>
        <w:spacing w:after="0" w:line="264" w:lineRule="auto"/>
        <w:jc w:val="both"/>
        <w:rPr>
          <w:rFonts w:ascii="Times New Roman" w:eastAsia="Times New Roman" w:hAnsi="Times New Roman" w:cs="Times New Roman"/>
          <w:i/>
          <w:noProof/>
          <w:color w:val="156082"/>
          <w:kern w:val="0"/>
          <w14:ligatures w14:val="none"/>
        </w:rPr>
      </w:pPr>
      <w:r>
        <w:rPr>
          <w:rFonts w:ascii="Times New Roman" w:hAnsi="Times New Roman"/>
          <w:b/>
          <w:noProof/>
        </w:rPr>
        <w:t>Nazadnje, skoraj vse države članice</w:t>
      </w:r>
      <w:r w:rsidRPr="005E019D">
        <w:rPr>
          <w:rFonts w:ascii="Times New Roman" w:eastAsia="Yu Mincho" w:hAnsi="Times New Roman" w:cs="Times New Roman"/>
          <w:noProof/>
          <w:kern w:val="0"/>
          <w:vertAlign w:val="superscript"/>
          <w:lang w:val="en-GB"/>
        </w:rPr>
        <w:footnoteReference w:id="47"/>
      </w:r>
      <w:r>
        <w:rPr>
          <w:rFonts w:ascii="Times New Roman" w:hAnsi="Times New Roman"/>
          <w:b/>
          <w:noProof/>
        </w:rPr>
        <w:t xml:space="preserve"> so obravnavale priporočila Komisije o biometanu</w:t>
      </w:r>
      <w:r>
        <w:rPr>
          <w:rFonts w:ascii="Times New Roman" w:hAnsi="Times New Roman"/>
          <w:noProof/>
        </w:rPr>
        <w:t xml:space="preserve">, s katerim se predlagajo ukrepi za biometan in bioplin, katerih skupna letna proizvodnja naj bi po ocenah do leta 2030 znašala 25,85 milijarde kubičnih metrov. Vendar je le sedem držav članic določilo posebne, ločene cilje za biometan. Švedska predlaga finančno pomoč za biometan, vendar ne določa posebnega cilja. </w:t>
      </w:r>
    </w:p>
    <w:p w14:paraId="0A3FCC6E" w14:textId="77777777" w:rsidR="005E019D" w:rsidRPr="005E019D" w:rsidRDefault="005E019D" w:rsidP="005E019D">
      <w:pPr>
        <w:spacing w:after="0" w:line="264" w:lineRule="auto"/>
        <w:jc w:val="both"/>
        <w:rPr>
          <w:rFonts w:ascii="Times New Roman" w:eastAsia="Times New Roman" w:hAnsi="Times New Roman" w:cs="Times New Roman"/>
          <w:i/>
          <w:iCs/>
          <w:noProof/>
          <w:kern w:val="0"/>
          <w14:ligatures w14:val="none"/>
        </w:rPr>
      </w:pPr>
    </w:p>
    <w:p w14:paraId="4C92515B"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b/>
          <w:i/>
          <w:noProof/>
          <w:kern w:val="0"/>
          <w14:ligatures w14:val="none"/>
        </w:rPr>
      </w:pPr>
      <w:r>
        <w:rPr>
          <w:rFonts w:ascii="Times New Roman" w:hAnsi="Times New Roman"/>
          <w:b/>
          <w:i/>
          <w:noProof/>
        </w:rPr>
        <w:t>Pot naprej</w:t>
      </w:r>
    </w:p>
    <w:p w14:paraId="2447EF25" w14:textId="56276964"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i/>
          <w:iCs/>
          <w:noProof/>
          <w:kern w:val="0"/>
          <w14:ligatures w14:val="none"/>
        </w:rPr>
      </w:pPr>
      <w:r>
        <w:rPr>
          <w:rFonts w:ascii="Times New Roman" w:hAnsi="Times New Roman"/>
          <w:i/>
          <w:noProof/>
        </w:rPr>
        <w:t xml:space="preserve">Kljub znatno povečanim nacionalnim ambicijam v primerjavi z osnutki posodobljenih NEPN še vedno obstaja </w:t>
      </w:r>
      <w:r>
        <w:rPr>
          <w:rFonts w:ascii="Times New Roman" w:hAnsi="Times New Roman"/>
          <w:b/>
          <w:i/>
          <w:noProof/>
        </w:rPr>
        <w:t>vrzel v višini 1,5 odstotne</w:t>
      </w:r>
      <w:r>
        <w:rPr>
          <w:rFonts w:ascii="Times New Roman" w:hAnsi="Times New Roman"/>
          <w:b/>
          <w:noProof/>
        </w:rPr>
        <w:t xml:space="preserve"> točke</w:t>
      </w:r>
      <w:r>
        <w:rPr>
          <w:rFonts w:ascii="Times New Roman" w:hAnsi="Times New Roman"/>
          <w:b/>
          <w:i/>
          <w:noProof/>
        </w:rPr>
        <w:t xml:space="preserve"> v primerjavi s ciljem EU glede vsaj 42,5-odstotnega deleža energije iz obnovljivih virov do leta 2030, če države članice ne bodo uresničile svojih ambicioznejših projekcij. Čeprav je 42,5-odstotni cilj dosegljiv, je ključnega pomena, da se</w:t>
      </w:r>
      <w:r w:rsidR="00763B4A">
        <w:rPr>
          <w:rFonts w:ascii="Times New Roman" w:hAnsi="Times New Roman"/>
          <w:b/>
          <w:i/>
          <w:noProof/>
        </w:rPr>
        <w:t xml:space="preserve"> </w:t>
      </w:r>
      <w:r>
        <w:rPr>
          <w:rFonts w:ascii="Times New Roman" w:hAnsi="Times New Roman"/>
          <w:i/>
          <w:noProof/>
        </w:rPr>
        <w:t xml:space="preserve">države članice </w:t>
      </w:r>
      <w:r>
        <w:rPr>
          <w:rFonts w:ascii="Times New Roman" w:hAnsi="Times New Roman"/>
          <w:b/>
          <w:i/>
          <w:noProof/>
        </w:rPr>
        <w:t>še naprej podpira</w:t>
      </w:r>
      <w:r>
        <w:rPr>
          <w:rFonts w:ascii="Times New Roman" w:hAnsi="Times New Roman"/>
          <w:i/>
          <w:noProof/>
        </w:rPr>
        <w:t xml:space="preserve"> pri zapolnjevanju te vrzeli in skupnem cilju, da do leta 2030 poskušajo doseči 45 %, za pospešitev </w:t>
      </w:r>
      <w:bookmarkStart w:id="6" w:name="_Hlk192582018"/>
      <w:r>
        <w:rPr>
          <w:rFonts w:ascii="Times New Roman" w:hAnsi="Times New Roman"/>
          <w:i/>
          <w:noProof/>
        </w:rPr>
        <w:t>uvajanja obnovljivih virov energije pa so potrebni odločnejši ukrepi</w:t>
      </w:r>
      <w:bookmarkEnd w:id="6"/>
      <w:r>
        <w:rPr>
          <w:rFonts w:ascii="Times New Roman" w:hAnsi="Times New Roman"/>
          <w:i/>
          <w:noProof/>
        </w:rPr>
        <w:t>.</w:t>
      </w:r>
    </w:p>
    <w:p w14:paraId="76AE252C"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11D4F4CF" w14:textId="252DF2BD"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Ne smemo počivati na lovorikah. Komisija bo skupaj z državami članicami podpirala in pozorno spremljala izvajanje končnih načrtov ter preučila druge možnosti za nadaljnje ukrepanje, da bi uresničila najambicioznejše projekcije držav članic za zapolnitev vrzeli v ambicijah.  </w:t>
      </w:r>
      <w:r>
        <w:rPr>
          <w:rFonts w:ascii="Times New Roman" w:hAnsi="Times New Roman"/>
          <w:b/>
          <w:noProof/>
        </w:rPr>
        <w:t>Komisija bo ocenila, ali so potrebni nadaljnji ukrepi za zagotovitev skupnega doseganja cilja glede energije iz obnovljivih virov, vključno z želenim 45-odstotnim ciljem</w:t>
      </w:r>
      <w:r>
        <w:rPr>
          <w:rFonts w:ascii="Times New Roman" w:hAnsi="Times New Roman"/>
          <w:noProof/>
        </w:rPr>
        <w:t>.</w:t>
      </w:r>
    </w:p>
    <w:p w14:paraId="31C06B5D"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3DE3912C"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Za začetek bodo ukrepi, predstavljeni v </w:t>
      </w:r>
      <w:r>
        <w:rPr>
          <w:rFonts w:ascii="Times New Roman" w:hAnsi="Times New Roman"/>
          <w:b/>
          <w:noProof/>
        </w:rPr>
        <w:t>akcijskem načrtu za cenovno dostopno energijo</w:t>
      </w:r>
      <w:r>
        <w:rPr>
          <w:rFonts w:ascii="Times New Roman" w:hAnsi="Times New Roman"/>
          <w:noProof/>
        </w:rPr>
        <w:t xml:space="preserve"> in v </w:t>
      </w:r>
      <w:r>
        <w:rPr>
          <w:rFonts w:ascii="Times New Roman" w:hAnsi="Times New Roman"/>
          <w:b/>
          <w:noProof/>
        </w:rPr>
        <w:t>dogovoru o čisti industriji</w:t>
      </w:r>
      <w:r>
        <w:rPr>
          <w:rFonts w:ascii="Times New Roman" w:hAnsi="Times New Roman"/>
          <w:noProof/>
        </w:rPr>
        <w:t>, znatno podprli države članice pri doseganju njihovih ciljev, hkrati pa znižali stroške energije za evropske odjemalce.</w:t>
      </w:r>
    </w:p>
    <w:p w14:paraId="5E451C46"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1C5A9AB9" w14:textId="3C57CC57" w:rsidR="005E019D" w:rsidRPr="005E019D" w:rsidRDefault="005E019D" w:rsidP="005E019D">
      <w:pPr>
        <w:pBdr>
          <w:top w:val="single" w:sz="8" w:space="1" w:color="000000"/>
          <w:left w:val="single" w:sz="8" w:space="4" w:color="000000"/>
          <w:bottom w:val="single" w:sz="8" w:space="1" w:color="000000"/>
          <w:right w:val="single" w:sz="8" w:space="4" w:color="000000"/>
        </w:pBdr>
        <w:spacing w:after="240" w:line="240" w:lineRule="auto"/>
        <w:jc w:val="both"/>
        <w:rPr>
          <w:rFonts w:ascii="Times New Roman" w:eastAsia="Times New Roman" w:hAnsi="Times New Roman" w:cs="Times New Roman"/>
          <w:noProof/>
          <w:kern w:val="0"/>
          <w14:ligatures w14:val="none"/>
        </w:rPr>
      </w:pPr>
      <w:r>
        <w:rPr>
          <w:rFonts w:ascii="Times New Roman" w:hAnsi="Times New Roman"/>
          <w:noProof/>
        </w:rPr>
        <w:t xml:space="preserve">V okviru </w:t>
      </w:r>
      <w:r>
        <w:rPr>
          <w:rFonts w:ascii="Times New Roman" w:hAnsi="Times New Roman"/>
          <w:b/>
          <w:noProof/>
        </w:rPr>
        <w:t xml:space="preserve">svežnja za evropska omrežja v zadnjem četrtletju leta 2025 </w:t>
      </w:r>
      <w:r>
        <w:rPr>
          <w:rFonts w:ascii="Times New Roman" w:hAnsi="Times New Roman"/>
          <w:noProof/>
        </w:rPr>
        <w:t xml:space="preserve">si bo Komisija prizadevala za nadaljnjo racionalizacijo in poenostavitev zakonodaje EU ter skrajšanje časa za izdajo dovoljenj, vključno s ciljno usmerjenimi posodobitvami okoljske zakonodaje, ki bodo ključne za odpravo ovir za projekte na področju obnovljivih virov energije, razvoj infrastrukture in shranjevanje energije.  To bo zlasti pomembno za stavbni in industrijski sektor. Poudarek bo na povečanju zmogljivosti za shranjevanje energije, da se ustvari ugoden okvir za naložbe v elektrifikacijo, ki temelji na obnovljivih virih energije. </w:t>
      </w:r>
    </w:p>
    <w:p w14:paraId="5AEE7742"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Komisija bo še naprej podpirala države članice pri njihovih prizadevanjih za izvajanje v okviru pobude </w:t>
      </w:r>
      <w:r>
        <w:rPr>
          <w:rFonts w:ascii="Times New Roman" w:hAnsi="Times New Roman"/>
          <w:i/>
          <w:noProof/>
        </w:rPr>
        <w:t>„Accele-RES“</w:t>
      </w:r>
      <w:r>
        <w:rPr>
          <w:rFonts w:ascii="Times New Roman" w:hAnsi="Times New Roman"/>
          <w:noProof/>
        </w:rPr>
        <w:t xml:space="preserve">; to bo vključevalo individualno sodelovanje z državami članicami, strokovno skupino za izdajo dovoljenj, namenske delavnice in usklajeno ukrepanje v zvezi z direktivo o energiji iz obnovljivih virov. </w:t>
      </w:r>
    </w:p>
    <w:p w14:paraId="096206D5"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Kar zadeva srednje- do dolgoročne ukrepe iz akcijskega načrta za cenovno dostopno energijo, bo </w:t>
      </w:r>
      <w:r>
        <w:rPr>
          <w:rFonts w:ascii="Times New Roman" w:hAnsi="Times New Roman"/>
          <w:b/>
          <w:noProof/>
        </w:rPr>
        <w:t>akcijski načrt za elektrifikacijo</w:t>
      </w:r>
      <w:r>
        <w:rPr>
          <w:rFonts w:ascii="Times New Roman" w:hAnsi="Times New Roman"/>
          <w:noProof/>
        </w:rPr>
        <w:t xml:space="preserve"> spodbudil preobrazbo na ravni celotnega sistema, da se pospeši elektrifikacija, potrebna za dosego ciljev, in podpre uporaba energije iz obnovljivih virov. To vključuje razširitev pogodb o nakupu električne energije, podpiranje rešitev za prožnost, kot sta shranjevanje in prilagajanje odjema, ter uvajanje pobud za ozaveščanje, kot so točke „vse na enem mestu“ za odjemalce in podjetja. Poleg tega bodo imeli ključno vlogo pri zapolnjevanju vrzeli med drugim ukrepi za posodobitev in razširitev omrežij električne energije ter usmerjanje čezmejnih naložb v infrastrukturo za čisto energijo. Komisija bo predlagala nadaljnje politike v podporo tem prizadevanjem, nacionalne vlade pa bi jih morale nemudoma vključiti v svoje energetske strategije. </w:t>
      </w:r>
    </w:p>
    <w:p w14:paraId="10ACC36B"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Kratkoročno </w:t>
      </w:r>
      <w:r>
        <w:rPr>
          <w:rFonts w:ascii="Times New Roman" w:hAnsi="Times New Roman"/>
          <w:b/>
          <w:noProof/>
        </w:rPr>
        <w:t>bi države članice morale okrepiti svoja prizadevanja, da bi zagotovile hitro in učinkovito izvajanje in izvrševanje pravil za izdajo dovoljenj</w:t>
      </w:r>
      <w:r>
        <w:rPr>
          <w:rFonts w:ascii="Times New Roman" w:hAnsi="Times New Roman"/>
          <w:noProof/>
        </w:rPr>
        <w:t>, kot so pravila iz revidirane direktive o energiji iz obnovljivih virov, in pospešile uvajanje projektov.</w:t>
      </w:r>
    </w:p>
    <w:p w14:paraId="4ED18F86" w14:textId="06690071" w:rsidR="005E019D" w:rsidRPr="005E019D"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Pr>
          <w:rFonts w:ascii="Times New Roman" w:hAnsi="Times New Roman"/>
          <w:b/>
          <w:noProof/>
        </w:rPr>
        <w:t>Države članice spodbuja</w:t>
      </w:r>
      <w:r w:rsidR="00763B4A">
        <w:rPr>
          <w:rFonts w:ascii="Times New Roman" w:hAnsi="Times New Roman"/>
          <w:b/>
          <w:noProof/>
        </w:rPr>
        <w:t>mo</w:t>
      </w:r>
      <w:r>
        <w:rPr>
          <w:rFonts w:ascii="Times New Roman" w:hAnsi="Times New Roman"/>
          <w:b/>
          <w:noProof/>
        </w:rPr>
        <w:t>, da</w:t>
      </w:r>
      <w:r>
        <w:rPr>
          <w:rFonts w:ascii="Times New Roman" w:hAnsi="Times New Roman"/>
          <w:noProof/>
        </w:rPr>
        <w:t xml:space="preserve"> pri ustvarjanju podpornega pravnega in regulativnega okolja </w:t>
      </w:r>
      <w:r>
        <w:rPr>
          <w:rFonts w:ascii="Times New Roman" w:hAnsi="Times New Roman"/>
          <w:b/>
          <w:noProof/>
        </w:rPr>
        <w:t>oblikujejo posebne ukrepe za lažjo uporabo pogodb o nakupu električne energije</w:t>
      </w:r>
      <w:r>
        <w:rPr>
          <w:rFonts w:ascii="Times New Roman" w:hAnsi="Times New Roman"/>
          <w:noProof/>
        </w:rPr>
        <w:t xml:space="preserve"> in zagotovijo stabilne naložbene signale za mobilizacijo naložb v energijo iz obnovljivih virov. </w:t>
      </w:r>
    </w:p>
    <w:p w14:paraId="587BF599" w14:textId="2F06DA42" w:rsidR="005E019D" w:rsidRPr="005E019D" w:rsidRDefault="005E019D" w:rsidP="005E019D">
      <w:pPr>
        <w:pBdr>
          <w:top w:val="single" w:sz="8" w:space="1" w:color="000000"/>
          <w:left w:val="single" w:sz="8" w:space="4" w:color="000000"/>
          <w:bottom w:val="single" w:sz="8" w:space="1" w:color="000000"/>
          <w:right w:val="single" w:sz="8" w:space="4" w:color="000000"/>
        </w:pBdr>
        <w:spacing w:before="120" w:after="20" w:line="264" w:lineRule="auto"/>
        <w:jc w:val="both"/>
        <w:rPr>
          <w:rFonts w:ascii="Times New Roman" w:eastAsia="Times New Roman" w:hAnsi="Times New Roman" w:cs="Times New Roman"/>
          <w:noProof/>
          <w:kern w:val="0"/>
          <w14:ligatures w14:val="none"/>
        </w:rPr>
      </w:pPr>
      <w:r>
        <w:rPr>
          <w:rFonts w:ascii="Times New Roman" w:hAnsi="Times New Roman"/>
          <w:b/>
          <w:noProof/>
        </w:rPr>
        <w:t>Države članice spodbuja</w:t>
      </w:r>
      <w:r w:rsidR="00763B4A">
        <w:rPr>
          <w:rFonts w:ascii="Times New Roman" w:hAnsi="Times New Roman"/>
          <w:b/>
          <w:noProof/>
        </w:rPr>
        <w:t>mo</w:t>
      </w:r>
      <w:r>
        <w:rPr>
          <w:rFonts w:ascii="Times New Roman" w:hAnsi="Times New Roman"/>
          <w:b/>
          <w:noProof/>
        </w:rPr>
        <w:t xml:space="preserve"> tudi k uporabi mehanizmov sodelovanja, ki temeljijo na obnovljivih virih energije, da bi izpolnile svoje nacionalne prispevke glede obnovljivih virov energije, kot je mehanizem EU za financiranje energije iz obnovljivih virov</w:t>
      </w:r>
      <w:r w:rsidRPr="005E019D">
        <w:rPr>
          <w:rFonts w:ascii="Times New Roman" w:eastAsia="Times New Roman" w:hAnsi="Times New Roman" w:cs="Times New Roman"/>
          <w:b/>
          <w:bCs/>
          <w:noProof/>
          <w:kern w:val="0"/>
          <w:vertAlign w:val="superscript"/>
        </w:rPr>
        <w:footnoteReference w:id="48"/>
      </w:r>
      <w:r>
        <w:rPr>
          <w:rFonts w:ascii="Times New Roman" w:hAnsi="Times New Roman"/>
          <w:noProof/>
        </w:rPr>
        <w:t xml:space="preserve">. Prednosti za prispevajoče države vključujejo financiranje projektov na področju energije iz obnovljivih virov, kadar so zaradi lokalnih razmer stroškovno učinkovitejši kot doma, ter dostop do proizvodnje energije iz obnovljivih virov, ki je na njihovem ozemlju morda redka, na primer neobalne države, ki imajo koristi od projektov vetrne energije na morju. Prednosti za države gostiteljice vključujejo naložbe v lokalne projekte na področju energije iz obnovljivih virov, ki ne obremenjujejo nacionalnega proračuna, pa tudi lokalno zaposlovanje, nižje emisije toplogrednih plinov, boljšo kakovost zraka, posodobitev energetskega sistema in manjšo odvisnost od uvoza. </w:t>
      </w:r>
    </w:p>
    <w:p w14:paraId="2689DA55" w14:textId="77777777"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p>
    <w:p w14:paraId="1189AA00" w14:textId="694E5C46" w:rsidR="005E019D" w:rsidRPr="005E019D" w:rsidRDefault="005E019D" w:rsidP="005E019D">
      <w:pPr>
        <w:pBdr>
          <w:top w:val="single" w:sz="8" w:space="1" w:color="000000"/>
          <w:left w:val="single" w:sz="8" w:space="4" w:color="000000"/>
          <w:bottom w:val="single" w:sz="8" w:space="1" w:color="000000"/>
          <w:right w:val="single" w:sz="8" w:space="4" w:color="000000"/>
        </w:pBdr>
        <w:spacing w:after="0" w:line="264" w:lineRule="auto"/>
        <w:jc w:val="both"/>
        <w:rPr>
          <w:rFonts w:ascii="Times New Roman" w:eastAsia="Times New Roman" w:hAnsi="Times New Roman" w:cs="Times New Roman"/>
          <w:noProof/>
          <w:kern w:val="0"/>
          <w14:ligatures w14:val="none"/>
        </w:rPr>
      </w:pPr>
      <w:r>
        <w:rPr>
          <w:rFonts w:ascii="Times New Roman" w:hAnsi="Times New Roman"/>
          <w:b/>
          <w:noProof/>
        </w:rPr>
        <w:t>Države članice poz</w:t>
      </w:r>
      <w:r w:rsidR="00763B4A">
        <w:rPr>
          <w:rFonts w:ascii="Times New Roman" w:hAnsi="Times New Roman"/>
          <w:b/>
          <w:noProof/>
        </w:rPr>
        <w:t>ivamo</w:t>
      </w:r>
      <w:r>
        <w:rPr>
          <w:rFonts w:ascii="Times New Roman" w:hAnsi="Times New Roman"/>
          <w:b/>
          <w:noProof/>
        </w:rPr>
        <w:t>, da še naprej spodbujajo razvoj sistemov daljinskega ogrevanja in hlajenja z energijo iz obnovljivih virov</w:t>
      </w:r>
      <w:r>
        <w:rPr>
          <w:rFonts w:ascii="Times New Roman" w:hAnsi="Times New Roman"/>
          <w:noProof/>
        </w:rPr>
        <w:t xml:space="preserve"> ter naknadno opremljanje obstoječih sistemov za povečanje energetske učinkovitosti in vključitev rešitev na področju energije iz obnovljivih virov, kot so toplotne črpalke, v omrežja za ogrevanje in hlajenje. </w:t>
      </w:r>
      <w:r>
        <w:rPr>
          <w:rFonts w:ascii="Times New Roman" w:hAnsi="Times New Roman"/>
          <w:b/>
          <w:noProof/>
        </w:rPr>
        <w:t>Strategija za ogrevanje in hlajenje</w:t>
      </w:r>
      <w:r>
        <w:rPr>
          <w:rFonts w:ascii="Times New Roman" w:hAnsi="Times New Roman"/>
          <w:noProof/>
        </w:rPr>
        <w:t xml:space="preserve"> bo tako dodatno spodbudila uporabo obnovljivih virov energije v teh sektorjih.</w:t>
      </w:r>
    </w:p>
    <w:p w14:paraId="694B8189" w14:textId="77777777" w:rsidR="005E019D" w:rsidRPr="005E019D" w:rsidRDefault="005E019D" w:rsidP="005E019D">
      <w:pPr>
        <w:spacing w:after="120" w:line="264" w:lineRule="auto"/>
        <w:rPr>
          <w:rFonts w:ascii="Times New Roman" w:eastAsia="Yu Mincho" w:hAnsi="Times New Roman" w:cs="Times New Roman"/>
          <w:noProof/>
          <w:kern w:val="0"/>
          <w:lang w:val="en-GB"/>
          <w14:ligatures w14:val="none"/>
        </w:rPr>
      </w:pPr>
    </w:p>
    <w:p w14:paraId="10B5662D" w14:textId="165E1AB3" w:rsidR="005E019D" w:rsidRPr="005E019D" w:rsidRDefault="00763B4A"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E</w:t>
      </w:r>
      <w:r w:rsidR="005E019D">
        <w:rPr>
          <w:rFonts w:ascii="Times New Roman" w:hAnsi="Times New Roman"/>
          <w:b/>
          <w:noProof/>
          <w:color w:val="000000"/>
        </w:rPr>
        <w:t>nergetska učinkovitost</w:t>
      </w:r>
    </w:p>
    <w:p w14:paraId="1A1D7410"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Doseganje zavezujočega cilja EU glede zmanjšanja porabe energije za 11,7 %</w:t>
      </w:r>
      <w:r w:rsidRPr="005E019D">
        <w:rPr>
          <w:rFonts w:ascii="Times New Roman" w:eastAsia="Times New Roman" w:hAnsi="Times New Roman" w:cs="Times New Roman"/>
          <w:b/>
          <w:bCs/>
          <w:noProof/>
          <w:kern w:val="0"/>
          <w:vertAlign w:val="superscript"/>
          <w:lang w:val="en-US"/>
        </w:rPr>
        <w:footnoteReference w:id="49"/>
      </w:r>
      <w:r>
        <w:rPr>
          <w:rFonts w:ascii="Times New Roman" w:hAnsi="Times New Roman"/>
          <w:b/>
          <w:noProof/>
        </w:rPr>
        <w:t xml:space="preserve"> do leta 2030</w:t>
      </w:r>
      <w:r w:rsidRPr="005E019D">
        <w:rPr>
          <w:rFonts w:ascii="Times New Roman" w:eastAsia="Times New Roman" w:hAnsi="Times New Roman" w:cs="Times New Roman"/>
          <w:b/>
          <w:bCs/>
          <w:noProof/>
          <w:kern w:val="0"/>
          <w:vertAlign w:val="superscript"/>
          <w:lang w:val="en-US"/>
        </w:rPr>
        <w:footnoteReference w:id="50"/>
      </w:r>
      <w:r>
        <w:rPr>
          <w:rFonts w:ascii="Times New Roman" w:hAnsi="Times New Roman"/>
          <w:b/>
          <w:noProof/>
        </w:rPr>
        <w:t xml:space="preserve"> je ključnega pomena za konkurenčnost, varnost in podnebne ambicije Evrope</w:t>
      </w:r>
      <w:r>
        <w:rPr>
          <w:rFonts w:ascii="Times New Roman" w:hAnsi="Times New Roman"/>
          <w:noProof/>
        </w:rPr>
        <w:t>. energetska učinkovitost znižuje stroške energije, povečuje energetsko varnost z zmanjševanjem odvisnosti EU od uvoženih fosilnih goriv in povečuje konkurenčnost. Zlasti razogljičenje stavb bo spodbudilo gradbeno industrijo in industrijo čistih tehnologij v EU.</w:t>
      </w:r>
    </w:p>
    <w:p w14:paraId="76FA47A0"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Skupna poraba energije v EU se od leta 2021 zmanjšuje, s čimer se približuje ciljem EU glede povečanja energetske učinkovitosti do leta 2030. </w:t>
      </w:r>
      <w:r>
        <w:rPr>
          <w:rFonts w:ascii="Times New Roman" w:hAnsi="Times New Roman"/>
          <w:noProof/>
        </w:rPr>
        <w:t>Skupaj petnajst držav članic</w:t>
      </w:r>
      <w:r w:rsidRPr="005E019D">
        <w:rPr>
          <w:rFonts w:ascii="Times New Roman" w:eastAsia="Times New Roman" w:hAnsi="Times New Roman" w:cs="Times New Roman"/>
          <w:noProof/>
          <w:kern w:val="0"/>
          <w:vertAlign w:val="superscript"/>
          <w:lang w:val="en-US"/>
        </w:rPr>
        <w:footnoteReference w:id="51"/>
      </w:r>
      <w:r>
        <w:rPr>
          <w:rFonts w:ascii="Times New Roman" w:hAnsi="Times New Roman"/>
          <w:noProof/>
        </w:rPr>
        <w:t xml:space="preserve"> je v primerjavi z osnutki načrtov povečalo svoje ambicije glede energetske učinkovitosti za porabo končne energije</w:t>
      </w:r>
      <w:r w:rsidRPr="005E019D">
        <w:rPr>
          <w:rFonts w:ascii="Times New Roman" w:eastAsia="Times New Roman" w:hAnsi="Times New Roman" w:cs="Times New Roman"/>
          <w:noProof/>
          <w:kern w:val="0"/>
          <w:vertAlign w:val="superscript"/>
          <w:lang w:val="en-US"/>
        </w:rPr>
        <w:footnoteReference w:id="52"/>
      </w:r>
      <w:r>
        <w:rPr>
          <w:rFonts w:ascii="Times New Roman" w:hAnsi="Times New Roman"/>
          <w:noProof/>
        </w:rPr>
        <w:t xml:space="preserve">. </w:t>
      </w:r>
    </w:p>
    <w:p w14:paraId="7A9ABFB4"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Zlasti devet držav članic</w:t>
      </w:r>
      <w:r w:rsidRPr="005E019D">
        <w:rPr>
          <w:rFonts w:ascii="Times New Roman" w:eastAsia="Times New Roman" w:hAnsi="Times New Roman" w:cs="Times New Roman"/>
          <w:b/>
          <w:bCs/>
          <w:noProof/>
          <w:kern w:val="0"/>
          <w:vertAlign w:val="superscript"/>
          <w:lang w:val="en-US"/>
        </w:rPr>
        <w:footnoteReference w:id="53"/>
      </w:r>
      <w:r>
        <w:rPr>
          <w:rFonts w:ascii="Times New Roman" w:hAnsi="Times New Roman"/>
          <w:b/>
          <w:noProof/>
        </w:rPr>
        <w:t xml:space="preserve"> je svoje nacionalne prispevke uskladilo s ciljem EU glede povečanja energetske učinkovitosti do leta 2030</w:t>
      </w:r>
      <w:r w:rsidRPr="005E019D">
        <w:rPr>
          <w:rFonts w:ascii="Times New Roman" w:eastAsia="Times New Roman" w:hAnsi="Times New Roman" w:cs="Times New Roman"/>
          <w:noProof/>
          <w:kern w:val="0"/>
          <w:vertAlign w:val="superscript"/>
          <w:lang w:val="en-US"/>
        </w:rPr>
        <w:footnoteReference w:id="54"/>
      </w:r>
      <w:r>
        <w:rPr>
          <w:rFonts w:ascii="Times New Roman" w:hAnsi="Times New Roman"/>
          <w:b/>
          <w:noProof/>
        </w:rPr>
        <w:t>.</w:t>
      </w:r>
      <w:r>
        <w:rPr>
          <w:rFonts w:ascii="Times New Roman" w:hAnsi="Times New Roman"/>
          <w:noProof/>
        </w:rPr>
        <w:t xml:space="preserve"> Poleg tega je več držav članic, kot sta Irska in Avstrija, določilo nacionalne cilje, ki so ambicioznejši od njihovih lastnih projekcij</w:t>
      </w:r>
      <w:r w:rsidRPr="005E019D">
        <w:rPr>
          <w:rFonts w:ascii="Times New Roman" w:eastAsia="Times New Roman" w:hAnsi="Times New Roman" w:cs="Times New Roman"/>
          <w:noProof/>
          <w:kern w:val="0"/>
          <w:vertAlign w:val="superscript"/>
          <w:lang w:val="en-US"/>
        </w:rPr>
        <w:footnoteReference w:id="55"/>
      </w:r>
      <w:r>
        <w:rPr>
          <w:rFonts w:ascii="Times New Roman" w:hAnsi="Times New Roman"/>
          <w:noProof/>
        </w:rPr>
        <w:t xml:space="preserve">, kar kaže zavezanost nadaljnjemu zmanjšanju porabe končne energije. </w:t>
      </w:r>
    </w:p>
    <w:p w14:paraId="1DB962E4" w14:textId="77777777" w:rsidR="005E019D" w:rsidRPr="005E019D" w:rsidRDefault="005E019D" w:rsidP="005E019D">
      <w:pPr>
        <w:spacing w:line="264" w:lineRule="auto"/>
        <w:jc w:val="both"/>
        <w:rPr>
          <w:rFonts w:ascii="Times New Roman" w:eastAsia="Times New Roman" w:hAnsi="Times New Roman" w:cs="Times New Roman"/>
          <w:noProof/>
          <w:kern w:val="0"/>
          <w14:ligatures w14:val="none"/>
        </w:rPr>
      </w:pPr>
      <w:r>
        <w:rPr>
          <w:rFonts w:ascii="Times New Roman" w:hAnsi="Times New Roman"/>
          <w:b/>
          <w:noProof/>
        </w:rPr>
        <w:t>Kljub napredku pri učinkovitejši rabi energije še vedno obstaja vrzel pri doseganju ciljev EU glede povečanja energetske učinkovitosti do leta 2030.</w:t>
      </w:r>
      <w:r>
        <w:rPr>
          <w:rFonts w:ascii="Times New Roman" w:hAnsi="Times New Roman"/>
          <w:noProof/>
        </w:rPr>
        <w:t xml:space="preserve"> Rezultat skupnih prispevkov je napovedana poraba končne energije v višini 794,1 Mtoe do leta 2030. Čeprav je bila vrzel v ambicijah v osnutkih posodobljenih NEPN zmanjšana za 20 Mtoe, končni prispevki ostajajo 47,3 Mtoe nad ciljem porabe primarne energije v višini 992,5 Mtoe in </w:t>
      </w:r>
      <w:r>
        <w:rPr>
          <w:rFonts w:ascii="Times New Roman" w:hAnsi="Times New Roman"/>
          <w:b/>
          <w:noProof/>
        </w:rPr>
        <w:t>31,1</w:t>
      </w:r>
      <w:r>
        <w:rPr>
          <w:rFonts w:ascii="Times New Roman" w:hAnsi="Times New Roman"/>
          <w:noProof/>
        </w:rPr>
        <w:t> </w:t>
      </w:r>
      <w:r>
        <w:rPr>
          <w:rFonts w:ascii="Times New Roman" w:hAnsi="Times New Roman"/>
          <w:b/>
          <w:noProof/>
        </w:rPr>
        <w:t>Mtoe</w:t>
      </w:r>
      <w:r>
        <w:rPr>
          <w:rFonts w:ascii="Times New Roman" w:hAnsi="Times New Roman"/>
          <w:noProof/>
        </w:rPr>
        <w:t xml:space="preserve"> nad ciljem porabe končne energije v višini 763 Mtoe, kar pomeni cilj EU v višini 8,1 %. To je </w:t>
      </w:r>
      <w:r>
        <w:rPr>
          <w:rFonts w:ascii="Times New Roman" w:hAnsi="Times New Roman"/>
          <w:b/>
          <w:noProof/>
        </w:rPr>
        <w:t>velika vrzel</w:t>
      </w:r>
      <w:r>
        <w:rPr>
          <w:rFonts w:ascii="Times New Roman" w:hAnsi="Times New Roman"/>
          <w:noProof/>
        </w:rPr>
        <w:t xml:space="preserve">, ki je enaka letni porabi končne energije v Belgiji. Kljub temu je treba to vrzel obravnavati v kontekstu, sedanje številke pa odražajo znaten napredek v primerjavi s prejšnjimi cilji povečanja energetske učinkovitosti. </w:t>
      </w:r>
    </w:p>
    <w:p w14:paraId="6C137A1A"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Kar zadeva ciljno usmerjene politike in ukrepe, so številne države članice vsaj delno obravnavale večino priporočil Komisije. </w:t>
      </w:r>
      <w:r>
        <w:rPr>
          <w:rFonts w:ascii="Times New Roman" w:hAnsi="Times New Roman"/>
          <w:noProof/>
        </w:rPr>
        <w:t xml:space="preserve">Medtem ko države članice podrobno opisujejo programe financiranja, podporne ukrepe in načrtovane politike, več držav članic ne zagotavlja informacij o izvajanju </w:t>
      </w:r>
      <w:r>
        <w:rPr>
          <w:rFonts w:ascii="Times New Roman" w:hAnsi="Times New Roman"/>
          <w:b/>
          <w:noProof/>
        </w:rPr>
        <w:t>načela „energetska učinkovitost na prvem mestu“</w:t>
      </w:r>
      <w:r>
        <w:rPr>
          <w:rFonts w:ascii="Times New Roman" w:hAnsi="Times New Roman"/>
          <w:noProof/>
        </w:rPr>
        <w:t xml:space="preserve"> niti količinsko ne določijo prihrankov energije, pričakovanih na podlagi ukrepov za energetsko učinkovitost, določenih v njihovih načrtih. Poleg tega več načrtov vsebuje omejene informacije o obveznostih glede energetske učinkovitosti za javni sektor.</w:t>
      </w:r>
    </w:p>
    <w:p w14:paraId="424016E7" w14:textId="444F0BBA"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Za popolno razogljičenje stavb do leta 2050 je treba sedanjo stopnjo energijske prenove potrojiti</w:t>
      </w:r>
      <w:r>
        <w:rPr>
          <w:rFonts w:ascii="Times New Roman" w:hAnsi="Times New Roman"/>
          <w:noProof/>
        </w:rPr>
        <w:t>. Kljub temu je večina držav članic ohranila ambicije, določene v njihovih nacionalnih dolgoročnih strategijah prenove iz leta 2020</w:t>
      </w:r>
      <w:r w:rsidRPr="005E019D">
        <w:rPr>
          <w:rFonts w:ascii="Times New Roman" w:eastAsia="Times New Roman" w:hAnsi="Times New Roman" w:cs="Times New Roman"/>
          <w:noProof/>
          <w:kern w:val="0"/>
          <w:vertAlign w:val="superscript"/>
        </w:rPr>
        <w:footnoteReference w:id="56"/>
      </w:r>
      <w:r>
        <w:rPr>
          <w:rFonts w:ascii="Times New Roman" w:hAnsi="Times New Roman"/>
          <w:noProof/>
        </w:rPr>
        <w:t xml:space="preserve">, včasih pa se sklicujejo na svoje prihodnje nacionalne načrte za prenovo stavb, osnutki katerih naj bi bili pripravljeni do decembra 2025. Le nekaj držav članic je povečalo ambicije svojih </w:t>
      </w:r>
      <w:r>
        <w:rPr>
          <w:rFonts w:ascii="Times New Roman" w:hAnsi="Times New Roman"/>
          <w:b/>
          <w:noProof/>
        </w:rPr>
        <w:t>dolgoročnih strategij prenove</w:t>
      </w:r>
      <w:r w:rsidRPr="005E019D">
        <w:rPr>
          <w:rFonts w:ascii="Times New Roman" w:eastAsia="Times New Roman" w:hAnsi="Times New Roman" w:cs="Times New Roman"/>
          <w:b/>
          <w:noProof/>
          <w:kern w:val="0"/>
          <w:vertAlign w:val="superscript"/>
        </w:rPr>
        <w:footnoteReference w:id="57"/>
      </w:r>
      <w:r>
        <w:rPr>
          <w:rFonts w:ascii="Times New Roman" w:hAnsi="Times New Roman"/>
          <w:b/>
          <w:noProof/>
        </w:rPr>
        <w:t xml:space="preserve"> ali</w:t>
      </w:r>
      <w:r>
        <w:rPr>
          <w:rFonts w:ascii="Times New Roman" w:hAnsi="Times New Roman"/>
          <w:noProof/>
        </w:rPr>
        <w:t xml:space="preserve"> uvedlo ambicioznejše nepremičninske politike in ukrepe</w:t>
      </w:r>
      <w:r w:rsidRPr="005E019D">
        <w:rPr>
          <w:rFonts w:ascii="Times New Roman" w:eastAsia="Times New Roman" w:hAnsi="Times New Roman" w:cs="Times New Roman"/>
          <w:noProof/>
          <w:kern w:val="0"/>
          <w:vertAlign w:val="superscript"/>
        </w:rPr>
        <w:footnoteReference w:id="58"/>
      </w:r>
      <w:r>
        <w:rPr>
          <w:rFonts w:ascii="Times New Roman" w:hAnsi="Times New Roman"/>
          <w:noProof/>
        </w:rPr>
        <w:t>. ETS2 in Socialni sklad za podnebje bosta prispevala k podpiranju nacionalnih prizadevanj za razogljičenje stavb.</w:t>
      </w:r>
    </w:p>
    <w:p w14:paraId="2FBB85A5"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b/>
          <w:i/>
          <w:noProof/>
          <w:kern w:val="0"/>
          <w14:ligatures w14:val="none"/>
        </w:rPr>
      </w:pPr>
      <w:r>
        <w:rPr>
          <w:rFonts w:ascii="Times New Roman" w:hAnsi="Times New Roman"/>
          <w:b/>
          <w:i/>
          <w:noProof/>
        </w:rPr>
        <w:t>Pot naprej</w:t>
      </w:r>
    </w:p>
    <w:p w14:paraId="4802C9BB" w14:textId="0314405C" w:rsidR="005E019D" w:rsidRPr="005E019D" w:rsidRDefault="005E019D" w:rsidP="559622EF">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Yu Mincho" w:hAnsi="Times New Roman" w:cs="Times New Roman"/>
          <w:b/>
          <w:bCs/>
          <w:i/>
          <w:iCs/>
          <w:noProof/>
          <w:kern w:val="0"/>
          <w14:ligatures w14:val="none"/>
        </w:rPr>
      </w:pPr>
      <w:r>
        <w:rPr>
          <w:rFonts w:ascii="Times New Roman" w:hAnsi="Times New Roman"/>
          <w:i/>
          <w:noProof/>
        </w:rPr>
        <w:t xml:space="preserve">Kljub znatnemu izboljšanju v primerjavi z osnutki posodobljenih NEPN obstaja </w:t>
      </w:r>
      <w:r>
        <w:rPr>
          <w:rFonts w:ascii="Times New Roman" w:hAnsi="Times New Roman"/>
          <w:b/>
          <w:i/>
          <w:noProof/>
        </w:rPr>
        <w:t>vrzel v ambicijah v višini 31,1</w:t>
      </w:r>
      <w:r>
        <w:rPr>
          <w:rFonts w:ascii="Times New Roman" w:hAnsi="Times New Roman"/>
          <w:noProof/>
        </w:rPr>
        <w:t> </w:t>
      </w:r>
      <w:r>
        <w:rPr>
          <w:rFonts w:ascii="Times New Roman" w:hAnsi="Times New Roman"/>
          <w:b/>
          <w:i/>
          <w:noProof/>
        </w:rPr>
        <w:t xml:space="preserve">Mtoe </w:t>
      </w:r>
      <w:r>
        <w:rPr>
          <w:rFonts w:ascii="Times New Roman" w:hAnsi="Times New Roman"/>
          <w:i/>
          <w:noProof/>
        </w:rPr>
        <w:t>pri izpolnjevanju cilja Unije glede povečanja energetske učinkovitosti v višini 763 Mtoe</w:t>
      </w:r>
      <w:r w:rsidRPr="559622EF">
        <w:rPr>
          <w:rFonts w:ascii="Times New Roman" w:eastAsia="Yu Mincho" w:hAnsi="Times New Roman" w:cs="Times New Roman"/>
          <w:i/>
          <w:iCs/>
          <w:noProof/>
          <w:kern w:val="0"/>
          <w:vertAlign w:val="superscript"/>
        </w:rPr>
        <w:footnoteReference w:id="59"/>
      </w:r>
      <w:r>
        <w:rPr>
          <w:rFonts w:ascii="Times New Roman" w:hAnsi="Times New Roman"/>
          <w:i/>
          <w:noProof/>
        </w:rPr>
        <w:t xml:space="preserve"> do leta 2030, kar pomeni zmanjšanje za 8,1</w:t>
      </w:r>
      <w:r>
        <w:rPr>
          <w:rFonts w:ascii="Times New Roman" w:hAnsi="Times New Roman"/>
          <w:noProof/>
        </w:rPr>
        <w:t> </w:t>
      </w:r>
      <w:r>
        <w:rPr>
          <w:rFonts w:ascii="Times New Roman" w:hAnsi="Times New Roman"/>
          <w:i/>
          <w:noProof/>
        </w:rPr>
        <w:t>%.</w:t>
      </w:r>
      <w:r>
        <w:rPr>
          <w:rFonts w:ascii="Times New Roman" w:hAnsi="Times New Roman"/>
          <w:b/>
          <w:i/>
          <w:noProof/>
        </w:rPr>
        <w:t xml:space="preserve"> </w:t>
      </w:r>
    </w:p>
    <w:p w14:paraId="2E01ED04" w14:textId="6CABBA44"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Glede na to, da je do leta 2030 le še nekaj let, </w:t>
      </w:r>
      <w:r>
        <w:rPr>
          <w:rFonts w:ascii="Times New Roman" w:hAnsi="Times New Roman"/>
          <w:b/>
          <w:noProof/>
        </w:rPr>
        <w:t>so potrebni nadaljnji ukrepi</w:t>
      </w:r>
      <w:r>
        <w:rPr>
          <w:rFonts w:ascii="Times New Roman" w:hAnsi="Times New Roman"/>
          <w:noProof/>
        </w:rPr>
        <w:t xml:space="preserve">. Države članice bi morale nujno okrepiti svoje ambicije in prizadevanja za izvajanje. </w:t>
      </w:r>
      <w:r>
        <w:rPr>
          <w:rFonts w:ascii="Times New Roman" w:hAnsi="Times New Roman"/>
          <w:b/>
          <w:noProof/>
        </w:rPr>
        <w:t xml:space="preserve">Komisija uvaja sklop operativnih ukrepov za podporo državam članicam pri zapolnjevanju vrzeli v ambicijah </w:t>
      </w:r>
      <w:r>
        <w:rPr>
          <w:rFonts w:ascii="Times New Roman" w:hAnsi="Times New Roman"/>
          <w:noProof/>
        </w:rPr>
        <w:t>in</w:t>
      </w:r>
      <w:r>
        <w:rPr>
          <w:rFonts w:ascii="Times New Roman" w:hAnsi="Times New Roman"/>
          <w:b/>
          <w:noProof/>
        </w:rPr>
        <w:t xml:space="preserve"> </w:t>
      </w:r>
      <w:r>
        <w:rPr>
          <w:rFonts w:ascii="Times New Roman" w:hAnsi="Times New Roman"/>
          <w:noProof/>
        </w:rPr>
        <w:t xml:space="preserve">za spremljanje izvajanja končnih načrtov. </w:t>
      </w:r>
      <w:r>
        <w:rPr>
          <w:rFonts w:ascii="Times New Roman" w:hAnsi="Times New Roman"/>
          <w:b/>
          <w:noProof/>
        </w:rPr>
        <w:t>Komisija bo ocenila, ali so potrebni nadaljnji ukrepi za zagotovitev skupnega doseganja ciljev glede povečanja energetske učinkovitosti</w:t>
      </w:r>
      <w:r>
        <w:rPr>
          <w:rFonts w:ascii="Times New Roman" w:hAnsi="Times New Roman"/>
          <w:noProof/>
        </w:rPr>
        <w:t>.</w:t>
      </w:r>
    </w:p>
    <w:p w14:paraId="1AEE8361"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Akcijski načrt Komisije za cenovno dostopno energijo</w:t>
      </w:r>
      <w:r>
        <w:rPr>
          <w:rFonts w:ascii="Times New Roman" w:hAnsi="Times New Roman"/>
          <w:noProof/>
        </w:rPr>
        <w:t xml:space="preserve"> konkretno prispeva k zapolnitvi vrzeli v energetski učinkovitosti s preučitvijo, kako vzpostaviti trg za energetsko učinkovitost na ravni celotne EU, vključno s potrdili o prihrankih energije. Načrt prav tako krepi </w:t>
      </w:r>
      <w:r>
        <w:rPr>
          <w:rFonts w:ascii="Times New Roman" w:hAnsi="Times New Roman"/>
          <w:b/>
          <w:noProof/>
        </w:rPr>
        <w:t xml:space="preserve"> izvršilne ukrepe proti izdelkom, ki niso skladni</w:t>
      </w:r>
      <w:r>
        <w:rPr>
          <w:rFonts w:ascii="Times New Roman" w:hAnsi="Times New Roman"/>
          <w:noProof/>
        </w:rPr>
        <w:t xml:space="preserve"> z zahtevami glede energetske učinkovitosti, Komisijo pa zavezuje k </w:t>
      </w:r>
      <w:r>
        <w:rPr>
          <w:rFonts w:ascii="Times New Roman" w:hAnsi="Times New Roman"/>
          <w:b/>
          <w:noProof/>
        </w:rPr>
        <w:t>posodobitvi pravil EU o označevanju z energijskimi nalepkami in okoljsko primerni zasnovi</w:t>
      </w:r>
      <w:r>
        <w:rPr>
          <w:rFonts w:ascii="Times New Roman" w:hAnsi="Times New Roman"/>
          <w:noProof/>
        </w:rPr>
        <w:t>.</w:t>
      </w:r>
    </w:p>
    <w:p w14:paraId="4B32DA4F" w14:textId="77777777" w:rsidR="005E019D" w:rsidRPr="005E019D" w:rsidRDefault="005E019D" w:rsidP="559622EF">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Komisija bo preko </w:t>
      </w:r>
      <w:r>
        <w:rPr>
          <w:rFonts w:ascii="Times New Roman" w:hAnsi="Times New Roman"/>
          <w:b/>
          <w:noProof/>
        </w:rPr>
        <w:t>evropske koalicije za financiranje energetske učinkovitosti</w:t>
      </w:r>
      <w:r>
        <w:rPr>
          <w:rFonts w:ascii="Times New Roman" w:hAnsi="Times New Roman"/>
          <w:noProof/>
        </w:rPr>
        <w:t xml:space="preserve"> izboljšala dostop do kapitala in olajšala razpoložljivost finančnih orodij in spodbud za podporo udeležencem na trgu, ki podjetjem zagotavljajo rešitve za energetsko učinkovitost. Komisija bo v sodelovanju s skupino Evropske investicijske banke (EIB) preučila načine za vzpostavitev jamstvene sheme EU s ciljem podvojiti trg storitev na področju energetske učinkovitosti.  </w:t>
      </w:r>
    </w:p>
    <w:p w14:paraId="78EDD9C5"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b/>
          <w:noProof/>
          <w:kern w:val="0"/>
          <w14:ligatures w14:val="none"/>
        </w:rPr>
      </w:pPr>
      <w:r>
        <w:rPr>
          <w:rFonts w:ascii="Times New Roman" w:hAnsi="Times New Roman"/>
          <w:noProof/>
        </w:rPr>
        <w:t>Da vrzel v ambicijah</w:t>
      </w:r>
      <w:r>
        <w:rPr>
          <w:rFonts w:ascii="Times New Roman" w:hAnsi="Times New Roman"/>
          <w:b/>
          <w:noProof/>
        </w:rPr>
        <w:t xml:space="preserve"> </w:t>
      </w:r>
      <w:r>
        <w:rPr>
          <w:rFonts w:ascii="Times New Roman" w:hAnsi="Times New Roman"/>
          <w:noProof/>
        </w:rPr>
        <w:t xml:space="preserve">ne bi pomenila vrzeli v dobavi, </w:t>
      </w:r>
      <w:r>
        <w:rPr>
          <w:rFonts w:ascii="Times New Roman" w:hAnsi="Times New Roman"/>
          <w:b/>
          <w:noProof/>
        </w:rPr>
        <w:t>države članice spodbujamo k izvajanju politik in ukrepov, tudi z zagotavljanjem dodatnih možnosti financiranja za podporo projektom in rešitvam na področju energetske učinkovitosti, izboljšanjem dostopa do kapitala in zagotavljanjem finančnih spodbud za zasebni sektor</w:t>
      </w:r>
      <w:r>
        <w:rPr>
          <w:rFonts w:ascii="Times New Roman" w:hAnsi="Times New Roman"/>
          <w:noProof/>
        </w:rPr>
        <w:t>. Komisija bo podprla države članice pri teh prizadevanjih, tako da bo preučila dodatno tehnično pomoč, na primer preko programa LIFE za financiranje prehoda na čisto energijo ali Instrumenta za tehnično podporo.</w:t>
      </w:r>
    </w:p>
    <w:p w14:paraId="57C848EF"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Države članice pozivamo, da pospešijo prenovo</w:t>
      </w:r>
      <w:r>
        <w:rPr>
          <w:rFonts w:ascii="Times New Roman" w:hAnsi="Times New Roman"/>
          <w:noProof/>
        </w:rPr>
        <w:t xml:space="preserve">, v svojih nacionalnih načrtih za prenovo stavb pa naj predstavijo celovite naložbene načrte za razogljičenje </w:t>
      </w:r>
      <w:r>
        <w:rPr>
          <w:rFonts w:ascii="Times New Roman" w:hAnsi="Times New Roman"/>
          <w:b/>
          <w:noProof/>
        </w:rPr>
        <w:t>stavbnega fonda</w:t>
      </w:r>
      <w:r>
        <w:rPr>
          <w:rFonts w:ascii="Times New Roman" w:hAnsi="Times New Roman"/>
          <w:noProof/>
        </w:rPr>
        <w:t xml:space="preserve"> do leta 2050. Države članice pozivamo, da izkoristijo predložitev nacionalnih načrtov prenove stavb in navedejo svoje želene cilje v zvezi z ustvarjanjem cenovno dostopnih in trajnostnih stanovanj.</w:t>
      </w:r>
    </w:p>
    <w:p w14:paraId="39A2E818"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Države članice spodbujamo k izvajanju ukrepov, ki</w:t>
      </w:r>
      <w:r>
        <w:rPr>
          <w:rFonts w:ascii="Times New Roman" w:hAnsi="Times New Roman"/>
          <w:noProof/>
        </w:rPr>
        <w:t xml:space="preserve"> </w:t>
      </w:r>
      <w:r>
        <w:rPr>
          <w:rFonts w:ascii="Times New Roman" w:hAnsi="Times New Roman"/>
          <w:b/>
          <w:noProof/>
        </w:rPr>
        <w:t>spodbujajo elektrifikacijo prometa in povečujejo privlačnost sistemov javnega prevoza</w:t>
      </w:r>
      <w:r>
        <w:rPr>
          <w:rFonts w:ascii="Times New Roman" w:hAnsi="Times New Roman"/>
          <w:noProof/>
        </w:rPr>
        <w:t xml:space="preserve">. </w:t>
      </w:r>
    </w:p>
    <w:p w14:paraId="39AEB071" w14:textId="77777777"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Države članice pozivamo tudi, da izvajajo ETS2 in predložijo zanesljive socialne načrte za podnebje</w:t>
      </w:r>
      <w:r>
        <w:rPr>
          <w:rFonts w:ascii="Times New Roman" w:hAnsi="Times New Roman"/>
          <w:noProof/>
        </w:rPr>
        <w:t>, ki bodo skupaj z dodatnimi nacionalnimi politikami prispevali k razogljičenju in povečanju energetske učinkovitosti v stavbnem sektorju in sektorju cestnega prometa.</w:t>
      </w:r>
    </w:p>
    <w:p w14:paraId="7DB3C314" w14:textId="33424F2C" w:rsidR="005E019D" w:rsidRPr="005E019D" w:rsidRDefault="005E019D" w:rsidP="005E019D">
      <w:pPr>
        <w:pBdr>
          <w:top w:val="single" w:sz="8" w:space="1" w:color="000000"/>
          <w:left w:val="single" w:sz="8" w:space="4" w:color="000000"/>
          <w:bottom w:val="single" w:sz="8" w:space="1" w:color="000000"/>
          <w:right w:val="single" w:sz="8" w:space="0" w:color="000000"/>
        </w:pBd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Države članice poz</w:t>
      </w:r>
      <w:r w:rsidR="00F2376F">
        <w:rPr>
          <w:rFonts w:ascii="Times New Roman" w:hAnsi="Times New Roman"/>
          <w:b/>
          <w:noProof/>
        </w:rPr>
        <w:t>i</w:t>
      </w:r>
      <w:r>
        <w:rPr>
          <w:rFonts w:ascii="Times New Roman" w:hAnsi="Times New Roman"/>
          <w:b/>
          <w:noProof/>
        </w:rPr>
        <w:t>va</w:t>
      </w:r>
      <w:r w:rsidR="00F2376F">
        <w:rPr>
          <w:rFonts w:ascii="Times New Roman" w:hAnsi="Times New Roman"/>
          <w:b/>
          <w:noProof/>
        </w:rPr>
        <w:t>mo</w:t>
      </w:r>
      <w:r>
        <w:rPr>
          <w:rFonts w:ascii="Times New Roman" w:hAnsi="Times New Roman"/>
          <w:b/>
          <w:noProof/>
        </w:rPr>
        <w:t xml:space="preserve">, </w:t>
      </w:r>
      <w:r w:rsidR="00F2376F">
        <w:rPr>
          <w:rFonts w:ascii="Times New Roman" w:hAnsi="Times New Roman"/>
          <w:b/>
          <w:noProof/>
        </w:rPr>
        <w:t>da</w:t>
      </w:r>
      <w:r>
        <w:rPr>
          <w:rFonts w:ascii="Times New Roman" w:hAnsi="Times New Roman"/>
          <w:b/>
          <w:noProof/>
        </w:rPr>
        <w:t xml:space="preserve"> industrijske panoge spodbudijo k sprejetju priporočil za energetsko učinkovitost</w:t>
      </w:r>
      <w:r>
        <w:rPr>
          <w:rFonts w:ascii="Times New Roman" w:hAnsi="Times New Roman"/>
          <w:noProof/>
        </w:rPr>
        <w:t xml:space="preserve">, določenih z energetskimi pregledi in sistemi upravljanja z energijo. </w:t>
      </w:r>
    </w:p>
    <w:p w14:paraId="744FC2E9" w14:textId="77777777" w:rsidR="005E019D" w:rsidRPr="005E019D" w:rsidRDefault="005E019D" w:rsidP="005E019D">
      <w:pPr>
        <w:spacing w:after="120" w:line="264" w:lineRule="auto"/>
        <w:rPr>
          <w:rFonts w:ascii="Times New Roman" w:eastAsia="Yu Mincho" w:hAnsi="Times New Roman" w:cs="Times New Roman"/>
          <w:noProof/>
          <w:kern w:val="0"/>
          <w:lang w:val="en-GB"/>
          <w14:ligatures w14:val="none"/>
        </w:rPr>
      </w:pPr>
    </w:p>
    <w:p w14:paraId="32F54D2C" w14:textId="77777777"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Privabljanje naložb za konkurenčno čisto gospodarstvo</w:t>
      </w:r>
    </w:p>
    <w:p w14:paraId="079E5373"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noProof/>
        </w:rPr>
        <w:t>Za financiranje zelenega, digitalnega in socialnega prehoda je treba čim bolj povečati javne naložbe in pritegniti zasebni kapital. Kot je navedeno v sporočilu z naslovom „Pot do naslednjega večletnega finančnega okvira“</w:t>
      </w:r>
      <w:r w:rsidRPr="005E019D">
        <w:rPr>
          <w:rFonts w:ascii="Times New Roman" w:eastAsia="Yu Mincho" w:hAnsi="Times New Roman" w:cs="Times New Roman"/>
          <w:noProof/>
          <w:kern w:val="0"/>
          <w:vertAlign w:val="superscript"/>
        </w:rPr>
        <w:footnoteReference w:id="60"/>
      </w:r>
      <w:r>
        <w:rPr>
          <w:rFonts w:ascii="Times New Roman" w:hAnsi="Times New Roman"/>
          <w:noProof/>
        </w:rPr>
        <w:t>, bo Komisija leta 2025 predstavila predlog za enostavnejši, bolj osredotočen in učinkovitejši dolgoročni proračun, ki bo uresničeval prednostne naloge EU na področju prehoda na čisto energijo, hkrati pa za upravičence olajšal in poenostavil dostop do financiranja EU ter pomagal premostiti vrzel v naložbenih potrebah.</w:t>
      </w:r>
    </w:p>
    <w:p w14:paraId="5FF41AAC"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Financiranje in naložbe</w:t>
      </w:r>
    </w:p>
    <w:p w14:paraId="32B025A8" w14:textId="61ABB3C8" w:rsidR="005E019D" w:rsidRPr="005E019D" w:rsidRDefault="005E019D" w:rsidP="005E019D">
      <w:pPr>
        <w:spacing w:before="120" w:after="0" w:line="276"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Da bi dosegli podnebne in energetske cilje EU za leto 2030, bi morale skupne naložbe v energetski sistem v obdobju 2021–2030 doseči približno 570 milijard EUR na leto</w:t>
      </w:r>
      <w:r w:rsidRPr="005E019D">
        <w:rPr>
          <w:rFonts w:ascii="Times New Roman" w:eastAsia="Times New Roman" w:hAnsi="Times New Roman" w:cs="Times New Roman"/>
          <w:b/>
          <w:bCs/>
          <w:noProof/>
          <w:color w:val="000000"/>
          <w:kern w:val="0"/>
          <w:vertAlign w:val="superscript"/>
          <w:lang w:val="en-GB"/>
        </w:rPr>
        <w:footnoteReference w:id="61"/>
      </w:r>
      <w:r>
        <w:rPr>
          <w:rFonts w:ascii="Times New Roman" w:hAnsi="Times New Roman"/>
          <w:b/>
          <w:noProof/>
          <w:color w:val="000000"/>
        </w:rPr>
        <w:t xml:space="preserve">. </w:t>
      </w:r>
      <w:r>
        <w:rPr>
          <w:rFonts w:ascii="Times New Roman" w:hAnsi="Times New Roman"/>
          <w:noProof/>
          <w:color w:val="000000"/>
        </w:rPr>
        <w:t>Poleg tega lahko to, čeprav je</w:t>
      </w:r>
      <w:r>
        <w:rPr>
          <w:rFonts w:ascii="Times New Roman" w:hAnsi="Times New Roman"/>
          <w:noProof/>
        </w:rPr>
        <w:t xml:space="preserve"> izdelava energetskih projektov, ki so že v zasnovi odporni proti podnebnim spremembam</w:t>
      </w:r>
      <w:r w:rsidRPr="005E019D">
        <w:rPr>
          <w:rFonts w:ascii="Times New Roman" w:eastAsia="Yu Mincho" w:hAnsi="Times New Roman" w:cs="Times New Roman"/>
          <w:noProof/>
          <w:kern w:val="0"/>
          <w:vertAlign w:val="superscript"/>
          <w:lang w:val="en-US"/>
        </w:rPr>
        <w:footnoteReference w:id="62"/>
      </w:r>
      <w:r>
        <w:rPr>
          <w:rFonts w:ascii="Times New Roman" w:hAnsi="Times New Roman"/>
          <w:noProof/>
        </w:rPr>
        <w:t>, nujno potrebna za izgradnjo odpornega, dolgotrajnega in stroškovno učinkovitega energetskega sistema, v prihodnjih letih poveča potrebe po predhodnih naložbah.</w:t>
      </w:r>
      <w:r>
        <w:rPr>
          <w:rFonts w:ascii="Times New Roman" w:hAnsi="Times New Roman"/>
          <w:b/>
          <w:noProof/>
        </w:rPr>
        <w:t xml:space="preserve"> </w:t>
      </w:r>
      <w:r>
        <w:rPr>
          <w:rFonts w:ascii="Times New Roman" w:hAnsi="Times New Roman"/>
          <w:noProof/>
          <w:color w:val="000000"/>
        </w:rPr>
        <w:t>Glede na to, da so javna sredstva omejena, je treba zasebni kapital strateško uporabiti kot finančni vzvod, tudi z uporabo instrumentov za zmanjševanje tveganj, da bi zmanjšali projektna tveganja in znižali stroške izposojanja za predhodne naložbe v osnovna sredstva, in posledično z znižanjem skupni stroški sistema.</w:t>
      </w:r>
    </w:p>
    <w:p w14:paraId="2AA16A76" w14:textId="1D357321" w:rsidR="005E019D" w:rsidRPr="005E019D" w:rsidRDefault="005E019D" w:rsidP="005E019D">
      <w:pPr>
        <w:spacing w:before="120" w:after="0" w:line="276" w:lineRule="auto"/>
        <w:jc w:val="both"/>
        <w:rPr>
          <w:rFonts w:ascii="Times New Roman" w:eastAsia="Yu Mincho" w:hAnsi="Times New Roman" w:cs="Times New Roman"/>
          <w:noProof/>
          <w:kern w:val="0"/>
          <w14:ligatures w14:val="none"/>
        </w:rPr>
      </w:pPr>
      <w:r>
        <w:rPr>
          <w:rFonts w:ascii="Times New Roman" w:hAnsi="Times New Roman"/>
          <w:b/>
          <w:noProof/>
          <w:color w:val="000000"/>
        </w:rPr>
        <w:t>Številne države članice so izboljšale zanesljivost svojih ocen naložb v svojih končnih načrtih</w:t>
      </w:r>
      <w:r>
        <w:rPr>
          <w:rFonts w:ascii="Times New Roman" w:hAnsi="Times New Roman"/>
          <w:noProof/>
          <w:color w:val="000000"/>
        </w:rPr>
        <w:t>,</w:t>
      </w:r>
      <w:r>
        <w:rPr>
          <w:rFonts w:ascii="Times New Roman" w:hAnsi="Times New Roman"/>
          <w:b/>
          <w:noProof/>
          <w:color w:val="000000"/>
        </w:rPr>
        <w:t xml:space="preserve"> </w:t>
      </w:r>
      <w:r>
        <w:rPr>
          <w:rFonts w:ascii="Times New Roman" w:hAnsi="Times New Roman"/>
          <w:noProof/>
          <w:color w:val="000000"/>
        </w:rPr>
        <w:t>vendar politike in cilji niso vedno usklajeni z ocenami naložbenih potreb. Poleg tega</w:t>
      </w:r>
      <w:r>
        <w:rPr>
          <w:rFonts w:ascii="Times New Roman" w:hAnsi="Times New Roman"/>
          <w:b/>
          <w:noProof/>
          <w:color w:val="000000"/>
        </w:rPr>
        <w:t xml:space="preserve"> v več načrtih ni celovitih strategij za mobilizacijo javnega in zasebnega financiranja. </w:t>
      </w:r>
      <w:r>
        <w:rPr>
          <w:rFonts w:ascii="Times New Roman" w:hAnsi="Times New Roman"/>
          <w:noProof/>
          <w:color w:val="000000"/>
        </w:rPr>
        <w:t xml:space="preserve">Večina držav članic je vsaj delno upoštevala priporočila Komisije in zagotovila ocene naložbenih potreb po sektorjih. Le malo pa jih je navedlo vire financiranja, ocenilo višino potrebne javne podpore in razpravljalo o tem, kako bi bilo mogoče mobilizirati zasebne naložbe. Preostali načrti ne vsebujejo zanesljivih ocen skupnih naložbenih potreb in/ali naložbenih potreb po sektorjih. To je zamujena priložnost za zagotovitev dolgoročne prepoznavnosti načrtovanih naložb, kar je ključno za privabljanje zasebnega financiranja. </w:t>
      </w:r>
      <w:r>
        <w:rPr>
          <w:rFonts w:ascii="Times New Roman" w:hAnsi="Times New Roman"/>
          <w:noProof/>
        </w:rPr>
        <w:t>Poleg tega v več kot polovici ocenjenih končnih NEPN ni bilo upoštevano priporočilo, naj se ukrepi v celoti uskladijo z nacionalnimi načrti za okrevanje in odpornost</w:t>
      </w:r>
      <w:r w:rsidRPr="005E019D">
        <w:rPr>
          <w:rFonts w:ascii="Times New Roman" w:eastAsia="Yu Mincho" w:hAnsi="Times New Roman" w:cs="Times New Roman"/>
          <w:noProof/>
          <w:kern w:val="0"/>
          <w:vertAlign w:val="superscript"/>
        </w:rPr>
        <w:footnoteReference w:id="63"/>
      </w:r>
      <w:r>
        <w:rPr>
          <w:rFonts w:ascii="Times New Roman" w:hAnsi="Times New Roman"/>
          <w:noProof/>
        </w:rPr>
        <w:t xml:space="preserve">. </w:t>
      </w:r>
    </w:p>
    <w:p w14:paraId="0D7DEED6" w14:textId="77777777" w:rsidR="005E019D" w:rsidRPr="005E019D" w:rsidRDefault="005E019D" w:rsidP="005E019D">
      <w:pPr>
        <w:spacing w:before="120" w:after="0" w:line="276" w:lineRule="auto"/>
        <w:jc w:val="both"/>
        <w:rPr>
          <w:rFonts w:ascii="Times New Roman" w:eastAsia="Times New Roman" w:hAnsi="Times New Roman" w:cs="Times New Roman"/>
          <w:b/>
          <w:noProof/>
          <w:color w:val="000000"/>
          <w:kern w:val="0"/>
          <w:highlight w:val="yellow"/>
          <w14:ligatures w14:val="none"/>
        </w:rPr>
      </w:pPr>
      <w:r>
        <w:rPr>
          <w:rFonts w:ascii="Times New Roman" w:hAnsi="Times New Roman"/>
          <w:noProof/>
        </w:rPr>
        <w:t>Poleg tega je le nekaj držav članic zagotovilo zanesljivo oceno makroekonomskega učinka načrta. Ker je makroekonomska ocena pomembna za učinkovito usklajevanje ekonomske politike v podporo izvajanju NEPN, so potrebna nadaljnja prizadevanja.</w:t>
      </w:r>
    </w:p>
    <w:p w14:paraId="33404389" w14:textId="131CF812" w:rsidR="005E019D" w:rsidRPr="005E019D" w:rsidRDefault="005E019D" w:rsidP="005E019D">
      <w:pPr>
        <w:spacing w:before="120" w:after="0" w:line="276" w:lineRule="auto"/>
        <w:jc w:val="both"/>
        <w:rPr>
          <w:rFonts w:ascii="Times New Roman" w:eastAsia="Yu Mincho" w:hAnsi="Times New Roman" w:cs="Times New Roman"/>
          <w:noProof/>
          <w:kern w:val="0"/>
          <w14:ligatures w14:val="none"/>
        </w:rPr>
      </w:pPr>
      <w:r>
        <w:rPr>
          <w:rFonts w:ascii="Times New Roman" w:hAnsi="Times New Roman"/>
          <w:b/>
          <w:noProof/>
        </w:rPr>
        <w:t xml:space="preserve">Postopna odprava subvencij za fosilna goriva je bistvena za preusmeritev naložb v prehod na čisto energijo in uskladitev tržnih spodbud s podnebnimi cilji. </w:t>
      </w:r>
      <w:r>
        <w:rPr>
          <w:rFonts w:ascii="Times New Roman" w:hAnsi="Times New Roman"/>
          <w:noProof/>
        </w:rPr>
        <w:t xml:space="preserve">S postopno odpravo subvencij za fosilna goriva in preusmeritvijo naložb v alternativne industrijske panoge lahko vlade spodbujajo čistejšo energijo in inovacije. S tem se bo spodbudila gospodarska odpornost in prerazporedila finančna sredstva v podporo skupnostim in delavcem, kar bo prispevalo k pravičnemu in poštenemu prehodu, ki daje prednost okoljski in družbeni blaginji (glej oddelek 5 v nadaljevanju). </w:t>
      </w:r>
    </w:p>
    <w:p w14:paraId="436BB6A9" w14:textId="77777777" w:rsidR="005E019D" w:rsidRPr="005E019D" w:rsidRDefault="005E019D" w:rsidP="005E019D">
      <w:pPr>
        <w:spacing w:before="120" w:after="0" w:line="276" w:lineRule="auto"/>
        <w:jc w:val="both"/>
        <w:rPr>
          <w:rFonts w:ascii="Times New Roman" w:eastAsia="Times New Roman" w:hAnsi="Times New Roman" w:cs="Times New Roman"/>
          <w:noProof/>
          <w:kern w:val="0"/>
          <w14:ligatures w14:val="none"/>
        </w:rPr>
      </w:pPr>
      <w:r>
        <w:rPr>
          <w:rFonts w:ascii="Times New Roman" w:hAnsi="Times New Roman"/>
          <w:b/>
          <w:noProof/>
        </w:rPr>
        <w:t>Približno polovica držav članic</w:t>
      </w:r>
      <w:r>
        <w:rPr>
          <w:rFonts w:ascii="Times New Roman" w:hAnsi="Times New Roman"/>
          <w:noProof/>
        </w:rPr>
        <w:t xml:space="preserve"> </w:t>
      </w:r>
      <w:r>
        <w:rPr>
          <w:rFonts w:ascii="Times New Roman" w:hAnsi="Times New Roman"/>
          <w:b/>
          <w:noProof/>
        </w:rPr>
        <w:t>je</w:t>
      </w:r>
      <w:r>
        <w:rPr>
          <w:rFonts w:ascii="Times New Roman" w:hAnsi="Times New Roman"/>
          <w:noProof/>
        </w:rPr>
        <w:t xml:space="preserve"> </w:t>
      </w:r>
      <w:r>
        <w:rPr>
          <w:rFonts w:ascii="Times New Roman" w:hAnsi="Times New Roman"/>
          <w:b/>
          <w:noProof/>
        </w:rPr>
        <w:t xml:space="preserve">delno upoštevala priporočilo Komisije o postopni odpravi subvencij za fosilna goriva. </w:t>
      </w:r>
      <w:r>
        <w:rPr>
          <w:rFonts w:ascii="Times New Roman" w:hAnsi="Times New Roman"/>
          <w:noProof/>
        </w:rPr>
        <w:t>Poudarek je predvsem na postopku in institucijah, vključno z dejavnostmi v mednarodnih forumih, za doseganje tega cilja s pregledom, opredelitvijo in katalogizacijo finančnih, davčnih in drugih spodbud</w:t>
      </w:r>
      <w:r w:rsidRPr="005E019D">
        <w:rPr>
          <w:rFonts w:ascii="Times New Roman" w:eastAsia="Times New Roman" w:hAnsi="Times New Roman" w:cs="Times New Roman"/>
          <w:noProof/>
          <w:kern w:val="0"/>
          <w:vertAlign w:val="superscript"/>
          <w:lang w:val="en-US"/>
        </w:rPr>
        <w:footnoteReference w:id="64"/>
      </w:r>
      <w:r>
        <w:rPr>
          <w:rFonts w:ascii="Times New Roman" w:hAnsi="Times New Roman"/>
          <w:noProof/>
        </w:rPr>
        <w:t>. Nekatere države članice</w:t>
      </w:r>
      <w:r w:rsidRPr="005E019D">
        <w:rPr>
          <w:rFonts w:ascii="Times New Roman" w:eastAsia="Times New Roman" w:hAnsi="Times New Roman" w:cs="Times New Roman"/>
          <w:noProof/>
          <w:kern w:val="0"/>
          <w:vertAlign w:val="superscript"/>
          <w:lang w:val="en-US"/>
        </w:rPr>
        <w:footnoteReference w:id="65"/>
      </w:r>
      <w:r>
        <w:rPr>
          <w:rFonts w:ascii="Times New Roman" w:hAnsi="Times New Roman"/>
          <w:noProof/>
        </w:rPr>
        <w:t xml:space="preserve"> opozarjajo na potrebo po nekaterih subvencijah ali zagovarjajo previden pristop k njihovemu postopnemu opuščanju, zlasti v posebnih primerih, kot so ranljiva gospodinjstva, ogrevanje in otoki, da bi čim bolj zmanjšale stroške in zagotovile blaginjo. </w:t>
      </w:r>
    </w:p>
    <w:p w14:paraId="164B4DB6" w14:textId="77777777" w:rsidR="005E019D" w:rsidRPr="005E019D" w:rsidRDefault="005E019D" w:rsidP="005E019D">
      <w:pPr>
        <w:spacing w:before="120" w:after="0" w:line="276" w:lineRule="auto"/>
        <w:jc w:val="both"/>
        <w:rPr>
          <w:rFonts w:ascii="Times New Roman" w:eastAsia="Yu Mincho" w:hAnsi="Times New Roman" w:cs="Times New Roman"/>
          <w:noProof/>
          <w:kern w:val="0"/>
          <w14:ligatures w14:val="none"/>
        </w:rPr>
      </w:pPr>
      <w:r>
        <w:rPr>
          <w:rFonts w:ascii="Times New Roman" w:hAnsi="Times New Roman"/>
          <w:noProof/>
        </w:rPr>
        <w:t xml:space="preserve">Zato </w:t>
      </w:r>
      <w:r>
        <w:rPr>
          <w:rFonts w:ascii="Times New Roman" w:hAnsi="Times New Roman"/>
          <w:b/>
          <w:noProof/>
        </w:rPr>
        <w:t>države članice niso v celoti izkoristile postopka NEPN, da bi začrtale postopno opuščanje subvencij za fosilna goriva in mu dale prednost.</w:t>
      </w:r>
      <w:r>
        <w:rPr>
          <w:rFonts w:ascii="Times New Roman" w:hAnsi="Times New Roman"/>
          <w:noProof/>
        </w:rPr>
        <w:t xml:space="preserve"> Dejansko le nekaj držav članic vključuje opis svojih subvencij za fosilna goriva, vendar ne zagotavlja socialno-ekonomske analize njihovega učinka niti ne omenja politik, ukrepov ali časovnih okvirov za njihovo postopno odpravo</w:t>
      </w:r>
      <w:r w:rsidRPr="005E019D">
        <w:rPr>
          <w:rFonts w:ascii="Times New Roman" w:eastAsia="Yu Mincho" w:hAnsi="Times New Roman" w:cs="Times New Roman"/>
          <w:noProof/>
          <w:kern w:val="0"/>
          <w:vertAlign w:val="superscript"/>
          <w:lang w:val="en-GB"/>
        </w:rPr>
        <w:footnoteReference w:id="66"/>
      </w:r>
      <w:r>
        <w:rPr>
          <w:rFonts w:ascii="Times New Roman" w:hAnsi="Times New Roman"/>
          <w:noProof/>
        </w:rPr>
        <w:t xml:space="preserve"> Druge opozarjajo na neobstoj neposrednih subvencij za fosilna goriva</w:t>
      </w:r>
      <w:r w:rsidRPr="005E019D">
        <w:rPr>
          <w:rFonts w:ascii="Times New Roman" w:eastAsia="Times New Roman" w:hAnsi="Times New Roman" w:cs="Times New Roman"/>
          <w:noProof/>
          <w:kern w:val="0"/>
          <w:vertAlign w:val="superscript"/>
          <w:lang w:val="en-US"/>
        </w:rPr>
        <w:footnoteReference w:id="67"/>
      </w:r>
      <w:r>
        <w:rPr>
          <w:rFonts w:ascii="Times New Roman" w:hAnsi="Times New Roman"/>
          <w:noProof/>
          <w:vertAlign w:val="superscript"/>
        </w:rPr>
        <w:t xml:space="preserve"> </w:t>
      </w:r>
      <w:r>
        <w:rPr>
          <w:rFonts w:ascii="Times New Roman" w:hAnsi="Times New Roman"/>
          <w:noProof/>
        </w:rPr>
        <w:t>ali izražajo dvome o tem, ali bi se njihovi davčni ukrepi šteli za take</w:t>
      </w:r>
      <w:r w:rsidRPr="005E019D">
        <w:rPr>
          <w:rFonts w:ascii="Times New Roman" w:eastAsia="Times New Roman" w:hAnsi="Times New Roman" w:cs="Times New Roman"/>
          <w:noProof/>
          <w:kern w:val="0"/>
          <w:vertAlign w:val="superscript"/>
          <w:lang w:val="en-US"/>
        </w:rPr>
        <w:footnoteReference w:id="68"/>
      </w:r>
      <w:r>
        <w:rPr>
          <w:rFonts w:ascii="Times New Roman" w:hAnsi="Times New Roman"/>
          <w:noProof/>
        </w:rPr>
        <w:t>.</w:t>
      </w:r>
    </w:p>
    <w:p w14:paraId="61F0EA33"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noProof/>
          <w:kern w:val="0"/>
          <w14:ligatures w14:val="none"/>
        </w:rPr>
      </w:pPr>
      <w:r>
        <w:rPr>
          <w:rFonts w:ascii="Times New Roman" w:hAnsi="Times New Roman"/>
          <w:b/>
          <w:noProof/>
        </w:rPr>
        <w:t>Pot naprej</w:t>
      </w:r>
    </w:p>
    <w:p w14:paraId="7255915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kern w:val="0"/>
          <w14:ligatures w14:val="none"/>
        </w:rPr>
      </w:pPr>
      <w:r>
        <w:rPr>
          <w:rFonts w:ascii="Times New Roman" w:hAnsi="Times New Roman"/>
          <w:i/>
          <w:noProof/>
        </w:rPr>
        <w:t xml:space="preserve">Številne države članice so </w:t>
      </w:r>
      <w:r>
        <w:rPr>
          <w:rFonts w:ascii="Times New Roman" w:hAnsi="Times New Roman"/>
          <w:i/>
          <w:noProof/>
          <w:color w:val="000000"/>
        </w:rPr>
        <w:t xml:space="preserve">izboljšale zanesljivost svojih ocen naložb, vendar jih je le malo navedlo vire financiranja in ocenilo, kako bi bilo mogoče mobilizirati zasebne naložbe. Le malo </w:t>
      </w:r>
      <w:r>
        <w:rPr>
          <w:rFonts w:ascii="Times New Roman" w:hAnsi="Times New Roman"/>
          <w:i/>
          <w:noProof/>
        </w:rPr>
        <w:t>držav članic v celoti izkoristi postopek NEPN, da bi začrtale postopno opuščanje subvencij za fosilna goriva in mu dale prednost.</w:t>
      </w:r>
      <w:r>
        <w:rPr>
          <w:rFonts w:ascii="Times New Roman" w:hAnsi="Times New Roman"/>
          <w:b/>
          <w:noProof/>
        </w:rPr>
        <w:t xml:space="preserve"> </w:t>
      </w:r>
    </w:p>
    <w:p w14:paraId="57B6EA76"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kern w:val="0"/>
          <w14:ligatures w14:val="none"/>
        </w:rPr>
      </w:pPr>
      <w:r>
        <w:rPr>
          <w:rFonts w:ascii="Times New Roman" w:hAnsi="Times New Roman"/>
          <w:noProof/>
        </w:rPr>
        <w:t xml:space="preserve">Za obravnavanje izzivov na področju financiranja in naložb v okviru podnebnega in energetskega prehoda </w:t>
      </w:r>
      <w:r>
        <w:rPr>
          <w:rFonts w:ascii="Times New Roman" w:hAnsi="Times New Roman"/>
          <w:b/>
          <w:noProof/>
        </w:rPr>
        <w:t xml:space="preserve">dogovor o čisti industriji </w:t>
      </w:r>
      <w:r>
        <w:rPr>
          <w:rFonts w:ascii="Times New Roman" w:hAnsi="Times New Roman"/>
          <w:noProof/>
        </w:rPr>
        <w:t>predlaga vrsto ukrepov za podporo naložbam in inovacijam, pri čemer mobilizira več kot 100 milijard EUR za podporo čisti proizvodnji v EU, in krepi sinergije med obstoječimi instrumenti financiranja. S povečanjem sposobnosti programa InvestEU za prevzemanje tveganj bo do konca sedanjega večletnega finančnega okvira mobiliziranih približno 50 milijard EUR dodatnega financiranja.</w:t>
      </w:r>
    </w:p>
    <w:p w14:paraId="004A2B57" w14:textId="7C29E76E"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kern w:val="0"/>
          <w14:ligatures w14:val="none"/>
        </w:rPr>
      </w:pPr>
      <w:r>
        <w:rPr>
          <w:rFonts w:ascii="Times New Roman" w:hAnsi="Times New Roman"/>
          <w:noProof/>
        </w:rPr>
        <w:t xml:space="preserve">Na podlagi izkušenj, pridobljenih s proračunom EU, ki prispeva k ukrepom, povezanim s podnebjem, v podporo evropskemu zelenemu dogovoru, bo Komisija predlagala </w:t>
      </w:r>
      <w:r>
        <w:rPr>
          <w:rFonts w:ascii="Times New Roman" w:hAnsi="Times New Roman"/>
          <w:b/>
          <w:noProof/>
        </w:rPr>
        <w:t>naslednji večletni finančni okvir</w:t>
      </w:r>
      <w:r>
        <w:rPr>
          <w:rFonts w:ascii="Times New Roman" w:hAnsi="Times New Roman"/>
          <w:noProof/>
        </w:rPr>
        <w:t xml:space="preserve"> kot ključni dejavnik za omogočanje čistega prehoda. Načrtovani sklad za konkurenčnost bo v naslednjem večletnem finančnem okviru močno podprl inovativno industrijo pri trajnostnih naložbah in zagotovil poenostavljen dostop do sredstev EU po načelu „vse na enem mestu“. Osredotočen bo na projekte z evropsko dodano vrednostjo, kot so čiste tehnologije, hkrati pa bo podpiral razogljičenje industrije. Evropska sredstva bodo zagotovila znatne dodatne naložbe v infrastrukturo in povezljivost, ki sta potrebni za dokončanje energetske unije. Komisija bo predlagala posebno </w:t>
      </w:r>
      <w:r>
        <w:rPr>
          <w:rFonts w:ascii="Times New Roman" w:hAnsi="Times New Roman"/>
          <w:b/>
          <w:noProof/>
        </w:rPr>
        <w:t>strategijo za naložbe v čisto energijo</w:t>
      </w:r>
      <w:r>
        <w:rPr>
          <w:rFonts w:ascii="Times New Roman" w:hAnsi="Times New Roman"/>
          <w:noProof/>
        </w:rPr>
        <w:t xml:space="preserve"> za Evropo, vključno s pobudo za zmanjšanje tveganja za sprostitev zasebnega kapitala v letu 2025. </w:t>
      </w:r>
    </w:p>
    <w:p w14:paraId="386D5018"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Države članice spodbujamo k ukrepanju in</w:t>
      </w:r>
      <w:r>
        <w:rPr>
          <w:rFonts w:ascii="Times New Roman" w:hAnsi="Times New Roman"/>
          <w:noProof/>
          <w:color w:val="000000"/>
        </w:rPr>
        <w:t xml:space="preserve"> </w:t>
      </w:r>
      <w:r>
        <w:rPr>
          <w:rFonts w:ascii="Times New Roman" w:hAnsi="Times New Roman"/>
          <w:b/>
          <w:noProof/>
          <w:color w:val="000000"/>
        </w:rPr>
        <w:t xml:space="preserve">določitvi jasnega in verodostojnega časovnega okvira za postopno odpravo subvencij za fosilna goriva. Komisija bo pripravila časovni načrt </w:t>
      </w:r>
      <w:r>
        <w:rPr>
          <w:rFonts w:ascii="Times New Roman" w:hAnsi="Times New Roman"/>
          <w:noProof/>
          <w:color w:val="000000"/>
        </w:rPr>
        <w:t>za nadaljnje</w:t>
      </w:r>
      <w:r>
        <w:rPr>
          <w:rFonts w:ascii="Times New Roman" w:hAnsi="Times New Roman"/>
          <w:b/>
          <w:noProof/>
          <w:color w:val="000000"/>
        </w:rPr>
        <w:t xml:space="preserve"> </w:t>
      </w:r>
      <w:r>
        <w:rPr>
          <w:rFonts w:ascii="Times New Roman" w:hAnsi="Times New Roman"/>
          <w:noProof/>
          <w:color w:val="000000"/>
        </w:rPr>
        <w:t xml:space="preserve">zmanjšanje in postopno opuščanje subvencij za fosilna goriva v okviru naših prizadevanj za zmanjšanje odvisnosti Evrope, npr. v okviru evropskega semestra 2025. </w:t>
      </w:r>
      <w:r>
        <w:rPr>
          <w:rFonts w:ascii="Times New Roman" w:hAnsi="Times New Roman"/>
          <w:noProof/>
        </w:rPr>
        <w:t xml:space="preserve">Priporočamo, da se sproščena sredstva uporabijo za podporo pravičnemu in poštenemu podnebnemu in energetskemu prehodu v skladu z energetskimi in podnebnimi cilji ter za izgradnjo konkurenčne čiste industrijske baze ob hkratni krepitvi naše strateške neodvisnosti. </w:t>
      </w:r>
    </w:p>
    <w:p w14:paraId="54A677FE" w14:textId="5DF87CCC"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kern w:val="0"/>
          <w14:ligatures w14:val="none"/>
        </w:rPr>
      </w:pPr>
      <w:r>
        <w:rPr>
          <w:rFonts w:ascii="Times New Roman" w:hAnsi="Times New Roman"/>
          <w:b/>
          <w:noProof/>
        </w:rPr>
        <w:t>Države članice pozivamo, da razmislijo o uporabi razpoložljivih javnih sredstev (na nacionalni ravni in ravni EU)</w:t>
      </w:r>
      <w:r>
        <w:rPr>
          <w:rFonts w:ascii="Times New Roman" w:hAnsi="Times New Roman"/>
          <w:noProof/>
        </w:rPr>
        <w:t xml:space="preserve"> za podporo izvajanju NEPN. To vključuje sklad za inovacije in sklad za modernizacijo ter znatne prihodke, ustvarjene s prodajo pravic iz EU ETS na dražbi. Sklad za inovacije se je izkazal za zanesljivo orodje za industrijo EU pri financiranju projektov njenega razogljičenja in proizvodnje čistih tehnologij. Države članice zlasti spodbuja</w:t>
      </w:r>
      <w:r w:rsidR="0052575A">
        <w:rPr>
          <w:rFonts w:ascii="Times New Roman" w:hAnsi="Times New Roman"/>
          <w:noProof/>
        </w:rPr>
        <w:t>mo</w:t>
      </w:r>
      <w:r>
        <w:rPr>
          <w:rFonts w:ascii="Times New Roman" w:hAnsi="Times New Roman"/>
          <w:noProof/>
        </w:rPr>
        <w:t xml:space="preserve">, </w:t>
      </w:r>
      <w:r w:rsidR="0052575A">
        <w:rPr>
          <w:rFonts w:ascii="Times New Roman" w:hAnsi="Times New Roman"/>
          <w:noProof/>
        </w:rPr>
        <w:t>da</w:t>
      </w:r>
      <w:r>
        <w:rPr>
          <w:rFonts w:ascii="Times New Roman" w:hAnsi="Times New Roman"/>
          <w:noProof/>
        </w:rPr>
        <w:t xml:space="preserve"> uporabijo dražbe kot storitev, ki jo zagotavlja Komisija, za povečanje podpore za izbrane projekte sklada za inovacije. Države članice bi morale razmisliti o tem, kako najbolje uporabiti </w:t>
      </w:r>
      <w:r>
        <w:rPr>
          <w:rFonts w:ascii="Times New Roman" w:hAnsi="Times New Roman"/>
          <w:b/>
          <w:noProof/>
        </w:rPr>
        <w:t>sklade kohezijske politike</w:t>
      </w:r>
      <w:r>
        <w:rPr>
          <w:rFonts w:ascii="Times New Roman" w:hAnsi="Times New Roman"/>
          <w:noProof/>
        </w:rPr>
        <w:t xml:space="preserve"> za podporo energetskemu in podnebnemu prehodu ter resnični energetski uniji. Nedavni predlog Komisije za posodobitev kohezijske politike v okviru vmesnega pregleda</w:t>
      </w:r>
      <w:r w:rsidRPr="005E019D">
        <w:rPr>
          <w:rFonts w:ascii="Times New Roman" w:eastAsia="Times New Roman" w:hAnsi="Times New Roman" w:cs="Times New Roman"/>
          <w:noProof/>
          <w:kern w:val="0"/>
          <w:vertAlign w:val="superscript"/>
          <w:lang w:val="en-GB"/>
        </w:rPr>
        <w:footnoteReference w:id="69"/>
      </w:r>
      <w:r>
        <w:rPr>
          <w:rFonts w:ascii="Times New Roman" w:hAnsi="Times New Roman"/>
          <w:noProof/>
        </w:rPr>
        <w:t xml:space="preserve"> zagotavlja večje predhodno financiranje v letu 2026 in sofinanciranje (30 % oziroma do 100 %) za spodbujanje naložb v povezovalne daljnovode in z njimi povezane prenosne sisteme. Predlog razširja tudi področje uporabe podpore iz Evropskega sklada za regionalni razvoj (ESRR) in Sklada za pravični prehod (SPP) na vse projekte razogljičenja, ki so v okviru sklada za inovacije prejeli pečat suverenosti. </w:t>
      </w:r>
    </w:p>
    <w:p w14:paraId="11563A3F" w14:textId="6EA05926"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Pr>
          <w:rFonts w:ascii="Times New Roman" w:hAnsi="Times New Roman"/>
          <w:b/>
          <w:noProof/>
        </w:rPr>
        <w:t xml:space="preserve">Države članice spodbujamo, da bolje ugotovijo potrebe po naložbah in </w:t>
      </w:r>
      <w:r>
        <w:rPr>
          <w:rFonts w:ascii="Times New Roman" w:hAnsi="Times New Roman"/>
          <w:b/>
          <w:noProof/>
          <w:color w:val="000000"/>
        </w:rPr>
        <w:t>razvijejo celovitejše strategije za privabljanje javnih in zasebnih naložb, potrebnih za podporo izvajanju NEPN</w:t>
      </w:r>
      <w:r>
        <w:rPr>
          <w:rFonts w:ascii="Times New Roman" w:hAnsi="Times New Roman"/>
          <w:noProof/>
          <w:color w:val="000000"/>
        </w:rPr>
        <w:t xml:space="preserve">, tudi z uporabo na primer nacionalnih vozlišč evropske koalicije za financiranje energetske učinkovitosti. To bi moralo prispevati tudi k izboljšanju učinkovitosti porabe sredstev na nacionalni ravni in ravni EU v okviru naslednjega večletnega finančnega okvira. </w:t>
      </w:r>
    </w:p>
    <w:p w14:paraId="340536BD"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Komisija bo državam članicam priporočila, da sprejmejo </w:t>
      </w:r>
      <w:r>
        <w:rPr>
          <w:rFonts w:ascii="Times New Roman" w:hAnsi="Times New Roman"/>
          <w:b/>
          <w:noProof/>
          <w:color w:val="000000"/>
        </w:rPr>
        <w:t>davčne</w:t>
      </w:r>
      <w:r>
        <w:rPr>
          <w:rFonts w:ascii="Times New Roman" w:hAnsi="Times New Roman"/>
          <w:noProof/>
          <w:color w:val="000000"/>
        </w:rPr>
        <w:t xml:space="preserve"> </w:t>
      </w:r>
      <w:r>
        <w:rPr>
          <w:rFonts w:ascii="Times New Roman" w:hAnsi="Times New Roman"/>
          <w:b/>
          <w:noProof/>
          <w:color w:val="000000"/>
        </w:rPr>
        <w:t>sisteme</w:t>
      </w:r>
      <w:r>
        <w:rPr>
          <w:rFonts w:ascii="Times New Roman" w:hAnsi="Times New Roman"/>
          <w:noProof/>
          <w:color w:val="000000"/>
        </w:rPr>
        <w:t xml:space="preserve"> v podporo čistemu poslovnemu modelu, ki lahko pomaga mobilizirati finančna sredstva. </w:t>
      </w:r>
    </w:p>
    <w:p w14:paraId="4711BEC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Države članice lahko za izvajanje NEPN uporabijo </w:t>
      </w:r>
      <w:r>
        <w:rPr>
          <w:rFonts w:ascii="Times New Roman" w:hAnsi="Times New Roman"/>
          <w:b/>
          <w:noProof/>
          <w:color w:val="000000"/>
        </w:rPr>
        <w:t>Instrument za tehnično podporo</w:t>
      </w:r>
      <w:r>
        <w:rPr>
          <w:rFonts w:ascii="Times New Roman" w:hAnsi="Times New Roman"/>
          <w:noProof/>
          <w:color w:val="000000"/>
        </w:rPr>
        <w:t>,</w:t>
      </w:r>
      <w:r>
        <w:rPr>
          <w:rFonts w:ascii="Times New Roman" w:hAnsi="Times New Roman"/>
          <w:b/>
          <w:noProof/>
          <w:color w:val="000000"/>
        </w:rPr>
        <w:t xml:space="preserve"> </w:t>
      </w:r>
      <w:r>
        <w:rPr>
          <w:rFonts w:ascii="Times New Roman" w:hAnsi="Times New Roman"/>
          <w:noProof/>
          <w:color w:val="000000"/>
        </w:rPr>
        <w:t xml:space="preserve"> ki lahko zagotovi prilagojeno strokovno znanje za izvajanje politik in ukrepov ter opredelitev in mobilizacijo glavnih virov financiranja.</w:t>
      </w:r>
    </w:p>
    <w:p w14:paraId="0ED1F65A" w14:textId="77777777" w:rsidR="005E019D" w:rsidRPr="005E019D" w:rsidRDefault="005E019D" w:rsidP="005E019D">
      <w:pPr>
        <w:spacing w:before="120" w:after="0" w:line="240" w:lineRule="auto"/>
        <w:jc w:val="both"/>
        <w:rPr>
          <w:rFonts w:ascii="Times New Roman" w:eastAsia="Yu Mincho" w:hAnsi="Times New Roman" w:cs="Times New Roman"/>
          <w:noProof/>
          <w:kern w:val="0"/>
          <w14:ligatures w14:val="none"/>
        </w:rPr>
      </w:pPr>
    </w:p>
    <w:p w14:paraId="27E4846F"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Konkurenčnost, raziskave in inovacije</w:t>
      </w:r>
    </w:p>
    <w:p w14:paraId="04B95079" w14:textId="77777777" w:rsidR="005E019D" w:rsidRPr="005E019D" w:rsidRDefault="005E019D" w:rsidP="005E019D">
      <w:pP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Evropa ima dokazano zgodovino uspeha na področju tehnologije in inovacij za čisto energijo.</w:t>
      </w:r>
      <w:r>
        <w:rPr>
          <w:rFonts w:ascii="Times New Roman" w:hAnsi="Times New Roman"/>
          <w:noProof/>
          <w:color w:val="000000"/>
        </w:rPr>
        <w:t xml:space="preserve"> Vendar mora izboljšati okvirne pogoje za učinkovito dajanje inovativnih izdelkov na trg in omogočanje podjetjem, da se razširijo, z dolgoročno vizijo, ki upošteva vprašanja, kot so odvisnosti. To je bistveno, da lahko podjetja EU izkoristijo priložnosti svetovnega trga za bistvene masovno proizvedene čiste tehnologije, ki naj bi se do leta 2035 potrojile in dosegle letno vrednost približno 1,9 bilijona EUR</w:t>
      </w:r>
      <w:r>
        <w:rPr>
          <w:rFonts w:ascii="Times New Roman" w:hAnsi="Times New Roman"/>
          <w:noProof/>
          <w:color w:val="000000"/>
          <w:vertAlign w:val="superscript"/>
        </w:rPr>
        <w:t>9</w:t>
      </w:r>
      <w:r>
        <w:rPr>
          <w:rFonts w:ascii="Times New Roman" w:hAnsi="Times New Roman"/>
          <w:noProof/>
          <w:color w:val="000000"/>
        </w:rPr>
        <w:t xml:space="preserve">. </w:t>
      </w:r>
      <w:r>
        <w:rPr>
          <w:rFonts w:ascii="Times New Roman" w:hAnsi="Times New Roman"/>
          <w:noProof/>
        </w:rPr>
        <w:tab/>
      </w:r>
    </w:p>
    <w:p w14:paraId="5450E3A2" w14:textId="77777777" w:rsidR="005E019D" w:rsidRPr="005E019D" w:rsidRDefault="005E019D" w:rsidP="005E019D">
      <w:pPr>
        <w:spacing w:before="120" w:after="120" w:line="276" w:lineRule="auto"/>
        <w:jc w:val="both"/>
        <w:rPr>
          <w:rFonts w:ascii="Times New Roman" w:eastAsia="Yu Mincho" w:hAnsi="Times New Roman" w:cs="Times New Roman"/>
          <w:b/>
          <w:noProof/>
          <w:kern w:val="0"/>
          <w14:ligatures w14:val="none"/>
        </w:rPr>
      </w:pPr>
      <w:r>
        <w:rPr>
          <w:rFonts w:ascii="Times New Roman" w:hAnsi="Times New Roman"/>
          <w:b/>
          <w:noProof/>
        </w:rPr>
        <w:t xml:space="preserve">Končni načrti kažejo, da se države članice bolj osredotočajo na podpiranje konkurenčnosti industrije v celotnem čistem prehodu. </w:t>
      </w:r>
      <w:r>
        <w:rPr>
          <w:rFonts w:ascii="Times New Roman" w:hAnsi="Times New Roman"/>
          <w:noProof/>
        </w:rPr>
        <w:t>Navajajo</w:t>
      </w:r>
      <w:r>
        <w:rPr>
          <w:rFonts w:ascii="Times New Roman" w:hAnsi="Times New Roman"/>
          <w:b/>
          <w:noProof/>
        </w:rPr>
        <w:t xml:space="preserve"> </w:t>
      </w:r>
      <w:r>
        <w:rPr>
          <w:rFonts w:ascii="Times New Roman" w:hAnsi="Times New Roman"/>
          <w:noProof/>
          <w:color w:val="000000"/>
        </w:rPr>
        <w:t>nacionalne strategije in ukrepe za podporo raziskavam in inovacijam, vendar večina načrtov</w:t>
      </w:r>
      <w:r w:rsidRPr="005E019D">
        <w:rPr>
          <w:rFonts w:ascii="Times New Roman" w:eastAsia="Yu Mincho" w:hAnsi="Times New Roman" w:cs="Times New Roman"/>
          <w:noProof/>
          <w:color w:val="000000"/>
          <w:kern w:val="0"/>
          <w:vertAlign w:val="superscript"/>
          <w:lang w:val="en-GB"/>
        </w:rPr>
        <w:footnoteReference w:id="70"/>
      </w:r>
      <w:r>
        <w:rPr>
          <w:rFonts w:ascii="Times New Roman" w:hAnsi="Times New Roman"/>
          <w:noProof/>
          <w:color w:val="000000"/>
        </w:rPr>
        <w:t xml:space="preserve"> še vedno nima ciljev financiranja, ki bi določali posebne poti do leta 2030, na primer v zvezi z javno porabo za raziskave in razvoj, namenjeno energetskim in podnebnim programom. Prav tako si ne prizadevajo za pospešitev razvoja in proizvodnje tehnologij čiste energije ter spodbujanje prehoda na podnebno nevtralno gospodarstvo do leta 2050.</w:t>
      </w:r>
    </w:p>
    <w:p w14:paraId="3E39A81A" w14:textId="77777777" w:rsidR="005E019D" w:rsidRPr="005E019D" w:rsidRDefault="005E019D" w:rsidP="005E019D">
      <w:pPr>
        <w:spacing w:before="120" w:after="120" w:line="276" w:lineRule="auto"/>
        <w:jc w:val="both"/>
        <w:rPr>
          <w:rFonts w:ascii="Times New Roman" w:eastAsia="Times New Roman" w:hAnsi="Times New Roman" w:cs="Times New Roman"/>
          <w:noProof/>
          <w:color w:val="000000"/>
          <w:kern w:val="0"/>
          <w14:ligatures w14:val="none"/>
        </w:rPr>
      </w:pPr>
      <w:r>
        <w:rPr>
          <w:rFonts w:ascii="Times New Roman" w:hAnsi="Times New Roman"/>
          <w:noProof/>
        </w:rPr>
        <w:t xml:space="preserve">Večina načrtov obravnava priporočila Komisije, v katerih so določeni </w:t>
      </w:r>
      <w:r>
        <w:rPr>
          <w:rFonts w:ascii="Times New Roman" w:hAnsi="Times New Roman"/>
          <w:b/>
          <w:noProof/>
          <w:color w:val="000000"/>
        </w:rPr>
        <w:t xml:space="preserve">jasni ukrepi za spodbujanje razvoja neto ničelnih projektov in čistih tehnologij, </w:t>
      </w:r>
      <w:r>
        <w:rPr>
          <w:rFonts w:ascii="Times New Roman" w:hAnsi="Times New Roman"/>
          <w:noProof/>
          <w:color w:val="000000"/>
        </w:rPr>
        <w:t xml:space="preserve">s </w:t>
      </w:r>
      <w:r>
        <w:rPr>
          <w:rFonts w:ascii="Times New Roman" w:hAnsi="Times New Roman"/>
          <w:b/>
          <w:noProof/>
          <w:color w:val="000000"/>
        </w:rPr>
        <w:t xml:space="preserve"> </w:t>
      </w:r>
      <w:r>
        <w:rPr>
          <w:rFonts w:ascii="Times New Roman" w:hAnsi="Times New Roman"/>
          <w:noProof/>
        </w:rPr>
        <w:t>posebnim poudarkom na energetsko intenzivnih industrijskih panogah</w:t>
      </w:r>
      <w:r w:rsidRPr="005E019D">
        <w:rPr>
          <w:rFonts w:ascii="Times New Roman" w:eastAsia="Yu Mincho" w:hAnsi="Times New Roman" w:cs="Times New Roman"/>
          <w:noProof/>
          <w:kern w:val="0"/>
          <w:vertAlign w:val="superscript"/>
          <w:lang w:val="en-GB"/>
        </w:rPr>
        <w:footnoteReference w:id="71"/>
      </w:r>
      <w:r>
        <w:rPr>
          <w:rFonts w:ascii="Times New Roman" w:hAnsi="Times New Roman"/>
          <w:noProof/>
        </w:rPr>
        <w:t>. Določeni ukrepi vključujejo podporo za naložbe in ukrepe za pospešitev postopkov izdaje dovoljenj</w:t>
      </w:r>
      <w:r w:rsidRPr="005E019D">
        <w:rPr>
          <w:rFonts w:ascii="Times New Roman" w:eastAsia="Yu Mincho" w:hAnsi="Times New Roman" w:cs="Times New Roman"/>
          <w:noProof/>
          <w:kern w:val="0"/>
          <w:vertAlign w:val="superscript"/>
          <w:lang w:val="en-GB"/>
        </w:rPr>
        <w:footnoteReference w:id="72"/>
      </w:r>
      <w:r>
        <w:rPr>
          <w:rFonts w:ascii="Times New Roman" w:hAnsi="Times New Roman"/>
          <w:noProof/>
        </w:rPr>
        <w:t xml:space="preserve"> za gradnjo infrastrukture ali projekte čiste tehnologije.  </w:t>
      </w:r>
    </w:p>
    <w:p w14:paraId="44F2B6A6" w14:textId="77777777" w:rsidR="005E019D" w:rsidRPr="005E019D" w:rsidRDefault="005E019D" w:rsidP="005E019D">
      <w:pP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Kar zadeva konkurenčne in odporne dobavne verige za tehnologije čiste energije</w:t>
      </w:r>
      <w:r>
        <w:rPr>
          <w:rFonts w:ascii="Times New Roman" w:hAnsi="Times New Roman"/>
          <w:noProof/>
          <w:color w:val="000000"/>
        </w:rPr>
        <w:t>, načrti z nekaterimi izjemami</w:t>
      </w:r>
      <w:r w:rsidRPr="005E019D">
        <w:rPr>
          <w:rFonts w:ascii="Times New Roman" w:eastAsia="Yu Mincho" w:hAnsi="Times New Roman" w:cs="Times New Roman"/>
          <w:noProof/>
          <w:color w:val="000000"/>
          <w:kern w:val="0"/>
          <w:vertAlign w:val="superscript"/>
          <w:lang w:val="en-US"/>
        </w:rPr>
        <w:footnoteReference w:id="73"/>
      </w:r>
      <w:r>
        <w:rPr>
          <w:rFonts w:ascii="Times New Roman" w:hAnsi="Times New Roman"/>
          <w:noProof/>
          <w:color w:val="000000"/>
        </w:rPr>
        <w:t xml:space="preserve"> ne odražajo resnično posebnih ukrepov za pomoč pri povečanju proizvodnje tehnologij, opreme in sestavnih delov za čisto energijo ter zagotavljanje odpornosti dobavnih verig držav članic. Vendar večina držav članic v svoje načrte vključuje strategije in ukrepe za krožno gospodarstvo, ki so potrebni za zmanjšanje odvisnosti in zagotovitev dostopa do surovin. Raven podrobnosti o teh ukrepih je neenakomerna, njihovi dejanski učinki (gospodarski, v smislu zmanjšanja emisij) pa so redko količinsko opredeljeni.</w:t>
      </w:r>
    </w:p>
    <w:p w14:paraId="2E55E9E7"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noProof/>
          <w:color w:val="000000"/>
        </w:rPr>
        <w:t xml:space="preserve">Digitalizacija energetskega sistema ima ključno vlogo v številnih načrtih, pri čemer </w:t>
      </w:r>
      <w:r>
        <w:rPr>
          <w:rFonts w:ascii="Times New Roman" w:hAnsi="Times New Roman"/>
          <w:b/>
          <w:noProof/>
          <w:color w:val="000000"/>
        </w:rPr>
        <w:t>več držav članic načrtuje jasne ukrepe za okrepitev digitalizacije omrežne infrastrukture</w:t>
      </w:r>
      <w:r>
        <w:rPr>
          <w:rFonts w:ascii="Times New Roman" w:hAnsi="Times New Roman"/>
          <w:noProof/>
          <w:color w:val="000000"/>
        </w:rPr>
        <w:t>, druge pa</w:t>
      </w:r>
      <w:r w:rsidRPr="005E019D">
        <w:rPr>
          <w:rFonts w:ascii="Times New Roman" w:eastAsia="Yu Mincho" w:hAnsi="Times New Roman" w:cs="Times New Roman"/>
          <w:noProof/>
          <w:color w:val="000000"/>
          <w:kern w:val="0"/>
          <w:vertAlign w:val="superscript"/>
        </w:rPr>
        <w:footnoteReference w:id="74"/>
      </w:r>
      <w:r w:rsidRPr="005E019D">
        <w:rPr>
          <w:rFonts w:ascii="Times New Roman" w:eastAsia="Yu Mincho" w:hAnsi="Times New Roman" w:cs="Times New Roman"/>
          <w:noProof/>
          <w:color w:val="000000"/>
          <w:kern w:val="0"/>
          <w:vertAlign w:val="superscript"/>
        </w:rPr>
        <w:footnoteReference w:id="75"/>
      </w:r>
      <w:r>
        <w:rPr>
          <w:rFonts w:ascii="Times New Roman" w:hAnsi="Times New Roman"/>
          <w:noProof/>
          <w:color w:val="000000"/>
        </w:rPr>
        <w:t xml:space="preserve"> dajejo prednost digitalizaciji uvajanja sončne tehnologije v gradbenem sektorju.</w:t>
      </w:r>
    </w:p>
    <w:p w14:paraId="30FB1677" w14:textId="77777777" w:rsidR="005E019D" w:rsidRPr="005E019D" w:rsidRDefault="005E019D" w:rsidP="005E019D">
      <w:pP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Večina načrtov je osredotočenih tudi na sodelovanje na področju inovacij</w:t>
      </w:r>
      <w:r w:rsidRPr="005E019D">
        <w:rPr>
          <w:rFonts w:ascii="Times New Roman" w:eastAsia="Yu Mincho" w:hAnsi="Times New Roman" w:cs="Times New Roman"/>
          <w:noProof/>
          <w:color w:val="000000"/>
          <w:kern w:val="0"/>
          <w:vertAlign w:val="superscript"/>
          <w:lang w:val="en-US"/>
        </w:rPr>
        <w:footnoteReference w:id="76"/>
      </w:r>
      <w:r>
        <w:rPr>
          <w:rFonts w:ascii="Times New Roman" w:hAnsi="Times New Roman"/>
          <w:noProof/>
          <w:color w:val="000000"/>
        </w:rPr>
        <w:t>.</w:t>
      </w:r>
      <w:r>
        <w:rPr>
          <w:rFonts w:ascii="Times New Roman" w:hAnsi="Times New Roman"/>
          <w:b/>
          <w:noProof/>
          <w:color w:val="000000"/>
        </w:rPr>
        <w:t xml:space="preserve"> </w:t>
      </w:r>
      <w:r>
        <w:rPr>
          <w:rFonts w:ascii="Times New Roman" w:hAnsi="Times New Roman"/>
          <w:noProof/>
          <w:color w:val="000000"/>
        </w:rPr>
        <w:t>Države članice sodelujejo v pobudah na ravni celotne EU, kot je nedavno prenovljeni Evropski strateški načrt za energetsko tehnologijo (načrt SET), da bi spodbudile inovacije, uskladile svoje raziskovalne programe in izmenjale dobre prakse. Kljub izzivom, kot so visoki stroški inovacij in regulativne ovire, ter v prizadevanjih za spodbujanje napredka države članice izkoriščajo mehanizme financiranja EU, kot so Obzorje Evropa, sklad za inovacije ter mehanizem za okrevanje in odpornost, ter spodbujajo javno-zasebna partnerstva. Programi EU dopolnjujejo financiranje na nacionalni in regionalni ravni.</w:t>
      </w:r>
    </w:p>
    <w:p w14:paraId="2B999B03" w14:textId="77777777" w:rsidR="005E019D" w:rsidRPr="005E019D" w:rsidRDefault="005E019D" w:rsidP="005E019D">
      <w:pP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noProof/>
          <w:color w:val="000000"/>
        </w:rPr>
        <w:t>Nazadnje,</w:t>
      </w:r>
      <w:r>
        <w:rPr>
          <w:rFonts w:ascii="Times New Roman" w:hAnsi="Times New Roman"/>
          <w:b/>
          <w:noProof/>
          <w:color w:val="000000"/>
        </w:rPr>
        <w:t xml:space="preserve"> </w:t>
      </w:r>
      <w:r>
        <w:rPr>
          <w:rFonts w:ascii="Times New Roman" w:hAnsi="Times New Roman"/>
          <w:noProof/>
          <w:color w:val="000000"/>
        </w:rPr>
        <w:t xml:space="preserve">razvoj delovne sile postaja čedalje pomembnejša prednostna naloga, saj so za prehod na podnebno nevtralno gospodarstvo potrebne nove spretnosti. Vendar pa </w:t>
      </w:r>
      <w:r>
        <w:rPr>
          <w:rFonts w:ascii="Times New Roman" w:hAnsi="Times New Roman"/>
          <w:b/>
          <w:noProof/>
          <w:color w:val="000000"/>
        </w:rPr>
        <w:t>so le nekatere države članice</w:t>
      </w:r>
      <w:r w:rsidRPr="005E019D">
        <w:rPr>
          <w:rFonts w:ascii="Times New Roman" w:eastAsia="Yu Mincho" w:hAnsi="Times New Roman" w:cs="Times New Roman"/>
          <w:b/>
          <w:noProof/>
          <w:color w:val="000000"/>
          <w:kern w:val="0"/>
          <w:vertAlign w:val="superscript"/>
          <w:lang w:val="en-US"/>
        </w:rPr>
        <w:footnoteReference w:id="77"/>
      </w:r>
      <w:r>
        <w:rPr>
          <w:rFonts w:ascii="Times New Roman" w:hAnsi="Times New Roman"/>
          <w:b/>
          <w:noProof/>
          <w:color w:val="000000"/>
        </w:rPr>
        <w:t xml:space="preserve"> učinkovito predstavile cilje z namenskim financiranjem za zapolnitev vrzeli v spretnostih</w:t>
      </w:r>
      <w:r>
        <w:rPr>
          <w:rFonts w:ascii="Times New Roman" w:hAnsi="Times New Roman"/>
          <w:noProof/>
          <w:color w:val="000000"/>
        </w:rPr>
        <w:t>, opredeljenih v strateških sektorjih, kot je tehnologija čiste energije.</w:t>
      </w:r>
    </w:p>
    <w:p w14:paraId="3EDC9C61"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b/>
          <w:noProof/>
          <w:color w:val="000000"/>
          <w:kern w:val="0"/>
          <w14:ligatures w14:val="none"/>
        </w:rPr>
      </w:pPr>
      <w:r>
        <w:rPr>
          <w:rFonts w:ascii="Times New Roman" w:hAnsi="Times New Roman"/>
          <w:b/>
          <w:noProof/>
          <w:color w:val="000000"/>
        </w:rPr>
        <w:t>Pot naprej</w:t>
      </w:r>
    </w:p>
    <w:p w14:paraId="30680A5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i/>
          <w:noProof/>
          <w:color w:val="000000"/>
          <w:kern w:val="0"/>
          <w14:ligatures w14:val="none"/>
        </w:rPr>
      </w:pPr>
      <w:r>
        <w:rPr>
          <w:rFonts w:ascii="Times New Roman" w:hAnsi="Times New Roman"/>
          <w:i/>
          <w:noProof/>
          <w:color w:val="000000"/>
        </w:rPr>
        <w:t>Končni načrti kažejo večjo osredotočenost na inovacije in konkurenčnost, razvoj dobavnih verig in spretnosti za prehod. Vendar načrti z nekaterimi izjemami pogosto ne vsebujejo dovolj posebnih in izvedljivih ciljev na teh področjih.</w:t>
      </w:r>
    </w:p>
    <w:p w14:paraId="22622C16"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Komisija bo z izvajanjem dogovora o čisti industriji sprejela nadaljnje ukrepe za povečanje konkurenčnosti evropske industrije čistih tehnologij in energetsko intenzivnih industrijskih panog.</w:t>
      </w:r>
      <w:r>
        <w:rPr>
          <w:rFonts w:ascii="Times New Roman" w:hAnsi="Times New Roman"/>
          <w:noProof/>
          <w:color w:val="000000"/>
        </w:rPr>
        <w:t xml:space="preserve"> Z </w:t>
      </w:r>
      <w:r>
        <w:rPr>
          <w:rFonts w:ascii="Times New Roman" w:hAnsi="Times New Roman"/>
          <w:b/>
          <w:noProof/>
          <w:color w:val="000000"/>
        </w:rPr>
        <w:t>aktom o pospeševanju razogljičenja industrije</w:t>
      </w:r>
      <w:r>
        <w:rPr>
          <w:rFonts w:ascii="Times New Roman" w:hAnsi="Times New Roman"/>
          <w:noProof/>
          <w:color w:val="000000"/>
        </w:rPr>
        <w:t xml:space="preserve"> bodo uvedena merila za odpornost in trajnostnost za spodbujanje oskrbe energetsko intenzivnih sektorjev s čisto evropsko energijo, razvita pa bo tudi prostovoljna oznaka o ogljični intenzivnosti industrijskih proizvodov. Poleg tega bi jih lahko države članice uporabile pri oblikovanju davčnih spodbud in drugih programov podpore v skladu s pravili o državni pomoči. </w:t>
      </w:r>
      <w:r>
        <w:rPr>
          <w:rFonts w:ascii="Times New Roman" w:hAnsi="Times New Roman"/>
          <w:b/>
          <w:noProof/>
          <w:color w:val="000000"/>
        </w:rPr>
        <w:t>Komisija</w:t>
      </w:r>
      <w:r>
        <w:rPr>
          <w:rFonts w:ascii="Times New Roman" w:hAnsi="Times New Roman"/>
          <w:noProof/>
          <w:color w:val="000000"/>
        </w:rPr>
        <w:t xml:space="preserve"> bo ocenila, kako povečati konkurenčnost </w:t>
      </w:r>
      <w:r>
        <w:rPr>
          <w:rFonts w:ascii="Times New Roman" w:hAnsi="Times New Roman"/>
          <w:b/>
          <w:noProof/>
          <w:color w:val="000000"/>
        </w:rPr>
        <w:t>industrije energetske učinkovitosti</w:t>
      </w:r>
      <w:r>
        <w:rPr>
          <w:rFonts w:ascii="Times New Roman" w:hAnsi="Times New Roman"/>
          <w:noProof/>
          <w:color w:val="000000"/>
        </w:rPr>
        <w:t>, ki je večinoma v Evropi, kar pomeni, da ima EU jasno konkurenčno prednost.</w:t>
      </w:r>
    </w:p>
    <w:p w14:paraId="2B421877"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Komisija bo tudi tesno sodelovala z državami članicami, da bi pospešila oblikovanje novih pomembnih projektov skupnega evropskega interesa</w:t>
      </w:r>
      <w:r>
        <w:rPr>
          <w:rFonts w:ascii="Times New Roman" w:hAnsi="Times New Roman"/>
          <w:noProof/>
          <w:color w:val="000000"/>
        </w:rPr>
        <w:t>, da se okrepi učinkovitost orodja za podporo razogljičenju industrije in proizvodnji čistih tehnologij v EU.</w:t>
      </w:r>
    </w:p>
    <w:p w14:paraId="21B16A38" w14:textId="7F8A1742"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 xml:space="preserve">Države članice </w:t>
      </w:r>
      <w:r w:rsidR="00305ED2">
        <w:rPr>
          <w:rFonts w:ascii="Times New Roman" w:hAnsi="Times New Roman"/>
          <w:b/>
          <w:noProof/>
          <w:color w:val="000000"/>
        </w:rPr>
        <w:t>spodbujamo, da</w:t>
      </w:r>
      <w:r>
        <w:rPr>
          <w:rFonts w:ascii="Times New Roman" w:hAnsi="Times New Roman"/>
          <w:noProof/>
          <w:color w:val="000000"/>
        </w:rPr>
        <w:t xml:space="preserve"> </w:t>
      </w:r>
      <w:r>
        <w:rPr>
          <w:rFonts w:ascii="Times New Roman" w:hAnsi="Times New Roman"/>
          <w:b/>
          <w:noProof/>
          <w:color w:val="000000"/>
        </w:rPr>
        <w:t>povečajo nacionalno povpraševanje po čistih proizvodih in diverzificirajo oskrbo s kritičnimi surovinami v povezavi z ukrepi krožnega gospodarstva.</w:t>
      </w:r>
      <w:r>
        <w:rPr>
          <w:rFonts w:ascii="Times New Roman" w:hAnsi="Times New Roman"/>
          <w:noProof/>
          <w:color w:val="000000"/>
        </w:rPr>
        <w:t xml:space="preserve"> To bo spodbudilo inovacije in komercializacijo proizvodnje energije z neto ničelnimi tehnologijami, pomagalo razogljičiti industrijo, promet in stavbe, zmanjšalo našo odvisnost ter spodbudilo nadomeščanje fosilnih surovin s trajnostnim ogljikom. </w:t>
      </w:r>
    </w:p>
    <w:p w14:paraId="2E44A9C8"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noProof/>
          <w:color w:val="000000"/>
        </w:rPr>
        <w:t>Države članice EU bi morale uporabiti nove digitalne vire EU in podatkovne proizvode iz vesoljskega programa EU, da bi spodbudile energijo iz obnovljivih virov, povečale učinkovitost omrežja in podprle napredne strategije za razogljičenje.</w:t>
      </w:r>
    </w:p>
    <w:p w14:paraId="1B32236B"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Države članice bi morale še naprej poenostavljati postopek izdaje dovoljenj za proizvodne zmogljivosti in gradnjo projektov</w:t>
      </w:r>
      <w:r>
        <w:rPr>
          <w:rFonts w:ascii="Times New Roman" w:hAnsi="Times New Roman"/>
          <w:noProof/>
          <w:color w:val="000000"/>
        </w:rPr>
        <w:t xml:space="preserve"> ter vzdrževati zanesljiv in razčlenjen časovni okvir dražb za projekte na področju čiste energije, s čimer se zagotavljajo odpornost, varnost in okoljska trajnostnost.</w:t>
      </w:r>
    </w:p>
    <w:p w14:paraId="6D857777"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r>
        <w:rPr>
          <w:rFonts w:ascii="Times New Roman" w:hAnsi="Times New Roman"/>
          <w:b/>
          <w:noProof/>
          <w:color w:val="000000"/>
        </w:rPr>
        <w:t>Države članice bi morale razmisliti, kako najbolje uporabiti ustrezno financiranje, kot sta Evropski socialni sklad plus (ESS+)</w:t>
      </w:r>
      <w:r>
        <w:rPr>
          <w:rFonts w:ascii="Times New Roman" w:hAnsi="Times New Roman"/>
          <w:noProof/>
          <w:color w:val="000000"/>
        </w:rPr>
        <w:t xml:space="preserve"> </w:t>
      </w:r>
      <w:r>
        <w:rPr>
          <w:rFonts w:ascii="Times New Roman" w:hAnsi="Times New Roman"/>
          <w:b/>
          <w:noProof/>
          <w:color w:val="000000"/>
        </w:rPr>
        <w:t>in SPP,</w:t>
      </w:r>
      <w:r>
        <w:rPr>
          <w:rFonts w:ascii="Times New Roman" w:hAnsi="Times New Roman"/>
          <w:noProof/>
          <w:color w:val="000000"/>
        </w:rPr>
        <w:t xml:space="preserve"> v okviru vmesnega pregleda skladov kohezijske politike za zapolnitev vrzeli v znanjih in spretnostih za podnebni in energetski prehod.</w:t>
      </w:r>
    </w:p>
    <w:p w14:paraId="344507E4" w14:textId="06652B99"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Komisija bo izvajala </w:t>
      </w:r>
      <w:r>
        <w:rPr>
          <w:rFonts w:ascii="Times New Roman" w:hAnsi="Times New Roman"/>
          <w:b/>
          <w:noProof/>
          <w:color w:val="000000"/>
        </w:rPr>
        <w:t>unijo spretnosti</w:t>
      </w:r>
      <w:r w:rsidRPr="0052575A">
        <w:rPr>
          <w:noProof/>
          <w:color w:val="000000"/>
          <w:kern w:val="0"/>
          <w:vertAlign w:val="superscript"/>
        </w:rPr>
        <w:footnoteReference w:id="78"/>
      </w:r>
      <w:r>
        <w:rPr>
          <w:rFonts w:ascii="Times New Roman" w:hAnsi="Times New Roman"/>
          <w:noProof/>
          <w:color w:val="000000"/>
        </w:rPr>
        <w:t xml:space="preserve">, da bi ljudem zagotovila </w:t>
      </w:r>
      <w:r w:rsidR="0052575A">
        <w:rPr>
          <w:rFonts w:ascii="Times New Roman" w:hAnsi="Times New Roman"/>
          <w:noProof/>
          <w:color w:val="000000"/>
        </w:rPr>
        <w:t xml:space="preserve">znanja in </w:t>
      </w:r>
      <w:r>
        <w:rPr>
          <w:rFonts w:ascii="Times New Roman" w:hAnsi="Times New Roman"/>
          <w:noProof/>
          <w:color w:val="000000"/>
        </w:rPr>
        <w:t>spretnosti, potrebne za izkoriščanje priložnosti, ki jih prinaša čisti prehod.</w:t>
      </w:r>
    </w:p>
    <w:p w14:paraId="574C92D0" w14:textId="77777777" w:rsidR="005E019D" w:rsidRPr="005E019D" w:rsidDel="00245C2C"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Yu Mincho" w:hAnsi="Times New Roman" w:cs="Times New Roman"/>
          <w:noProof/>
          <w:color w:val="000000"/>
          <w:kern w:val="0"/>
          <w14:ligatures w14:val="none"/>
        </w:rPr>
      </w:pPr>
    </w:p>
    <w:p w14:paraId="2FA91F5D" w14:textId="77777777" w:rsidR="005E019D" w:rsidRPr="005E019D" w:rsidRDefault="005E019D" w:rsidP="005E019D">
      <w:pPr>
        <w:spacing w:after="120" w:line="264" w:lineRule="auto"/>
        <w:rPr>
          <w:rFonts w:ascii="Times New Roman" w:eastAsia="Yu Mincho" w:hAnsi="Times New Roman" w:cs="Times New Roman"/>
          <w:noProof/>
          <w:kern w:val="0"/>
          <w14:ligatures w14:val="none"/>
        </w:rPr>
      </w:pPr>
    </w:p>
    <w:p w14:paraId="0624F88C"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 xml:space="preserve">Notranji trg z energijo in medsebojna povezanost </w:t>
      </w:r>
    </w:p>
    <w:p w14:paraId="535FCA75" w14:textId="77777777"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Dobro povezan trg je najmočnejše orodje EU za dolgoročno zagotavljanje varne, konkurenčne in cenovno dostopne energije za odjemalce in industrijo. </w:t>
      </w:r>
      <w:r>
        <w:rPr>
          <w:rFonts w:ascii="Times New Roman" w:hAnsi="Times New Roman"/>
          <w:noProof/>
        </w:rPr>
        <w:t>Nadaljnje povezovanje trgov je ključni pogoj za vzpostavitev trdne energetske unije in nam bo pomagalo doseči cilj akcijskega načrta za cenovno dostopno energijo v zvezi z znižanjem stroškov energije. Omogoča nemoten prenos proizvedene čiste energije tja, kjer je najbolj potrebna, in zagotavlja prave cenovne signale za usmerjanje naložb v zeleno energijo in tehnologije. Nedavne energetske krize so pokazale, kje sta potrebna nadaljnja krepitev naše infrastrukture in tesnejše povezovanje trga EU z energijo, nacionalni energetski in podnebni načrti pa državam članicam pomagajo pri prizadevanjih za ta bolj povezan in delujoč trg energije.</w:t>
      </w:r>
    </w:p>
    <w:p w14:paraId="1CE6BBCE" w14:textId="77777777" w:rsidR="005E019D" w:rsidRPr="005E019D" w:rsidRDefault="005E019D" w:rsidP="005E019D">
      <w:pPr>
        <w:spacing w:before="120" w:after="120" w:line="264" w:lineRule="auto"/>
        <w:jc w:val="both"/>
        <w:rPr>
          <w:rFonts w:ascii="Times New Roman" w:eastAsia="Yu Mincho" w:hAnsi="Times New Roman" w:cs="Times New Roman"/>
          <w:b/>
          <w:noProof/>
          <w:kern w:val="0"/>
          <w14:ligatures w14:val="none"/>
        </w:rPr>
      </w:pPr>
      <w:r>
        <w:rPr>
          <w:rFonts w:ascii="Times New Roman" w:hAnsi="Times New Roman"/>
          <w:noProof/>
        </w:rPr>
        <w:t>V več nacionalnih energetskih in podnebnih načrtih je poudarjena potreba po</w:t>
      </w:r>
      <w:r>
        <w:rPr>
          <w:rFonts w:ascii="Times New Roman" w:hAnsi="Times New Roman"/>
          <w:b/>
          <w:noProof/>
        </w:rPr>
        <w:t xml:space="preserve"> odpravi trdovratnih ovir na trgu ter spodbujanju enakih možnosti za nove udeležence in različnih rešitev za prožnost </w:t>
      </w:r>
      <w:r>
        <w:rPr>
          <w:rFonts w:ascii="Times New Roman" w:hAnsi="Times New Roman"/>
          <w:noProof/>
        </w:rPr>
        <w:t>na trgih energije.</w:t>
      </w:r>
      <w:r>
        <w:rPr>
          <w:rFonts w:ascii="Times New Roman" w:hAnsi="Times New Roman"/>
          <w:b/>
          <w:noProof/>
        </w:rPr>
        <w:t xml:space="preserve"> </w:t>
      </w:r>
      <w:r>
        <w:rPr>
          <w:rFonts w:ascii="Times New Roman" w:hAnsi="Times New Roman"/>
          <w:noProof/>
        </w:rPr>
        <w:t xml:space="preserve">V večini načrtov je poudarjen </w:t>
      </w:r>
      <w:r>
        <w:rPr>
          <w:rFonts w:ascii="Times New Roman" w:hAnsi="Times New Roman"/>
          <w:b/>
          <w:noProof/>
        </w:rPr>
        <w:t>pomen prožnosti in prilagajanja odjema</w:t>
      </w:r>
      <w:r>
        <w:rPr>
          <w:rFonts w:ascii="Times New Roman" w:hAnsi="Times New Roman"/>
          <w:noProof/>
        </w:rPr>
        <w:t xml:space="preserve"> za hiter prodor energije iz obnovljivih virov, čeprav več držav članic</w:t>
      </w:r>
      <w:r w:rsidRPr="005E019D">
        <w:rPr>
          <w:rFonts w:ascii="Times New Roman" w:eastAsia="Yu Mincho" w:hAnsi="Times New Roman" w:cs="Times New Roman"/>
          <w:noProof/>
          <w:kern w:val="0"/>
          <w:vertAlign w:val="superscript"/>
        </w:rPr>
        <w:footnoteReference w:id="79"/>
      </w:r>
      <w:r>
        <w:rPr>
          <w:rFonts w:ascii="Times New Roman" w:hAnsi="Times New Roman"/>
          <w:noProof/>
        </w:rPr>
        <w:t xml:space="preserve"> spodbuja prilagajanje odjema, shranjevanje energije in razvoj zmogljivosti omrežij, vendar jih je le nekaj določilo jasne cilje, načrte ali časovne okvire za njihovo izvajanje. </w:t>
      </w:r>
    </w:p>
    <w:p w14:paraId="5ABF8462"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Naložbe v infrastrukturo omrežja električne energije in optimizacija dobro povezanega evropskega energetskega sistema so ključne za stroškovno učinkovit prehod na čisto energijo z ravni prenosa na raven distribucije. </w:t>
      </w:r>
      <w:r>
        <w:rPr>
          <w:rFonts w:ascii="Times New Roman" w:hAnsi="Times New Roman"/>
          <w:noProof/>
        </w:rPr>
        <w:t>Čeprav države članice, kot so Luksemburg, Slovenija, Latvija in Madžarska, že precej presegajo cilj 15-odstotne medsebojne povezanosti EU do leta 2030, pa nekatere države, kot so Španija, Grčija, Italija in Francija, močno zaostajajo, kar kaže na trdovratno vrzel pri državah članicah, ki razvijajo svoje čezmejne povezave. Potrebna so okrepljena prizadevanja za zagotovitev zadostnih naložb v infrastrukturo na vseh ravneh napetosti, da bi izpolnili tako nacionalne kot tudi čezmejne potrebe. Agencija Evropske unije za sodelovanje energetskih regulatorjev (ACER) ugotavlja, da vprašanje 32 GW čezmejne zmogljivosti, potrebne do leta 2030, še vedno ni bilo obravnavano</w:t>
      </w:r>
      <w:r w:rsidRPr="005E019D">
        <w:rPr>
          <w:rFonts w:ascii="Times New Roman" w:eastAsia="Yu Mincho" w:hAnsi="Times New Roman" w:cs="Times New Roman"/>
          <w:noProof/>
          <w:kern w:val="0"/>
          <w:vertAlign w:val="superscript"/>
        </w:rPr>
        <w:footnoteReference w:id="80"/>
      </w:r>
      <w:r>
        <w:rPr>
          <w:rFonts w:ascii="Times New Roman" w:hAnsi="Times New Roman"/>
          <w:noProof/>
        </w:rPr>
        <w:t>.</w:t>
      </w:r>
    </w:p>
    <w:p w14:paraId="00468670" w14:textId="77777777"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r>
        <w:rPr>
          <w:rFonts w:ascii="Times New Roman" w:hAnsi="Times New Roman"/>
          <w:noProof/>
        </w:rPr>
        <w:t xml:space="preserve">Potrošniki so pogosto v središču energetskih in podnebnih ambicij, </w:t>
      </w:r>
      <w:r>
        <w:rPr>
          <w:rFonts w:ascii="Times New Roman" w:hAnsi="Times New Roman"/>
          <w:b/>
          <w:noProof/>
        </w:rPr>
        <w:t>večina držav članic pa sprejema ukrepe za razvoj konkurenčnejših maloprodajnih trgov</w:t>
      </w:r>
      <w:r>
        <w:rPr>
          <w:rFonts w:ascii="Times New Roman" w:hAnsi="Times New Roman"/>
          <w:noProof/>
        </w:rPr>
        <w:t xml:space="preserve"> in ustvarja dodatne priložnosti za odjemalce, da dejavno sodelujejo na trgih energije kot aktivni odjemalci, in sicer z združevanjem ali energetskimi skupnostmi. </w:t>
      </w:r>
      <w:r>
        <w:rPr>
          <w:rFonts w:ascii="Times New Roman" w:hAnsi="Times New Roman"/>
          <w:b/>
          <w:noProof/>
        </w:rPr>
        <w:t>Večina držav članic vključuje tudi dinamično oblikovanje cen in uvedbo pametnih števcev</w:t>
      </w:r>
      <w:r>
        <w:rPr>
          <w:rFonts w:ascii="Times New Roman" w:hAnsi="Times New Roman"/>
          <w:noProof/>
        </w:rPr>
        <w:t xml:space="preserve"> za spodbujanje sodelovanja odjemalcev pri energetskem prehodu.</w:t>
      </w:r>
    </w:p>
    <w:p w14:paraId="2CA01A34" w14:textId="77777777"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Čeprav večina držav članic v svojem končnem posodobljenem NEPN obravnava energijsko revščino, počnejo to v različnem obsegu. </w:t>
      </w:r>
      <w:r>
        <w:rPr>
          <w:rFonts w:ascii="Times New Roman" w:hAnsi="Times New Roman"/>
          <w:noProof/>
        </w:rPr>
        <w:t>Mnoge opisujejo strukturne ukrepe ali ukrepe dohodkovne podpore s poudarkom na energetski učinkovitosti, prenovi stavb in razogljičenju. Nekatere države članice prilagajajo ukrepe za pomoč najranljivejšim skupinam. Vendar le nekaj držav članic</w:t>
      </w:r>
      <w:r w:rsidRPr="005E019D">
        <w:rPr>
          <w:rFonts w:ascii="Times New Roman" w:eastAsia="Times New Roman" w:hAnsi="Times New Roman" w:cs="Times New Roman"/>
          <w:noProof/>
          <w:kern w:val="0"/>
          <w:vertAlign w:val="superscript"/>
          <w:lang w:val="en-GB"/>
        </w:rPr>
        <w:footnoteReference w:id="81"/>
      </w:r>
      <w:r>
        <w:rPr>
          <w:rFonts w:ascii="Times New Roman" w:hAnsi="Times New Roman"/>
          <w:noProof/>
        </w:rPr>
        <w:t xml:space="preserve"> zagotavlja jasne opredelitve energijske revščine ali določa konkretne cilje za njeno zmanjšanje. Prenos določb v zvezi z energijsko revščino</w:t>
      </w:r>
      <w:r w:rsidRPr="005E019D">
        <w:rPr>
          <w:rFonts w:ascii="Times New Roman" w:eastAsia="Times New Roman" w:hAnsi="Times New Roman" w:cs="Times New Roman"/>
          <w:noProof/>
          <w:kern w:val="0"/>
          <w:vertAlign w:val="superscript"/>
          <w:lang w:val="en-GB"/>
        </w:rPr>
        <w:footnoteReference w:id="82"/>
      </w:r>
      <w:r>
        <w:rPr>
          <w:rFonts w:ascii="Times New Roman" w:hAnsi="Times New Roman"/>
          <w:noProof/>
        </w:rPr>
        <w:t xml:space="preserve"> trenutno poteka le delno. Zagotavljanje skladnosti s pripravo socialnih načrtov za podnebje v okviru Socialnega sklada za podnebje, vzpostavljenega v povezavi z EU ETS2, je ključnega pomena za uspešen napredek.</w:t>
      </w:r>
    </w:p>
    <w:p w14:paraId="151A1A7B" w14:textId="77777777" w:rsidR="005E019D" w:rsidRPr="005E019D" w:rsidRDefault="005E019D" w:rsidP="005E019D">
      <w:pPr>
        <w:spacing w:after="120" w:line="264" w:lineRule="auto"/>
        <w:rPr>
          <w:rFonts w:ascii="Times New Roman" w:eastAsia="Times New Roman" w:hAnsi="Times New Roman" w:cs="Times New Roman"/>
          <w:noProof/>
          <w:kern w:val="0"/>
          <w14:ligatures w14:val="none"/>
        </w:rPr>
      </w:pPr>
      <w:r>
        <w:rPr>
          <w:rFonts w:ascii="Times New Roman" w:hAnsi="Times New Roman"/>
          <w:noProof/>
        </w:rPr>
        <w:t xml:space="preserve">  </w:t>
      </w:r>
    </w:p>
    <w:p w14:paraId="25769D87"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b/>
          <w:bCs/>
          <w:noProof/>
          <w:color w:val="000000"/>
          <w:kern w:val="0"/>
          <w14:ligatures w14:val="none"/>
        </w:rPr>
      </w:pPr>
      <w:r>
        <w:rPr>
          <w:rFonts w:ascii="Times New Roman" w:hAnsi="Times New Roman"/>
          <w:b/>
          <w:noProof/>
          <w:color w:val="000000"/>
        </w:rPr>
        <w:t>Pot naprej</w:t>
      </w:r>
    </w:p>
    <w:p w14:paraId="52860A66"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cs="Times New Roman"/>
          <w:b/>
          <w:bCs/>
          <w:noProof/>
          <w:color w:val="000000"/>
          <w:kern w:val="0"/>
          <w14:ligatures w14:val="none"/>
        </w:rPr>
      </w:pPr>
      <w:r>
        <w:rPr>
          <w:rFonts w:ascii="Times New Roman" w:hAnsi="Times New Roman"/>
          <w:i/>
          <w:noProof/>
        </w:rPr>
        <w:t xml:space="preserve">Države članice so v svoje končne načrte vključile ukrepe za spodbujanje prožnosti, stabilizacijo trgov in lažji prodor obnovljivih virov energije, čeprav z različnimi ravnmi podrobnosti. Načrti na splošno vključujejo ukrepe za krepitev vloge odjemalcev in odpravo energijske revščine v različnem obsegu. </w:t>
      </w:r>
      <w:r>
        <w:rPr>
          <w:rFonts w:ascii="Times New Roman" w:hAnsi="Times New Roman"/>
          <w:b/>
          <w:i/>
          <w:noProof/>
        </w:rPr>
        <w:t>Potrebni so dodatni ukrepi za razvoj čezmejnih povezav in nadaljnje povezovanje trgov.</w:t>
      </w:r>
      <w:r>
        <w:rPr>
          <w:rFonts w:ascii="Times New Roman" w:hAnsi="Times New Roman"/>
          <w:i/>
          <w:noProof/>
        </w:rPr>
        <w:t xml:space="preserve"> </w:t>
      </w:r>
    </w:p>
    <w:p w14:paraId="7B49DA65"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kern w:val="0"/>
          <w14:ligatures w14:val="none"/>
        </w:rPr>
      </w:pPr>
      <w:r>
        <w:rPr>
          <w:rFonts w:ascii="Times New Roman" w:hAnsi="Times New Roman"/>
          <w:b/>
          <w:noProof/>
        </w:rPr>
        <w:t>Akcijski načrt Komisije za cenovno dostopno energijo</w:t>
      </w:r>
      <w:r>
        <w:rPr>
          <w:rFonts w:ascii="Times New Roman" w:hAnsi="Times New Roman"/>
          <w:noProof/>
        </w:rPr>
        <w:t xml:space="preserve"> vključuje kratkoročne ukrepe za znižanje stroškov energije, dokončanje energetske unije, privabljanje naložb in pripravo na morebitne energetske krize. Popolnoma povezan trg energije, ki temelji na zanesljivem povezanem energetskem omrežju, je izjemno pomemben za povečanje koristi za vse evropske odjemalce.</w:t>
      </w:r>
    </w:p>
    <w:p w14:paraId="5B4C51B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 xml:space="preserve">Kot je bilo napovedano v tem načrtu, namerava Komisija za okrepitev energetskega sistema in poglobitev povezovanja trga EU izdati </w:t>
      </w:r>
      <w:r>
        <w:rPr>
          <w:rFonts w:ascii="Times New Roman" w:hAnsi="Times New Roman"/>
          <w:b/>
          <w:noProof/>
          <w:color w:val="000000"/>
        </w:rPr>
        <w:t>belo knjigo o nadaljnjem povezovanju trga električne energije</w:t>
      </w:r>
      <w:r>
        <w:rPr>
          <w:rFonts w:ascii="Times New Roman" w:hAnsi="Times New Roman"/>
          <w:noProof/>
          <w:color w:val="000000"/>
        </w:rPr>
        <w:t xml:space="preserve">, ustanoviti </w:t>
      </w:r>
      <w:r>
        <w:rPr>
          <w:rFonts w:ascii="Times New Roman" w:hAnsi="Times New Roman"/>
          <w:b/>
          <w:noProof/>
          <w:color w:val="000000"/>
        </w:rPr>
        <w:t>projektno skupino za energetsko unijo</w:t>
      </w:r>
      <w:r>
        <w:rPr>
          <w:rFonts w:ascii="Times New Roman" w:hAnsi="Times New Roman"/>
          <w:noProof/>
          <w:color w:val="000000"/>
        </w:rPr>
        <w:t xml:space="preserve"> in začeti </w:t>
      </w:r>
      <w:r>
        <w:rPr>
          <w:rFonts w:ascii="Times New Roman" w:hAnsi="Times New Roman"/>
          <w:b/>
          <w:noProof/>
          <w:color w:val="000000"/>
        </w:rPr>
        <w:t>dialog o prihodnosti trga.</w:t>
      </w:r>
      <w:r>
        <w:rPr>
          <w:rFonts w:ascii="Times New Roman" w:hAnsi="Times New Roman"/>
          <w:noProof/>
          <w:color w:val="000000"/>
        </w:rPr>
        <w:t xml:space="preserve"> </w:t>
      </w:r>
    </w:p>
    <w:p w14:paraId="19E8EC5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Sveženj za evropska omrežja</w:t>
      </w:r>
      <w:r>
        <w:rPr>
          <w:rFonts w:ascii="Times New Roman" w:hAnsi="Times New Roman"/>
          <w:noProof/>
          <w:color w:val="000000"/>
        </w:rPr>
        <w:t xml:space="preserve"> bo</w:t>
      </w:r>
      <w:r>
        <w:rPr>
          <w:rFonts w:ascii="Times New Roman" w:hAnsi="Times New Roman"/>
          <w:b/>
          <w:noProof/>
          <w:color w:val="000000"/>
        </w:rPr>
        <w:t xml:space="preserve"> </w:t>
      </w:r>
      <w:r>
        <w:rPr>
          <w:rFonts w:ascii="Times New Roman" w:hAnsi="Times New Roman"/>
          <w:noProof/>
          <w:color w:val="000000"/>
        </w:rPr>
        <w:t>vključeval ustrezne zakonodajne in nezakonodajne ukrepe za poenostavitev okvira politike za vseevropska energetska omrežja, zagotovitev celovitega čezmejnega načrtovanja, zlasti za povezovalne daljnovode, in racionalizacijo postopkov izdaje dovoljenj. Osredotočen bo tudi na izboljšanje načrtovanja distribucijskega omrežja, spodbujanje digitalizacije in inovacij, pri čemer bodo imele prednost potrebe oskrbe proizvodnje, hkrati pa bo temeljil na ukrepih iz akcijskega načrta za omrežje. Drugi seznam projektov skupnega interesa in projektov vzajemnega interesa Unije bo sprejet v zadnjem četrtletju leta 2025, veljati pa naj bi začel v prvem četrtletju leta 2026.</w:t>
      </w:r>
    </w:p>
    <w:p w14:paraId="17C0C624" w14:textId="60394E83"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Države članice </w:t>
      </w:r>
      <w:r w:rsidR="00305ED2">
        <w:rPr>
          <w:rFonts w:ascii="Times New Roman" w:hAnsi="Times New Roman"/>
          <w:b/>
          <w:noProof/>
        </w:rPr>
        <w:t>spodbujamo, da</w:t>
      </w:r>
      <w:r>
        <w:rPr>
          <w:rFonts w:ascii="Times New Roman" w:hAnsi="Times New Roman"/>
          <w:b/>
          <w:noProof/>
        </w:rPr>
        <w:t xml:space="preserve"> obravnavajo obstoječe</w:t>
      </w:r>
      <w:r>
        <w:rPr>
          <w:rFonts w:ascii="Times New Roman" w:hAnsi="Times New Roman"/>
          <w:noProof/>
        </w:rPr>
        <w:t xml:space="preserve"> </w:t>
      </w:r>
      <w:r>
        <w:rPr>
          <w:rFonts w:ascii="Times New Roman" w:hAnsi="Times New Roman"/>
          <w:b/>
          <w:noProof/>
        </w:rPr>
        <w:t>ovire na trgu, ki preprečujejo prilagajanje odjema, shranjevanje, upravljanje prezasedenosti, ponudnikom pomožnih storitev</w:t>
      </w:r>
      <w:r>
        <w:rPr>
          <w:rFonts w:ascii="Times New Roman" w:hAnsi="Times New Roman"/>
          <w:noProof/>
        </w:rPr>
        <w:t xml:space="preserve"> pa sodelovanje na veleprodajnih trgih z izvajanjem pravil EU o dostopu do trga na teh področjih. Podpira</w:t>
      </w:r>
      <w:r w:rsidR="00BF7672">
        <w:rPr>
          <w:rFonts w:ascii="Times New Roman" w:hAnsi="Times New Roman"/>
          <w:noProof/>
        </w:rPr>
        <w:t>mo</w:t>
      </w:r>
      <w:r>
        <w:rPr>
          <w:rFonts w:ascii="Times New Roman" w:hAnsi="Times New Roman"/>
          <w:noProof/>
        </w:rPr>
        <w:t xml:space="preserve"> jih tudi pri spodbujanju prožnosti na maloprodajnem trgu in zagotavljanju možnosti odjemalcem, da sodelujejo na trgu.</w:t>
      </w:r>
    </w:p>
    <w:p w14:paraId="597E0D72"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kern w:val="0"/>
          <w14:ligatures w14:val="none"/>
        </w:rPr>
      </w:pPr>
      <w:r>
        <w:rPr>
          <w:rFonts w:ascii="Times New Roman" w:hAnsi="Times New Roman"/>
          <w:b/>
          <w:noProof/>
        </w:rPr>
        <w:t>Države članice prav tako pozivamo, da še naprej</w:t>
      </w:r>
      <w:r>
        <w:rPr>
          <w:rFonts w:ascii="Times New Roman" w:hAnsi="Times New Roman"/>
          <w:noProof/>
        </w:rPr>
        <w:t xml:space="preserve"> </w:t>
      </w:r>
      <w:r>
        <w:rPr>
          <w:rFonts w:ascii="Times New Roman" w:hAnsi="Times New Roman"/>
          <w:b/>
          <w:noProof/>
        </w:rPr>
        <w:t>razvijajo svoje čezmejne povezave</w:t>
      </w:r>
      <w:r w:rsidRPr="005E019D">
        <w:rPr>
          <w:rFonts w:ascii="Times New Roman" w:eastAsia="Times New Roman" w:hAnsi="Times New Roman" w:cs="Times New Roman"/>
          <w:b/>
          <w:bCs/>
          <w:noProof/>
          <w:kern w:val="0"/>
          <w:vertAlign w:val="superscript"/>
          <w:lang w:val="en-GB"/>
        </w:rPr>
        <w:footnoteReference w:id="83"/>
      </w:r>
      <w:r>
        <w:rPr>
          <w:rFonts w:ascii="Times New Roman" w:hAnsi="Times New Roman"/>
          <w:b/>
          <w:noProof/>
        </w:rPr>
        <w:t xml:space="preserve"> in okrepijo svoje notranje mreže</w:t>
      </w:r>
      <w:r>
        <w:rPr>
          <w:rFonts w:ascii="Times New Roman" w:hAnsi="Times New Roman"/>
          <w:noProof/>
        </w:rPr>
        <w:t xml:space="preserve"> ter zagotovijo zadostne naložbe v infrastrukturo na vseh ravneh napetosti za popolno vključitev obnovljivih virov energije v elektroenergetski sistem.</w:t>
      </w:r>
    </w:p>
    <w:p w14:paraId="53D6BB5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color w:val="000000"/>
          <w:kern w:val="0"/>
          <w14:ligatures w14:val="none"/>
        </w:rPr>
      </w:pPr>
      <w:r>
        <w:rPr>
          <w:rFonts w:ascii="Times New Roman" w:hAnsi="Times New Roman"/>
          <w:noProof/>
        </w:rPr>
        <w:t>Izvajanje akcijskega načrta za cenovno dostopno energijo z znižanjem cen energije bo pomagalo gospodinjstvom in odjemalcem v energijski revščini, ki se soočajo z visokimi računi za energijo, ter industrijam, ki se spopadajo z visokimi proizvodnimi stroški.</w:t>
      </w:r>
      <w:r>
        <w:rPr>
          <w:rFonts w:ascii="Times New Roman" w:hAnsi="Times New Roman"/>
          <w:noProof/>
          <w:color w:val="000000"/>
        </w:rPr>
        <w:t xml:space="preserve"> Komisija bo </w:t>
      </w:r>
      <w:r>
        <w:rPr>
          <w:rFonts w:ascii="Times New Roman" w:hAnsi="Times New Roman"/>
          <w:b/>
          <w:noProof/>
          <w:color w:val="000000"/>
        </w:rPr>
        <w:t>energijsko revščino</w:t>
      </w:r>
      <w:r>
        <w:rPr>
          <w:rFonts w:ascii="Times New Roman" w:hAnsi="Times New Roman"/>
          <w:noProof/>
          <w:color w:val="000000"/>
        </w:rPr>
        <w:t xml:space="preserve"> še naprej obravnavala tudi z </w:t>
      </w:r>
      <w:r>
        <w:rPr>
          <w:rFonts w:ascii="Times New Roman" w:hAnsi="Times New Roman"/>
          <w:b/>
          <w:noProof/>
          <w:color w:val="000000"/>
        </w:rPr>
        <w:t>energetskim svežnjem za državljane</w:t>
      </w:r>
      <w:r>
        <w:rPr>
          <w:rFonts w:ascii="Times New Roman" w:hAnsi="Times New Roman"/>
          <w:noProof/>
          <w:color w:val="000000"/>
        </w:rPr>
        <w:t>, ki bo zagotovil pravičen in vključujoč energetski prehod,</w:t>
      </w:r>
      <w:r>
        <w:rPr>
          <w:rFonts w:ascii="Times New Roman" w:hAnsi="Times New Roman"/>
          <w:b/>
          <w:noProof/>
          <w:color w:val="000000"/>
        </w:rPr>
        <w:t xml:space="preserve"> </w:t>
      </w:r>
      <w:r>
        <w:rPr>
          <w:rFonts w:ascii="Times New Roman" w:hAnsi="Times New Roman"/>
          <w:noProof/>
          <w:color w:val="000000"/>
        </w:rPr>
        <w:t xml:space="preserve"> ter s podporo državam članicam pri prenosu in izvajanju pravnih določb in ukrepov, povezanih z energijsko revščino.</w:t>
      </w:r>
    </w:p>
    <w:p w14:paraId="6FDE964E" w14:textId="77777777" w:rsidR="005E019D" w:rsidRPr="005E019D" w:rsidRDefault="005E019D" w:rsidP="005E019D">
      <w:pPr>
        <w:spacing w:after="0" w:line="264" w:lineRule="auto"/>
        <w:jc w:val="both"/>
        <w:rPr>
          <w:rFonts w:ascii="Times New Roman" w:eastAsia="Times New Roman" w:hAnsi="Times New Roman" w:cs="Times New Roman"/>
          <w:noProof/>
          <w:kern w:val="0"/>
          <w:lang w:val="en-GB"/>
          <w14:ligatures w14:val="none"/>
        </w:rPr>
      </w:pPr>
    </w:p>
    <w:p w14:paraId="49391F07" w14:textId="77777777" w:rsidR="005E019D" w:rsidRPr="005E019D" w:rsidRDefault="005E019D" w:rsidP="005E019D">
      <w:pPr>
        <w:keepNext/>
        <w:keepLines/>
        <w:numPr>
          <w:ilvl w:val="1"/>
          <w:numId w:val="0"/>
        </w:numPr>
        <w:spacing w:before="40" w:after="240" w:line="240" w:lineRule="auto"/>
        <w:ind w:left="576" w:hanging="576"/>
        <w:jc w:val="both"/>
        <w:outlineLvl w:val="1"/>
        <w:rPr>
          <w:rFonts w:ascii="Times New Roman" w:eastAsia="Yu Gothic Light" w:hAnsi="Times New Roman" w:cs="Times New Roman"/>
          <w:b/>
          <w:bCs/>
          <w:noProof/>
          <w:color w:val="000000"/>
          <w:kern w:val="0"/>
          <w14:ligatures w14:val="none"/>
        </w:rPr>
      </w:pPr>
      <w:r>
        <w:rPr>
          <w:rFonts w:ascii="Times New Roman" w:hAnsi="Times New Roman"/>
          <w:b/>
          <w:noProof/>
          <w:color w:val="000000"/>
        </w:rPr>
        <w:t>Regionalno sodelovanje</w:t>
      </w:r>
    </w:p>
    <w:p w14:paraId="2F683094"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Regionalno sodelovanje prispeva k učinkovitejši čezmejni infrastrukturi in konkurenčnejši uporabi skupnih naravnih virov EU</w:t>
      </w:r>
      <w:r>
        <w:rPr>
          <w:rFonts w:ascii="Times New Roman" w:hAnsi="Times New Roman"/>
          <w:noProof/>
        </w:rPr>
        <w:t>, kar vodi v varnejši in bolj povezan evropski energetski sistem. Zato je pozitivno, da več držav članic v svojih končnih načrtih zagotavlja več informacij o uporabi regionalnega sodelovanja pri doseganju svojih energetskih in podnebnih ciljev, tudi s sodelovanjem v političnih skupinah na visoki ravni</w:t>
      </w:r>
      <w:r w:rsidRPr="005E019D">
        <w:rPr>
          <w:rFonts w:ascii="Times New Roman" w:eastAsia="Yu Mincho" w:hAnsi="Times New Roman" w:cs="Times New Roman"/>
          <w:noProof/>
          <w:kern w:val="0"/>
          <w:vertAlign w:val="superscript"/>
        </w:rPr>
        <w:footnoteReference w:id="84"/>
      </w:r>
      <w:r>
        <w:rPr>
          <w:rFonts w:ascii="Times New Roman" w:hAnsi="Times New Roman"/>
          <w:noProof/>
        </w:rPr>
        <w:t>.</w:t>
      </w:r>
    </w:p>
    <w:p w14:paraId="4B1C59DC"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Hkrati pa le nekaj držav članic</w:t>
      </w:r>
      <w:r w:rsidRPr="005E019D">
        <w:rPr>
          <w:rFonts w:ascii="Times New Roman" w:eastAsia="Yu Mincho" w:hAnsi="Times New Roman" w:cs="Times New Roman"/>
          <w:b/>
          <w:noProof/>
          <w:kern w:val="0"/>
          <w:vertAlign w:val="superscript"/>
        </w:rPr>
        <w:footnoteReference w:id="85"/>
      </w:r>
      <w:r>
        <w:rPr>
          <w:rFonts w:ascii="Times New Roman" w:hAnsi="Times New Roman"/>
          <w:b/>
          <w:noProof/>
        </w:rPr>
        <w:t xml:space="preserve"> pojasnjuje, kako nameravajo vzpostaviti okvir za sodelovanje pri skupnih projektih</w:t>
      </w:r>
      <w:r>
        <w:rPr>
          <w:rFonts w:ascii="Times New Roman" w:hAnsi="Times New Roman"/>
          <w:noProof/>
        </w:rPr>
        <w:t xml:space="preserve"> z eno ali več državami članicami v skladu s členom 9 Direktive (EU) 2018/2001</w:t>
      </w:r>
      <w:r w:rsidRPr="005E019D">
        <w:rPr>
          <w:rFonts w:ascii="Times New Roman" w:eastAsia="Yu Mincho" w:hAnsi="Times New Roman" w:cs="Times New Roman"/>
          <w:noProof/>
          <w:kern w:val="0"/>
          <w:vertAlign w:val="superscript"/>
        </w:rPr>
        <w:footnoteReference w:id="86"/>
      </w:r>
      <w:r>
        <w:rPr>
          <w:rFonts w:ascii="Times New Roman" w:hAnsi="Times New Roman"/>
          <w:noProof/>
        </w:rPr>
        <w:t>, kakor je bila spremenjena.</w:t>
      </w:r>
    </w:p>
    <w:p w14:paraId="19B01A53"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Ocena solidarnostnih sporazumov na področju plina je bolj mešana</w:t>
      </w:r>
      <w:r>
        <w:rPr>
          <w:rFonts w:ascii="Times New Roman" w:hAnsi="Times New Roman"/>
          <w:noProof/>
        </w:rPr>
        <w:t>. Nekatere države članice</w:t>
      </w:r>
      <w:r w:rsidRPr="005E019D">
        <w:rPr>
          <w:rFonts w:ascii="Times New Roman" w:eastAsia="Yu Mincho" w:hAnsi="Times New Roman" w:cs="Times New Roman"/>
          <w:noProof/>
          <w:kern w:val="0"/>
          <w:vertAlign w:val="superscript"/>
        </w:rPr>
        <w:footnoteReference w:id="87"/>
      </w:r>
      <w:r>
        <w:rPr>
          <w:rFonts w:ascii="Times New Roman" w:hAnsi="Times New Roman"/>
          <w:noProof/>
        </w:rPr>
        <w:t xml:space="preserve"> so v primerjavi s svojimi osnutki načrtov predložile vsaj nekaj novih informacij o napredku, namerah ali podpisu solidarnostnih sporazumov na področju plina s sosednjimi državami, medtem ko jih več drugih ni predložilo. </w:t>
      </w:r>
    </w:p>
    <w:p w14:paraId="13EEADFC"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b/>
          <w:i/>
          <w:noProof/>
          <w:kern w:val="0"/>
          <w14:ligatures w14:val="none"/>
        </w:rPr>
      </w:pPr>
      <w:r>
        <w:rPr>
          <w:rFonts w:ascii="Times New Roman" w:hAnsi="Times New Roman"/>
          <w:b/>
          <w:i/>
          <w:noProof/>
        </w:rPr>
        <w:t>Pot naprej</w:t>
      </w:r>
    </w:p>
    <w:p w14:paraId="46954921"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noProof/>
          <w:kern w:val="0"/>
          <w14:ligatures w14:val="none"/>
        </w:rPr>
      </w:pPr>
      <w:r>
        <w:rPr>
          <w:rFonts w:ascii="Times New Roman" w:hAnsi="Times New Roman"/>
          <w:i/>
          <w:noProof/>
        </w:rPr>
        <w:t>Države članice na splošno izkoriščajo vzpostavljene forume za regionalno sodelovanje, čeprav v različnem obsegu. Le malo držav članic zagotavlja informacije o posebnih sporazumih s sosednjimi državami, kot so skupni projekti ali solidarnostni sporazumi na področju plina.</w:t>
      </w:r>
    </w:p>
    <w:p w14:paraId="682353B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lang w:val="en-GB"/>
          <w14:ligatures w14:val="none"/>
        </w:rPr>
      </w:pPr>
    </w:p>
    <w:p w14:paraId="2E50C1A5"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Nova projektna skupina za energetsko</w:t>
      </w:r>
      <w:r>
        <w:rPr>
          <w:rFonts w:ascii="Times New Roman" w:hAnsi="Times New Roman"/>
          <w:noProof/>
          <w:color w:val="000000"/>
        </w:rPr>
        <w:t xml:space="preserve"> </w:t>
      </w:r>
      <w:r>
        <w:rPr>
          <w:rFonts w:ascii="Times New Roman" w:hAnsi="Times New Roman"/>
          <w:b/>
          <w:noProof/>
          <w:color w:val="000000"/>
        </w:rPr>
        <w:t>unijo</w:t>
      </w:r>
      <w:r>
        <w:rPr>
          <w:rFonts w:ascii="Times New Roman" w:hAnsi="Times New Roman"/>
          <w:noProof/>
          <w:color w:val="000000"/>
        </w:rPr>
        <w:t>, ki jo je Komisija predlagala v okviru akcijskega načrta za cenovno dostopno energijo, bo med drugim pripomogla k izboljšanju preglednosti, usklajevanja in povezovanja sistemov ter s tem okrepila politiko in načrtovanje omrežij po vsej EU.</w:t>
      </w:r>
    </w:p>
    <w:p w14:paraId="6B21A90F" w14:textId="3FF9E31D" w:rsidR="005E019D" w:rsidRPr="005E019D" w:rsidRDefault="005E019D" w:rsidP="005E019D">
      <w:pPr>
        <w:pBdr>
          <w:top w:val="single" w:sz="4" w:space="1" w:color="auto"/>
          <w:left w:val="single" w:sz="4" w:space="4" w:color="auto"/>
          <w:bottom w:val="single" w:sz="4" w:space="1" w:color="auto"/>
          <w:right w:val="single" w:sz="4" w:space="4" w:color="auto"/>
        </w:pBdr>
        <w:spacing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color w:val="000000"/>
        </w:rPr>
        <w:t>Države članice spodbuja</w:t>
      </w:r>
      <w:r w:rsidR="00BF7672">
        <w:rPr>
          <w:rFonts w:ascii="Times New Roman" w:hAnsi="Times New Roman"/>
          <w:b/>
          <w:noProof/>
          <w:color w:val="000000"/>
        </w:rPr>
        <w:t>mo</w:t>
      </w:r>
      <w:r>
        <w:rPr>
          <w:rFonts w:ascii="Times New Roman" w:hAnsi="Times New Roman"/>
          <w:noProof/>
          <w:color w:val="000000"/>
        </w:rPr>
        <w:t xml:space="preserve">, </w:t>
      </w:r>
      <w:r w:rsidR="00BF7672">
        <w:rPr>
          <w:rFonts w:ascii="Times New Roman" w:hAnsi="Times New Roman"/>
          <w:noProof/>
          <w:color w:val="000000"/>
        </w:rPr>
        <w:t xml:space="preserve">da </w:t>
      </w:r>
      <w:r>
        <w:rPr>
          <w:rFonts w:ascii="Times New Roman" w:hAnsi="Times New Roman"/>
          <w:noProof/>
          <w:color w:val="000000"/>
        </w:rPr>
        <w:t xml:space="preserve">še naprej čim bolj </w:t>
      </w:r>
      <w:r>
        <w:rPr>
          <w:rFonts w:ascii="Times New Roman" w:hAnsi="Times New Roman"/>
          <w:b/>
          <w:noProof/>
          <w:color w:val="000000"/>
        </w:rPr>
        <w:t>izkoriščajo obstoječe forume za regionalno sodelovanje</w:t>
      </w:r>
      <w:r>
        <w:rPr>
          <w:rFonts w:ascii="Times New Roman" w:hAnsi="Times New Roman"/>
          <w:noProof/>
          <w:color w:val="000000"/>
        </w:rPr>
        <w:t xml:space="preserve">, zlasti skupine na visoki ravni. </w:t>
      </w:r>
    </w:p>
    <w:p w14:paraId="055FA7A7" w14:textId="77777777" w:rsidR="005E019D" w:rsidRPr="005E019D" w:rsidRDefault="005E019D" w:rsidP="005E019D">
      <w:pPr>
        <w:spacing w:after="120" w:line="264" w:lineRule="auto"/>
        <w:jc w:val="both"/>
        <w:rPr>
          <w:rFonts w:ascii="Times New Roman" w:eastAsia="Yu Mincho" w:hAnsi="Times New Roman" w:cs="Times New Roman"/>
          <w:i/>
          <w:iCs/>
          <w:noProof/>
          <w:kern w:val="0"/>
          <w:lang w:val="en-GB"/>
          <w14:ligatures w14:val="none"/>
        </w:rPr>
      </w:pPr>
    </w:p>
    <w:p w14:paraId="41AF673E" w14:textId="77777777"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OBLIKOVANJE BOLJ NEODVISNE IN VARNEJŠE EU</w:t>
      </w:r>
    </w:p>
    <w:p w14:paraId="01188A7F"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Razogljičenje, konkurenčnost in rast Evrope so neločljivo povezani z njeno varnostjo in neodvisnostjo, </w:t>
      </w:r>
      <w:r>
        <w:rPr>
          <w:rFonts w:ascii="Times New Roman" w:hAnsi="Times New Roman"/>
          <w:noProof/>
        </w:rPr>
        <w:t>z energetsko krizo pa se je pozornost ponovno usmerila v cilje zmanjšanja porabe, diverzifikacije naše oskrbe z zemeljskim plinom in pripravljenosti na morebitne energetske krize. EU je od avgusta 2022 do novembra 2024 povpraševanje po plinu že zmanjšala za 18 %</w:t>
      </w:r>
      <w:r w:rsidRPr="005E019D">
        <w:rPr>
          <w:rFonts w:ascii="Times New Roman" w:eastAsia="Yu Mincho" w:hAnsi="Times New Roman" w:cs="Times New Roman"/>
          <w:noProof/>
          <w:kern w:val="0"/>
          <w:vertAlign w:val="superscript"/>
          <w:lang w:val="en-GB"/>
        </w:rPr>
        <w:footnoteReference w:id="88"/>
      </w:r>
      <w:r>
        <w:rPr>
          <w:rFonts w:ascii="Times New Roman" w:hAnsi="Times New Roman"/>
          <w:noProof/>
        </w:rPr>
        <w:t>. Diverzificirala je tudi oskrbo s plinom, pri čemer se je uvoz ruskega plina med letoma 2021 in 2023 zmanjšal za 70 % (s 150 milijard kubičnih metrov na 43 milijard kubičnih metrov). To poudarja potrebo po srednjeročnih nacionalnih strategijah za dokončanje postopne opustitve ruskih fosilnih goriv in dolgoročno zmanjšanje naše odvisnosti od fosilnih goriv.</w:t>
      </w:r>
    </w:p>
    <w:p w14:paraId="2585DCDD" w14:textId="159CC093"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Po prestali energetski krizi v letih 2022 in 2023</w:t>
      </w:r>
      <w:r>
        <w:rPr>
          <w:rFonts w:ascii="Times New Roman" w:hAnsi="Times New Roman"/>
          <w:b/>
          <w:noProof/>
        </w:rPr>
        <w:t xml:space="preserve"> končni NEPN razširjajo nacionalne strategije za zagotavljanje energetske varnosti v hitro spreminjajočem se energetskem sistemu EU. </w:t>
      </w:r>
      <w:r>
        <w:rPr>
          <w:rFonts w:ascii="Times New Roman" w:hAnsi="Times New Roman"/>
          <w:noProof/>
        </w:rPr>
        <w:t>Končni načrti se – čeprav v različnem obsegu – odzivajo</w:t>
      </w:r>
      <w:r w:rsidR="00BF7672">
        <w:rPr>
          <w:rFonts w:ascii="Times New Roman" w:hAnsi="Times New Roman"/>
          <w:noProof/>
        </w:rPr>
        <w:t xml:space="preserve"> na</w:t>
      </w:r>
      <w:r>
        <w:rPr>
          <w:rFonts w:ascii="Times New Roman" w:hAnsi="Times New Roman"/>
          <w:noProof/>
        </w:rPr>
        <w:t xml:space="preserve"> priporočila Komisije, ki zajemajo cilje in ukrepe na področju energetske varnosti v zvezi s plinom, električno energijo, nafto, jedrsko energijo in prilagajanjem podnebnim spremembam. Več držav članic je predložilo posodobljene projekcije glede povpraševanja po plinu, pri čemer velika večina napoveduje znatno zmanjšanje v prihodnjih desetletjih. Konkretne načrte za spodbujanje manjšega povpraševanja po plinu do leta 2030 je predložil le Luksemburg. Podobno le malo držav članic zagotavlja podrobnosti o svojih nadaljnjih prizadevanjih za diverzifikacijo, premalo pozornosti pa je namenjene temu, ali sta njihova plinska infrastruktura in po potrebi infrastruktura novih projektov izkoriščanja združljiva s cilji razogljičenja. </w:t>
      </w:r>
    </w:p>
    <w:p w14:paraId="1B76E301" w14:textId="77777777" w:rsidR="005E019D" w:rsidRPr="005E019D" w:rsidRDefault="005E019D" w:rsidP="005E019D">
      <w:pPr>
        <w:spacing w:before="120" w:after="120" w:line="264" w:lineRule="auto"/>
        <w:jc w:val="both"/>
        <w:rPr>
          <w:rFonts w:ascii="Times New Roman" w:eastAsia="Yu Mincho" w:hAnsi="Times New Roman" w:cs="Times New Roman"/>
          <w:b/>
          <w:noProof/>
          <w:kern w:val="0"/>
          <w14:ligatures w14:val="none"/>
        </w:rPr>
      </w:pPr>
      <w:r>
        <w:rPr>
          <w:rFonts w:ascii="Times New Roman" w:hAnsi="Times New Roman"/>
          <w:b/>
          <w:noProof/>
        </w:rPr>
        <w:t xml:space="preserve">Elektrifikacija, spremenljivi obnovljivi viri energije in prizadevanja za postopno opuščanje uvoza fosilnih goriv iz Rusije poudarjajo pomen odpornejšega elektroenergetskega sistema. </w:t>
      </w:r>
      <w:r>
        <w:rPr>
          <w:rFonts w:ascii="Times New Roman" w:hAnsi="Times New Roman"/>
          <w:noProof/>
        </w:rPr>
        <w:t>Pomemben mejnik na poti k večji odpornosti električne energije je bila sinhronizacija Estonije, Latvije in Litve s celinsko Evropo februarja 2025, s čimer se je odpravila morebitna izpostavljenost do Rusije. Revidirana zasnova trga električne energije</w:t>
      </w:r>
      <w:r w:rsidRPr="005E019D">
        <w:rPr>
          <w:rFonts w:ascii="Times New Roman" w:eastAsia="Yu Mincho" w:hAnsi="Times New Roman" w:cs="Times New Roman"/>
          <w:noProof/>
          <w:kern w:val="0"/>
          <w:vertAlign w:val="superscript"/>
        </w:rPr>
        <w:footnoteReference w:id="89"/>
      </w:r>
      <w:r>
        <w:rPr>
          <w:rFonts w:ascii="Times New Roman" w:hAnsi="Times New Roman"/>
          <w:noProof/>
        </w:rPr>
        <w:t xml:space="preserve"> od držav članic zahteva, da ocenijo svoje potrebe in cilje v smislu prožnosti brez fosilnih goriv, vključno s posebnim prispevkom shranjevanja energije in prilagajanja odjema. Komisija je leta 2023 sprejela tudi priporočilo o glavnih regulativnih ovirah za shranjevanje energije</w:t>
      </w:r>
      <w:r w:rsidRPr="005E019D">
        <w:rPr>
          <w:rFonts w:ascii="Times New Roman" w:eastAsia="Yu Mincho" w:hAnsi="Times New Roman" w:cs="Times New Roman"/>
          <w:noProof/>
          <w:kern w:val="0"/>
          <w:vertAlign w:val="superscript"/>
        </w:rPr>
        <w:footnoteReference w:id="90"/>
      </w:r>
      <w:r>
        <w:rPr>
          <w:rFonts w:ascii="Times New Roman" w:hAnsi="Times New Roman"/>
          <w:noProof/>
        </w:rPr>
        <w:t>.</w:t>
      </w:r>
    </w:p>
    <w:p w14:paraId="3AEF5EBD"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Kljub temu, da je to ključni del odpornejšega energetskega sistema, le malo držav članic določa posebne cilje za shranjevanje energije.</w:t>
      </w:r>
      <w:r>
        <w:rPr>
          <w:rFonts w:ascii="Times New Roman" w:hAnsi="Times New Roman"/>
          <w:noProof/>
        </w:rPr>
        <w:t xml:space="preserve"> Nekatere države članice posredujejo dodatne podrobnosti</w:t>
      </w:r>
      <w:r w:rsidRPr="005E019D">
        <w:rPr>
          <w:rFonts w:ascii="Times New Roman" w:eastAsia="Yu Mincho" w:hAnsi="Times New Roman" w:cs="Times New Roman"/>
          <w:noProof/>
          <w:kern w:val="0"/>
          <w:vertAlign w:val="superscript"/>
        </w:rPr>
        <w:footnoteReference w:id="91"/>
      </w:r>
      <w:r>
        <w:rPr>
          <w:rFonts w:ascii="Times New Roman" w:hAnsi="Times New Roman"/>
          <w:noProof/>
        </w:rPr>
        <w:t xml:space="preserve"> o politikah shranjevanja, manj držav članic pa informacije o ciljih</w:t>
      </w:r>
      <w:r w:rsidRPr="005E019D">
        <w:rPr>
          <w:rFonts w:ascii="Times New Roman" w:eastAsia="Yu Mincho" w:hAnsi="Times New Roman" w:cs="Times New Roman"/>
          <w:noProof/>
          <w:kern w:val="0"/>
          <w:vertAlign w:val="superscript"/>
        </w:rPr>
        <w:footnoteReference w:id="92"/>
      </w:r>
      <w:r>
        <w:rPr>
          <w:rFonts w:ascii="Times New Roman" w:hAnsi="Times New Roman"/>
          <w:noProof/>
        </w:rPr>
        <w:t>. Podatki ne zadostujejo za skladno in primerljivo sliko o uvajanju shranjevanja v vseh državah članicah.</w:t>
      </w:r>
    </w:p>
    <w:p w14:paraId="0C1251CA" w14:textId="39947AA8"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Čeprav je uvoz nafte v EU bolj raznolik kot prej, so v končnih NEPN omejene informacije o nacionalnih strategijah za prilagoditev naftne infrastrukture razogljičenemu energetskemu sistemu. </w:t>
      </w:r>
      <w:r>
        <w:rPr>
          <w:rFonts w:ascii="Times New Roman" w:hAnsi="Times New Roman"/>
          <w:noProof/>
        </w:rPr>
        <w:t>Ruska nafta danes predstavlja le 3 % uvoza zaradi sankcij EU, s katerimi je od decembra 2022 prepovedan ruski uvoz surove nafte po morju, od februarja 2023</w:t>
      </w:r>
      <w:r w:rsidR="00BF7672">
        <w:rPr>
          <w:rFonts w:ascii="Times New Roman" w:hAnsi="Times New Roman"/>
          <w:noProof/>
        </w:rPr>
        <w:t xml:space="preserve"> </w:t>
      </w:r>
      <w:r>
        <w:rPr>
          <w:rFonts w:ascii="Times New Roman" w:hAnsi="Times New Roman"/>
          <w:noProof/>
        </w:rPr>
        <w:t>pa uvoz rafiniranih naftnih derivatov. Medtem ko več držav članic zagotavlja več informacij o svojih obetih v zvezi z nafto, je le nekaj držav članic</w:t>
      </w:r>
      <w:r w:rsidRPr="005E019D">
        <w:rPr>
          <w:rFonts w:ascii="Times New Roman" w:eastAsia="Yu Mincho" w:hAnsi="Times New Roman" w:cs="Times New Roman"/>
          <w:noProof/>
          <w:kern w:val="0"/>
          <w:vertAlign w:val="superscript"/>
        </w:rPr>
        <w:footnoteReference w:id="93"/>
      </w:r>
      <w:r>
        <w:rPr>
          <w:rFonts w:ascii="Times New Roman" w:hAnsi="Times New Roman"/>
          <w:noProof/>
        </w:rPr>
        <w:t xml:space="preserve"> učinkovito ocenilo dolgoročno ustreznost infrastrukture za fosilna goriva (vključno z rafinerijami, cevovodi, zalogami) ob upoštevanju pričakovanega zmanjšanja povpraševanja in prehoda na nizkoogljične alternative v prihodnjih desetletjih na poti k podnebni nevtralnosti EU do leta 2050.</w:t>
      </w:r>
    </w:p>
    <w:p w14:paraId="35D87B5D"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Glede </w:t>
      </w:r>
      <w:r>
        <w:rPr>
          <w:rFonts w:ascii="Times New Roman" w:hAnsi="Times New Roman"/>
          <w:b/>
          <w:noProof/>
        </w:rPr>
        <w:t>jedrske energije</w:t>
      </w:r>
      <w:r>
        <w:rPr>
          <w:rFonts w:ascii="Times New Roman" w:hAnsi="Times New Roman"/>
          <w:noProof/>
        </w:rPr>
        <w:t xml:space="preserve"> je več držav članic predložilo posodobljene podatke o svojih programih ter napovedalo podaljšanje obratovanja obstoječih reaktorjev in novogradenj. Ti programi obravnavajo jedrsko energijo za oskrbo s čisto in prožno električno energijo ter toploto za stanovanjsko in industrijsko uporabo, vključno s proizvodnjo vodika.</w:t>
      </w:r>
    </w:p>
    <w:p w14:paraId="4D01757A" w14:textId="1889001E"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 xml:space="preserve">Dolgoročno gledano bi lahko na podlagi informacij iz končnih NEPN veliki jedrski reaktorji leta 2050 zagotovili do 110 GWe neto zmogljivosti za proizvodnjo električne energije, čeprav to prinaša precejšnjo stopnjo negotovosti glede podaljšanja življenjske dobe obstoječih reaktorjev in glede načrtov za nove reaktorje, v zvezi s katerimi še ni bila sprejeta končna odločitev o naložbi. Komisija bo nadaljnje podrobnosti o zbirnih rezultatih in analizah občutljivosti ter s tem povezanih naložbenih potrebah predstavila v prihodnjem usmeritvenem jedrskem programu (PINC), ki se trenutno pripravlja v skladu s členom 40 Pogodbe Euratom. </w:t>
      </w:r>
    </w:p>
    <w:p w14:paraId="4C04A93A" w14:textId="66CA595F"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Odporne dobavne verige jedrske energije ogrožajo nizke ruske cene in zgodovinske okoliščine. Rusija dobavlja izdelke in storitve strankam iz EU v celotnem jedrskem gorivnem ciklu, vendar države članice dosegajo napredek, kot so predstavile v svojih končnih načrtih. Odvisnost je največja v petih državah članicah</w:t>
      </w:r>
      <w:r w:rsidRPr="005E019D">
        <w:rPr>
          <w:rFonts w:ascii="Times New Roman" w:eastAsia="Yu Mincho" w:hAnsi="Times New Roman" w:cs="Times New Roman"/>
          <w:noProof/>
          <w:kern w:val="0"/>
          <w:vertAlign w:val="superscript"/>
          <w:lang w:val="en-GB"/>
        </w:rPr>
        <w:footnoteReference w:id="94"/>
      </w:r>
      <w:r>
        <w:rPr>
          <w:rFonts w:ascii="Times New Roman" w:hAnsi="Times New Roman"/>
          <w:noProof/>
        </w:rPr>
        <w:t xml:space="preserve"> z reaktorji VVER, zasnovanimi v Rusiji, ki so tradicionalno odvisni od goriva ruskega dobavitelja. V zadnjih letih so upravljavci v teh državah članicah sprejeli ukrepe za diverzifikacijo oskrbe z gorivom, pri sklepanju dobavnih pogodb za alternativna jedrska goriva pa je bil dosežen znaten napredek. Poleg tega evropska industrija vlaga v povečanje svojih zmogljivosti v jedrskem gorivnem ciklu. Pomembno je, da se ta prizadevanja nadaljujejo in pospeši diverzifikacija v skladu s časovnim načrtom za odpravo uvoza ruske energije</w:t>
      </w:r>
      <w:r w:rsidRPr="005E019D">
        <w:rPr>
          <w:rFonts w:ascii="Calibri" w:eastAsia="Yu Mincho" w:hAnsi="Calibri" w:cs="Arial"/>
          <w:noProof/>
          <w:kern w:val="0"/>
          <w:sz w:val="20"/>
          <w:szCs w:val="20"/>
          <w:vertAlign w:val="superscript"/>
          <w:lang w:val="en-GB"/>
        </w:rPr>
        <w:footnoteReference w:id="95"/>
      </w:r>
      <w:r>
        <w:rPr>
          <w:rFonts w:ascii="Times New Roman" w:hAnsi="Times New Roman"/>
          <w:noProof/>
        </w:rPr>
        <w:t xml:space="preserve">. </w:t>
      </w:r>
    </w:p>
    <w:p w14:paraId="69DD0317"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Grožnje fizični in kibernetski varnosti infrastrukture so čedalje pogostejše in večje,</w:t>
      </w:r>
      <w:r>
        <w:rPr>
          <w:rFonts w:ascii="Times New Roman" w:hAnsi="Times New Roman"/>
          <w:noProof/>
        </w:rPr>
        <w:t xml:space="preserve"> kar pomeni čedalje večja tveganja za neodvisnost, varnost in konkurenčnost Evrope. Hibridne grožnje, vključno s sabotažami in kibernetskimi napadi, so čedalje večje tveganje za delovanje kritične infrastrukture Evrope. </w:t>
      </w:r>
    </w:p>
    <w:p w14:paraId="5ECC6E35"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Fizični vplivi podnebnih sprememb</w:t>
      </w:r>
      <w:r>
        <w:rPr>
          <w:rFonts w:ascii="Times New Roman" w:hAnsi="Times New Roman"/>
          <w:noProof/>
        </w:rPr>
        <w:t xml:space="preserve"> predstavljajo tudi veliko tveganje za moteče, kronične učinke na bistvene sisteme in delujejo kot katalizator, zaradi česar so druga tveganja nevarnejša. Evropska ocena podnebnega tveganja za leto 2024 in </w:t>
      </w:r>
      <w:bookmarkStart w:id="7" w:name="_Hlk193360758"/>
      <w:r>
        <w:rPr>
          <w:rFonts w:ascii="Times New Roman" w:hAnsi="Times New Roman"/>
          <w:noProof/>
        </w:rPr>
        <w:t xml:space="preserve">Niinistöjevo poročilo </w:t>
      </w:r>
      <w:bookmarkEnd w:id="7"/>
      <w:r>
        <w:rPr>
          <w:rFonts w:ascii="Times New Roman" w:hAnsi="Times New Roman"/>
          <w:noProof/>
        </w:rPr>
        <w:t>kažeta, da so ti vplivi na energetski sektor podcenjeni.  Učinek suše na oskrbo z energijo je bil očiten poleti 2022, ko sta se proizvodnja in distribucija energije soočali s pomanjkanjem vode in visokimi temperaturami. Države članice so začele sprejemati ukrepe za izvajanje zakonodaje za zagotovitev fizične in digitalne varnosti energetske infrastrukture v EU, čeprav je napredek pri obravnavanju odpornosti proti podnebnim spremembam in prilagajanju nanje v energetskem sistemu med različnimi NEPN neenakomeren</w:t>
      </w:r>
      <w:r w:rsidRPr="005E019D">
        <w:rPr>
          <w:rFonts w:ascii="Times New Roman" w:eastAsia="Yu Mincho" w:hAnsi="Times New Roman" w:cs="Times New Roman"/>
          <w:noProof/>
          <w:kern w:val="0"/>
          <w:vertAlign w:val="superscript"/>
          <w:lang w:val="en-GB"/>
        </w:rPr>
        <w:footnoteReference w:id="96"/>
      </w:r>
      <w:r>
        <w:rPr>
          <w:rFonts w:ascii="Times New Roman" w:hAnsi="Times New Roman"/>
          <w:noProof/>
        </w:rPr>
        <w:t xml:space="preserve">. </w:t>
      </w:r>
    </w:p>
    <w:p w14:paraId="63ACD3D3"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b/>
          <w:bCs/>
          <w:i/>
          <w:iCs/>
          <w:noProof/>
          <w:kern w:val="0"/>
          <w14:ligatures w14:val="none"/>
        </w:rPr>
      </w:pPr>
      <w:r>
        <w:rPr>
          <w:rFonts w:ascii="Times New Roman" w:hAnsi="Times New Roman"/>
          <w:b/>
          <w:i/>
          <w:noProof/>
        </w:rPr>
        <w:t>Pot naprej</w:t>
      </w:r>
    </w:p>
    <w:p w14:paraId="7847270E"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i/>
          <w:iCs/>
          <w:noProof/>
          <w:kern w:val="0"/>
          <w14:ligatures w14:val="none"/>
        </w:rPr>
      </w:pPr>
      <w:r>
        <w:rPr>
          <w:rFonts w:ascii="Times New Roman" w:hAnsi="Times New Roman"/>
          <w:i/>
          <w:noProof/>
        </w:rPr>
        <w:t>Energetsko varnost podpirata manjša poraba zemeljskega plina in bolj raznolika oskrba z energijo, vendar so v končnih NEPN premalo obravnavane potrebe po odpornejšem načrtovanju infrastrukture, zlasti za prilagajanje vse manjši porabi nafte, večji elektrifikaciji na podlagi spremenljivih obnovljivih virov energije in hitro spreminjajočim se grožnjam, kot so podnebne spremembe.</w:t>
      </w:r>
    </w:p>
    <w:p w14:paraId="5CB24962"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Akcijski načrt Komisije za cenovno dostopno energijo</w:t>
      </w:r>
      <w:r>
        <w:rPr>
          <w:rFonts w:ascii="Times New Roman" w:hAnsi="Times New Roman"/>
          <w:noProof/>
        </w:rPr>
        <w:t xml:space="preserve"> vsebuje ukrepe, ki lahko na splošno zmanjšajo uporabo fosilnih goriv, na primer s spodbujanjem proizvodnje in porabe konkurenčne električne energije iz obnovljivih virov. To je tudi cilj prihajajočega </w:t>
      </w:r>
      <w:r>
        <w:rPr>
          <w:rFonts w:ascii="Times New Roman" w:hAnsi="Times New Roman"/>
          <w:b/>
          <w:noProof/>
        </w:rPr>
        <w:t>akcijskega načrta za elektrifikacijo</w:t>
      </w:r>
      <w:r>
        <w:rPr>
          <w:rFonts w:ascii="Times New Roman" w:hAnsi="Times New Roman"/>
          <w:noProof/>
        </w:rPr>
        <w:t>, ki naj bi bil objavljen v prvem četrtletju leta 2026.</w:t>
      </w:r>
    </w:p>
    <w:p w14:paraId="3EB613D6"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Komisija bo predstavila zakonodajni predlog za revizijo sedanjega regulativnega okvira EU za energetsko varnost</w:t>
      </w:r>
      <w:r>
        <w:rPr>
          <w:rFonts w:ascii="Times New Roman" w:hAnsi="Times New Roman"/>
          <w:noProof/>
        </w:rPr>
        <w:t xml:space="preserve"> v začetku leta 2026. Revizija bo vključevala izkušnje iz energetske krize in posodobila varnostni okvir, pri čemer bo pozornost namenjena nastajajočim tveganjem, vključno s hibridnimi grožnjami, kot so kibernetski napadi in podnebna tveganja, hkrati pa bo zagotovila varnost in odpornost infrastrukture ter nudila priložnosti, povezane s čedalje bolj razogljičenim energetskim sistemom. </w:t>
      </w:r>
    </w:p>
    <w:p w14:paraId="6A23CD69"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Države članice pozivamo, da še naprej zmanjšujejo odvisnost od fosilnih goriv,</w:t>
      </w:r>
      <w:r>
        <w:rPr>
          <w:rFonts w:ascii="Times New Roman" w:hAnsi="Times New Roman"/>
          <w:noProof/>
        </w:rPr>
        <w:t xml:space="preserve"> diverzificirajo oskrbo z energijo in razvijajo domače rešitve za čisto energijo. Ob čedalje večji odvisnosti od obnovljivih virov energije se države članice spodbuja, da vlagajo v optimiziran energetski sistem na ravni prenosa in distribucije. Za večjo varnost so potrebne naložbe v rešitve za prožnost, kot sta shranjevanje in prilagajanje odjema, da bi infrastrukturo prilagodili decentralizaciji in razogljičenju. Prav tako je treba spodbujati odpornejšo energetsko infrastrukturo, da bi se pripravili na čedalje večja podnebna in druga tveganja.</w:t>
      </w:r>
    </w:p>
    <w:p w14:paraId="7A8C18B9" w14:textId="77777777" w:rsidR="005E019D" w:rsidRPr="005E019D" w:rsidRDefault="005E019D" w:rsidP="005E019D">
      <w:pPr>
        <w:spacing w:after="120" w:line="264" w:lineRule="auto"/>
        <w:rPr>
          <w:rFonts w:ascii="Times New Roman" w:eastAsia="Yu Gothic Light" w:hAnsi="Times New Roman" w:cs="Times New Roman"/>
          <w:b/>
          <w:bCs/>
          <w:caps/>
          <w:noProof/>
          <w:color w:val="000000"/>
          <w:kern w:val="0"/>
          <w:lang w:val="en-GB"/>
          <w14:ligatures w14:val="none"/>
        </w:rPr>
      </w:pPr>
    </w:p>
    <w:p w14:paraId="6B9D5A67" w14:textId="77777777"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 xml:space="preserve">PRAVIČEN PREHOD IN VKLJUČITEV VSEH AKTERJEV </w:t>
      </w:r>
    </w:p>
    <w:p w14:paraId="0EA22286" w14:textId="7588C873"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noProof/>
        </w:rPr>
        <w:t>Vključitev vseh akterjev je ključnega pomena za pravičen prehod na podnebno nevtralno gospodarstvo. To pomeni obravnavanje družbenih in gospodarskih vplivov prehoda z osredotočanjem na regije, industrije in delavce, ki se soočajo z največjimi izzivi.</w:t>
      </w:r>
    </w:p>
    <w:p w14:paraId="7D1320F4" w14:textId="1B7EE10F" w:rsidR="005E019D" w:rsidRPr="005E019D" w:rsidRDefault="005E019D" w:rsidP="005E019D">
      <w:pPr>
        <w:spacing w:before="120" w:after="120" w:line="264" w:lineRule="auto"/>
        <w:jc w:val="both"/>
        <w:rPr>
          <w:rFonts w:ascii="Times New Roman" w:eastAsia="Yu Mincho" w:hAnsi="Times New Roman" w:cs="Times New Roman"/>
          <w:b/>
          <w:noProof/>
          <w:kern w:val="0"/>
          <w14:ligatures w14:val="none"/>
        </w:rPr>
      </w:pPr>
      <w:r>
        <w:rPr>
          <w:rFonts w:ascii="Times New Roman" w:hAnsi="Times New Roman"/>
          <w:b/>
          <w:noProof/>
        </w:rPr>
        <w:t xml:space="preserve">Večina držav članic v končnih NEPN pojasnjuje svoje zaveze za postopno opuščanje trdnih fosilnih goriv. </w:t>
      </w:r>
      <w:r>
        <w:rPr>
          <w:rFonts w:ascii="Times New Roman" w:hAnsi="Times New Roman"/>
          <w:noProof/>
        </w:rPr>
        <w:t>Vendar v nekaterih primerih časovni okviri za postopno opuščanje fosilnih goriv iz načrtov niso v celoti usklajeni z območnimi načrti za pravični prehod</w:t>
      </w:r>
      <w:r w:rsidRPr="005E019D">
        <w:rPr>
          <w:rFonts w:ascii="Times New Roman" w:eastAsia="Times New Roman" w:hAnsi="Times New Roman" w:cs="Times New Roman"/>
          <w:noProof/>
          <w:color w:val="000000"/>
          <w:kern w:val="0"/>
          <w:vertAlign w:val="superscript"/>
          <w:lang w:val="en-GB"/>
        </w:rPr>
        <w:footnoteReference w:id="97"/>
      </w:r>
      <w:r>
        <w:rPr>
          <w:rFonts w:ascii="Times New Roman" w:hAnsi="Times New Roman"/>
          <w:noProof/>
          <w:color w:val="000000"/>
        </w:rPr>
        <w:t xml:space="preserve">. </w:t>
      </w:r>
    </w:p>
    <w:p w14:paraId="61E42C45"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rPr>
        <w:t>Večina načrtov obravnava vplive prehoda na podnebno nevtralnost na zaposlovanje in spretnosti</w:t>
      </w:r>
      <w:r>
        <w:rPr>
          <w:rFonts w:ascii="Times New Roman" w:hAnsi="Times New Roman"/>
          <w:noProof/>
        </w:rPr>
        <w:t>. Vendar se poglobljenost analize socialnih učinkov podnebnega in energetskega prehoda ter njegovih učinkov na zaposlovanje močno razlikuje, zlasti v zvezi z ranljivim prebivalstvom in regijami. Poleg tega v načrtih pogosto niso opisani ukrepi za ublažitev ali obravnavanje teh vplivov. Čeprav načrti na splošno odražajo, kako Sklad za pravični prehod (SPP) podpira države članice, vsebujejo le malo dodatnih informacij o drugih virih za podporo pravičnemu prehodu</w:t>
      </w:r>
      <w:r>
        <w:rPr>
          <w:rFonts w:ascii="Times New Roman" w:hAnsi="Times New Roman"/>
          <w:noProof/>
          <w:color w:val="000000"/>
        </w:rPr>
        <w:t>.</w:t>
      </w:r>
    </w:p>
    <w:p w14:paraId="0983482F" w14:textId="77777777" w:rsidR="005E019D" w:rsidRPr="005E019D" w:rsidRDefault="005E019D" w:rsidP="005E019D">
      <w:pPr>
        <w:spacing w:before="120"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b/>
          <w:noProof/>
        </w:rPr>
        <w:t>Na področju gradbeništva in cestnega prometa le malo</w:t>
      </w:r>
      <w:r>
        <w:rPr>
          <w:rFonts w:ascii="Times New Roman" w:hAnsi="Times New Roman"/>
          <w:b/>
          <w:noProof/>
          <w:color w:val="000000"/>
        </w:rPr>
        <w:t xml:space="preserve"> načrtov vključuje informacije, ki se lahko uporabijo kot temeljna analiza za pripravo socialnih načrtov za podnebje</w:t>
      </w:r>
      <w:r w:rsidRPr="005E019D">
        <w:rPr>
          <w:rFonts w:ascii="Times New Roman" w:eastAsia="Times New Roman" w:hAnsi="Times New Roman" w:cs="Times New Roman"/>
          <w:noProof/>
          <w:color w:val="000000"/>
          <w:kern w:val="0"/>
          <w:vertAlign w:val="superscript"/>
        </w:rPr>
        <w:footnoteReference w:id="98"/>
      </w:r>
      <w:r>
        <w:rPr>
          <w:rFonts w:ascii="Times New Roman" w:hAnsi="Times New Roman"/>
          <w:noProof/>
          <w:color w:val="000000"/>
        </w:rPr>
        <w:t xml:space="preserve">. Države članice bodo morale dodatno oceniti učinke ETS2, določiti ranljive skupine in oceniti, kako bo okvir politike, naveden v nacionalnih energetskih in podnebnih načrtih, prispeval k razvoju socialnih načrtov za podnebje, ki jih je treba pripraviti do 30. junija 2025. </w:t>
      </w:r>
    </w:p>
    <w:p w14:paraId="0C74E2E2" w14:textId="77777777" w:rsidR="005E019D" w:rsidRPr="005E019D" w:rsidRDefault="005E019D" w:rsidP="005E019D">
      <w:pPr>
        <w:spacing w:before="120" w:after="120" w:line="264" w:lineRule="auto"/>
        <w:jc w:val="both"/>
        <w:rPr>
          <w:rFonts w:ascii="Times New Roman" w:eastAsia="Times New Roman" w:hAnsi="Times New Roman" w:cs="Times New Roman"/>
          <w:i/>
          <w:noProof/>
          <w:color w:val="000000"/>
          <w:kern w:val="0"/>
          <w14:ligatures w14:val="none"/>
        </w:rPr>
      </w:pPr>
      <w:r>
        <w:rPr>
          <w:rFonts w:ascii="Times New Roman" w:hAnsi="Times New Roman"/>
          <w:i/>
          <w:noProof/>
          <w:color w:val="000000"/>
        </w:rPr>
        <w:t>Javno posvetovanje</w:t>
      </w:r>
    </w:p>
    <w:p w14:paraId="7B30A73A" w14:textId="77777777" w:rsidR="005E019D" w:rsidRPr="005E019D" w:rsidRDefault="005E019D" w:rsidP="005E019D">
      <w:pPr>
        <w:spacing w:before="120" w:after="120" w:line="264" w:lineRule="auto"/>
        <w:jc w:val="both"/>
        <w:rPr>
          <w:rFonts w:ascii="Times New Roman" w:eastAsia="Yu Mincho" w:hAnsi="Times New Roman" w:cs="Times New Roman"/>
          <w:noProof/>
          <w:kern w:val="0"/>
          <w14:ligatures w14:val="none"/>
        </w:rPr>
      </w:pPr>
      <w:r>
        <w:rPr>
          <w:rFonts w:ascii="Times New Roman" w:hAnsi="Times New Roman"/>
          <w:b/>
          <w:noProof/>
          <w:color w:val="000000"/>
        </w:rPr>
        <w:t>Pri prehodu na nizkoogljično družbo s čistejšim in varnejšim energetskim sistemom morajo pravočasno, pregledno in učinkovito sodelovati vsi akterji.</w:t>
      </w:r>
      <w:r>
        <w:rPr>
          <w:rFonts w:ascii="Times New Roman" w:hAnsi="Times New Roman"/>
          <w:noProof/>
          <w:color w:val="000000"/>
        </w:rPr>
        <w:t xml:space="preserve"> Pri izvajanju energetske in podnebne politike bi morale poleg držav članic sodelovati tudi regije, lokalni organi, deležniki in državljani. </w:t>
      </w:r>
    </w:p>
    <w:p w14:paraId="148C65F1" w14:textId="7BD385DF" w:rsidR="005E019D" w:rsidRPr="005E019D" w:rsidRDefault="005E019D" w:rsidP="005E019D">
      <w:pPr>
        <w:spacing w:before="120" w:after="120" w:line="264" w:lineRule="auto"/>
        <w:jc w:val="both"/>
        <w:rPr>
          <w:rFonts w:ascii="Times New Roman" w:eastAsia="Times New Roman" w:hAnsi="Times New Roman" w:cs="Times New Roman"/>
          <w:noProof/>
          <w:kern w:val="0"/>
          <w14:ligatures w14:val="none"/>
        </w:rPr>
      </w:pPr>
      <w:r>
        <w:rPr>
          <w:rFonts w:ascii="Times New Roman" w:hAnsi="Times New Roman"/>
          <w:b/>
          <w:noProof/>
          <w:color w:val="000000"/>
        </w:rPr>
        <w:t>Večina držav članic podrobneje kot v svojih osnutkih NEPN pojasnjuje, kako so postopki posvetovanja javnosti omogočili sodelovanje pri pripravi končnih posodobljenih NEPN</w:t>
      </w:r>
      <w:r w:rsidRPr="005E019D">
        <w:rPr>
          <w:rFonts w:ascii="Times New Roman" w:eastAsia="Times New Roman" w:hAnsi="Times New Roman" w:cs="Times New Roman"/>
          <w:noProof/>
          <w:color w:val="000000"/>
          <w:kern w:val="0"/>
          <w:vertAlign w:val="superscript"/>
          <w:lang w:val="en-GB"/>
        </w:rPr>
        <w:footnoteReference w:id="99"/>
      </w:r>
      <w:r>
        <w:rPr>
          <w:rFonts w:ascii="Times New Roman" w:hAnsi="Times New Roman"/>
          <w:noProof/>
          <w:color w:val="000000"/>
        </w:rPr>
        <w:t>. Številne države članice so za javno posvetovanje uporabile kombinacijo spletnih orodij in posebnih forumov. Nekatere države članice so zagotovile vključujoč pristop, pri katerem je sodelovala celotna javnost</w:t>
      </w:r>
      <w:r w:rsidRPr="005E019D">
        <w:rPr>
          <w:rFonts w:ascii="Times New Roman" w:eastAsia="Times New Roman" w:hAnsi="Times New Roman" w:cs="Times New Roman"/>
          <w:noProof/>
          <w:color w:val="000000"/>
          <w:kern w:val="0"/>
          <w:vertAlign w:val="superscript"/>
          <w:lang w:val="en-GB"/>
        </w:rPr>
        <w:footnoteReference w:id="100"/>
      </w:r>
      <w:r>
        <w:rPr>
          <w:rFonts w:ascii="Times New Roman" w:hAnsi="Times New Roman"/>
          <w:noProof/>
          <w:color w:val="000000"/>
        </w:rPr>
        <w:t>. Vendar se je v več primerih posvetovanje o končnih NEPN začelo razmeroma blizu</w:t>
      </w:r>
      <w:r w:rsidRPr="005E019D">
        <w:rPr>
          <w:rFonts w:ascii="Times New Roman" w:eastAsia="Times New Roman" w:hAnsi="Times New Roman" w:cs="Times New Roman"/>
          <w:noProof/>
          <w:color w:val="000000"/>
          <w:kern w:val="0"/>
          <w:vertAlign w:val="superscript"/>
          <w:lang w:val="en-GB"/>
        </w:rPr>
        <w:footnoteReference w:id="101"/>
      </w:r>
      <w:r>
        <w:rPr>
          <w:rFonts w:ascii="Times New Roman" w:hAnsi="Times New Roman"/>
          <w:noProof/>
          <w:color w:val="000000"/>
        </w:rPr>
        <w:t xml:space="preserve"> datuma predložitve ali celo po njem</w:t>
      </w:r>
      <w:r w:rsidRPr="005E019D">
        <w:rPr>
          <w:rFonts w:ascii="Times New Roman" w:eastAsia="Times New Roman" w:hAnsi="Times New Roman" w:cs="Times New Roman"/>
          <w:noProof/>
          <w:color w:val="000000"/>
          <w:kern w:val="0"/>
          <w:vertAlign w:val="superscript"/>
          <w:lang w:val="en-GB"/>
        </w:rPr>
        <w:footnoteReference w:id="102"/>
      </w:r>
      <w:r>
        <w:rPr>
          <w:rFonts w:ascii="Times New Roman" w:hAnsi="Times New Roman"/>
          <w:noProof/>
          <w:color w:val="000000"/>
        </w:rPr>
        <w:t xml:space="preserve">. </w:t>
      </w:r>
      <w:r>
        <w:rPr>
          <w:rFonts w:ascii="Times New Roman" w:hAnsi="Times New Roman"/>
          <w:noProof/>
        </w:rPr>
        <w:t xml:space="preserve">Daljši časovni okvir bi omogočil boljša javna posvetovanja glede na dolžino načrtov in obsežne spremembe med osnutkom in končnimi NEPN. </w:t>
      </w:r>
    </w:p>
    <w:p w14:paraId="692F8A6B" w14:textId="7CC3BF95" w:rsidR="005E019D" w:rsidRPr="005E019D" w:rsidRDefault="005E019D" w:rsidP="005E019D">
      <w:pPr>
        <w:spacing w:before="120" w:after="120" w:line="264" w:lineRule="auto"/>
        <w:jc w:val="both"/>
        <w:rPr>
          <w:rFonts w:ascii="Times New Roman" w:eastAsia="Times New Roman" w:hAnsi="Times New Roman" w:cs="Times New Roman"/>
          <w:noProof/>
          <w:color w:val="000000"/>
          <w:kern w:val="0"/>
          <w14:ligatures w14:val="none"/>
        </w:rPr>
      </w:pPr>
      <w:r>
        <w:rPr>
          <w:rFonts w:ascii="Times New Roman" w:hAnsi="Times New Roman"/>
          <w:noProof/>
          <w:color w:val="000000"/>
        </w:rPr>
        <w:t>V nekaterih primerih postopki posvetovanja niso bili specifični za same načrte, temveč so bili povezani s temeljnimi politikami in ukrepi</w:t>
      </w:r>
      <w:r w:rsidRPr="005E019D">
        <w:rPr>
          <w:rFonts w:ascii="Times New Roman" w:eastAsia="Times New Roman" w:hAnsi="Times New Roman" w:cs="Times New Roman"/>
          <w:noProof/>
          <w:color w:val="000000"/>
          <w:kern w:val="0"/>
          <w:vertAlign w:val="superscript"/>
          <w:lang w:val="en-GB"/>
        </w:rPr>
        <w:footnoteReference w:id="103"/>
      </w:r>
      <w:r>
        <w:rPr>
          <w:rFonts w:ascii="Times New Roman" w:hAnsi="Times New Roman"/>
          <w:noProof/>
          <w:color w:val="000000"/>
        </w:rPr>
        <w:t>, ali pa so temeljili na skrajšani različici načrta ali na vprašalniku</w:t>
      </w:r>
      <w:r w:rsidRPr="005E019D">
        <w:rPr>
          <w:rFonts w:ascii="Times New Roman" w:eastAsia="Times New Roman" w:hAnsi="Times New Roman" w:cs="Times New Roman"/>
          <w:noProof/>
          <w:color w:val="000000"/>
          <w:kern w:val="0"/>
          <w:vertAlign w:val="superscript"/>
          <w:lang w:val="en-GB"/>
        </w:rPr>
        <w:footnoteReference w:id="104"/>
      </w:r>
      <w:r>
        <w:rPr>
          <w:rFonts w:ascii="Times New Roman" w:hAnsi="Times New Roman"/>
          <w:noProof/>
          <w:color w:val="000000"/>
        </w:rPr>
        <w:t>.  Nekateri končni NEPN</w:t>
      </w:r>
      <w:r w:rsidRPr="005E019D">
        <w:rPr>
          <w:rFonts w:ascii="Times New Roman" w:eastAsia="Times New Roman" w:hAnsi="Times New Roman" w:cs="Times New Roman"/>
          <w:noProof/>
          <w:color w:val="000000"/>
          <w:kern w:val="0"/>
          <w:vertAlign w:val="superscript"/>
          <w:lang w:val="en-GB"/>
        </w:rPr>
        <w:footnoteReference w:id="105"/>
      </w:r>
      <w:r>
        <w:rPr>
          <w:rFonts w:ascii="Times New Roman" w:hAnsi="Times New Roman"/>
          <w:noProof/>
          <w:color w:val="000000"/>
        </w:rPr>
        <w:t xml:space="preserve"> ne dajejo povzetka stališč, ki so jih izrazili različni udeleženci, le nekatere države članice</w:t>
      </w:r>
      <w:r w:rsidRPr="005E019D">
        <w:rPr>
          <w:rFonts w:ascii="Times New Roman" w:eastAsia="Times New Roman" w:hAnsi="Times New Roman" w:cs="Times New Roman"/>
          <w:noProof/>
          <w:color w:val="000000"/>
          <w:kern w:val="0"/>
          <w:vertAlign w:val="superscript"/>
          <w:lang w:val="en-GB"/>
        </w:rPr>
        <w:footnoteReference w:id="106"/>
      </w:r>
      <w:r>
        <w:rPr>
          <w:rFonts w:ascii="Times New Roman" w:hAnsi="Times New Roman"/>
          <w:noProof/>
          <w:color w:val="000000"/>
        </w:rPr>
        <w:t xml:space="preserve"> pa vključujejo pregled, kako so bili rezultati posvetovanj upoštevani in obravnavani v končnem NEPN.</w:t>
      </w:r>
    </w:p>
    <w:p w14:paraId="5FDE09BB"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bCs/>
          <w:noProof/>
          <w:color w:val="000000"/>
          <w:kern w:val="0"/>
          <w14:ligatures w14:val="none"/>
        </w:rPr>
      </w:pPr>
      <w:r>
        <w:rPr>
          <w:rFonts w:ascii="Times New Roman" w:hAnsi="Times New Roman"/>
          <w:b/>
          <w:noProof/>
          <w:color w:val="000000"/>
        </w:rPr>
        <w:t>Pot naprej</w:t>
      </w:r>
    </w:p>
    <w:p w14:paraId="6428231F"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bCs/>
          <w:noProof/>
          <w:color w:val="000000"/>
          <w:kern w:val="0"/>
          <w14:ligatures w14:val="none"/>
        </w:rPr>
      </w:pPr>
      <w:r>
        <w:rPr>
          <w:rFonts w:ascii="Times New Roman" w:hAnsi="Times New Roman"/>
          <w:i/>
          <w:noProof/>
          <w:color w:val="000000"/>
        </w:rPr>
        <w:t>V končnih načrtih</w:t>
      </w:r>
      <w:r>
        <w:rPr>
          <w:rFonts w:ascii="Times New Roman" w:hAnsi="Times New Roman"/>
          <w:b/>
          <w:noProof/>
          <w:color w:val="000000"/>
        </w:rPr>
        <w:t xml:space="preserve"> </w:t>
      </w:r>
      <w:r>
        <w:rPr>
          <w:rFonts w:ascii="Times New Roman" w:hAnsi="Times New Roman"/>
          <w:i/>
          <w:noProof/>
          <w:color w:val="000000"/>
        </w:rPr>
        <w:t>sta bila bolj poudarjena pravični prehod in postopno opuščanje trdnih fosilnih goriv. Poleg tega večina načrtov zagotavlja jasnejši pregled javnega posvetovanja. Postopki sodelovanja bi lahko bili bolj vključujoči in učinkovitejši, zagotavljali več informacij in daljša časovna obdobja za posvetovanje.</w:t>
      </w:r>
    </w:p>
    <w:p w14:paraId="72D85472" w14:textId="69A529B3"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color w:val="000000"/>
        </w:rPr>
        <w:t>Komisija</w:t>
      </w:r>
      <w:r>
        <w:rPr>
          <w:rFonts w:ascii="Times New Roman" w:hAnsi="Times New Roman"/>
          <w:b/>
          <w:noProof/>
        </w:rPr>
        <w:t xml:space="preserve"> bo še naprej sodelovala z državami članicami, da bi zagotovila učinkovito in pravočasno udeležbo javnosti, podprto z zadostnimi informacijami, v skladu z Aarhuško konvencijo.</w:t>
      </w:r>
      <w:r>
        <w:rPr>
          <w:rFonts w:ascii="Times New Roman" w:hAnsi="Times New Roman"/>
          <w:noProof/>
        </w:rPr>
        <w:t xml:space="preserve"> Države članice </w:t>
      </w:r>
      <w:r w:rsidR="00194940">
        <w:rPr>
          <w:rFonts w:ascii="Times New Roman" w:hAnsi="Times New Roman"/>
          <w:noProof/>
        </w:rPr>
        <w:t>pozivamo</w:t>
      </w:r>
      <w:r>
        <w:rPr>
          <w:rFonts w:ascii="Times New Roman" w:hAnsi="Times New Roman"/>
          <w:noProof/>
        </w:rPr>
        <w:t xml:space="preserve">, </w:t>
      </w:r>
      <w:r w:rsidR="00194940">
        <w:rPr>
          <w:rFonts w:ascii="Times New Roman" w:hAnsi="Times New Roman"/>
          <w:noProof/>
        </w:rPr>
        <w:t>da</w:t>
      </w:r>
      <w:r>
        <w:rPr>
          <w:rFonts w:ascii="Times New Roman" w:hAnsi="Times New Roman"/>
          <w:noProof/>
        </w:rPr>
        <w:t xml:space="preserve"> pri izvajanju svojih načrtov še naprej izvajajo participativne postopke javnega posvetovanja. </w:t>
      </w:r>
    </w:p>
    <w:p w14:paraId="702C80BD" w14:textId="7C99B5D4"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noProof/>
        </w:rPr>
        <w:t xml:space="preserve">Komisija bo še naprej sodelovala z državami članicami, da bi zagotovila učinkovito izvajanje politik pravičnega prehoda. V zvezi s tem bo </w:t>
      </w:r>
      <w:r>
        <w:rPr>
          <w:rFonts w:ascii="Times New Roman" w:hAnsi="Times New Roman"/>
          <w:b/>
          <w:noProof/>
        </w:rPr>
        <w:t>Komisija ocenila, kako države članice izvajajo priporočilo Sveta o zagotavljanju pravičnega prehoda na podnebno nevtralnost</w:t>
      </w:r>
      <w:r>
        <w:rPr>
          <w:rFonts w:ascii="Times New Roman" w:hAnsi="Times New Roman"/>
          <w:noProof/>
        </w:rPr>
        <w:t xml:space="preserve"> (sprejeto leta 2022), rezultati pa bodo objavljeni v drugi polovici leta 2025.</w:t>
      </w:r>
      <w:r>
        <w:rPr>
          <w:rFonts w:ascii="Times New Roman" w:hAnsi="Times New Roman"/>
          <w:b/>
          <w:noProof/>
        </w:rPr>
        <w:t xml:space="preserve">  </w:t>
      </w:r>
    </w:p>
    <w:p w14:paraId="7653BF14"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 xml:space="preserve">Komisija bo posebno pozornost namenila zavezam držav članic za postopno opuščanje premoga, šote in oljnega skrilavca, </w:t>
      </w:r>
      <w:r>
        <w:rPr>
          <w:rFonts w:ascii="Times New Roman" w:hAnsi="Times New Roman"/>
          <w:noProof/>
        </w:rPr>
        <w:t>in jih bo podpirala pri analizi in blažitvi socialnih učinkov in učinkov na zaposlovanje v prizadetih regijah. Sklad za pravični prehod še naprej zagotavlja močno podporo v zvezi s tem, regijam pomaga pri diverzifikaciji in preoblikovanju njihovih gospodarskih dejavnosti. Komisija države članice tudi spodbuja, da uskladijo nacionalne in regionalne strategije za pravični prehod, s posebnim poudarkom na območnih načrtih za pravični prehod</w:t>
      </w:r>
      <w:r w:rsidRPr="005E019D">
        <w:rPr>
          <w:rFonts w:ascii="Times New Roman" w:eastAsia="Yu Mincho" w:hAnsi="Times New Roman" w:cs="Times New Roman"/>
          <w:noProof/>
          <w:kern w:val="0"/>
          <w:vertAlign w:val="superscript"/>
        </w:rPr>
        <w:footnoteReference w:id="107"/>
      </w:r>
      <w:r>
        <w:rPr>
          <w:rFonts w:ascii="Times New Roman" w:hAnsi="Times New Roman"/>
          <w:noProof/>
        </w:rPr>
        <w:t xml:space="preserve">. </w:t>
      </w:r>
    </w:p>
    <w:p w14:paraId="05D65C2E"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noProof/>
        </w:rPr>
        <w:t>Komisija spodbuja države članice, da hitro izvedejo načrte za okrevanje in odpornost, ki imajo ključno vlogo pri doseganju podnebnih in energetskih ciljev za leto 2030.</w:t>
      </w:r>
    </w:p>
    <w:p w14:paraId="0B9AF235"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Pobuda za premogovniške regije v prehodu</w:t>
      </w:r>
      <w:r>
        <w:rPr>
          <w:rFonts w:ascii="Times New Roman" w:hAnsi="Times New Roman"/>
          <w:noProof/>
        </w:rPr>
        <w:t xml:space="preserve"> bo še naprej zagotavljala tehnično podporo najbolj prizadetim skupnostim po vsej EU. Pomagala jim bo razumeti njihov potencial za razogljičenje ter industrijski in konkurenčni potencial ter graditi na skupnem znanju o poteh prehoda k razvoju tega potenciala, da bi zagotovili, da najbolj prizadete skupnosti ne bodo zapostavljene.</w:t>
      </w:r>
    </w:p>
    <w:p w14:paraId="524A9626"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Platforma za pravični prehod</w:t>
      </w:r>
      <w:r>
        <w:rPr>
          <w:rFonts w:ascii="Times New Roman" w:hAnsi="Times New Roman"/>
          <w:noProof/>
        </w:rPr>
        <w:t xml:space="preserve"> bo dodatno pomagala vsem deležnikom, vključenim v izvajanje SPP, z zagotavljanjem smernic, informacij in znanja v podporo pravičnemu prehodu na podnebno nevtralno gospodarstvo.</w:t>
      </w:r>
    </w:p>
    <w:p w14:paraId="126F00CE" w14:textId="4E702265"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color w:val="000000"/>
        </w:rPr>
        <w:t xml:space="preserve">Države članice </w:t>
      </w:r>
      <w:r w:rsidR="00305ED2">
        <w:rPr>
          <w:rFonts w:ascii="Times New Roman" w:hAnsi="Times New Roman"/>
          <w:b/>
          <w:noProof/>
          <w:color w:val="000000"/>
        </w:rPr>
        <w:t>spodbujamo, da</w:t>
      </w:r>
      <w:r>
        <w:rPr>
          <w:rFonts w:ascii="Times New Roman" w:hAnsi="Times New Roman"/>
          <w:b/>
          <w:noProof/>
          <w:color w:val="000000"/>
        </w:rPr>
        <w:t xml:space="preserve"> vzdržujejo in izboljšujejo procese dialoga na vseh ravneh družbe</w:t>
      </w:r>
      <w:r>
        <w:rPr>
          <w:rFonts w:ascii="Times New Roman" w:hAnsi="Times New Roman"/>
          <w:noProof/>
          <w:color w:val="000000"/>
        </w:rPr>
        <w:t xml:space="preserve"> za zagotovitev učinkovitega izvajanja ter čim boljše povečanje učinkov stroškovno učinkovitih in smiselnih politik in ukrepov, namenjenih doseganju naših ciljev za leto 2030 in podnebne nevtralnosti.</w:t>
      </w:r>
      <w:r>
        <w:rPr>
          <w:rFonts w:ascii="Times New Roman" w:hAnsi="Times New Roman"/>
          <w:noProof/>
        </w:rPr>
        <w:t xml:space="preserve"> </w:t>
      </w:r>
    </w:p>
    <w:p w14:paraId="477E9FE0" w14:textId="77777777" w:rsidR="005E019D" w:rsidRPr="005E019D" w:rsidRDefault="005E019D" w:rsidP="005E019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Yu Mincho" w:hAnsi="Times New Roman" w:cs="Times New Roman"/>
          <w:noProof/>
          <w:kern w:val="0"/>
          <w14:ligatures w14:val="none"/>
        </w:rPr>
      </w:pPr>
      <w:r>
        <w:rPr>
          <w:rFonts w:ascii="Times New Roman" w:hAnsi="Times New Roman"/>
          <w:b/>
          <w:noProof/>
        </w:rPr>
        <w:t>Države članice spodbujamo, da pripravijo ustrezne, uspešne, učinkovite in skladne socialne načrte za podnebje</w:t>
      </w:r>
      <w:r>
        <w:rPr>
          <w:rFonts w:ascii="Times New Roman" w:hAnsi="Times New Roman"/>
          <w:noProof/>
        </w:rPr>
        <w:t xml:space="preserve"> za zagotovitev socialno pravičnega prehoda na podnebno nevtralnost z obravnavanjem učinkov ETS2 na ranljive skupine. Komisija bo še naprej tesno sodelovala z državami članicami, da bi podprla dokončanje in izvajanje teh načrtov. </w:t>
      </w:r>
    </w:p>
    <w:p w14:paraId="5FC82153" w14:textId="77777777" w:rsidR="005E019D" w:rsidRPr="005E019D" w:rsidRDefault="005E019D" w:rsidP="005E019D">
      <w:pPr>
        <w:spacing w:after="120" w:line="264" w:lineRule="auto"/>
        <w:rPr>
          <w:rFonts w:ascii="Times New Roman" w:eastAsia="Yu Mincho" w:hAnsi="Times New Roman" w:cs="Times New Roman"/>
          <w:noProof/>
          <w:kern w:val="0"/>
          <w:lang w:val="en-GB"/>
          <w14:ligatures w14:val="none"/>
        </w:rPr>
      </w:pPr>
    </w:p>
    <w:p w14:paraId="1BB35BE6" w14:textId="77777777" w:rsidR="005E019D" w:rsidRPr="005E019D" w:rsidRDefault="005E019D" w:rsidP="005E019D">
      <w:pPr>
        <w:keepNext/>
        <w:keepLines/>
        <w:spacing w:before="40" w:after="240" w:line="240" w:lineRule="auto"/>
        <w:ind w:left="432" w:hanging="432"/>
        <w:jc w:val="both"/>
        <w:outlineLvl w:val="0"/>
        <w:rPr>
          <w:rFonts w:ascii="Times New Roman" w:eastAsia="Yu Gothic Light" w:hAnsi="Times New Roman" w:cs="Times New Roman"/>
          <w:b/>
          <w:bCs/>
          <w:caps/>
          <w:noProof/>
          <w:color w:val="000000"/>
          <w:kern w:val="0"/>
          <w14:ligatures w14:val="none"/>
        </w:rPr>
      </w:pPr>
      <w:r>
        <w:rPr>
          <w:rFonts w:ascii="Times New Roman" w:hAnsi="Times New Roman"/>
          <w:b/>
          <w:caps/>
          <w:noProof/>
          <w:color w:val="000000"/>
        </w:rPr>
        <w:t>SKLEP IN NASLEDNJI KORAKI</w:t>
      </w:r>
    </w:p>
    <w:p w14:paraId="4AD94BDD" w14:textId="2FE18C3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Izpolnjevanje ciljev energetske in podnebne politike EU do leta 2030 je bistvenega pomena za konkurenčnost, varnost in razogljičenje EU. </w:t>
      </w:r>
      <w:r>
        <w:rPr>
          <w:rFonts w:ascii="Times New Roman" w:hAnsi="Times New Roman"/>
          <w:noProof/>
        </w:rPr>
        <w:t>Popolno izvajanje okvira politike do leta 2030 je ključnega pomena, če želimo vzpostaviti pravo energetsko unijo, utreti pot potrebnim naložbam za leti 2030 in 2040 ter doseči podnebno nevtralnost do leta 2050. V zadnjih letih so države članice pospešile svoj energetski in podnebni prehod s podporo proračuna EU, ki naj bi presegel cilj 30-odstotne porabe za vključevanje podnebnih ukrepov</w:t>
      </w:r>
      <w:r w:rsidRPr="005E019D">
        <w:rPr>
          <w:rFonts w:ascii="Times New Roman" w:eastAsia="Times New Roman" w:hAnsi="Times New Roman" w:cs="Times New Roman"/>
          <w:noProof/>
          <w:kern w:val="0"/>
          <w:vertAlign w:val="superscript"/>
        </w:rPr>
        <w:footnoteReference w:id="108"/>
      </w:r>
      <w:r>
        <w:rPr>
          <w:rFonts w:ascii="Times New Roman" w:hAnsi="Times New Roman"/>
          <w:noProof/>
        </w:rPr>
        <w:t>. S končnimi NEPN so države članice okrepile svoje programe politik in naložb za leto 2030, zdaj pa bi se morala vsa prizadevanja usmeriti v zanesljivo izvajanje, da bi Evropa lahko v celoti izkoristila prehod.</w:t>
      </w:r>
    </w:p>
    <w:p w14:paraId="0D4037CD" w14:textId="77777777" w:rsidR="005E019D" w:rsidRPr="005E019D" w:rsidRDefault="005E019D" w:rsidP="005E019D">
      <w:pPr>
        <w:spacing w:after="120" w:line="264" w:lineRule="auto"/>
        <w:jc w:val="both"/>
        <w:rPr>
          <w:rFonts w:ascii="Times New Roman" w:eastAsia="Yu Mincho" w:hAnsi="Times New Roman" w:cs="Times New Roman"/>
          <w:noProof/>
          <w:kern w:val="0"/>
          <w14:ligatures w14:val="none"/>
        </w:rPr>
      </w:pPr>
      <w:r>
        <w:rPr>
          <w:rFonts w:ascii="Times New Roman" w:hAnsi="Times New Roman"/>
          <w:b/>
          <w:noProof/>
        </w:rPr>
        <w:t xml:space="preserve">NEPN usmerjajo prepotrebne naložbe za podnebni in energetski prehod, </w:t>
      </w:r>
      <w:r>
        <w:rPr>
          <w:rFonts w:ascii="Times New Roman" w:hAnsi="Times New Roman"/>
          <w:noProof/>
        </w:rPr>
        <w:t>kar pomaga</w:t>
      </w:r>
      <w:r>
        <w:rPr>
          <w:rFonts w:ascii="Times New Roman" w:hAnsi="Times New Roman"/>
          <w:b/>
          <w:noProof/>
        </w:rPr>
        <w:t xml:space="preserve"> </w:t>
      </w:r>
      <w:r>
        <w:rPr>
          <w:rFonts w:ascii="Times New Roman" w:hAnsi="Times New Roman"/>
          <w:noProof/>
        </w:rPr>
        <w:t>pri</w:t>
      </w:r>
      <w:r>
        <w:rPr>
          <w:rFonts w:ascii="Times New Roman" w:hAnsi="Times New Roman"/>
          <w:b/>
          <w:noProof/>
        </w:rPr>
        <w:t xml:space="preserve"> </w:t>
      </w:r>
      <w:r>
        <w:rPr>
          <w:rFonts w:ascii="Times New Roman" w:hAnsi="Times New Roman"/>
          <w:noProof/>
        </w:rPr>
        <w:t xml:space="preserve">mobilizaciji zasebne in javne porabe. Imajo ključno vlogo pri določitvi reform in naložb v okviru instrumentov, kot so mehanizem za okrevanje in odpornost ter skladi kohezijske politike. Ti načrti dopolnjujejo evropski semester in so ključni instrumenti za določanje nacionalnih prednostnih nalog za doseganje skupnih energetskih in podnebnih ciljev EU v okviru sedanjih in prihodnjih proračunov EU. Pomagajo določati sinergije z drugimi sektorskimi prednostnimi nalogami, kot je okolje. Nekatere politike, ukrepi in naložbe, opredeljeni v NEPN, so bili uporabljeni tudi kot vhodni podatki za srednjeročne fiskalne strukturne načrte v okviru revidiranega okvira ekonomskega upravljanja EU. Pri načrtovanju, kako podpreti naložbe, potrebne za doseganje ambicije čistega prehoda, bo bistveno skrbno oceniti prizadevanja za financiranje in zmanjševanje tveganj, ki so potrebna za mobilizacijo javnih in zasebnih naložb. </w:t>
      </w:r>
    </w:p>
    <w:p w14:paraId="73A97721" w14:textId="77777777" w:rsidR="005E019D" w:rsidRPr="005E019D" w:rsidRDefault="005E019D" w:rsidP="005E019D">
      <w:pPr>
        <w:spacing w:after="120" w:line="264" w:lineRule="auto"/>
        <w:jc w:val="both"/>
        <w:rPr>
          <w:rFonts w:ascii="Times New Roman" w:eastAsia="Times New Roman" w:hAnsi="Times New Roman" w:cs="Times New Roman"/>
          <w:noProof/>
          <w:kern w:val="0"/>
          <w14:ligatures w14:val="none"/>
        </w:rPr>
      </w:pPr>
      <w:r>
        <w:rPr>
          <w:rFonts w:ascii="Times New Roman" w:hAnsi="Times New Roman"/>
          <w:b/>
          <w:noProof/>
        </w:rPr>
        <w:t xml:space="preserve">Države članice so dokazale svojo stalno zavezanost z znatno izboljšanimi končnimi načrti. </w:t>
      </w:r>
      <w:r>
        <w:rPr>
          <w:rFonts w:ascii="Times New Roman" w:hAnsi="Times New Roman"/>
          <w:noProof/>
        </w:rPr>
        <w:t>Kljub temu so potrebni nadaljnji ukrepi za zapolnitev preostalih vrzeli in popolno uresničitev pravno zavezujočega okvira za leto 2030. Komisija je v priloženem delovnem dokumentu služb Komisije posamično ocenila končne NEPN in opredelila posebna področja za dodatne ukrepe na ravni držav članic, da bi olajšala izvajanje in po potrebi povečala potrebne ambicije.</w:t>
      </w:r>
    </w:p>
    <w:p w14:paraId="474C2E04" w14:textId="44E8EA84" w:rsidR="005E019D" w:rsidRPr="005E019D" w:rsidRDefault="005E019D" w:rsidP="005E019D">
      <w:pPr>
        <w:spacing w:after="120" w:line="264" w:lineRule="auto"/>
        <w:jc w:val="both"/>
        <w:rPr>
          <w:rFonts w:ascii="Times New Roman" w:eastAsia="Times New Roman" w:hAnsi="Times New Roman" w:cs="Times New Roman"/>
          <w:b/>
          <w:bCs/>
          <w:noProof/>
          <w:kern w:val="0"/>
          <w14:ligatures w14:val="none"/>
        </w:rPr>
      </w:pPr>
      <w:r>
        <w:rPr>
          <w:rFonts w:ascii="Times New Roman" w:hAnsi="Times New Roman"/>
          <w:b/>
          <w:noProof/>
        </w:rPr>
        <w:t>Države članice so skupaj odgovorne</w:t>
      </w:r>
      <w:r>
        <w:rPr>
          <w:rFonts w:ascii="Times New Roman" w:hAnsi="Times New Roman"/>
          <w:noProof/>
        </w:rPr>
        <w:t xml:space="preserve"> za dosego zavezujočih energetskih in podnebnih ciljev EU za leto 2030. </w:t>
      </w:r>
      <w:r>
        <w:rPr>
          <w:rFonts w:ascii="Times New Roman" w:hAnsi="Times New Roman"/>
          <w:b/>
          <w:noProof/>
        </w:rPr>
        <w:t xml:space="preserve">Komisija uvaja sklop operativnih ukrepov za preučitev alternativ za zapolnitev vrzeli v ambicijah </w:t>
      </w:r>
      <w:r>
        <w:rPr>
          <w:rFonts w:ascii="Times New Roman" w:hAnsi="Times New Roman"/>
          <w:noProof/>
        </w:rPr>
        <w:t>in</w:t>
      </w:r>
      <w:r>
        <w:rPr>
          <w:rFonts w:ascii="Times New Roman" w:hAnsi="Times New Roman"/>
          <w:b/>
          <w:noProof/>
        </w:rPr>
        <w:t xml:space="preserve"> </w:t>
      </w:r>
      <w:r>
        <w:rPr>
          <w:rFonts w:ascii="Times New Roman" w:hAnsi="Times New Roman"/>
          <w:noProof/>
        </w:rPr>
        <w:t xml:space="preserve">za podporo in spremljanje izvajanja končnih načrtov. </w:t>
      </w:r>
      <w:r>
        <w:rPr>
          <w:rFonts w:ascii="Times New Roman" w:hAnsi="Times New Roman"/>
          <w:b/>
          <w:noProof/>
        </w:rPr>
        <w:t>Komisija bo ocenila, ali so potrebni nadaljnji ukrepi za zagotovitev doseganja skupnih ciljev, zlasti na področju energije iz obnovljivih virov in energetske učinkovitosti</w:t>
      </w:r>
      <w:r>
        <w:rPr>
          <w:rFonts w:ascii="Times New Roman" w:hAnsi="Times New Roman"/>
          <w:noProof/>
        </w:rPr>
        <w:t xml:space="preserve">. </w:t>
      </w:r>
    </w:p>
    <w:p w14:paraId="508E2133" w14:textId="77777777" w:rsidR="005E019D" w:rsidRPr="005E019D" w:rsidRDefault="005E019D" w:rsidP="005E019D">
      <w:pPr>
        <w:spacing w:after="120" w:line="276" w:lineRule="auto"/>
        <w:jc w:val="both"/>
        <w:rPr>
          <w:rFonts w:ascii="Times New Roman" w:eastAsia="Times New Roman" w:hAnsi="Times New Roman" w:cs="Times New Roman"/>
          <w:noProof/>
          <w:kern w:val="0"/>
          <w14:ligatures w14:val="none"/>
        </w:rPr>
      </w:pPr>
      <w:r>
        <w:rPr>
          <w:rFonts w:ascii="Times New Roman" w:hAnsi="Times New Roman"/>
          <w:b/>
          <w:noProof/>
        </w:rPr>
        <w:t>Komisija bo prav tako še naprej podpirala nacionalna prizadevanja za izvajanje in izboljševala raven regionalnega sodelovanja</w:t>
      </w:r>
      <w:r>
        <w:rPr>
          <w:rFonts w:ascii="Times New Roman" w:hAnsi="Times New Roman"/>
          <w:noProof/>
        </w:rPr>
        <w:t>, tudi z dialogi o izvajanju z državami članicami in ustreznimi deležniki. Komisija spodbuja države članice, da z vsemi deležniki redno razpravljajo o napredku in politikah, zlasti za prepoznavanje in odpravo ozkih grl pri izvajanju. Dvoletna poročila o napredku NEPN so pomembna orodja za pregled stanja za spodbujanje preglednosti, predvidljivosti in odgovornosti za skupno doseganje ciljev.</w:t>
      </w:r>
    </w:p>
    <w:p w14:paraId="779C81E2" w14:textId="77777777" w:rsidR="005E019D" w:rsidRPr="005E019D" w:rsidRDefault="005E019D" w:rsidP="005E019D">
      <w:pPr>
        <w:spacing w:after="120" w:line="276" w:lineRule="auto"/>
        <w:jc w:val="both"/>
        <w:rPr>
          <w:rFonts w:ascii="Times New Roman" w:eastAsia="Yu Mincho" w:hAnsi="Times New Roman" w:cs="Times New Roman"/>
          <w:noProof/>
          <w:kern w:val="0"/>
          <w14:ligatures w14:val="none"/>
        </w:rPr>
      </w:pPr>
      <w:r>
        <w:rPr>
          <w:rFonts w:ascii="Times New Roman" w:hAnsi="Times New Roman"/>
          <w:b/>
          <w:noProof/>
        </w:rPr>
        <w:t>NEPN kot orodje upravljanja bodo za obdobje po letu 2030 pregledani v okviru prihodnje revizije uredbe o upravljanju energetske unije in podnebnih ukrepov</w:t>
      </w:r>
      <w:r>
        <w:rPr>
          <w:rFonts w:ascii="Times New Roman" w:hAnsi="Times New Roman"/>
          <w:noProof/>
        </w:rPr>
        <w:t>. Novi okvir bo na podlagi izkušenj, pridobljenih pri oceni in izvajanju Uredbe, vključeval prednostne naloge iz dogovora o čisti industriji in kompasa za konkurenčnost, da bi dosegli cilj uspešnega in neodvisnega gospodarstva do leta 2040 na poti k podnebni nevtralnosti ter spodbujali boljša odpornost in pripravljenost na podnebna tveganja. Komisija si bo prizadevala za poenostavitev in preusmeritev NEPN, da bi jih preoblikovala v dejanske naložbene načrte, ki bodo vlagateljem zagotavljali dolgoročno predvidljivost, deležnikom pa pregleden okvir za sodelovanje.</w:t>
      </w:r>
    </w:p>
    <w:p w14:paraId="77D00116" w14:textId="602187BB" w:rsidR="00597B54" w:rsidRDefault="00597B54">
      <w:pPr>
        <w:rPr>
          <w:noProof/>
        </w:rPr>
      </w:pPr>
    </w:p>
    <w:sectPr w:rsidR="00597B54" w:rsidSect="00597B5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CD06" w14:textId="77777777" w:rsidR="00D549F4" w:rsidRDefault="00D549F4" w:rsidP="00597B54">
      <w:pPr>
        <w:spacing w:after="0" w:line="240" w:lineRule="auto"/>
      </w:pPr>
      <w:r>
        <w:separator/>
      </w:r>
    </w:p>
  </w:endnote>
  <w:endnote w:type="continuationSeparator" w:id="0">
    <w:p w14:paraId="1C7BDFE5" w14:textId="77777777" w:rsidR="00D549F4" w:rsidRDefault="00D549F4" w:rsidP="00597B54">
      <w:pPr>
        <w:spacing w:after="0" w:line="240" w:lineRule="auto"/>
      </w:pPr>
      <w:r>
        <w:continuationSeparator/>
      </w:r>
    </w:p>
  </w:endnote>
  <w:endnote w:type="continuationNotice" w:id="1">
    <w:p w14:paraId="2AA63B0A" w14:textId="77777777" w:rsidR="00D549F4" w:rsidRDefault="00D54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E507" w14:textId="54BCC9F5" w:rsidR="009C512A" w:rsidRPr="009C512A" w:rsidRDefault="009C512A" w:rsidP="009C512A">
    <w:pPr>
      <w:pStyle w:val="FooterCoverPage"/>
      <w:rPr>
        <w:rFonts w:ascii="Arial" w:hAnsi="Arial" w:cs="Arial"/>
        <w:b/>
        <w:sz w:val="48"/>
      </w:rPr>
    </w:pPr>
    <w:r w:rsidRPr="009C512A">
      <w:rPr>
        <w:rFonts w:ascii="Arial" w:hAnsi="Arial" w:cs="Arial"/>
        <w:b/>
        <w:sz w:val="48"/>
      </w:rPr>
      <w:t>SL</w:t>
    </w:r>
    <w:r w:rsidRPr="009C512A">
      <w:rPr>
        <w:rFonts w:ascii="Arial" w:hAnsi="Arial" w:cs="Arial"/>
        <w:b/>
        <w:sz w:val="48"/>
      </w:rPr>
      <w:tab/>
    </w:r>
    <w:r w:rsidRPr="009C512A">
      <w:rPr>
        <w:rFonts w:ascii="Arial" w:hAnsi="Arial" w:cs="Arial"/>
        <w:b/>
        <w:sz w:val="48"/>
      </w:rPr>
      <w:tab/>
    </w:r>
    <w:r w:rsidRPr="009C512A">
      <w:tab/>
    </w:r>
    <w:r w:rsidRPr="009C512A">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B6F9" w14:textId="52C9C771" w:rsidR="009C512A" w:rsidRPr="009C512A" w:rsidRDefault="009C512A" w:rsidP="009C512A">
    <w:pPr>
      <w:pStyle w:val="FooterCoverPage"/>
      <w:rPr>
        <w:rFonts w:ascii="Arial" w:hAnsi="Arial" w:cs="Arial"/>
        <w:b/>
        <w:sz w:val="48"/>
      </w:rPr>
    </w:pPr>
    <w:r w:rsidRPr="009C512A">
      <w:rPr>
        <w:rFonts w:ascii="Arial" w:hAnsi="Arial" w:cs="Arial"/>
        <w:b/>
        <w:sz w:val="48"/>
      </w:rPr>
      <w:t>SL</w:t>
    </w:r>
    <w:r w:rsidRPr="009C512A">
      <w:rPr>
        <w:rFonts w:ascii="Arial" w:hAnsi="Arial" w:cs="Arial"/>
        <w:b/>
        <w:sz w:val="48"/>
      </w:rPr>
      <w:tab/>
    </w:r>
    <w:r w:rsidRPr="009C512A">
      <w:rPr>
        <w:rFonts w:ascii="Arial" w:hAnsi="Arial" w:cs="Arial"/>
        <w:b/>
        <w:sz w:val="48"/>
      </w:rPr>
      <w:tab/>
    </w:r>
    <w:r w:rsidRPr="009C512A">
      <w:tab/>
    </w:r>
    <w:r w:rsidRPr="009C512A">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B49E6" w14:textId="77777777" w:rsidR="009C512A" w:rsidRPr="009C512A" w:rsidRDefault="009C512A" w:rsidP="009C512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7958" w14:textId="77777777" w:rsidR="00597B54" w:rsidRDefault="00597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5133"/>
      <w:docPartObj>
        <w:docPartGallery w:val="Page Numbers (Bottom of Page)"/>
        <w:docPartUnique/>
      </w:docPartObj>
    </w:sdtPr>
    <w:sdtEndPr>
      <w:rPr>
        <w:noProof/>
      </w:rPr>
    </w:sdtEndPr>
    <w:sdtContent>
      <w:p w14:paraId="23F54503" w14:textId="47B5084B" w:rsidR="00607A30" w:rsidRDefault="00607A30">
        <w:pPr>
          <w:pStyle w:val="Footer"/>
          <w:jc w:val="center"/>
        </w:pPr>
        <w:r>
          <w:fldChar w:fldCharType="begin"/>
        </w:r>
        <w:r>
          <w:instrText xml:space="preserve"> PAGE   \* MERGEFORMAT </w:instrText>
        </w:r>
        <w:r>
          <w:fldChar w:fldCharType="separate"/>
        </w:r>
        <w:r w:rsidR="009C512A">
          <w:rPr>
            <w:noProof/>
          </w:rPr>
          <w:t>1</w:t>
        </w:r>
        <w:r>
          <w:fldChar w:fldCharType="end"/>
        </w:r>
      </w:p>
    </w:sdtContent>
  </w:sdt>
  <w:p w14:paraId="21D4DB98" w14:textId="77777777" w:rsidR="00597B54" w:rsidRDefault="00597B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8440" w14:textId="77777777" w:rsidR="00597B54" w:rsidRDefault="00597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99EEC" w14:textId="77777777" w:rsidR="00D549F4" w:rsidRDefault="00D549F4" w:rsidP="00597B54">
      <w:pPr>
        <w:spacing w:after="0" w:line="240" w:lineRule="auto"/>
      </w:pPr>
      <w:r>
        <w:separator/>
      </w:r>
    </w:p>
  </w:footnote>
  <w:footnote w:type="continuationSeparator" w:id="0">
    <w:p w14:paraId="781E0760" w14:textId="77777777" w:rsidR="00D549F4" w:rsidRDefault="00D549F4" w:rsidP="00597B54">
      <w:pPr>
        <w:spacing w:after="0" w:line="240" w:lineRule="auto"/>
      </w:pPr>
      <w:r>
        <w:continuationSeparator/>
      </w:r>
    </w:p>
  </w:footnote>
  <w:footnote w:type="continuationNotice" w:id="1">
    <w:p w14:paraId="34F82F1B" w14:textId="77777777" w:rsidR="00D549F4" w:rsidRDefault="00D549F4">
      <w:pPr>
        <w:spacing w:after="0" w:line="240" w:lineRule="auto"/>
      </w:pPr>
    </w:p>
  </w:footnote>
  <w:footnote w:id="2">
    <w:p w14:paraId="3A859397"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Draghijevo poročilo – The Future of European Competitiveness (Prihodnost evropske konkurenčnosti), september 2024.</w:t>
      </w:r>
    </w:p>
  </w:footnote>
  <w:footnote w:id="3">
    <w:p w14:paraId="317BE56F"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COM(2025) 30 final.</w:t>
      </w:r>
    </w:p>
  </w:footnote>
  <w:footnote w:id="4">
    <w:p w14:paraId="791D98DB"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COM(2025) 85 final.</w:t>
      </w:r>
    </w:p>
  </w:footnote>
  <w:footnote w:id="5">
    <w:p w14:paraId="7F7DF8F9"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Komisija je ta cilj priporočila v svojem sporočilu z naslovom „Zavarujmo svojo prihodnost Podnebni cilj Evrope za leto 2040 in pot do podnebne nevtralnosti do leta 2050 ter oblikovanje trajnostne, pravične in uspešne družbe“ (COM(2024) 63 final).</w:t>
      </w:r>
    </w:p>
  </w:footnote>
  <w:footnote w:id="6">
    <w:p w14:paraId="1EC56C8F"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COM(2025) 79 final.</w:t>
      </w:r>
    </w:p>
  </w:footnote>
  <w:footnote w:id="7">
    <w:p w14:paraId="16E2666B"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Zahtevajo se v skladu z Uredbo (EU) 2018/1999 z dne18. decembra 2018 o upravljanju energetske unije in podnebnih ukrepov.</w:t>
      </w:r>
    </w:p>
  </w:footnote>
  <w:footnote w:id="8">
    <w:p w14:paraId="067FE0C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Na podlagi podatkov Eurostata</w:t>
      </w:r>
      <w:r>
        <w:rPr>
          <w:sz w:val="20"/>
        </w:rPr>
        <w:t xml:space="preserve"> </w:t>
      </w:r>
      <w:hyperlink r:id="rId1" w:history="1">
        <w:r>
          <w:rPr>
            <w:rStyle w:val="Hyperlink1"/>
            <w:rFonts w:ascii="Times New Roman" w:hAnsi="Times New Roman"/>
            <w:sz w:val="20"/>
          </w:rPr>
          <w:t>bruto domači proizvod (BDP) in glavni sestavni deli (realizacija</w:t>
        </w:r>
        <w:bookmarkStart w:id="3" w:name="_Hlt197066782"/>
        <w:bookmarkStart w:id="4" w:name="_Hlt197066783"/>
        <w:r>
          <w:rPr>
            <w:rStyle w:val="Hyperlink1"/>
            <w:rFonts w:ascii="Times New Roman" w:hAnsi="Times New Roman"/>
            <w:sz w:val="20"/>
          </w:rPr>
          <w:t>,</w:t>
        </w:r>
        <w:bookmarkEnd w:id="3"/>
        <w:bookmarkEnd w:id="4"/>
        <w:r>
          <w:rPr>
            <w:rStyle w:val="Hyperlink1"/>
            <w:rFonts w:ascii="Times New Roman" w:hAnsi="Times New Roman"/>
            <w:sz w:val="20"/>
          </w:rPr>
          <w:t xml:space="preserve"> odhodki in prihodki)</w:t>
        </w:r>
      </w:hyperlink>
      <w:r>
        <w:t>.</w:t>
      </w:r>
    </w:p>
  </w:footnote>
  <w:footnote w:id="9">
    <w:p w14:paraId="72DE035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COM(2023) 796 final in posamezna priporočila državam članicam.</w:t>
      </w:r>
    </w:p>
  </w:footnote>
  <w:footnote w:id="10">
    <w:p w14:paraId="4A32CF10"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 xml:space="preserve">Uredba o upravljanju v členu 14 določa, da mora vsaka država članica do 30. junija 2024 Komisiji predložiti posodobitev svojega zadnjega priglašenega celovitega nacionalnega energetskega in podnebnega načrta. </w:t>
      </w:r>
    </w:p>
  </w:footnote>
  <w:footnote w:id="11">
    <w:p w14:paraId="1A3E63F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vertAlign w:val="superscript"/>
        </w:rPr>
        <w:t xml:space="preserve"> </w:t>
      </w:r>
      <w:r>
        <w:rPr>
          <w:rFonts w:ascii="Times New Roman" w:hAnsi="Times New Roman"/>
          <w:sz w:val="20"/>
        </w:rPr>
        <w:t>Brez poseganja v nadaljnje ukrepe Komisije v zvezi z nepredložitvijo končnega NEPN.</w:t>
      </w:r>
    </w:p>
  </w:footnote>
  <w:footnote w:id="12">
    <w:p w14:paraId="668DDBB0"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Člen 13 uredbe o upravljanju določa, da Komisija zlasti oceni, ali cilji in prispevki zadostujejo za skupno doseganje ciljev energetske unije in ciljev iz okvira podnebne in energetske politike Unije do leta 2030 in ali so načrti skladni z zahtevami iz členov 3 do 12 in ali so države članice ustrezno upoštevale priporočila Komisije, izdana na podlagi člena 34.</w:t>
      </w:r>
    </w:p>
  </w:footnote>
  <w:footnote w:id="13">
    <w:p w14:paraId="6B31CA6C"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Končni posodobljeni NEPN Slovaške, predložen šele 15. aprila 2025, je bil v tem sporočilu upoštevan le delno. Belgija, Estonija in Poljska še niso predložile končnih posodobljenih NEPN. Komisija namerava objaviti posamezne ocene načrtov teh držav članic kmalu po njihovi predložitvi.</w:t>
      </w:r>
    </w:p>
  </w:footnote>
  <w:footnote w:id="14">
    <w:p w14:paraId="702F891E"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Skupne neto emisije toplogrednih plinov (vključno s ponori v sektorju rabe zemljišč, spremembe rabe zemljišč in gozdarstva), vključno z ocenami Komisije glede emisij iz mednarodnega prometa, ki jih ureja pravo EU. V oceni so upoštevane predhodne informacije, ki sta jih posredovali Estonija in Poljska, ki še nista predložili končnega NEPN. Za podrobnosti glej Prilogo.</w:t>
      </w:r>
    </w:p>
  </w:footnote>
  <w:footnote w:id="15">
    <w:p w14:paraId="6AAC35B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Uredba (EU) 2023/857 o spremembi Uredbe (EU) 2018/842.</w:t>
      </w:r>
    </w:p>
  </w:footnote>
  <w:footnote w:id="16">
    <w:p w14:paraId="6B958405"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Uredba (EU) 2023/839 o spremembi Uredbe (EU) 2018/841.</w:t>
      </w:r>
    </w:p>
  </w:footnote>
  <w:footnote w:id="17">
    <w:p w14:paraId="61F6AC26"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Skupne neto emisije toplogrednih plinov (vključno s ponori LULUCF) in vključno z ocenami Komisije glede emisij iz mednarodnega letalskega in pomorskega prometa, ki jih ureja pravo EU. V ocenah so upoštevane predhodne informacije, ki sta jih posredovali Estonija in Poljska, ki še nista predložili končnega NEPN. Za podrobnosti glej Prilogo.</w:t>
      </w:r>
    </w:p>
  </w:footnote>
  <w:footnote w:id="18">
    <w:p w14:paraId="4F372337"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sz w:val="20"/>
        </w:rPr>
        <w:t xml:space="preserve"> </w:t>
      </w:r>
      <w:r>
        <w:rPr>
          <w:rFonts w:ascii="Times New Roman" w:hAnsi="Times New Roman"/>
          <w:sz w:val="20"/>
        </w:rPr>
        <w:t>V oceni so upoštevane predhodne informacije, ki sta jih posredovali Estonija in Poljska, ki še nista predložili končnega NEPN. Za podrobnosti glej Prilogo.</w:t>
      </w:r>
    </w:p>
  </w:footnote>
  <w:footnote w:id="19">
    <w:p w14:paraId="114EE706"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EL, ES, HR, LV, LT, LU, HU, RO, SI, PT.</w:t>
      </w:r>
    </w:p>
  </w:footnote>
  <w:footnote w:id="20">
    <w:p w14:paraId="1B01963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FR, NL, AT, FI, SE.</w:t>
      </w:r>
    </w:p>
  </w:footnote>
  <w:footnote w:id="21">
    <w:p w14:paraId="26EB947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IE, IT, CY, MT. Te države članice ne pričakujejo, da bodo dosegle svoj cilj do leta 2030 iz uredbe o porazdelitvi prizadevanj, tudi če bodo uporabile prožnosti.</w:t>
      </w:r>
    </w:p>
  </w:footnote>
  <w:footnote w:id="22">
    <w:p w14:paraId="36AA8732"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Uredba o porazdelitvi prizadevanj državam članicam zagotavlja vrsto prožnosti za izravnavo dela emisij z zmanjšanjem emisij v drugih sektorjih, ki niso povezani z uredbo o porazdelitvi prizadevanj, ali v prejšnjih letih. Pri analizi prožnosti za to oceno ni upoštevano možno trgovanje z dodeljenimi letnimi emisijami med državami članicami.</w:t>
      </w:r>
    </w:p>
  </w:footnote>
  <w:footnote w:id="23">
    <w:p w14:paraId="4711625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V primerjavi z letnim povprečjem emisij in odvzemov v sektorju LULUCF v referenčnem obdobju 2016–2018.</w:t>
      </w:r>
    </w:p>
  </w:footnote>
  <w:footnote w:id="24">
    <w:p w14:paraId="00F6103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DK, EE, EL, LT, LU, NL, AT, PL, SI.</w:t>
      </w:r>
    </w:p>
  </w:footnote>
  <w:footnote w:id="25">
    <w:p w14:paraId="7AD84CA4"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Na primer DE, FR, IT.</w:t>
      </w:r>
    </w:p>
  </w:footnote>
  <w:footnote w:id="26">
    <w:p w14:paraId="570120CB"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BG, DK, EL, FR, HR, IT, LT, NL, AT, PT, RO, SE so predstavile nekatere načrte ali projekte za CCUS pred letom 2030. </w:t>
      </w:r>
    </w:p>
  </w:footnote>
  <w:footnote w:id="27">
    <w:p w14:paraId="615402CE" w14:textId="77777777" w:rsidR="005E019D" w:rsidRPr="005E019D" w:rsidRDefault="005E019D" w:rsidP="005E019D">
      <w:pPr>
        <w:pStyle w:val="f1"/>
        <w:jc w:val="both"/>
        <w:rPr>
          <w:sz w:val="20"/>
          <w:szCs w:val="20"/>
        </w:rPr>
      </w:pPr>
      <w:r>
        <w:rPr>
          <w:rStyle w:val="FootnoteReference"/>
          <w:sz w:val="20"/>
          <w:szCs w:val="20"/>
        </w:rPr>
        <w:footnoteRef/>
      </w:r>
      <w:r>
        <w:rPr>
          <w:sz w:val="20"/>
        </w:rPr>
        <w:t xml:space="preserve"> </w:t>
      </w:r>
      <w:r>
        <w:rPr>
          <w:rFonts w:ascii="Times New Roman" w:hAnsi="Times New Roman"/>
          <w:sz w:val="20"/>
        </w:rPr>
        <w:t>Glej člen 21(2) Uredbe (EU) 2024/1735.</w:t>
      </w:r>
    </w:p>
  </w:footnote>
  <w:footnote w:id="28">
    <w:p w14:paraId="6EFC8AB9" w14:textId="77777777" w:rsidR="005E019D" w:rsidRPr="005E019D" w:rsidRDefault="005E019D" w:rsidP="005E019D">
      <w:pPr>
        <w:pStyle w:val="f1"/>
        <w:jc w:val="both"/>
        <w:rPr>
          <w:sz w:val="20"/>
          <w:szCs w:val="20"/>
        </w:rPr>
      </w:pPr>
      <w:r>
        <w:rPr>
          <w:rStyle w:val="FootnoteReference"/>
          <w:sz w:val="20"/>
          <w:szCs w:val="20"/>
        </w:rPr>
        <w:footnoteRef/>
      </w:r>
      <w:r>
        <w:rPr>
          <w:rFonts w:ascii="Times New Roman" w:hAnsi="Times New Roman"/>
          <w:sz w:val="20"/>
        </w:rPr>
        <w:t xml:space="preserve"> </w:t>
      </w:r>
      <w:hyperlink r:id="rId2" w:history="1">
        <w:r>
          <w:rPr>
            <w:rStyle w:val="Hyperlink1"/>
            <w:rFonts w:ascii="Times New Roman" w:hAnsi="Times New Roman"/>
            <w:sz w:val="20"/>
          </w:rPr>
          <w:t>Evropska ocena podnebnih tveganj (EUCRA)</w:t>
        </w:r>
      </w:hyperlink>
      <w:r>
        <w:rPr>
          <w:sz w:val="20"/>
        </w:rPr>
        <w:t>.</w:t>
      </w:r>
    </w:p>
  </w:footnote>
  <w:footnote w:id="29">
    <w:p w14:paraId="6962DF01" w14:textId="77777777" w:rsidR="005E019D" w:rsidRPr="005E019D" w:rsidRDefault="005E019D" w:rsidP="005E019D">
      <w:pPr>
        <w:pStyle w:val="f1"/>
        <w:jc w:val="both"/>
        <w:rPr>
          <w:sz w:val="20"/>
          <w:szCs w:val="20"/>
        </w:rPr>
      </w:pPr>
      <w:r>
        <w:rPr>
          <w:rStyle w:val="FootnoteReference"/>
          <w:sz w:val="20"/>
          <w:szCs w:val="20"/>
        </w:rPr>
        <w:footnoteRef/>
      </w:r>
      <w:r>
        <w:rPr>
          <w:sz w:val="20"/>
        </w:rPr>
        <w:t xml:space="preserve"> </w:t>
      </w:r>
      <w:r>
        <w:rPr>
          <w:rFonts w:ascii="Times New Roman" w:hAnsi="Times New Roman"/>
          <w:sz w:val="20"/>
        </w:rPr>
        <w:t>Safer Together Strengthening Europe’s Civilian and Military Preparedness and Readiness (Varnejši skupaj: krepitev civilne in vojaške pripravljenosti Evrope), oktober 2024, poročilo nekdanjega predsednika Republike Finske Saulija Niinistöja kot posebnega svetovalca predsednika Evropske komisije.</w:t>
      </w:r>
    </w:p>
  </w:footnote>
  <w:footnote w:id="30">
    <w:p w14:paraId="111216B0"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IE, EL, ES, HR, AT, SI, FI.</w:t>
      </w:r>
    </w:p>
  </w:footnote>
  <w:footnote w:id="31">
    <w:p w14:paraId="7DFD11EF"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EL, ES, FR, HR, IT, PT. </w:t>
      </w:r>
    </w:p>
  </w:footnote>
  <w:footnote w:id="32">
    <w:p w14:paraId="70A60046" w14:textId="36799362"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SI, CZ, DK, ES, HR, CY, LV, LT, HU, NL, RO, in SE. </w:t>
      </w:r>
    </w:p>
  </w:footnote>
  <w:footnote w:id="33">
    <w:p w14:paraId="2B656069"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w:t>
      </w:r>
      <w:r>
        <w:rPr>
          <w:rFonts w:ascii="Times New Roman" w:hAnsi="Times New Roman"/>
          <w:color w:val="000000"/>
          <w:sz w:val="20"/>
        </w:rPr>
        <w:t xml:space="preserve"> skladu z Direktivo 2009/28/ES ter z uredbama (EU) 2023/1805 in (EU) 2023/2405.</w:t>
      </w:r>
    </w:p>
  </w:footnote>
  <w:footnote w:id="34">
    <w:p w14:paraId="6B30740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Uredba (EU) 2024/3012.</w:t>
      </w:r>
    </w:p>
  </w:footnote>
  <w:footnote w:id="35">
    <w:p w14:paraId="3CE05995"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lang w:val="en-IE"/>
        </w:rPr>
        <w:footnoteRef/>
      </w:r>
      <w:r>
        <w:rPr>
          <w:rFonts w:ascii="Times New Roman" w:hAnsi="Times New Roman"/>
          <w:sz w:val="20"/>
        </w:rPr>
        <w:t xml:space="preserve"> COM(2024) 62 final.</w:t>
      </w:r>
    </w:p>
  </w:footnote>
  <w:footnote w:id="36">
    <w:p w14:paraId="05D97A9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Draghijevo poročilo – The Future of European Competitiveness (Prihodnost evropske konkurenčnosti).</w:t>
      </w:r>
    </w:p>
  </w:footnote>
  <w:footnote w:id="37">
    <w:p w14:paraId="0340444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Podatki Eurostata, WindEurope in Solar Power Europe.</w:t>
      </w:r>
    </w:p>
  </w:footnote>
  <w:footnote w:id="38">
    <w:p w14:paraId="538725D6"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 primerjavi z 38,6-odstotnim do 39,3-odstotnim deležem v oceni osnutkov posodobljenih NEPN na ravni celotne EU (COM(2023) 796 final).</w:t>
      </w:r>
    </w:p>
  </w:footnote>
  <w:footnote w:id="39">
    <w:p w14:paraId="02C373BE"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Glej Prilogo II o metodologiji.</w:t>
      </w:r>
    </w:p>
  </w:footnote>
  <w:footnote w:id="40">
    <w:p w14:paraId="1F3BE0D8" w14:textId="77777777" w:rsidR="005E019D" w:rsidRPr="005E019D" w:rsidRDefault="005E019D" w:rsidP="005E019D">
      <w:pPr>
        <w:pStyle w:val="f1"/>
        <w:jc w:val="both"/>
        <w:rPr>
          <w:rFonts w:ascii="Times New Roman" w:hAnsi="Times New Roman"/>
          <w:sz w:val="20"/>
          <w:szCs w:val="20"/>
        </w:rPr>
      </w:pPr>
      <w:r>
        <w:rPr>
          <w:rStyle w:val="FootnoteReference"/>
          <w:sz w:val="20"/>
          <w:szCs w:val="20"/>
        </w:rPr>
        <w:footnoteRef/>
      </w:r>
      <w:r>
        <w:rPr>
          <w:sz w:val="20"/>
        </w:rPr>
        <w:t xml:space="preserve"> </w:t>
      </w:r>
      <w:r>
        <w:rPr>
          <w:rFonts w:ascii="Times New Roman" w:hAnsi="Times New Roman"/>
          <w:sz w:val="20"/>
        </w:rPr>
        <w:t xml:space="preserve">IE, IT, LV, LT, LU, HU, AT, PL, PT, RO, SI, FI, SE. </w:t>
      </w:r>
    </w:p>
    <w:p w14:paraId="572D8760" w14:textId="77777777" w:rsidR="005E019D" w:rsidRPr="005E019D" w:rsidRDefault="005E019D" w:rsidP="005E019D">
      <w:pPr>
        <w:pStyle w:val="f1"/>
        <w:rPr>
          <w:sz w:val="20"/>
          <w:szCs w:val="20"/>
        </w:rPr>
      </w:pPr>
    </w:p>
  </w:footnote>
  <w:footnote w:id="41">
    <w:p w14:paraId="08AF549B"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Direktiva (EU) 2023/2413 Evropskega parlamenta in Sveta z dne 18. oktobra 2023 o spremembi Direktive (EU) 2018/2001, Uredbe (EU) 2018/1999 in Direktive 98/70/ES glede spodbujanja energije iz obnovljivih virov ter razveljavitvi Direktive Sveta (EU) 2015/652.</w:t>
      </w:r>
    </w:p>
  </w:footnote>
  <w:footnote w:id="42">
    <w:p w14:paraId="494D72E8" w14:textId="77777777" w:rsidR="005E019D" w:rsidRPr="005E019D" w:rsidRDefault="005E019D" w:rsidP="005E019D">
      <w:pPr>
        <w:pStyle w:val="f1"/>
        <w:rPr>
          <w:rFonts w:ascii="Times New Roman" w:hAnsi="Times New Roman"/>
          <w:sz w:val="20"/>
          <w:szCs w:val="20"/>
        </w:rPr>
      </w:pPr>
      <w:r>
        <w:rPr>
          <w:rFonts w:ascii="Times New Roman" w:hAnsi="Times New Roman"/>
          <w:sz w:val="20"/>
        </w:rPr>
        <w:t xml:space="preserve"> IE, IT, LV, LT, LU, HU, AT, PL, PT, RO, SI, FI, SE. </w:t>
      </w:r>
    </w:p>
  </w:footnote>
  <w:footnote w:id="43">
    <w:p w14:paraId="3B3E1BC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 xml:space="preserve">V skladu z letnim povprečnim povečanjem v skladu s členom 23 </w:t>
      </w:r>
      <w:hyperlink r:id="rId3" w:history="1">
        <w:r>
          <w:rPr>
            <w:rFonts w:ascii="Times New Roman" w:hAnsi="Times New Roman"/>
            <w:sz w:val="20"/>
          </w:rPr>
          <w:t>Direktive (EU) 2023/2413 Evropskega parlamenta in Sveta z dne 18. oktobra 2023 o spremembi Direktive (EU) 2018/2001, Uredbe (EU) 2018/1999 in Direktive 98/70/ES glede spodbujanja energije iz obnovljivih virov ter razveljavitvi Direktive Sveta (EU) 2015/652.</w:t>
        </w:r>
      </w:hyperlink>
      <w:r>
        <w:rPr>
          <w:rFonts w:ascii="Times New Roman" w:hAnsi="Times New Roman"/>
          <w:sz w:val="20"/>
        </w:rPr>
        <w:t xml:space="preserve"> </w:t>
      </w:r>
    </w:p>
  </w:footnote>
  <w:footnote w:id="44">
    <w:p w14:paraId="58BB7D0D"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DK, ES, IT, LV, LU, NL, SI, FI, SE.</w:t>
      </w:r>
    </w:p>
  </w:footnote>
  <w:footnote w:id="45">
    <w:p w14:paraId="2BB92F92"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DE, FR, IT, LV, NL, PT, SI, FI. </w:t>
      </w:r>
    </w:p>
  </w:footnote>
  <w:footnote w:id="46">
    <w:p w14:paraId="7A62B154"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ES in CY ne določata posebnega cilja, vendar navajata, da nameravata uvesti potrebne ukrepe za doseganje okvirnega cilja inovativnih tehnologij za energijo iz obnovljivih virov do leta 2030.</w:t>
      </w:r>
    </w:p>
  </w:footnote>
  <w:footnote w:id="47">
    <w:p w14:paraId="3739D3AF" w14:textId="77777777" w:rsidR="005E019D" w:rsidRPr="005E019D" w:rsidRDefault="005E019D" w:rsidP="005E019D">
      <w:pPr>
        <w:pStyle w:val="f1"/>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Končni NEPN Bolgarije ne vsebuje kvantitativnih načrtov za proizvodnjo biometana.</w:t>
      </w:r>
    </w:p>
  </w:footnote>
  <w:footnote w:id="48">
    <w:p w14:paraId="3ED58B9D" w14:textId="04D6B3B4" w:rsidR="005E019D" w:rsidRPr="005645BB" w:rsidRDefault="005E019D" w:rsidP="005645BB">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Pri drugem razpisu, ki se je zaključil marca 2025, sodeluje Luksemburg kot prispevajoča država, ki v mehanizem prostovoljno prispeva 52,4 milijona EUR. Finska in Estonija sta državi gostiteljici. Dodeljeni projekti bodo dodali skupno zmogljivost 445,65 MW obratov za proizvodnjo energije iz obnovljivih virov, izvajati pa naj bi se začeli med letoma 2027 in 2028. </w:t>
      </w:r>
    </w:p>
  </w:footnote>
  <w:footnote w:id="49">
    <w:p w14:paraId="2159CCB2"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 primerjavi s projekcijami iz referenčnega scenarija EU za leto 2020.</w:t>
      </w:r>
    </w:p>
  </w:footnote>
  <w:footnote w:id="50">
    <w:p w14:paraId="0D0E872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 skladu s ciljem iz Direktive (EU) 2023/1791 (prenovljena direktiva o energetski učinkovitosti).</w:t>
      </w:r>
    </w:p>
  </w:footnote>
  <w:footnote w:id="51">
    <w:p w14:paraId="0163CFBE"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DE, IE, EL, HR, CY, HU, NL, AT, PT, RO, SI, SK, FI.</w:t>
      </w:r>
    </w:p>
  </w:footnote>
  <w:footnote w:id="52">
    <w:p w14:paraId="6D25671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Ocena temelji na ravni ambicij 24 držav članic. </w:t>
      </w:r>
    </w:p>
  </w:footnote>
  <w:footnote w:id="53">
    <w:p w14:paraId="4EEFD61C"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DK, DE, IE, FR, CY, NL, PT, RO. Ocena temelji na ravni ambicij 24 držav članic. </w:t>
      </w:r>
    </w:p>
  </w:footnote>
  <w:footnote w:id="54">
    <w:p w14:paraId="61F5DAF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Glej Prilogo II k temu sporočilu.</w:t>
      </w:r>
    </w:p>
  </w:footnote>
  <w:footnote w:id="55">
    <w:p w14:paraId="2FDD4989"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 nekaterih primerih so projekcije scenarija „z dodatnimi ukrepi“ za 10 % višje od priglašenega prispevka držav članic.</w:t>
      </w:r>
      <w:r>
        <w:rPr>
          <w:sz w:val="20"/>
        </w:rPr>
        <w:t xml:space="preserve"> </w:t>
      </w:r>
    </w:p>
  </w:footnote>
  <w:footnote w:id="56">
    <w:p w14:paraId="575ADB85" w14:textId="77777777" w:rsidR="005E019D" w:rsidRPr="005E019D" w:rsidRDefault="005E019D" w:rsidP="005E019D">
      <w:pPr>
        <w:spacing w:after="0"/>
        <w:jc w:val="both"/>
        <w:rPr>
          <w:sz w:val="20"/>
          <w:szCs w:val="20"/>
        </w:rPr>
      </w:pPr>
      <w:r>
        <w:rPr>
          <w:rStyle w:val="FootnoteReference"/>
          <w:sz w:val="20"/>
          <w:szCs w:val="20"/>
        </w:rPr>
        <w:footnoteRef/>
      </w:r>
      <w:r>
        <w:rPr>
          <w:sz w:val="20"/>
        </w:rPr>
        <w:t xml:space="preserve"> </w:t>
      </w:r>
      <w:r>
        <w:rPr>
          <w:rFonts w:ascii="Times New Roman" w:hAnsi="Times New Roman"/>
          <w:sz w:val="20"/>
        </w:rPr>
        <w:t xml:space="preserve">Analiza nacionalnih dolgoročnih strategij prenove (SWD(2022) 375 final). </w:t>
      </w:r>
    </w:p>
  </w:footnote>
  <w:footnote w:id="57">
    <w:p w14:paraId="53A4537C"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EL, ES, CY, LV, LU, NL.</w:t>
      </w:r>
    </w:p>
  </w:footnote>
  <w:footnote w:id="58">
    <w:p w14:paraId="6223918A"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DE, LV, HU, MT, NL, PT, SI, FI.</w:t>
      </w:r>
    </w:p>
  </w:footnote>
  <w:footnote w:id="59">
    <w:p w14:paraId="09933EA4"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Zmanjšana končna poraba energije v primerjavi z napovedano porabo energije za leto 2030 na podlagi referenčnega scenarija iz leta 2020.</w:t>
      </w:r>
    </w:p>
  </w:footnote>
  <w:footnote w:id="60">
    <w:p w14:paraId="70D6D571"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4" w:history="1">
        <w:r>
          <w:rPr>
            <w:rStyle w:val="Hyperlink1"/>
            <w:rFonts w:ascii="Times New Roman" w:hAnsi="Times New Roman"/>
            <w:sz w:val="20"/>
          </w:rPr>
          <w:t>EUR-Lex - 52025DC0046 - SL - EUR-Lex</w:t>
        </w:r>
      </w:hyperlink>
      <w:r>
        <w:t>.</w:t>
      </w:r>
    </w:p>
  </w:footnote>
  <w:footnote w:id="61">
    <w:p w14:paraId="7CC7554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Poročilo EU o napredku na področju podnebnih ukrepov za leto 2024 (COM(2024) 498 final). Podatek ne vključuje porabe za promet.</w:t>
      </w:r>
    </w:p>
  </w:footnote>
  <w:footnote w:id="62">
    <w:p w14:paraId="061F36C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 skladu z zahtevo evropskih podnebnih pravil po stalnem napredku </w:t>
      </w:r>
      <w:r>
        <w:rPr>
          <w:sz w:val="20"/>
        </w:rPr>
        <w:t>pri</w:t>
      </w:r>
      <w:r>
        <w:rPr>
          <w:rFonts w:ascii="Times New Roman" w:hAnsi="Times New Roman"/>
          <w:sz w:val="20"/>
        </w:rPr>
        <w:t xml:space="preserve"> krepitvi prilagoditvene sposobnosti, krepitvi odpornosti in zmanjševanju ranljivosti zaradi podnebnih sprememb, s pozivom iz kompasa Komisije za konkurenčnost (COM(2025) 30 final) in priporočilom Evropskega računskega sodišča (Prilagajanje podnebnim spremembam v EU – Ukrepanje ne dohaja visokih ambicij, Posebno poročilo 15/2024). </w:t>
      </w:r>
    </w:p>
  </w:footnote>
  <w:footnote w:id="63">
    <w:p w14:paraId="7685036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Države članice so predložile namenska nova poglavja načrtov za okrevanje in odpornost (NOO), v katerih so opisane reforme in naložbe za povečanje odpornosti, varnosti in trajnostnosti energetskega sistema EU (26 poglavij REPowerEU, predloženih in odobrenih do konca leta 2024). Doslej so države članice v okviru svojih NOO in poglavij REPowerEU ukrepom, povezanim z energijo, dodelile skupaj 184,7 milijarde EUR.</w:t>
      </w:r>
    </w:p>
  </w:footnote>
  <w:footnote w:id="64">
    <w:p w14:paraId="67E0461B"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DK, IE, EL, ES, IT, LU, MT, NL, AT, PT, SI.</w:t>
      </w:r>
    </w:p>
  </w:footnote>
  <w:footnote w:id="65">
    <w:p w14:paraId="21EE62EF"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EL, LT, HU, MT, NL.</w:t>
      </w:r>
    </w:p>
  </w:footnote>
  <w:footnote w:id="66">
    <w:p w14:paraId="51563E98"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RO.</w:t>
      </w:r>
    </w:p>
  </w:footnote>
  <w:footnote w:id="67">
    <w:p w14:paraId="74AC29E7"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CY, NL.</w:t>
      </w:r>
    </w:p>
  </w:footnote>
  <w:footnote w:id="68">
    <w:p w14:paraId="0BD07736"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FI, SE.</w:t>
      </w:r>
    </w:p>
  </w:footnote>
  <w:footnote w:id="69">
    <w:p w14:paraId="577A027F"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Predlog uredbe Evropskega parlamenta in Sveta o spremembi uredb (EU) 2021/1058 in (EU) 2021/1056 glede posebnih ukrepov za obravnavanje strateških izzivov v okviru vmesnega pregleda (COM(2025) 123 final). </w:t>
      </w:r>
    </w:p>
  </w:footnote>
  <w:footnote w:id="70">
    <w:p w14:paraId="7EBE9E98"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HU, MT, AT.</w:t>
      </w:r>
    </w:p>
  </w:footnote>
  <w:footnote w:id="71">
    <w:p w14:paraId="71D732F7"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EL, ES, CY, LT, AT, SE.</w:t>
      </w:r>
    </w:p>
  </w:footnote>
  <w:footnote w:id="72">
    <w:p w14:paraId="67CB1069"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DK, FR, CY, LU, NL.</w:t>
      </w:r>
    </w:p>
  </w:footnote>
  <w:footnote w:id="73">
    <w:p w14:paraId="74416E86"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000000"/>
          <w:sz w:val="20"/>
        </w:rPr>
        <w:t>EL, ES, FR, CY, LU, HU, AT, SE.</w:t>
      </w:r>
    </w:p>
  </w:footnote>
  <w:footnote w:id="74">
    <w:p w14:paraId="0D39F77B"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Style w:val="normaltextrun"/>
          <w:rFonts w:ascii="Times New Roman" w:hAnsi="Times New Roman"/>
          <w:color w:val="000000"/>
          <w:sz w:val="20"/>
        </w:rPr>
        <w:t>EL, ES, FR, IT, LT, LU, HU, FI.</w:t>
      </w:r>
    </w:p>
  </w:footnote>
  <w:footnote w:id="75">
    <w:p w14:paraId="03D7D346"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color w:val="000000"/>
          <w:sz w:val="20"/>
        </w:rPr>
        <w:t>LV, NL.</w:t>
      </w:r>
    </w:p>
  </w:footnote>
  <w:footnote w:id="76">
    <w:p w14:paraId="09D0D0A4" w14:textId="77777777" w:rsidR="005E019D" w:rsidRPr="005E019D" w:rsidRDefault="005E019D" w:rsidP="005E019D">
      <w:pPr>
        <w:pStyle w:val="f1"/>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Style w:val="normaltextrun"/>
          <w:rFonts w:ascii="Times New Roman" w:hAnsi="Times New Roman"/>
          <w:color w:val="000000"/>
          <w:sz w:val="20"/>
        </w:rPr>
        <w:t>CZ, IT, CY.</w:t>
      </w:r>
    </w:p>
  </w:footnote>
  <w:footnote w:id="77">
    <w:p w14:paraId="2AE0DD80"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Style w:val="normaltextrun"/>
          <w:rFonts w:ascii="Times New Roman" w:hAnsi="Times New Roman"/>
          <w:color w:val="000000"/>
          <w:sz w:val="20"/>
        </w:rPr>
        <w:t>DE, IT, LV, LT, NL, PT.</w:t>
      </w:r>
    </w:p>
  </w:footnote>
  <w:footnote w:id="78">
    <w:p w14:paraId="0F9E3AA4" w14:textId="77777777" w:rsidR="005E019D" w:rsidRPr="005E019D" w:rsidRDefault="005E019D" w:rsidP="005E019D">
      <w:pPr>
        <w:pStyle w:val="f1"/>
        <w:rPr>
          <w:sz w:val="20"/>
          <w:szCs w:val="20"/>
        </w:rPr>
      </w:pPr>
      <w:r>
        <w:rPr>
          <w:rStyle w:val="FootnoteReference"/>
          <w:sz w:val="20"/>
          <w:szCs w:val="20"/>
        </w:rPr>
        <w:footnoteRef/>
      </w:r>
      <w:r>
        <w:rPr>
          <w:sz w:val="20"/>
        </w:rPr>
        <w:t xml:space="preserve"> </w:t>
      </w:r>
      <w:r>
        <w:rPr>
          <w:rFonts w:ascii="Times New Roman" w:hAnsi="Times New Roman"/>
          <w:sz w:val="20"/>
        </w:rPr>
        <w:t xml:space="preserve"> COM(2025) 90 final.</w:t>
      </w:r>
    </w:p>
  </w:footnote>
  <w:footnote w:id="79">
    <w:p w14:paraId="443C4F77" w14:textId="77777777" w:rsidR="005E019D" w:rsidRPr="005E019D" w:rsidRDefault="005E019D" w:rsidP="005E019D">
      <w:pPr>
        <w:pStyle w:val="f1"/>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AT, ES, IT, HU, PT, FI, SE.</w:t>
      </w:r>
    </w:p>
  </w:footnote>
  <w:footnote w:id="80">
    <w:p w14:paraId="58C1504F" w14:textId="77777777" w:rsidR="005E019D" w:rsidRPr="005E019D" w:rsidRDefault="005E019D" w:rsidP="005E019D">
      <w:pPr>
        <w:pStyle w:val="f1"/>
        <w:rPr>
          <w:sz w:val="20"/>
          <w:szCs w:val="20"/>
        </w:rPr>
      </w:pPr>
      <w:r>
        <w:rPr>
          <w:rStyle w:val="FootnoteReference"/>
          <w:sz w:val="20"/>
          <w:szCs w:val="20"/>
        </w:rPr>
        <w:footnoteRef/>
      </w:r>
      <w:r>
        <w:rPr>
          <w:sz w:val="20"/>
        </w:rPr>
        <w:t xml:space="preserve"> </w:t>
      </w:r>
      <w:r>
        <w:rPr>
          <w:rFonts w:ascii="Times New Roman" w:hAnsi="Times New Roman"/>
          <w:sz w:val="20"/>
        </w:rPr>
        <w:t>Electricity infrastructure development to support a competitive and sustainable energy system (Razvoj infrastrukture za prenos električne energije za podporo konkurenčnemu in trajnostnemu energetskemu sistemu), ACER, december 2024.</w:t>
      </w:r>
    </w:p>
  </w:footnote>
  <w:footnote w:id="81">
    <w:p w14:paraId="0B32DCDD"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Primer Litve in Romunije.</w:t>
      </w:r>
    </w:p>
  </w:footnote>
  <w:footnote w:id="82">
    <w:p w14:paraId="394FCEEC"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Direktiva (EU) 2023/1791 o energetski učinkovitosti (prenovitev) in Direktiva (EU) 2024/1275 o energetski učinkovitosti stavb (prenovitev) vključujeta določbe o energijski revščini.</w:t>
      </w:r>
    </w:p>
  </w:footnote>
  <w:footnote w:id="83">
    <w:p w14:paraId="45C1F5E5" w14:textId="61383842" w:rsidR="005E019D" w:rsidRPr="005E019D" w:rsidRDefault="005E019D" w:rsidP="005E019D">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Akcijski načrt za cenovno dostopno energijo (ukrep 2) poudarja vlogo omrežij in povezovalnih daljnovodov kot dejavnikov, ki omogočajo energetski prehod in razogljičenje industrije, ter navaja štiri primere manjkajočih vodilnih projektov na regionalni ravni in ravni EU, vključno z </w:t>
      </w:r>
      <w:r w:rsidR="00BF7672">
        <w:rPr>
          <w:rFonts w:ascii="Times New Roman" w:hAnsi="Times New Roman"/>
          <w:sz w:val="20"/>
        </w:rPr>
        <w:t>odobalnim</w:t>
      </w:r>
      <w:r>
        <w:rPr>
          <w:rFonts w:ascii="Times New Roman" w:hAnsi="Times New Roman"/>
          <w:sz w:val="20"/>
        </w:rPr>
        <w:t xml:space="preserve"> omrežjem v Severnem morju, krepitvijo povezav baltskih držav s Srednjo Evropo, večjim številom povezav med Iberskim polotokom in Srednjo Evropo ter potrebo po povečanju medsebojne povezanosti med Jugovzhodno in Srednjo Evropo.</w:t>
      </w:r>
    </w:p>
  </w:footnote>
  <w:footnote w:id="84">
    <w:p w14:paraId="22A9E3A9" w14:textId="72792273" w:rsidR="005E019D" w:rsidRPr="005E019D" w:rsidRDefault="005E019D" w:rsidP="00BF7672">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Evropska komisija je vzpostavila štiri skupine na visoki ravni, da bi zagotovile strateško usmerjanje in politične smernice za regulativni in infrastrukturni razvoj ter spremljale napredek projektov skupnega interesa v prednostnih regijah. Te vključujejo: skupino na visoki ravni za sodelovanje na področju energetike v Severnem morju (NSEC),</w:t>
      </w:r>
      <w:r w:rsidR="00BF7672">
        <w:rPr>
          <w:rFonts w:ascii="Times New Roman" w:hAnsi="Times New Roman"/>
          <w:sz w:val="20"/>
        </w:rPr>
        <w:t xml:space="preserve"> </w:t>
      </w:r>
      <w:r>
        <w:rPr>
          <w:rFonts w:ascii="Times New Roman" w:hAnsi="Times New Roman"/>
          <w:sz w:val="20"/>
        </w:rPr>
        <w:t>skupino na visoki ravni za povezovalne daljnovode v jugozahodni Evropi, skupino na visoki ravni za načrt medsebojnega povezovanja na baltskem energetskem trgu (BEMIP). skupino na visoki ravni za energetsko povezanost Srednje in Jugovzhodne Evrope (CESEC).</w:t>
      </w:r>
    </w:p>
  </w:footnote>
  <w:footnote w:id="85">
    <w:p w14:paraId="6A8F9ACA"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FR, SI.</w:t>
      </w:r>
    </w:p>
  </w:footnote>
  <w:footnote w:id="86">
    <w:p w14:paraId="223233C4"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Direktiva (EU) 2018/2001 Evropskega parlamenta in Sveta z dne 11. decembra 2018 o spodbujanju uporabe energije iz obnovljivih virov.</w:t>
      </w:r>
    </w:p>
  </w:footnote>
  <w:footnote w:id="87">
    <w:p w14:paraId="7AF8ADC2"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IT, LU, NL, PT, SI.</w:t>
      </w:r>
    </w:p>
  </w:footnote>
  <w:footnote w:id="88">
    <w:p w14:paraId="312ED73A" w14:textId="77777777" w:rsidR="005E019D" w:rsidRPr="005E019D" w:rsidRDefault="005E019D" w:rsidP="005E019D">
      <w:pPr>
        <w:pStyle w:val="f1"/>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 primerjavi z referenčnim obdobjem, ki je opredeljeno kot povprečje preteklih petih let za obdobje od avgusta 2022 do maja 2023 (kot je določeno v uredbi o zmanjšanju povpraševanja). Zato se za obdobje od avgusta do decembra nanaša na obdobje 2017–2021, za obdobje od januarja do maja pa na obdobje 2018–2022.</w:t>
      </w:r>
    </w:p>
  </w:footnote>
  <w:footnote w:id="89">
    <w:p w14:paraId="6D038756"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Uredba (EU) 2024/1747.</w:t>
      </w:r>
    </w:p>
  </w:footnote>
  <w:footnote w:id="90">
    <w:p w14:paraId="3B6BE21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Priporočilo Komisije z dne 14. marca 2023 o shranjevanju energije – temelj razogljičenega in varnega energetskega sistema EU (2023/C 103/01).</w:t>
      </w:r>
    </w:p>
  </w:footnote>
  <w:footnote w:id="91">
    <w:p w14:paraId="34CD1293"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DK, DE, EL, IT, CY, LV, LU, HU, PT, SI, FI.</w:t>
      </w:r>
    </w:p>
  </w:footnote>
  <w:footnote w:id="92">
    <w:p w14:paraId="3A4E6E2A"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IE, LT, MT, RO.</w:t>
      </w:r>
    </w:p>
  </w:footnote>
  <w:footnote w:id="93">
    <w:p w14:paraId="6DE51626"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IE, FR, NL, FI.</w:t>
      </w:r>
    </w:p>
  </w:footnote>
  <w:footnote w:id="94">
    <w:p w14:paraId="088FA84B"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CZ, HU, SK, FI.</w:t>
      </w:r>
    </w:p>
  </w:footnote>
  <w:footnote w:id="95">
    <w:p w14:paraId="0A37FBB9" w14:textId="77777777" w:rsidR="005E019D" w:rsidRPr="005E019D" w:rsidRDefault="005E019D" w:rsidP="005E019D">
      <w:pPr>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COM(2025) 440 final z dne 6. maja 2025.</w:t>
      </w:r>
    </w:p>
  </w:footnote>
  <w:footnote w:id="96">
    <w:p w14:paraId="20C09DB5" w14:textId="77777777" w:rsidR="005E019D" w:rsidRPr="005E019D" w:rsidRDefault="005E019D" w:rsidP="005E019D">
      <w:pPr>
        <w:pStyle w:val="f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Direktiva (EU) 2022/2555 o ukrepih za visoko skupno raven kibernetske varnosti v Uniji, ki zajema električno energijo, daljinsko ogrevanje in hlajenje, nafto, plin in vodik, ter Direktiva (EU) 2022/2557 o odpornosti kritičnih subjektov, ki zajema energetski sektor.</w:t>
      </w:r>
    </w:p>
  </w:footnote>
  <w:footnote w:id="97">
    <w:p w14:paraId="186EF6C2" w14:textId="77777777" w:rsidR="005E019D" w:rsidRPr="005E019D" w:rsidRDefault="005E019D" w:rsidP="005E019D">
      <w:pPr>
        <w:pStyle w:val="f1"/>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BG, EL, IT, CY, LV, HU, RO.</w:t>
      </w:r>
    </w:p>
  </w:footnote>
  <w:footnote w:id="98">
    <w:p w14:paraId="73FD2752" w14:textId="77777777" w:rsidR="005E019D" w:rsidRPr="005E019D" w:rsidRDefault="005E019D" w:rsidP="005E019D">
      <w:pPr>
        <w:spacing w:after="0"/>
        <w:rPr>
          <w:rFonts w:ascii="Times New Roman" w:eastAsia="Calibri"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olor w:val="333333"/>
          <w:sz w:val="20"/>
        </w:rPr>
        <w:t>Uredba (EU) 2023/955 Evropskega parlamenta in Sveta z dne 10. maja 2023 o vzpostavitvi Socialnega sklada za podnebje in spremembi Uredbe (EU) 2021/1060.</w:t>
      </w:r>
    </w:p>
  </w:footnote>
  <w:footnote w:id="99">
    <w:p w14:paraId="51DA737E"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MT, AT, RO so predložile zelo malo informacij.</w:t>
      </w:r>
    </w:p>
  </w:footnote>
  <w:footnote w:id="100">
    <w:p w14:paraId="448D889B"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ES, NL, PT.</w:t>
      </w:r>
    </w:p>
  </w:footnote>
  <w:footnote w:id="101">
    <w:p w14:paraId="04BE885D"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IT, CY, FI.</w:t>
      </w:r>
    </w:p>
  </w:footnote>
  <w:footnote w:id="102">
    <w:p w14:paraId="1C821A66"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IE, EL.</w:t>
      </w:r>
    </w:p>
  </w:footnote>
  <w:footnote w:id="103">
    <w:p w14:paraId="463B80E3"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FR, DK, DE, IE, MT, FI, SE.</w:t>
      </w:r>
    </w:p>
  </w:footnote>
  <w:footnote w:id="104">
    <w:p w14:paraId="73CC6964"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CZ, EL, HU, MT.</w:t>
      </w:r>
    </w:p>
  </w:footnote>
  <w:footnote w:id="105">
    <w:p w14:paraId="03F414DF"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DE, LU, HU, AT, RO.</w:t>
      </w:r>
    </w:p>
  </w:footnote>
  <w:footnote w:id="106">
    <w:p w14:paraId="45D16616" w14:textId="77777777" w:rsidR="005E019D" w:rsidRPr="005E019D" w:rsidRDefault="005E019D" w:rsidP="005E019D">
      <w:pPr>
        <w:pStyle w:val="f1"/>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DK, IE, ES, NL, PT, FI, SE.</w:t>
      </w:r>
    </w:p>
  </w:footnote>
  <w:footnote w:id="107">
    <w:p w14:paraId="0D4620E1" w14:textId="77777777" w:rsidR="005E019D" w:rsidRPr="005E019D" w:rsidRDefault="005E019D" w:rsidP="005E019D">
      <w:pPr>
        <w:pStyle w:val="f1"/>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Uredba (EU) 2021/1056.</w:t>
      </w:r>
    </w:p>
  </w:footnote>
  <w:footnote w:id="108">
    <w:p w14:paraId="566804C5" w14:textId="77777777" w:rsidR="005E019D" w:rsidRPr="00C60982" w:rsidRDefault="005E019D" w:rsidP="005E019D">
      <w:pPr>
        <w:pStyle w:val="f1"/>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5" w:history="1">
        <w:r>
          <w:rPr>
            <w:rStyle w:val="Hyperlink1"/>
            <w:rFonts w:ascii="Times New Roman" w:hAnsi="Times New Roman"/>
            <w:sz w:val="20"/>
          </w:rPr>
          <w:t>https://commission.europa.eu/strategy-and-policy/eu-budget/performance-and-reporting/horizontal-priorities/green-budgeting/climate-mainstreaming_en?prefLang=sl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DFFB" w14:textId="77777777" w:rsidR="009C512A" w:rsidRPr="009C512A" w:rsidRDefault="009C512A" w:rsidP="009C512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5ECF5" w14:textId="77777777" w:rsidR="009C512A" w:rsidRPr="009C512A" w:rsidRDefault="009C512A" w:rsidP="009C512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18D4" w14:textId="77777777" w:rsidR="009C512A" w:rsidRPr="009C512A" w:rsidRDefault="009C512A" w:rsidP="009C512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1DB6" w14:textId="77777777" w:rsidR="00597B54" w:rsidRDefault="00597B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C1C3" w14:textId="77777777" w:rsidR="00597B54" w:rsidRDefault="00597B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FDFA" w14:textId="77777777" w:rsidR="00597B54" w:rsidRDefault="00597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F94"/>
    <w:multiLevelType w:val="hybridMultilevel"/>
    <w:tmpl w:val="63B48D9C"/>
    <w:lvl w:ilvl="0" w:tplc="A4DE6F60">
      <w:start w:val="1"/>
      <w:numFmt w:val="upperRoman"/>
      <w:lvlText w:val="%1."/>
      <w:lvlJc w:val="right"/>
      <w:pPr>
        <w:ind w:left="720" w:hanging="360"/>
      </w:pPr>
      <w:rPr>
        <w:color w:val="0F4761" w:themeColor="accent1" w:themeShade="BF"/>
      </w:rPr>
    </w:lvl>
    <w:lvl w:ilvl="1" w:tplc="1092F4E8">
      <w:start w:val="1"/>
      <w:numFmt w:val="lowerLetter"/>
      <w:lvlText w:val="%2."/>
      <w:lvlJc w:val="left"/>
      <w:pPr>
        <w:ind w:left="1440" w:hanging="360"/>
      </w:pPr>
    </w:lvl>
    <w:lvl w:ilvl="2" w:tplc="2D8A5EE4" w:tentative="1">
      <w:start w:val="1"/>
      <w:numFmt w:val="lowerRoman"/>
      <w:lvlText w:val="%3."/>
      <w:lvlJc w:val="right"/>
      <w:pPr>
        <w:ind w:left="2160" w:hanging="180"/>
      </w:pPr>
    </w:lvl>
    <w:lvl w:ilvl="3" w:tplc="B462969C" w:tentative="1">
      <w:start w:val="1"/>
      <w:numFmt w:val="decimal"/>
      <w:lvlText w:val="%4."/>
      <w:lvlJc w:val="left"/>
      <w:pPr>
        <w:ind w:left="2880" w:hanging="360"/>
      </w:pPr>
    </w:lvl>
    <w:lvl w:ilvl="4" w:tplc="47F26C6E" w:tentative="1">
      <w:start w:val="1"/>
      <w:numFmt w:val="lowerLetter"/>
      <w:lvlText w:val="%5."/>
      <w:lvlJc w:val="left"/>
      <w:pPr>
        <w:ind w:left="3600" w:hanging="360"/>
      </w:pPr>
    </w:lvl>
    <w:lvl w:ilvl="5" w:tplc="2DE06F90" w:tentative="1">
      <w:start w:val="1"/>
      <w:numFmt w:val="lowerRoman"/>
      <w:lvlText w:val="%6."/>
      <w:lvlJc w:val="right"/>
      <w:pPr>
        <w:ind w:left="4320" w:hanging="180"/>
      </w:pPr>
    </w:lvl>
    <w:lvl w:ilvl="6" w:tplc="6C5A2EF8" w:tentative="1">
      <w:start w:val="1"/>
      <w:numFmt w:val="decimal"/>
      <w:lvlText w:val="%7."/>
      <w:lvlJc w:val="left"/>
      <w:pPr>
        <w:ind w:left="5040" w:hanging="360"/>
      </w:pPr>
    </w:lvl>
    <w:lvl w:ilvl="7" w:tplc="43461F7E" w:tentative="1">
      <w:start w:val="1"/>
      <w:numFmt w:val="lowerLetter"/>
      <w:lvlText w:val="%8."/>
      <w:lvlJc w:val="left"/>
      <w:pPr>
        <w:ind w:left="5760" w:hanging="360"/>
      </w:pPr>
    </w:lvl>
    <w:lvl w:ilvl="8" w:tplc="96328D02" w:tentative="1">
      <w:start w:val="1"/>
      <w:numFmt w:val="lowerRoman"/>
      <w:lvlText w:val="%9."/>
      <w:lvlJc w:val="right"/>
      <w:pPr>
        <w:ind w:left="6480" w:hanging="180"/>
      </w:pPr>
    </w:lvl>
  </w:abstractNum>
  <w:abstractNum w:abstractNumId="1" w15:restartNumberingAfterBreak="0">
    <w:nsid w:val="08D32A4E"/>
    <w:multiLevelType w:val="multilevel"/>
    <w:tmpl w:val="5D78173C"/>
    <w:lvl w:ilvl="0">
      <w:start w:val="1"/>
      <w:numFmt w:val="upperRoman"/>
      <w:lvlText w:val="%1."/>
      <w:lvlJc w:val="left"/>
      <w:pPr>
        <w:ind w:left="0" w:firstLine="0"/>
      </w:pPr>
    </w:lvl>
    <w:lvl w:ilvl="1">
      <w:start w:val="1"/>
      <w:numFmt w:val="upperRoman"/>
      <w:lvlText w:val="%2."/>
      <w:lvlJc w:val="righ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3251EC5"/>
    <w:multiLevelType w:val="hybridMultilevel"/>
    <w:tmpl w:val="ED4AF04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DE246F"/>
    <w:multiLevelType w:val="hybridMultilevel"/>
    <w:tmpl w:val="CBDA02BA"/>
    <w:lvl w:ilvl="0" w:tplc="FACC133E">
      <w:start w:val="1"/>
      <w:numFmt w:val="lowerLetter"/>
      <w:lvlText w:val="%1)"/>
      <w:lvlJc w:val="left"/>
      <w:pPr>
        <w:ind w:left="720" w:hanging="360"/>
      </w:pPr>
    </w:lvl>
    <w:lvl w:ilvl="1" w:tplc="A2C6F25A">
      <w:start w:val="1"/>
      <w:numFmt w:val="lowerLetter"/>
      <w:lvlText w:val="%2)"/>
      <w:lvlJc w:val="left"/>
      <w:pPr>
        <w:ind w:left="720" w:hanging="360"/>
      </w:pPr>
    </w:lvl>
    <w:lvl w:ilvl="2" w:tplc="19DEA8FA">
      <w:start w:val="1"/>
      <w:numFmt w:val="lowerLetter"/>
      <w:lvlText w:val="%3)"/>
      <w:lvlJc w:val="left"/>
      <w:pPr>
        <w:ind w:left="720" w:hanging="360"/>
      </w:pPr>
    </w:lvl>
    <w:lvl w:ilvl="3" w:tplc="08480E84">
      <w:start w:val="1"/>
      <w:numFmt w:val="lowerLetter"/>
      <w:lvlText w:val="%4)"/>
      <w:lvlJc w:val="left"/>
      <w:pPr>
        <w:ind w:left="720" w:hanging="360"/>
      </w:pPr>
    </w:lvl>
    <w:lvl w:ilvl="4" w:tplc="6152DD8A">
      <w:start w:val="1"/>
      <w:numFmt w:val="lowerLetter"/>
      <w:lvlText w:val="%5)"/>
      <w:lvlJc w:val="left"/>
      <w:pPr>
        <w:ind w:left="720" w:hanging="360"/>
      </w:pPr>
    </w:lvl>
    <w:lvl w:ilvl="5" w:tplc="8632BC92">
      <w:start w:val="1"/>
      <w:numFmt w:val="lowerLetter"/>
      <w:lvlText w:val="%6)"/>
      <w:lvlJc w:val="left"/>
      <w:pPr>
        <w:ind w:left="720" w:hanging="360"/>
      </w:pPr>
    </w:lvl>
    <w:lvl w:ilvl="6" w:tplc="A06028A2">
      <w:start w:val="1"/>
      <w:numFmt w:val="lowerLetter"/>
      <w:lvlText w:val="%7)"/>
      <w:lvlJc w:val="left"/>
      <w:pPr>
        <w:ind w:left="720" w:hanging="360"/>
      </w:pPr>
    </w:lvl>
    <w:lvl w:ilvl="7" w:tplc="21B4692C">
      <w:start w:val="1"/>
      <w:numFmt w:val="lowerLetter"/>
      <w:lvlText w:val="%8)"/>
      <w:lvlJc w:val="left"/>
      <w:pPr>
        <w:ind w:left="720" w:hanging="360"/>
      </w:pPr>
    </w:lvl>
    <w:lvl w:ilvl="8" w:tplc="3CBC604C">
      <w:start w:val="1"/>
      <w:numFmt w:val="lowerLetter"/>
      <w:lvlText w:val="%9)"/>
      <w:lvlJc w:val="left"/>
      <w:pPr>
        <w:ind w:left="720" w:hanging="360"/>
      </w:pPr>
    </w:lvl>
  </w:abstractNum>
  <w:abstractNum w:abstractNumId="4" w15:restartNumberingAfterBreak="0">
    <w:nsid w:val="17250D77"/>
    <w:multiLevelType w:val="hybridMultilevel"/>
    <w:tmpl w:val="75A6C91A"/>
    <w:lvl w:ilvl="0" w:tplc="A10852A8">
      <w:start w:val="1"/>
      <w:numFmt w:val="decimal"/>
      <w:lvlText w:val="%1)"/>
      <w:lvlJc w:val="left"/>
      <w:pPr>
        <w:ind w:left="1020" w:hanging="360"/>
      </w:pPr>
    </w:lvl>
    <w:lvl w:ilvl="1" w:tplc="6C661CCC">
      <w:start w:val="1"/>
      <w:numFmt w:val="decimal"/>
      <w:lvlText w:val="%2)"/>
      <w:lvlJc w:val="left"/>
      <w:pPr>
        <w:ind w:left="1020" w:hanging="360"/>
      </w:pPr>
    </w:lvl>
    <w:lvl w:ilvl="2" w:tplc="154C6AF8">
      <w:start w:val="1"/>
      <w:numFmt w:val="decimal"/>
      <w:lvlText w:val="%3)"/>
      <w:lvlJc w:val="left"/>
      <w:pPr>
        <w:ind w:left="1020" w:hanging="360"/>
      </w:pPr>
    </w:lvl>
    <w:lvl w:ilvl="3" w:tplc="207EF082">
      <w:start w:val="1"/>
      <w:numFmt w:val="decimal"/>
      <w:lvlText w:val="%4)"/>
      <w:lvlJc w:val="left"/>
      <w:pPr>
        <w:ind w:left="1020" w:hanging="360"/>
      </w:pPr>
    </w:lvl>
    <w:lvl w:ilvl="4" w:tplc="715443BE">
      <w:start w:val="1"/>
      <w:numFmt w:val="decimal"/>
      <w:lvlText w:val="%5)"/>
      <w:lvlJc w:val="left"/>
      <w:pPr>
        <w:ind w:left="1020" w:hanging="360"/>
      </w:pPr>
    </w:lvl>
    <w:lvl w:ilvl="5" w:tplc="570CBA00">
      <w:start w:val="1"/>
      <w:numFmt w:val="decimal"/>
      <w:lvlText w:val="%6)"/>
      <w:lvlJc w:val="left"/>
      <w:pPr>
        <w:ind w:left="1020" w:hanging="360"/>
      </w:pPr>
    </w:lvl>
    <w:lvl w:ilvl="6" w:tplc="26F27B4A">
      <w:start w:val="1"/>
      <w:numFmt w:val="decimal"/>
      <w:lvlText w:val="%7)"/>
      <w:lvlJc w:val="left"/>
      <w:pPr>
        <w:ind w:left="1020" w:hanging="360"/>
      </w:pPr>
    </w:lvl>
    <w:lvl w:ilvl="7" w:tplc="359E533A">
      <w:start w:val="1"/>
      <w:numFmt w:val="decimal"/>
      <w:lvlText w:val="%8)"/>
      <w:lvlJc w:val="left"/>
      <w:pPr>
        <w:ind w:left="1020" w:hanging="360"/>
      </w:pPr>
    </w:lvl>
    <w:lvl w:ilvl="8" w:tplc="360236FA">
      <w:start w:val="1"/>
      <w:numFmt w:val="decimal"/>
      <w:lvlText w:val="%9)"/>
      <w:lvlJc w:val="left"/>
      <w:pPr>
        <w:ind w:left="1020" w:hanging="360"/>
      </w:pPr>
    </w:lvl>
  </w:abstractNum>
  <w:abstractNum w:abstractNumId="5" w15:restartNumberingAfterBreak="0">
    <w:nsid w:val="17775514"/>
    <w:multiLevelType w:val="hybridMultilevel"/>
    <w:tmpl w:val="69C4D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B651A8"/>
    <w:multiLevelType w:val="hybridMultilevel"/>
    <w:tmpl w:val="932A5BC2"/>
    <w:lvl w:ilvl="0" w:tplc="62503396">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9155F5C"/>
    <w:multiLevelType w:val="multilevel"/>
    <w:tmpl w:val="337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757E0"/>
    <w:multiLevelType w:val="hybridMultilevel"/>
    <w:tmpl w:val="20909AAE"/>
    <w:lvl w:ilvl="0" w:tplc="ECDA0524">
      <w:start w:val="1"/>
      <w:numFmt w:val="decimal"/>
      <w:lvlText w:val="%1."/>
      <w:lvlJc w:val="left"/>
      <w:pPr>
        <w:ind w:left="720" w:hanging="360"/>
      </w:pPr>
      <w:rPr>
        <w:i w:val="0"/>
      </w:rPr>
    </w:lvl>
    <w:lvl w:ilvl="1" w:tplc="8EC6D0A4" w:tentative="1">
      <w:start w:val="1"/>
      <w:numFmt w:val="lowerLetter"/>
      <w:lvlText w:val="%2."/>
      <w:lvlJc w:val="left"/>
      <w:pPr>
        <w:ind w:left="1440" w:hanging="360"/>
      </w:pPr>
    </w:lvl>
    <w:lvl w:ilvl="2" w:tplc="D932D3B2" w:tentative="1">
      <w:start w:val="1"/>
      <w:numFmt w:val="lowerRoman"/>
      <w:lvlText w:val="%3."/>
      <w:lvlJc w:val="right"/>
      <w:pPr>
        <w:ind w:left="2160" w:hanging="180"/>
      </w:pPr>
    </w:lvl>
    <w:lvl w:ilvl="3" w:tplc="F2B261FE" w:tentative="1">
      <w:start w:val="1"/>
      <w:numFmt w:val="decimal"/>
      <w:lvlText w:val="%4."/>
      <w:lvlJc w:val="left"/>
      <w:pPr>
        <w:ind w:left="2880" w:hanging="360"/>
      </w:pPr>
    </w:lvl>
    <w:lvl w:ilvl="4" w:tplc="DC9288FC" w:tentative="1">
      <w:start w:val="1"/>
      <w:numFmt w:val="lowerLetter"/>
      <w:lvlText w:val="%5."/>
      <w:lvlJc w:val="left"/>
      <w:pPr>
        <w:ind w:left="3600" w:hanging="360"/>
      </w:pPr>
    </w:lvl>
    <w:lvl w:ilvl="5" w:tplc="CE12355E" w:tentative="1">
      <w:start w:val="1"/>
      <w:numFmt w:val="lowerRoman"/>
      <w:lvlText w:val="%6."/>
      <w:lvlJc w:val="right"/>
      <w:pPr>
        <w:ind w:left="4320" w:hanging="180"/>
      </w:pPr>
    </w:lvl>
    <w:lvl w:ilvl="6" w:tplc="B9AA47A8" w:tentative="1">
      <w:start w:val="1"/>
      <w:numFmt w:val="decimal"/>
      <w:lvlText w:val="%7."/>
      <w:lvlJc w:val="left"/>
      <w:pPr>
        <w:ind w:left="5040" w:hanging="360"/>
      </w:pPr>
    </w:lvl>
    <w:lvl w:ilvl="7" w:tplc="6FE0465E" w:tentative="1">
      <w:start w:val="1"/>
      <w:numFmt w:val="lowerLetter"/>
      <w:lvlText w:val="%8."/>
      <w:lvlJc w:val="left"/>
      <w:pPr>
        <w:ind w:left="5760" w:hanging="360"/>
      </w:pPr>
    </w:lvl>
    <w:lvl w:ilvl="8" w:tplc="FD5C623A" w:tentative="1">
      <w:start w:val="1"/>
      <w:numFmt w:val="lowerRoman"/>
      <w:lvlText w:val="%9."/>
      <w:lvlJc w:val="right"/>
      <w:pPr>
        <w:ind w:left="6480" w:hanging="180"/>
      </w:pPr>
    </w:lvl>
  </w:abstractNum>
  <w:abstractNum w:abstractNumId="9" w15:restartNumberingAfterBreak="0">
    <w:nsid w:val="20261630"/>
    <w:multiLevelType w:val="hybridMultilevel"/>
    <w:tmpl w:val="E2B85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432B74"/>
    <w:multiLevelType w:val="hybridMultilevel"/>
    <w:tmpl w:val="7CF43E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D906FB"/>
    <w:multiLevelType w:val="hybridMultilevel"/>
    <w:tmpl w:val="14C62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FC3D96"/>
    <w:multiLevelType w:val="hybridMultilevel"/>
    <w:tmpl w:val="2E9A34A2"/>
    <w:lvl w:ilvl="0" w:tplc="1D7C7998">
      <w:start w:val="1"/>
      <w:numFmt w:val="upperRoman"/>
      <w:lvlText w:val="%1."/>
      <w:lvlJc w:val="left"/>
      <w:pPr>
        <w:ind w:left="1080" w:hanging="720"/>
      </w:pPr>
    </w:lvl>
    <w:lvl w:ilvl="1" w:tplc="505EA356" w:tentative="1">
      <w:start w:val="1"/>
      <w:numFmt w:val="lowerLetter"/>
      <w:lvlText w:val="%2."/>
      <w:lvlJc w:val="left"/>
      <w:pPr>
        <w:ind w:left="1440" w:hanging="360"/>
      </w:pPr>
    </w:lvl>
    <w:lvl w:ilvl="2" w:tplc="8880377A" w:tentative="1">
      <w:start w:val="1"/>
      <w:numFmt w:val="lowerRoman"/>
      <w:lvlText w:val="%3."/>
      <w:lvlJc w:val="right"/>
      <w:pPr>
        <w:ind w:left="2160" w:hanging="180"/>
      </w:pPr>
    </w:lvl>
    <w:lvl w:ilvl="3" w:tplc="B3486C8A" w:tentative="1">
      <w:start w:val="1"/>
      <w:numFmt w:val="decimal"/>
      <w:lvlText w:val="%4."/>
      <w:lvlJc w:val="left"/>
      <w:pPr>
        <w:ind w:left="2880" w:hanging="360"/>
      </w:pPr>
    </w:lvl>
    <w:lvl w:ilvl="4" w:tplc="88CEBCC6" w:tentative="1">
      <w:start w:val="1"/>
      <w:numFmt w:val="lowerLetter"/>
      <w:lvlText w:val="%5."/>
      <w:lvlJc w:val="left"/>
      <w:pPr>
        <w:ind w:left="3600" w:hanging="360"/>
      </w:pPr>
    </w:lvl>
    <w:lvl w:ilvl="5" w:tplc="8C58B5CA" w:tentative="1">
      <w:start w:val="1"/>
      <w:numFmt w:val="lowerRoman"/>
      <w:lvlText w:val="%6."/>
      <w:lvlJc w:val="right"/>
      <w:pPr>
        <w:ind w:left="4320" w:hanging="180"/>
      </w:pPr>
    </w:lvl>
    <w:lvl w:ilvl="6" w:tplc="8C96EBF6" w:tentative="1">
      <w:start w:val="1"/>
      <w:numFmt w:val="decimal"/>
      <w:lvlText w:val="%7."/>
      <w:lvlJc w:val="left"/>
      <w:pPr>
        <w:ind w:left="5040" w:hanging="360"/>
      </w:pPr>
    </w:lvl>
    <w:lvl w:ilvl="7" w:tplc="FF6C95A8" w:tentative="1">
      <w:start w:val="1"/>
      <w:numFmt w:val="lowerLetter"/>
      <w:lvlText w:val="%8."/>
      <w:lvlJc w:val="left"/>
      <w:pPr>
        <w:ind w:left="5760" w:hanging="360"/>
      </w:pPr>
    </w:lvl>
    <w:lvl w:ilvl="8" w:tplc="BFB4DEBA" w:tentative="1">
      <w:start w:val="1"/>
      <w:numFmt w:val="lowerRoman"/>
      <w:lvlText w:val="%9."/>
      <w:lvlJc w:val="right"/>
      <w:pPr>
        <w:ind w:left="6480" w:hanging="180"/>
      </w:pPr>
    </w:lvl>
  </w:abstractNum>
  <w:abstractNum w:abstractNumId="14" w15:restartNumberingAfterBreak="0">
    <w:nsid w:val="3FA79D86"/>
    <w:multiLevelType w:val="hybridMultilevel"/>
    <w:tmpl w:val="10947544"/>
    <w:lvl w:ilvl="0" w:tplc="37144EE0">
      <w:start w:val="1"/>
      <w:numFmt w:val="bullet"/>
      <w:lvlText w:val="·"/>
      <w:lvlJc w:val="left"/>
      <w:pPr>
        <w:ind w:left="720" w:hanging="360"/>
      </w:pPr>
      <w:rPr>
        <w:rFonts w:ascii="Symbol" w:hAnsi="Symbol" w:hint="default"/>
      </w:rPr>
    </w:lvl>
    <w:lvl w:ilvl="1" w:tplc="7D860586">
      <w:start w:val="1"/>
      <w:numFmt w:val="bullet"/>
      <w:lvlText w:val="o"/>
      <w:lvlJc w:val="left"/>
      <w:pPr>
        <w:ind w:left="1440" w:hanging="360"/>
      </w:pPr>
      <w:rPr>
        <w:rFonts w:ascii="Courier New" w:hAnsi="Courier New" w:hint="default"/>
      </w:rPr>
    </w:lvl>
    <w:lvl w:ilvl="2" w:tplc="26561A16">
      <w:start w:val="1"/>
      <w:numFmt w:val="bullet"/>
      <w:lvlText w:val=""/>
      <w:lvlJc w:val="left"/>
      <w:pPr>
        <w:ind w:left="2160" w:hanging="360"/>
      </w:pPr>
      <w:rPr>
        <w:rFonts w:ascii="Wingdings" w:hAnsi="Wingdings" w:hint="default"/>
      </w:rPr>
    </w:lvl>
    <w:lvl w:ilvl="3" w:tplc="FFBA16C2">
      <w:start w:val="1"/>
      <w:numFmt w:val="bullet"/>
      <w:lvlText w:val=""/>
      <w:lvlJc w:val="left"/>
      <w:pPr>
        <w:ind w:left="2880" w:hanging="360"/>
      </w:pPr>
      <w:rPr>
        <w:rFonts w:ascii="Symbol" w:hAnsi="Symbol" w:hint="default"/>
      </w:rPr>
    </w:lvl>
    <w:lvl w:ilvl="4" w:tplc="628623E8">
      <w:start w:val="1"/>
      <w:numFmt w:val="bullet"/>
      <w:lvlText w:val="o"/>
      <w:lvlJc w:val="left"/>
      <w:pPr>
        <w:ind w:left="3600" w:hanging="360"/>
      </w:pPr>
      <w:rPr>
        <w:rFonts w:ascii="Courier New" w:hAnsi="Courier New" w:hint="default"/>
      </w:rPr>
    </w:lvl>
    <w:lvl w:ilvl="5" w:tplc="EF540384">
      <w:start w:val="1"/>
      <w:numFmt w:val="bullet"/>
      <w:lvlText w:val=""/>
      <w:lvlJc w:val="left"/>
      <w:pPr>
        <w:ind w:left="4320" w:hanging="360"/>
      </w:pPr>
      <w:rPr>
        <w:rFonts w:ascii="Wingdings" w:hAnsi="Wingdings" w:hint="default"/>
      </w:rPr>
    </w:lvl>
    <w:lvl w:ilvl="6" w:tplc="244CEE5C">
      <w:start w:val="1"/>
      <w:numFmt w:val="bullet"/>
      <w:lvlText w:val=""/>
      <w:lvlJc w:val="left"/>
      <w:pPr>
        <w:ind w:left="5040" w:hanging="360"/>
      </w:pPr>
      <w:rPr>
        <w:rFonts w:ascii="Symbol" w:hAnsi="Symbol" w:hint="default"/>
      </w:rPr>
    </w:lvl>
    <w:lvl w:ilvl="7" w:tplc="FB20B3FC">
      <w:start w:val="1"/>
      <w:numFmt w:val="bullet"/>
      <w:lvlText w:val="o"/>
      <w:lvlJc w:val="left"/>
      <w:pPr>
        <w:ind w:left="5760" w:hanging="360"/>
      </w:pPr>
      <w:rPr>
        <w:rFonts w:ascii="Courier New" w:hAnsi="Courier New" w:hint="default"/>
      </w:rPr>
    </w:lvl>
    <w:lvl w:ilvl="8" w:tplc="3D32F490">
      <w:start w:val="1"/>
      <w:numFmt w:val="bullet"/>
      <w:lvlText w:val=""/>
      <w:lvlJc w:val="left"/>
      <w:pPr>
        <w:ind w:left="6480" w:hanging="360"/>
      </w:pPr>
      <w:rPr>
        <w:rFonts w:ascii="Wingdings" w:hAnsi="Wingdings" w:hint="default"/>
      </w:rPr>
    </w:lvl>
  </w:abstractNum>
  <w:abstractNum w:abstractNumId="15" w15:restartNumberingAfterBreak="0">
    <w:nsid w:val="406F10C4"/>
    <w:multiLevelType w:val="hybridMultilevel"/>
    <w:tmpl w:val="B8B0D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F02781"/>
    <w:multiLevelType w:val="hybridMultilevel"/>
    <w:tmpl w:val="1452DC1E"/>
    <w:lvl w:ilvl="0" w:tplc="F3E66C72">
      <w:start w:val="1"/>
      <w:numFmt w:val="bullet"/>
      <w:lvlText w:val="·"/>
      <w:lvlJc w:val="left"/>
      <w:pPr>
        <w:ind w:left="720" w:hanging="360"/>
      </w:pPr>
      <w:rPr>
        <w:rFonts w:ascii="Symbol" w:hAnsi="Symbol" w:hint="default"/>
      </w:rPr>
    </w:lvl>
    <w:lvl w:ilvl="1" w:tplc="B80087CA">
      <w:start w:val="1"/>
      <w:numFmt w:val="bullet"/>
      <w:lvlText w:val="o"/>
      <w:lvlJc w:val="left"/>
      <w:pPr>
        <w:ind w:left="1440" w:hanging="360"/>
      </w:pPr>
      <w:rPr>
        <w:rFonts w:ascii="Courier New" w:hAnsi="Courier New" w:cs="Times New Roman" w:hint="default"/>
      </w:rPr>
    </w:lvl>
    <w:lvl w:ilvl="2" w:tplc="B464FE26">
      <w:start w:val="1"/>
      <w:numFmt w:val="bullet"/>
      <w:lvlText w:val=""/>
      <w:lvlJc w:val="left"/>
      <w:pPr>
        <w:ind w:left="2160" w:hanging="360"/>
      </w:pPr>
      <w:rPr>
        <w:rFonts w:ascii="Wingdings" w:hAnsi="Wingdings" w:hint="default"/>
      </w:rPr>
    </w:lvl>
    <w:lvl w:ilvl="3" w:tplc="9406105E">
      <w:start w:val="1"/>
      <w:numFmt w:val="bullet"/>
      <w:lvlText w:val=""/>
      <w:lvlJc w:val="left"/>
      <w:pPr>
        <w:ind w:left="2880" w:hanging="360"/>
      </w:pPr>
      <w:rPr>
        <w:rFonts w:ascii="Symbol" w:hAnsi="Symbol" w:hint="default"/>
      </w:rPr>
    </w:lvl>
    <w:lvl w:ilvl="4" w:tplc="595CA03C">
      <w:start w:val="1"/>
      <w:numFmt w:val="bullet"/>
      <w:lvlText w:val="o"/>
      <w:lvlJc w:val="left"/>
      <w:pPr>
        <w:ind w:left="3600" w:hanging="360"/>
      </w:pPr>
      <w:rPr>
        <w:rFonts w:ascii="Courier New" w:hAnsi="Courier New" w:cs="Times New Roman" w:hint="default"/>
      </w:rPr>
    </w:lvl>
    <w:lvl w:ilvl="5" w:tplc="A4642112">
      <w:start w:val="1"/>
      <w:numFmt w:val="bullet"/>
      <w:lvlText w:val=""/>
      <w:lvlJc w:val="left"/>
      <w:pPr>
        <w:ind w:left="4320" w:hanging="360"/>
      </w:pPr>
      <w:rPr>
        <w:rFonts w:ascii="Wingdings" w:hAnsi="Wingdings" w:hint="default"/>
      </w:rPr>
    </w:lvl>
    <w:lvl w:ilvl="6" w:tplc="FA46175E">
      <w:start w:val="1"/>
      <w:numFmt w:val="bullet"/>
      <w:lvlText w:val=""/>
      <w:lvlJc w:val="left"/>
      <w:pPr>
        <w:ind w:left="5040" w:hanging="360"/>
      </w:pPr>
      <w:rPr>
        <w:rFonts w:ascii="Symbol" w:hAnsi="Symbol" w:hint="default"/>
      </w:rPr>
    </w:lvl>
    <w:lvl w:ilvl="7" w:tplc="C25E2DB4">
      <w:start w:val="1"/>
      <w:numFmt w:val="bullet"/>
      <w:lvlText w:val="o"/>
      <w:lvlJc w:val="left"/>
      <w:pPr>
        <w:ind w:left="5760" w:hanging="360"/>
      </w:pPr>
      <w:rPr>
        <w:rFonts w:ascii="Courier New" w:hAnsi="Courier New" w:cs="Times New Roman" w:hint="default"/>
      </w:rPr>
    </w:lvl>
    <w:lvl w:ilvl="8" w:tplc="A3CAFEB8">
      <w:start w:val="1"/>
      <w:numFmt w:val="bullet"/>
      <w:lvlText w:val=""/>
      <w:lvlJc w:val="left"/>
      <w:pPr>
        <w:ind w:left="6480" w:hanging="360"/>
      </w:pPr>
      <w:rPr>
        <w:rFonts w:ascii="Wingdings" w:hAnsi="Wingdings" w:hint="default"/>
      </w:rPr>
    </w:lvl>
  </w:abstractNum>
  <w:abstractNum w:abstractNumId="17" w15:restartNumberingAfterBreak="0">
    <w:nsid w:val="467117A7"/>
    <w:multiLevelType w:val="multilevel"/>
    <w:tmpl w:val="517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CB16BB"/>
    <w:multiLevelType w:val="hybridMultilevel"/>
    <w:tmpl w:val="AD5E9AF0"/>
    <w:lvl w:ilvl="0" w:tplc="E81AE5C0">
      <w:numFmt w:val="bullet"/>
      <w:lvlText w:val="-"/>
      <w:lvlJc w:val="left"/>
      <w:pPr>
        <w:ind w:left="720" w:hanging="360"/>
      </w:pPr>
      <w:rPr>
        <w:rFonts w:ascii="Aptos" w:eastAsia="Aptos" w:hAnsi="Apto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DA17051"/>
    <w:multiLevelType w:val="hybridMultilevel"/>
    <w:tmpl w:val="5E323DEE"/>
    <w:lvl w:ilvl="0" w:tplc="24DEB34A">
      <w:start w:val="1"/>
      <w:numFmt w:val="decimal"/>
      <w:lvlText w:val="%1."/>
      <w:lvlJc w:val="left"/>
      <w:pPr>
        <w:ind w:left="720" w:hanging="360"/>
      </w:pPr>
    </w:lvl>
    <w:lvl w:ilvl="1" w:tplc="A5787338">
      <w:start w:val="1"/>
      <w:numFmt w:val="decimal"/>
      <w:lvlText w:val="%2."/>
      <w:lvlJc w:val="left"/>
      <w:pPr>
        <w:ind w:left="720" w:hanging="360"/>
      </w:pPr>
    </w:lvl>
    <w:lvl w:ilvl="2" w:tplc="B1A0EE68">
      <w:start w:val="1"/>
      <w:numFmt w:val="decimal"/>
      <w:lvlText w:val="%3."/>
      <w:lvlJc w:val="left"/>
      <w:pPr>
        <w:ind w:left="720" w:hanging="360"/>
      </w:pPr>
    </w:lvl>
    <w:lvl w:ilvl="3" w:tplc="A5C042EE">
      <w:start w:val="1"/>
      <w:numFmt w:val="decimal"/>
      <w:lvlText w:val="%4."/>
      <w:lvlJc w:val="left"/>
      <w:pPr>
        <w:ind w:left="720" w:hanging="360"/>
      </w:pPr>
    </w:lvl>
    <w:lvl w:ilvl="4" w:tplc="330A6B3A">
      <w:start w:val="1"/>
      <w:numFmt w:val="decimal"/>
      <w:lvlText w:val="%5."/>
      <w:lvlJc w:val="left"/>
      <w:pPr>
        <w:ind w:left="720" w:hanging="360"/>
      </w:pPr>
    </w:lvl>
    <w:lvl w:ilvl="5" w:tplc="29841B0C">
      <w:start w:val="1"/>
      <w:numFmt w:val="decimal"/>
      <w:lvlText w:val="%6."/>
      <w:lvlJc w:val="left"/>
      <w:pPr>
        <w:ind w:left="720" w:hanging="360"/>
      </w:pPr>
    </w:lvl>
    <w:lvl w:ilvl="6" w:tplc="1C040CFE">
      <w:start w:val="1"/>
      <w:numFmt w:val="decimal"/>
      <w:lvlText w:val="%7."/>
      <w:lvlJc w:val="left"/>
      <w:pPr>
        <w:ind w:left="720" w:hanging="360"/>
      </w:pPr>
    </w:lvl>
    <w:lvl w:ilvl="7" w:tplc="AF969B5C">
      <w:start w:val="1"/>
      <w:numFmt w:val="decimal"/>
      <w:lvlText w:val="%8."/>
      <w:lvlJc w:val="left"/>
      <w:pPr>
        <w:ind w:left="720" w:hanging="360"/>
      </w:pPr>
    </w:lvl>
    <w:lvl w:ilvl="8" w:tplc="90244F52">
      <w:start w:val="1"/>
      <w:numFmt w:val="decimal"/>
      <w:lvlText w:val="%9."/>
      <w:lvlJc w:val="left"/>
      <w:pPr>
        <w:ind w:left="720" w:hanging="360"/>
      </w:pPr>
    </w:lvl>
  </w:abstractNum>
  <w:abstractNum w:abstractNumId="20" w15:restartNumberingAfterBreak="0">
    <w:nsid w:val="51DC4D46"/>
    <w:multiLevelType w:val="hybridMultilevel"/>
    <w:tmpl w:val="CCF8D9DA"/>
    <w:lvl w:ilvl="0" w:tplc="0EB8235E">
      <w:start w:val="1"/>
      <w:numFmt w:val="bullet"/>
      <w:lvlText w:val=""/>
      <w:lvlJc w:val="left"/>
      <w:pPr>
        <w:ind w:left="720" w:hanging="360"/>
      </w:pPr>
      <w:rPr>
        <w:rFonts w:ascii="Symbol" w:hAnsi="Symbol" w:hint="default"/>
      </w:rPr>
    </w:lvl>
    <w:lvl w:ilvl="1" w:tplc="20BAEA0A">
      <w:start w:val="1"/>
      <w:numFmt w:val="bullet"/>
      <w:lvlText w:val="o"/>
      <w:lvlJc w:val="left"/>
      <w:pPr>
        <w:ind w:left="1440" w:hanging="360"/>
      </w:pPr>
      <w:rPr>
        <w:rFonts w:ascii="Courier New" w:hAnsi="Courier New" w:hint="default"/>
      </w:rPr>
    </w:lvl>
    <w:lvl w:ilvl="2" w:tplc="47EA4D66">
      <w:start w:val="1"/>
      <w:numFmt w:val="bullet"/>
      <w:lvlText w:val=""/>
      <w:lvlJc w:val="left"/>
      <w:pPr>
        <w:ind w:left="2160" w:hanging="360"/>
      </w:pPr>
      <w:rPr>
        <w:rFonts w:ascii="Wingdings" w:hAnsi="Wingdings" w:hint="default"/>
      </w:rPr>
    </w:lvl>
    <w:lvl w:ilvl="3" w:tplc="97A630C4">
      <w:start w:val="1"/>
      <w:numFmt w:val="bullet"/>
      <w:lvlText w:val=""/>
      <w:lvlJc w:val="left"/>
      <w:pPr>
        <w:ind w:left="2880" w:hanging="360"/>
      </w:pPr>
      <w:rPr>
        <w:rFonts w:ascii="Symbol" w:hAnsi="Symbol" w:hint="default"/>
      </w:rPr>
    </w:lvl>
    <w:lvl w:ilvl="4" w:tplc="44A01384">
      <w:start w:val="1"/>
      <w:numFmt w:val="bullet"/>
      <w:lvlText w:val="o"/>
      <w:lvlJc w:val="left"/>
      <w:pPr>
        <w:ind w:left="3600" w:hanging="360"/>
      </w:pPr>
      <w:rPr>
        <w:rFonts w:ascii="Courier New" w:hAnsi="Courier New" w:hint="default"/>
      </w:rPr>
    </w:lvl>
    <w:lvl w:ilvl="5" w:tplc="F6D879D0">
      <w:start w:val="1"/>
      <w:numFmt w:val="bullet"/>
      <w:lvlText w:val=""/>
      <w:lvlJc w:val="left"/>
      <w:pPr>
        <w:ind w:left="4320" w:hanging="360"/>
      </w:pPr>
      <w:rPr>
        <w:rFonts w:ascii="Wingdings" w:hAnsi="Wingdings" w:hint="default"/>
      </w:rPr>
    </w:lvl>
    <w:lvl w:ilvl="6" w:tplc="AB5EA4FE">
      <w:start w:val="1"/>
      <w:numFmt w:val="bullet"/>
      <w:lvlText w:val=""/>
      <w:lvlJc w:val="left"/>
      <w:pPr>
        <w:ind w:left="5040" w:hanging="360"/>
      </w:pPr>
      <w:rPr>
        <w:rFonts w:ascii="Symbol" w:hAnsi="Symbol" w:hint="default"/>
      </w:rPr>
    </w:lvl>
    <w:lvl w:ilvl="7" w:tplc="3FD89440">
      <w:start w:val="1"/>
      <w:numFmt w:val="bullet"/>
      <w:lvlText w:val="o"/>
      <w:lvlJc w:val="left"/>
      <w:pPr>
        <w:ind w:left="5760" w:hanging="360"/>
      </w:pPr>
      <w:rPr>
        <w:rFonts w:ascii="Courier New" w:hAnsi="Courier New" w:hint="default"/>
      </w:rPr>
    </w:lvl>
    <w:lvl w:ilvl="8" w:tplc="CA28D664">
      <w:start w:val="1"/>
      <w:numFmt w:val="bullet"/>
      <w:lvlText w:val=""/>
      <w:lvlJc w:val="left"/>
      <w:pPr>
        <w:ind w:left="6480" w:hanging="360"/>
      </w:pPr>
      <w:rPr>
        <w:rFonts w:ascii="Wingdings" w:hAnsi="Wingdings" w:hint="default"/>
      </w:rPr>
    </w:lvl>
  </w:abstractNum>
  <w:abstractNum w:abstractNumId="21" w15:restartNumberingAfterBreak="0">
    <w:nsid w:val="57022913"/>
    <w:multiLevelType w:val="hybridMultilevel"/>
    <w:tmpl w:val="CE24F32C"/>
    <w:lvl w:ilvl="0" w:tplc="4112DC30">
      <w:start w:val="1"/>
      <w:numFmt w:val="bullet"/>
      <w:lvlText w:val=""/>
      <w:lvlJc w:val="left"/>
      <w:pPr>
        <w:ind w:left="720" w:hanging="360"/>
      </w:pPr>
      <w:rPr>
        <w:rFonts w:ascii="Symbol" w:hAnsi="Symbol" w:hint="default"/>
      </w:rPr>
    </w:lvl>
    <w:lvl w:ilvl="1" w:tplc="9EF6E9DA">
      <w:start w:val="1"/>
      <w:numFmt w:val="bullet"/>
      <w:lvlText w:val="o"/>
      <w:lvlJc w:val="left"/>
      <w:pPr>
        <w:ind w:left="1440" w:hanging="360"/>
      </w:pPr>
      <w:rPr>
        <w:rFonts w:ascii="Courier New" w:hAnsi="Courier New" w:hint="default"/>
      </w:rPr>
    </w:lvl>
    <w:lvl w:ilvl="2" w:tplc="FF364CCA" w:tentative="1">
      <w:start w:val="1"/>
      <w:numFmt w:val="bullet"/>
      <w:lvlText w:val=""/>
      <w:lvlJc w:val="left"/>
      <w:pPr>
        <w:ind w:left="2160" w:hanging="360"/>
      </w:pPr>
      <w:rPr>
        <w:rFonts w:ascii="Wingdings" w:hAnsi="Wingdings" w:hint="default"/>
      </w:rPr>
    </w:lvl>
    <w:lvl w:ilvl="3" w:tplc="4C32A28A" w:tentative="1">
      <w:start w:val="1"/>
      <w:numFmt w:val="bullet"/>
      <w:lvlText w:val=""/>
      <w:lvlJc w:val="left"/>
      <w:pPr>
        <w:ind w:left="2880" w:hanging="360"/>
      </w:pPr>
      <w:rPr>
        <w:rFonts w:ascii="Symbol" w:hAnsi="Symbol" w:hint="default"/>
      </w:rPr>
    </w:lvl>
    <w:lvl w:ilvl="4" w:tplc="2F2273FA" w:tentative="1">
      <w:start w:val="1"/>
      <w:numFmt w:val="bullet"/>
      <w:lvlText w:val="o"/>
      <w:lvlJc w:val="left"/>
      <w:pPr>
        <w:ind w:left="3600" w:hanging="360"/>
      </w:pPr>
      <w:rPr>
        <w:rFonts w:ascii="Courier New" w:hAnsi="Courier New" w:hint="default"/>
      </w:rPr>
    </w:lvl>
    <w:lvl w:ilvl="5" w:tplc="A1047D8A" w:tentative="1">
      <w:start w:val="1"/>
      <w:numFmt w:val="bullet"/>
      <w:lvlText w:val=""/>
      <w:lvlJc w:val="left"/>
      <w:pPr>
        <w:ind w:left="4320" w:hanging="360"/>
      </w:pPr>
      <w:rPr>
        <w:rFonts w:ascii="Wingdings" w:hAnsi="Wingdings" w:hint="default"/>
      </w:rPr>
    </w:lvl>
    <w:lvl w:ilvl="6" w:tplc="78A6E984" w:tentative="1">
      <w:start w:val="1"/>
      <w:numFmt w:val="bullet"/>
      <w:lvlText w:val=""/>
      <w:lvlJc w:val="left"/>
      <w:pPr>
        <w:ind w:left="5040" w:hanging="360"/>
      </w:pPr>
      <w:rPr>
        <w:rFonts w:ascii="Symbol" w:hAnsi="Symbol" w:hint="default"/>
      </w:rPr>
    </w:lvl>
    <w:lvl w:ilvl="7" w:tplc="FD5A14B2" w:tentative="1">
      <w:start w:val="1"/>
      <w:numFmt w:val="bullet"/>
      <w:lvlText w:val="o"/>
      <w:lvlJc w:val="left"/>
      <w:pPr>
        <w:ind w:left="5760" w:hanging="360"/>
      </w:pPr>
      <w:rPr>
        <w:rFonts w:ascii="Courier New" w:hAnsi="Courier New" w:hint="default"/>
      </w:rPr>
    </w:lvl>
    <w:lvl w:ilvl="8" w:tplc="672C7D1C" w:tentative="1">
      <w:start w:val="1"/>
      <w:numFmt w:val="bullet"/>
      <w:lvlText w:val=""/>
      <w:lvlJc w:val="left"/>
      <w:pPr>
        <w:ind w:left="6480" w:hanging="360"/>
      </w:pPr>
      <w:rPr>
        <w:rFonts w:ascii="Wingdings" w:hAnsi="Wingdings" w:hint="default"/>
      </w:rPr>
    </w:lvl>
  </w:abstractNum>
  <w:abstractNum w:abstractNumId="22" w15:restartNumberingAfterBreak="0">
    <w:nsid w:val="5A5A77A1"/>
    <w:multiLevelType w:val="hybridMultilevel"/>
    <w:tmpl w:val="6F3E35C8"/>
    <w:lvl w:ilvl="0" w:tplc="A9F6AFD0">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27065B"/>
    <w:multiLevelType w:val="hybridMultilevel"/>
    <w:tmpl w:val="038C6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0B72726"/>
    <w:multiLevelType w:val="hybridMultilevel"/>
    <w:tmpl w:val="233622FE"/>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25" w15:restartNumberingAfterBreak="0">
    <w:nsid w:val="64207C39"/>
    <w:multiLevelType w:val="hybridMultilevel"/>
    <w:tmpl w:val="F2CC33B8"/>
    <w:lvl w:ilvl="0" w:tplc="4BAEE996">
      <w:start w:val="23"/>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77E1ED7"/>
    <w:multiLevelType w:val="hybridMultilevel"/>
    <w:tmpl w:val="8D9E8C28"/>
    <w:lvl w:ilvl="0" w:tplc="B4B890D4">
      <w:start w:val="1"/>
      <w:numFmt w:val="bullet"/>
      <w:lvlText w:val=""/>
      <w:lvlJc w:val="left"/>
      <w:pPr>
        <w:ind w:left="720" w:hanging="360"/>
      </w:pPr>
      <w:rPr>
        <w:rFonts w:ascii="Symbol" w:hAnsi="Symbol" w:hint="default"/>
      </w:rPr>
    </w:lvl>
    <w:lvl w:ilvl="1" w:tplc="A494748A">
      <w:start w:val="1"/>
      <w:numFmt w:val="bullet"/>
      <w:lvlText w:val="o"/>
      <w:lvlJc w:val="left"/>
      <w:pPr>
        <w:ind w:left="1440" w:hanging="360"/>
      </w:pPr>
      <w:rPr>
        <w:rFonts w:ascii="Courier New" w:hAnsi="Courier New" w:hint="default"/>
      </w:rPr>
    </w:lvl>
    <w:lvl w:ilvl="2" w:tplc="7662297C" w:tentative="1">
      <w:start w:val="1"/>
      <w:numFmt w:val="bullet"/>
      <w:lvlText w:val=""/>
      <w:lvlJc w:val="left"/>
      <w:pPr>
        <w:ind w:left="2160" w:hanging="360"/>
      </w:pPr>
      <w:rPr>
        <w:rFonts w:ascii="Wingdings" w:hAnsi="Wingdings" w:hint="default"/>
      </w:rPr>
    </w:lvl>
    <w:lvl w:ilvl="3" w:tplc="C47EACC6" w:tentative="1">
      <w:start w:val="1"/>
      <w:numFmt w:val="bullet"/>
      <w:lvlText w:val=""/>
      <w:lvlJc w:val="left"/>
      <w:pPr>
        <w:ind w:left="2880" w:hanging="360"/>
      </w:pPr>
      <w:rPr>
        <w:rFonts w:ascii="Symbol" w:hAnsi="Symbol" w:hint="default"/>
      </w:rPr>
    </w:lvl>
    <w:lvl w:ilvl="4" w:tplc="CC965160" w:tentative="1">
      <w:start w:val="1"/>
      <w:numFmt w:val="bullet"/>
      <w:lvlText w:val="o"/>
      <w:lvlJc w:val="left"/>
      <w:pPr>
        <w:ind w:left="3600" w:hanging="360"/>
      </w:pPr>
      <w:rPr>
        <w:rFonts w:ascii="Courier New" w:hAnsi="Courier New" w:hint="default"/>
      </w:rPr>
    </w:lvl>
    <w:lvl w:ilvl="5" w:tplc="6AF00B5E" w:tentative="1">
      <w:start w:val="1"/>
      <w:numFmt w:val="bullet"/>
      <w:lvlText w:val=""/>
      <w:lvlJc w:val="left"/>
      <w:pPr>
        <w:ind w:left="4320" w:hanging="360"/>
      </w:pPr>
      <w:rPr>
        <w:rFonts w:ascii="Wingdings" w:hAnsi="Wingdings" w:hint="default"/>
      </w:rPr>
    </w:lvl>
    <w:lvl w:ilvl="6" w:tplc="71EA9080" w:tentative="1">
      <w:start w:val="1"/>
      <w:numFmt w:val="bullet"/>
      <w:lvlText w:val=""/>
      <w:lvlJc w:val="left"/>
      <w:pPr>
        <w:ind w:left="5040" w:hanging="360"/>
      </w:pPr>
      <w:rPr>
        <w:rFonts w:ascii="Symbol" w:hAnsi="Symbol" w:hint="default"/>
      </w:rPr>
    </w:lvl>
    <w:lvl w:ilvl="7" w:tplc="056C47AC" w:tentative="1">
      <w:start w:val="1"/>
      <w:numFmt w:val="bullet"/>
      <w:lvlText w:val="o"/>
      <w:lvlJc w:val="left"/>
      <w:pPr>
        <w:ind w:left="5760" w:hanging="360"/>
      </w:pPr>
      <w:rPr>
        <w:rFonts w:ascii="Courier New" w:hAnsi="Courier New" w:hint="default"/>
      </w:rPr>
    </w:lvl>
    <w:lvl w:ilvl="8" w:tplc="DEB2E774" w:tentative="1">
      <w:start w:val="1"/>
      <w:numFmt w:val="bullet"/>
      <w:lvlText w:val=""/>
      <w:lvlJc w:val="left"/>
      <w:pPr>
        <w:ind w:left="6480" w:hanging="360"/>
      </w:pPr>
      <w:rPr>
        <w:rFonts w:ascii="Wingdings" w:hAnsi="Wingdings" w:hint="default"/>
      </w:rPr>
    </w:lvl>
  </w:abstractNum>
  <w:abstractNum w:abstractNumId="27" w15:restartNumberingAfterBreak="0">
    <w:nsid w:val="69F24075"/>
    <w:multiLevelType w:val="hybridMultilevel"/>
    <w:tmpl w:val="35BE3B1A"/>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FB261D5"/>
    <w:multiLevelType w:val="hybridMultilevel"/>
    <w:tmpl w:val="C99616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54003B"/>
    <w:multiLevelType w:val="hybridMultilevel"/>
    <w:tmpl w:val="17BCF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B83866"/>
    <w:multiLevelType w:val="hybridMultilevel"/>
    <w:tmpl w:val="6126623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8D72D38"/>
    <w:multiLevelType w:val="hybridMultilevel"/>
    <w:tmpl w:val="F9087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77290A"/>
    <w:multiLevelType w:val="hybridMultilevel"/>
    <w:tmpl w:val="D6983498"/>
    <w:lvl w:ilvl="0" w:tplc="D63E83D4">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3" w15:restartNumberingAfterBreak="0">
    <w:nsid w:val="7B8913FA"/>
    <w:multiLevelType w:val="hybridMultilevel"/>
    <w:tmpl w:val="0478E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F11CBC"/>
    <w:multiLevelType w:val="hybridMultilevel"/>
    <w:tmpl w:val="63B48D9C"/>
    <w:lvl w:ilvl="0" w:tplc="D6BA5B38">
      <w:start w:val="1"/>
      <w:numFmt w:val="upperRoman"/>
      <w:lvlText w:val="%1."/>
      <w:lvlJc w:val="right"/>
      <w:pPr>
        <w:ind w:left="720" w:hanging="360"/>
      </w:pPr>
      <w:rPr>
        <w:color w:val="0F4761" w:themeColor="accent1" w:themeShade="BF"/>
      </w:rPr>
    </w:lvl>
    <w:lvl w:ilvl="1" w:tplc="D8523E0E">
      <w:start w:val="1"/>
      <w:numFmt w:val="lowerLetter"/>
      <w:lvlText w:val="%2."/>
      <w:lvlJc w:val="left"/>
      <w:pPr>
        <w:ind w:left="1440" w:hanging="360"/>
      </w:pPr>
    </w:lvl>
    <w:lvl w:ilvl="2" w:tplc="00589460" w:tentative="1">
      <w:start w:val="1"/>
      <w:numFmt w:val="lowerRoman"/>
      <w:lvlText w:val="%3."/>
      <w:lvlJc w:val="right"/>
      <w:pPr>
        <w:ind w:left="2160" w:hanging="180"/>
      </w:pPr>
    </w:lvl>
    <w:lvl w:ilvl="3" w:tplc="B6F6908A" w:tentative="1">
      <w:start w:val="1"/>
      <w:numFmt w:val="decimal"/>
      <w:lvlText w:val="%4."/>
      <w:lvlJc w:val="left"/>
      <w:pPr>
        <w:ind w:left="2880" w:hanging="360"/>
      </w:pPr>
    </w:lvl>
    <w:lvl w:ilvl="4" w:tplc="95601364" w:tentative="1">
      <w:start w:val="1"/>
      <w:numFmt w:val="lowerLetter"/>
      <w:lvlText w:val="%5."/>
      <w:lvlJc w:val="left"/>
      <w:pPr>
        <w:ind w:left="3600" w:hanging="360"/>
      </w:pPr>
    </w:lvl>
    <w:lvl w:ilvl="5" w:tplc="6BF29B62" w:tentative="1">
      <w:start w:val="1"/>
      <w:numFmt w:val="lowerRoman"/>
      <w:lvlText w:val="%6."/>
      <w:lvlJc w:val="right"/>
      <w:pPr>
        <w:ind w:left="4320" w:hanging="180"/>
      </w:pPr>
    </w:lvl>
    <w:lvl w:ilvl="6" w:tplc="A0AA07C8" w:tentative="1">
      <w:start w:val="1"/>
      <w:numFmt w:val="decimal"/>
      <w:lvlText w:val="%7."/>
      <w:lvlJc w:val="left"/>
      <w:pPr>
        <w:ind w:left="5040" w:hanging="360"/>
      </w:pPr>
    </w:lvl>
    <w:lvl w:ilvl="7" w:tplc="F9164E74" w:tentative="1">
      <w:start w:val="1"/>
      <w:numFmt w:val="lowerLetter"/>
      <w:lvlText w:val="%8."/>
      <w:lvlJc w:val="left"/>
      <w:pPr>
        <w:ind w:left="5760" w:hanging="360"/>
      </w:pPr>
    </w:lvl>
    <w:lvl w:ilvl="8" w:tplc="130AA2E6" w:tentative="1">
      <w:start w:val="1"/>
      <w:numFmt w:val="lowerRoman"/>
      <w:lvlText w:val="%9."/>
      <w:lvlJc w:val="right"/>
      <w:pPr>
        <w:ind w:left="6480" w:hanging="180"/>
      </w:pPr>
    </w:lvl>
  </w:abstractNum>
  <w:abstractNum w:abstractNumId="35" w15:restartNumberingAfterBreak="0">
    <w:nsid w:val="7C2C779F"/>
    <w:multiLevelType w:val="hybridMultilevel"/>
    <w:tmpl w:val="C79C2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D80A58"/>
    <w:multiLevelType w:val="hybridMultilevel"/>
    <w:tmpl w:val="C382020A"/>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8"/>
  </w:num>
  <w:num w:numId="4">
    <w:abstractNumId w:val="13"/>
  </w:num>
  <w:num w:numId="5">
    <w:abstractNumId w:val="21"/>
  </w:num>
  <w:num w:numId="6">
    <w:abstractNumId w:val="0"/>
  </w:num>
  <w:num w:numId="7">
    <w:abstractNumId w:val="1"/>
  </w:num>
  <w:num w:numId="8">
    <w:abstractNumId w:val="26"/>
  </w:num>
  <w:num w:numId="9">
    <w:abstractNumId w:val="34"/>
  </w:num>
  <w:num w:numId="10">
    <w:abstractNumId w:val="15"/>
  </w:num>
  <w:num w:numId="11">
    <w:abstractNumId w:val="11"/>
  </w:num>
  <w:num w:numId="12">
    <w:abstractNumId w:val="28"/>
  </w:num>
  <w:num w:numId="13">
    <w:abstractNumId w:val="35"/>
  </w:num>
  <w:num w:numId="14">
    <w:abstractNumId w:val="33"/>
  </w:num>
  <w:num w:numId="15">
    <w:abstractNumId w:val="16"/>
  </w:num>
  <w:num w:numId="16">
    <w:abstractNumId w:val="30"/>
  </w:num>
  <w:num w:numId="17">
    <w:abstractNumId w:val="6"/>
  </w:num>
  <w:num w:numId="18">
    <w:abstractNumId w:val="25"/>
  </w:num>
  <w:num w:numId="19">
    <w:abstractNumId w:val="27"/>
  </w:num>
  <w:num w:numId="20">
    <w:abstractNumId w:val="18"/>
  </w:num>
  <w:num w:numId="21">
    <w:abstractNumId w:val="7"/>
  </w:num>
  <w:num w:numId="22">
    <w:abstractNumId w:val="17"/>
  </w:num>
  <w:num w:numId="23">
    <w:abstractNumId w:val="31"/>
  </w:num>
  <w:num w:numId="24">
    <w:abstractNumId w:val="29"/>
  </w:num>
  <w:num w:numId="25">
    <w:abstractNumId w:val="23"/>
  </w:num>
  <w:num w:numId="26">
    <w:abstractNumId w:val="5"/>
  </w:num>
  <w:num w:numId="27">
    <w:abstractNumId w:val="9"/>
  </w:num>
  <w:num w:numId="28">
    <w:abstractNumId w:val="12"/>
  </w:num>
  <w:num w:numId="29">
    <w:abstractNumId w:val="10"/>
  </w:num>
  <w:num w:numId="30">
    <w:abstractNumId w:val="32"/>
  </w:num>
  <w:num w:numId="31">
    <w:abstractNumId w:val="22"/>
  </w:num>
  <w:num w:numId="32">
    <w:abstractNumId w:val="24"/>
  </w:num>
  <w:num w:numId="33">
    <w:abstractNumId w:val="36"/>
  </w:num>
  <w:num w:numId="34">
    <w:abstractNumId w:val="2"/>
  </w:num>
  <w:num w:numId="35">
    <w:abstractNumId w:val="4"/>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BF23E04-F53C-4BDC-8BB5-9659A1AA7D68"/>
    <w:docVar w:name="LW_COVERPAGE_TYPE" w:val="1"/>
    <w:docVar w:name="LW_CROSSREFERENCE" w:val="{SWD(2025) 140 final}"/>
    <w:docVar w:name="LW_DocType" w:val="NORMAL"/>
    <w:docVar w:name="LW_EMISSION" w:val="27.5.2025"/>
    <w:docVar w:name="LW_EMISSION_ISODATE" w:val="2025-05-27"/>
    <w:docVar w:name="LW_EMISSION_LOCATION" w:val="BRX"/>
    <w:docVar w:name="LW_EMISSION_PREFIX" w:val="Bruselj, "/>
    <w:docVar w:name="LW_EMISSION_SUFFIX" w:val=" "/>
    <w:docVar w:name="LW_ID_DOCTYPE_NONLW" w:val="CP-01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5)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cena kon\u269?nih posodobljenih nacionalnih energetskih in podnebnih na\u269?rtov na ravni celotne EU _x000b_Uresni\u269?evanje energetskih in podnebnih ciljev Unije za leto 2030"/>
    <w:docVar w:name="LW_TYPE.DOC.CP" w:val="SPORO\u268?ILO KOMISIJE EVROPSKEMU PARLAMENTU, SVETU, EVROPSKEMU EKONOMSKO-SOCIALNEMU ODBORU IN ODBORU REGIJ"/>
    <w:docVar w:name="LW_TYPE.DOC.CP.USERTEXT" w:val="&lt;EMPTY&gt;"/>
    <w:docVar w:name="LwApiVersions" w:val="LW4CoDe 1.24.5.0; LW 9.0, Build 20240221"/>
  </w:docVars>
  <w:rsids>
    <w:rsidRoot w:val="00597B54"/>
    <w:rsid w:val="000B0BAE"/>
    <w:rsid w:val="00111DBB"/>
    <w:rsid w:val="00120602"/>
    <w:rsid w:val="0012080E"/>
    <w:rsid w:val="0012586A"/>
    <w:rsid w:val="0016153D"/>
    <w:rsid w:val="00194940"/>
    <w:rsid w:val="0028443E"/>
    <w:rsid w:val="002E5925"/>
    <w:rsid w:val="00305ED2"/>
    <w:rsid w:val="003D698B"/>
    <w:rsid w:val="004D3008"/>
    <w:rsid w:val="0050111B"/>
    <w:rsid w:val="0052575A"/>
    <w:rsid w:val="005645BB"/>
    <w:rsid w:val="00597B54"/>
    <w:rsid w:val="005E019D"/>
    <w:rsid w:val="005F029E"/>
    <w:rsid w:val="00607A30"/>
    <w:rsid w:val="006862A9"/>
    <w:rsid w:val="006A04E5"/>
    <w:rsid w:val="006F02B9"/>
    <w:rsid w:val="00763B4A"/>
    <w:rsid w:val="008639EB"/>
    <w:rsid w:val="008E1A33"/>
    <w:rsid w:val="009264A7"/>
    <w:rsid w:val="009C512A"/>
    <w:rsid w:val="009C5F1D"/>
    <w:rsid w:val="00AD481A"/>
    <w:rsid w:val="00AD52F6"/>
    <w:rsid w:val="00BF6B99"/>
    <w:rsid w:val="00BF7672"/>
    <w:rsid w:val="00C3342E"/>
    <w:rsid w:val="00C628A7"/>
    <w:rsid w:val="00CC57B7"/>
    <w:rsid w:val="00D11FD2"/>
    <w:rsid w:val="00D549F4"/>
    <w:rsid w:val="00E62A83"/>
    <w:rsid w:val="00F2376F"/>
    <w:rsid w:val="00F2581F"/>
    <w:rsid w:val="00FD46FE"/>
    <w:rsid w:val="559622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6FD3E9"/>
  <w15:chartTrackingRefBased/>
  <w15:docId w15:val="{25714D6B-9E68-477E-A8AB-B8C5E3F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7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7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7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7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7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7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97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B54"/>
    <w:rPr>
      <w:rFonts w:eastAsiaTheme="majorEastAsia" w:cstheme="majorBidi"/>
      <w:color w:val="272727" w:themeColor="text1" w:themeTint="D8"/>
    </w:rPr>
  </w:style>
  <w:style w:type="paragraph" w:styleId="Title">
    <w:name w:val="Title"/>
    <w:basedOn w:val="Normal"/>
    <w:next w:val="Normal"/>
    <w:link w:val="TitleChar"/>
    <w:uiPriority w:val="10"/>
    <w:qFormat/>
    <w:rsid w:val="00597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B54"/>
    <w:pPr>
      <w:spacing w:before="160"/>
      <w:jc w:val="center"/>
    </w:pPr>
    <w:rPr>
      <w:i/>
      <w:iCs/>
      <w:color w:val="404040" w:themeColor="text1" w:themeTint="BF"/>
    </w:rPr>
  </w:style>
  <w:style w:type="character" w:customStyle="1" w:styleId="QuoteChar">
    <w:name w:val="Quote Char"/>
    <w:basedOn w:val="DefaultParagraphFont"/>
    <w:link w:val="Quote"/>
    <w:uiPriority w:val="29"/>
    <w:rsid w:val="00597B54"/>
    <w:rPr>
      <w:i/>
      <w:iCs/>
      <w:color w:val="404040" w:themeColor="text1" w:themeTint="BF"/>
    </w:rPr>
  </w:style>
  <w:style w:type="paragraph" w:styleId="ListParagraph">
    <w:name w:val="List Paragraph"/>
    <w:aliases w:val="Numbered Para 1,Dot pt,List Paragraph Char Char Char,Indicator Text,List Paragraph1,Bullet Points,MAIN CONTENT,List Paragraph12,F5 List Paragraph,Heading 2_sj,Report Para,WinDForce-Letter,List Paragraph (numbered (a),LIST,L"/>
    <w:basedOn w:val="Normal"/>
    <w:link w:val="ListParagraphChar"/>
    <w:uiPriority w:val="34"/>
    <w:qFormat/>
    <w:rsid w:val="00597B54"/>
    <w:pPr>
      <w:ind w:left="720"/>
      <w:contextualSpacing/>
    </w:pPr>
  </w:style>
  <w:style w:type="character" w:styleId="IntenseEmphasis">
    <w:name w:val="Intense Emphasis"/>
    <w:basedOn w:val="DefaultParagraphFont"/>
    <w:uiPriority w:val="21"/>
    <w:qFormat/>
    <w:rsid w:val="00597B54"/>
    <w:rPr>
      <w:i/>
      <w:iCs/>
      <w:color w:val="0F4761" w:themeColor="accent1" w:themeShade="BF"/>
    </w:rPr>
  </w:style>
  <w:style w:type="paragraph" w:styleId="IntenseQuote">
    <w:name w:val="Intense Quote"/>
    <w:basedOn w:val="Normal"/>
    <w:next w:val="Normal"/>
    <w:link w:val="IntenseQuoteChar"/>
    <w:uiPriority w:val="30"/>
    <w:qFormat/>
    <w:rsid w:val="00597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B54"/>
    <w:rPr>
      <w:i/>
      <w:iCs/>
      <w:color w:val="0F4761" w:themeColor="accent1" w:themeShade="BF"/>
    </w:rPr>
  </w:style>
  <w:style w:type="character" w:styleId="IntenseReference">
    <w:name w:val="Intense Reference"/>
    <w:basedOn w:val="DefaultParagraphFont"/>
    <w:uiPriority w:val="32"/>
    <w:qFormat/>
    <w:rsid w:val="00597B54"/>
    <w:rPr>
      <w:b/>
      <w:bCs/>
      <w:smallCaps/>
      <w:color w:val="0F4761" w:themeColor="accent1" w:themeShade="BF"/>
      <w:spacing w:val="5"/>
    </w:rPr>
  </w:style>
  <w:style w:type="character" w:customStyle="1" w:styleId="Marker">
    <w:name w:val="Marker"/>
    <w:basedOn w:val="DefaultParagraphFont"/>
    <w:rsid w:val="00597B54"/>
    <w:rPr>
      <w:color w:val="0000FF"/>
      <w:shd w:val="clear" w:color="auto" w:fill="auto"/>
    </w:rPr>
  </w:style>
  <w:style w:type="paragraph" w:styleId="Header">
    <w:name w:val="header"/>
    <w:basedOn w:val="Normal"/>
    <w:link w:val="HeaderChar"/>
    <w:uiPriority w:val="99"/>
    <w:unhideWhenUsed/>
    <w:rsid w:val="00597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B54"/>
  </w:style>
  <w:style w:type="paragraph" w:styleId="Footer">
    <w:name w:val="footer"/>
    <w:basedOn w:val="Normal"/>
    <w:link w:val="FooterChar"/>
    <w:uiPriority w:val="99"/>
    <w:unhideWhenUsed/>
    <w:rsid w:val="00597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B54"/>
  </w:style>
  <w:style w:type="paragraph" w:customStyle="1" w:styleId="Pagedecouverture">
    <w:name w:val="Page de couverture"/>
    <w:basedOn w:val="Normal"/>
    <w:next w:val="Normal"/>
    <w:link w:val="PagedecouvertureChar"/>
    <w:rsid w:val="00597B54"/>
    <w:pPr>
      <w:spacing w:after="0" w:line="240" w:lineRule="auto"/>
      <w:jc w:val="both"/>
    </w:pPr>
    <w:rPr>
      <w:rFonts w:ascii="Times New Roman" w:hAnsi="Times New Roman" w:cs="Times New Roman"/>
      <w:kern w:val="0"/>
      <w:szCs w:val="22"/>
      <w14:ligatures w14:val="none"/>
    </w:rPr>
  </w:style>
  <w:style w:type="paragraph" w:customStyle="1" w:styleId="FooterCoverPage">
    <w:name w:val="Footer Cover Page"/>
    <w:basedOn w:val="Normal"/>
    <w:link w:val="FooterCoverPageChar"/>
    <w:rsid w:val="00597B54"/>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597B54"/>
    <w:rPr>
      <w:rFonts w:ascii="Times New Roman" w:hAnsi="Times New Roman" w:cs="Times New Roman"/>
    </w:rPr>
  </w:style>
  <w:style w:type="paragraph" w:customStyle="1" w:styleId="FooterSensitivity">
    <w:name w:val="Footer Sensitivity"/>
    <w:basedOn w:val="Normal"/>
    <w:link w:val="FooterSensitivityChar"/>
    <w:rsid w:val="00597B5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97B54"/>
    <w:rPr>
      <w:rFonts w:ascii="Times New Roman" w:hAnsi="Times New Roman" w:cs="Times New Roman"/>
      <w:b/>
      <w:sz w:val="32"/>
    </w:rPr>
  </w:style>
  <w:style w:type="paragraph" w:customStyle="1" w:styleId="HeaderCoverPage">
    <w:name w:val="Header Cover Page"/>
    <w:basedOn w:val="Normal"/>
    <w:link w:val="HeaderCoverPageChar"/>
    <w:rsid w:val="00597B54"/>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DefaultParagraphFont"/>
    <w:link w:val="HeaderCoverPage"/>
    <w:rsid w:val="00597B54"/>
    <w:rPr>
      <w:rFonts w:ascii="Times New Roman" w:hAnsi="Times New Roman" w:cs="Times New Roman"/>
    </w:rPr>
  </w:style>
  <w:style w:type="paragraph" w:customStyle="1" w:styleId="HeaderSensitivity">
    <w:name w:val="Header Sensitivity"/>
    <w:basedOn w:val="Normal"/>
    <w:link w:val="HeaderSensitivityChar"/>
    <w:rsid w:val="00597B5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97B54"/>
    <w:rPr>
      <w:rFonts w:ascii="Times New Roman" w:hAnsi="Times New Roman" w:cs="Times New Roman"/>
      <w:b/>
      <w:sz w:val="32"/>
    </w:rPr>
  </w:style>
  <w:style w:type="paragraph" w:customStyle="1" w:styleId="HeaderSensitivityRight">
    <w:name w:val="Header Sensitivity Right"/>
    <w:basedOn w:val="Normal"/>
    <w:link w:val="HeaderSensitivityRightChar"/>
    <w:rsid w:val="00597B5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97B54"/>
    <w:rPr>
      <w:rFonts w:ascii="Times New Roman" w:hAnsi="Times New Roman" w:cs="Times New Roman"/>
      <w:sz w:val="28"/>
    </w:rPr>
  </w:style>
  <w:style w:type="numbering" w:customStyle="1" w:styleId="NoList1">
    <w:name w:val="No List1"/>
    <w:next w:val="NoList"/>
    <w:uiPriority w:val="99"/>
    <w:semiHidden/>
    <w:unhideWhenUsed/>
    <w:rsid w:val="005E019D"/>
  </w:style>
  <w:style w:type="table" w:styleId="TableGrid">
    <w:name w:val="Table Grid"/>
    <w:uiPriority w:val="39"/>
    <w:rsid w:val="005E019D"/>
    <w:pPr>
      <w:spacing w:after="0" w:line="240" w:lineRule="auto"/>
    </w:pPr>
    <w:rPr>
      <w:rFonts w:ascii="Times New Roman" w:eastAsia="Times New Roman" w:hAnsi="Times New Roman" w:cs="Times New Roman"/>
      <w:kern w:val="0"/>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019D"/>
    <w:rPr>
      <w:sz w:val="16"/>
      <w:szCs w:val="16"/>
    </w:rPr>
  </w:style>
  <w:style w:type="paragraph" w:customStyle="1" w:styleId="CommentText1">
    <w:name w:val="Comment Text1"/>
    <w:basedOn w:val="Normal"/>
    <w:next w:val="CommentText"/>
    <w:link w:val="CommentTextChar"/>
    <w:uiPriority w:val="99"/>
    <w:unhideWhenUsed/>
    <w:rsid w:val="005E019D"/>
    <w:pPr>
      <w:spacing w:after="120" w:line="264" w:lineRule="auto"/>
    </w:pPr>
  </w:style>
  <w:style w:type="character" w:customStyle="1" w:styleId="CommentTextChar">
    <w:name w:val="Comment Text Char"/>
    <w:basedOn w:val="DefaultParagraphFont"/>
    <w:link w:val="CommentText1"/>
    <w:uiPriority w:val="99"/>
    <w:rsid w:val="005E019D"/>
    <w:rPr>
      <w:lang w:val="sl-SI"/>
    </w:rPr>
  </w:style>
  <w:style w:type="paragraph" w:customStyle="1" w:styleId="CommentSubject1">
    <w:name w:val="Comment Subject1"/>
    <w:basedOn w:val="CommentText"/>
    <w:next w:val="CommentText"/>
    <w:uiPriority w:val="99"/>
    <w:semiHidden/>
    <w:unhideWhenUsed/>
    <w:rsid w:val="005E019D"/>
    <w:pPr>
      <w:spacing w:after="120" w:line="264" w:lineRule="auto"/>
    </w:pPr>
    <w:rPr>
      <w:rFonts w:eastAsia="Yu Mincho"/>
      <w:b/>
      <w:bCs/>
      <w:kern w:val="0"/>
      <w14:ligatures w14:val="none"/>
    </w:rPr>
  </w:style>
  <w:style w:type="character" w:customStyle="1" w:styleId="CommentSubjectChar">
    <w:name w:val="Comment Subject Char"/>
    <w:basedOn w:val="CommentTextChar"/>
    <w:link w:val="CommentSubject"/>
    <w:uiPriority w:val="99"/>
    <w:semiHidden/>
    <w:rsid w:val="005E019D"/>
    <w:rPr>
      <w:b/>
      <w:bCs/>
      <w:lang w:val="sl-SI"/>
    </w:rPr>
  </w:style>
  <w:style w:type="paragraph" w:customStyle="1" w:styleId="Caption1">
    <w:name w:val="Caption1"/>
    <w:basedOn w:val="Normal"/>
    <w:next w:val="Normal"/>
    <w:uiPriority w:val="35"/>
    <w:unhideWhenUsed/>
    <w:qFormat/>
    <w:rsid w:val="005E019D"/>
    <w:pPr>
      <w:spacing w:after="120" w:line="240" w:lineRule="auto"/>
    </w:pPr>
    <w:rPr>
      <w:rFonts w:eastAsia="Yu Mincho"/>
      <w:b/>
      <w:bCs/>
      <w:smallCaps/>
      <w:color w:val="595959"/>
      <w:spacing w:val="6"/>
      <w:kern w:val="0"/>
      <w:sz w:val="20"/>
      <w:szCs w:val="20"/>
      <w14:ligatures w14:val="none"/>
    </w:rPr>
  </w:style>
  <w:style w:type="character" w:styleId="Strong">
    <w:name w:val="Strong"/>
    <w:basedOn w:val="DefaultParagraphFont"/>
    <w:uiPriority w:val="22"/>
    <w:qFormat/>
    <w:rsid w:val="005E019D"/>
    <w:rPr>
      <w:b/>
      <w:bCs/>
    </w:rPr>
  </w:style>
  <w:style w:type="character" w:styleId="Emphasis">
    <w:name w:val="Emphasis"/>
    <w:basedOn w:val="DefaultParagraphFont"/>
    <w:uiPriority w:val="20"/>
    <w:qFormat/>
    <w:rsid w:val="005E019D"/>
    <w:rPr>
      <w:i/>
      <w:iCs/>
    </w:rPr>
  </w:style>
  <w:style w:type="paragraph" w:customStyle="1" w:styleId="NoSpacing1">
    <w:name w:val="No Spacing1"/>
    <w:next w:val="NoSpacing"/>
    <w:uiPriority w:val="1"/>
    <w:qFormat/>
    <w:rsid w:val="005E019D"/>
    <w:pPr>
      <w:spacing w:after="0" w:line="240" w:lineRule="auto"/>
    </w:pPr>
    <w:rPr>
      <w:rFonts w:eastAsia="Yu Mincho"/>
      <w:kern w:val="0"/>
      <w:sz w:val="20"/>
      <w:szCs w:val="20"/>
      <w14:ligatures w14:val="none"/>
    </w:rPr>
  </w:style>
  <w:style w:type="character" w:customStyle="1" w:styleId="SubtleEmphasis1">
    <w:name w:val="Subtle Emphasis1"/>
    <w:basedOn w:val="DefaultParagraphFont"/>
    <w:uiPriority w:val="19"/>
    <w:qFormat/>
    <w:rsid w:val="005E019D"/>
    <w:rPr>
      <w:i/>
      <w:iCs/>
      <w:color w:val="404040"/>
    </w:rPr>
  </w:style>
  <w:style w:type="character" w:customStyle="1" w:styleId="SubtleReference1">
    <w:name w:val="Subtle Reference1"/>
    <w:basedOn w:val="DefaultParagraphFont"/>
    <w:uiPriority w:val="31"/>
    <w:qFormat/>
    <w:rsid w:val="005E019D"/>
    <w:rPr>
      <w:smallCaps/>
      <w:color w:val="404040"/>
      <w:u w:val="single" w:color="7F7F7F"/>
    </w:rPr>
  </w:style>
  <w:style w:type="character" w:styleId="BookTitle">
    <w:name w:val="Book Title"/>
    <w:basedOn w:val="DefaultParagraphFont"/>
    <w:uiPriority w:val="33"/>
    <w:qFormat/>
    <w:rsid w:val="005E019D"/>
    <w:rPr>
      <w:b/>
      <w:bCs/>
      <w:smallCaps/>
    </w:rPr>
  </w:style>
  <w:style w:type="paragraph" w:customStyle="1" w:styleId="TOCHeading1">
    <w:name w:val="TOC Heading1"/>
    <w:basedOn w:val="Heading1"/>
    <w:next w:val="Normal"/>
    <w:uiPriority w:val="39"/>
    <w:semiHidden/>
    <w:unhideWhenUsed/>
    <w:qFormat/>
    <w:rsid w:val="005E019D"/>
    <w:pPr>
      <w:spacing w:before="40" w:after="240" w:line="240" w:lineRule="auto"/>
      <w:ind w:left="432" w:hanging="432"/>
      <w:jc w:val="both"/>
      <w:outlineLvl w:val="9"/>
    </w:pPr>
    <w:rPr>
      <w:rFonts w:ascii="Times New Roman Bold" w:hAnsi="Times New Roman Bold" w:cs="Times New Roman"/>
      <w:b/>
      <w:bCs/>
      <w:caps/>
      <w:color w:val="000000"/>
      <w:kern w:val="0"/>
      <w:sz w:val="24"/>
      <w:szCs w:val="24"/>
      <w14:ligatures w14:val="none"/>
    </w:rPr>
  </w:style>
  <w:style w:type="character" w:customStyle="1" w:styleId="Mention">
    <w:name w:val="Mention"/>
    <w:basedOn w:val="DefaultParagraphFont"/>
    <w:uiPriority w:val="99"/>
    <w:unhideWhenUsed/>
    <w:rsid w:val="005E019D"/>
    <w:rPr>
      <w:color w:val="2B579A"/>
      <w:shd w:val="clear" w:color="auto" w:fill="E1DFDD"/>
    </w:rPr>
  </w:style>
  <w:style w:type="paragraph" w:customStyle="1" w:styleId="Revision1">
    <w:name w:val="Revision1"/>
    <w:next w:val="Revision"/>
    <w:hidden/>
    <w:uiPriority w:val="99"/>
    <w:semiHidden/>
    <w:rsid w:val="005E019D"/>
    <w:pPr>
      <w:spacing w:after="0" w:line="240" w:lineRule="auto"/>
    </w:pPr>
    <w:rPr>
      <w:rFonts w:eastAsia="Yu Mincho"/>
      <w:kern w:val="0"/>
      <w:sz w:val="20"/>
      <w:szCs w:val="20"/>
      <w14:ligatures w14:val="none"/>
    </w:rPr>
  </w:style>
  <w:style w:type="paragraph" w:customStyle="1" w:styleId="f1">
    <w:name w:val="f1"/>
    <w:basedOn w:val="Normal"/>
    <w:next w:val="FootnoteText"/>
    <w:link w:val="FootnoteTextChar"/>
    <w:uiPriority w:val="99"/>
    <w:unhideWhenUsed/>
    <w:qFormat/>
    <w:rsid w:val="005E019D"/>
    <w:pPr>
      <w:spacing w:after="0" w:line="240" w:lineRule="auto"/>
    </w:p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1"/>
    <w:uiPriority w:val="99"/>
    <w:rsid w:val="005E019D"/>
    <w:rPr>
      <w:lang w:val="sl-SI"/>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stylish,fr"/>
    <w:basedOn w:val="DefaultParagraphFont"/>
    <w:link w:val="ftrefCharCharCharCharCharCharCharCharChar"/>
    <w:uiPriority w:val="99"/>
    <w:unhideWhenUsed/>
    <w:qFormat/>
    <w:rsid w:val="005E019D"/>
    <w:rPr>
      <w:vertAlign w:val="superscript"/>
    </w:rPr>
  </w:style>
  <w:style w:type="character" w:customStyle="1" w:styleId="ListParagraphChar">
    <w:name w:val="List Paragraph Char"/>
    <w:aliases w:val="Numbered Para 1 Char,Dot pt Char,List Paragraph Char Char Char Char,Indicator Text Char,List Paragraph1 Char,Bullet Points Char,MAIN CONTENT Char,List Paragraph12 Char,F5 List Paragraph Char,Heading 2_sj Char,Report Para Char,L Char"/>
    <w:basedOn w:val="DefaultParagraphFont"/>
    <w:link w:val="ListParagraph"/>
    <w:uiPriority w:val="34"/>
    <w:qFormat/>
    <w:locked/>
    <w:rsid w:val="005E019D"/>
  </w:style>
  <w:style w:type="character" w:customStyle="1" w:styleId="eop">
    <w:name w:val="eop"/>
    <w:basedOn w:val="DefaultParagraphFont"/>
    <w:rsid w:val="005E019D"/>
  </w:style>
  <w:style w:type="character" w:customStyle="1" w:styleId="Hyperlink1">
    <w:name w:val="Hyperlink1"/>
    <w:basedOn w:val="DefaultParagraphFont"/>
    <w:uiPriority w:val="99"/>
    <w:unhideWhenUsed/>
    <w:rsid w:val="005E019D"/>
    <w:rPr>
      <w:color w:val="0563C1"/>
      <w:u w:val="single"/>
    </w:rPr>
  </w:style>
  <w:style w:type="character" w:customStyle="1" w:styleId="normaltextrun">
    <w:name w:val="normaltextrun"/>
    <w:basedOn w:val="DefaultParagraphFont"/>
    <w:rsid w:val="005E019D"/>
    <w:rPr>
      <w:rFonts w:ascii="Calibri" w:eastAsia="Yu Mincho" w:hAnsi="Calibri" w:cs="Arial"/>
      <w:sz w:val="22"/>
      <w:szCs w:val="22"/>
    </w:rPr>
  </w:style>
  <w:style w:type="paragraph" w:customStyle="1" w:styleId="Normal1">
    <w:name w:val="Normal1"/>
    <w:basedOn w:val="Normal"/>
    <w:uiPriority w:val="1"/>
    <w:rsid w:val="005E019D"/>
    <w:pPr>
      <w:spacing w:beforeAutospacing="1" w:after="120" w:afterAutospacing="1" w:line="240" w:lineRule="auto"/>
    </w:pPr>
    <w:rPr>
      <w:rFonts w:eastAsia="Yu Mincho"/>
      <w:kern w:val="0"/>
      <w:sz w:val="22"/>
      <w:szCs w:val="22"/>
      <w:lang w:eastAsia="en-IE"/>
      <w14:ligatures w14:val="none"/>
    </w:rPr>
  </w:style>
  <w:style w:type="character" w:customStyle="1" w:styleId="UnresolvedMention">
    <w:name w:val="Unresolved Mention"/>
    <w:basedOn w:val="DefaultParagraphFont"/>
    <w:uiPriority w:val="99"/>
    <w:semiHidden/>
    <w:unhideWhenUsed/>
    <w:rsid w:val="005E019D"/>
    <w:rPr>
      <w:color w:val="605E5C"/>
      <w:shd w:val="clear" w:color="auto" w:fill="E1DFDD"/>
    </w:rPr>
  </w:style>
  <w:style w:type="paragraph" w:customStyle="1" w:styleId="paragraph">
    <w:name w:val="paragraph"/>
    <w:basedOn w:val="Normal"/>
    <w:rsid w:val="005E019D"/>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5E019D"/>
    <w:pPr>
      <w:spacing w:line="240" w:lineRule="exact"/>
    </w:pPr>
    <w:rPr>
      <w:vertAlign w:val="superscript"/>
    </w:rPr>
  </w:style>
  <w:style w:type="paragraph" w:customStyle="1" w:styleId="LegalNumPar">
    <w:name w:val="LegalNumPar"/>
    <w:basedOn w:val="Normal"/>
    <w:rsid w:val="005E019D"/>
    <w:pPr>
      <w:numPr>
        <w:numId w:val="29"/>
      </w:numPr>
      <w:spacing w:after="120" w:line="360" w:lineRule="auto"/>
    </w:pPr>
    <w:rPr>
      <w:rFonts w:eastAsia="Yu Mincho"/>
      <w:kern w:val="0"/>
      <w:szCs w:val="20"/>
      <w14:ligatures w14:val="none"/>
    </w:rPr>
  </w:style>
  <w:style w:type="paragraph" w:customStyle="1" w:styleId="LegalNumPar2">
    <w:name w:val="LegalNumPar2"/>
    <w:basedOn w:val="Normal"/>
    <w:rsid w:val="005E019D"/>
    <w:pPr>
      <w:numPr>
        <w:ilvl w:val="1"/>
        <w:numId w:val="29"/>
      </w:numPr>
      <w:spacing w:after="120" w:line="360" w:lineRule="auto"/>
    </w:pPr>
    <w:rPr>
      <w:rFonts w:eastAsia="Yu Mincho"/>
      <w:kern w:val="0"/>
      <w:szCs w:val="20"/>
      <w14:ligatures w14:val="none"/>
    </w:rPr>
  </w:style>
  <w:style w:type="paragraph" w:customStyle="1" w:styleId="LegalNumPar3">
    <w:name w:val="LegalNumPar3"/>
    <w:basedOn w:val="Normal"/>
    <w:rsid w:val="005E019D"/>
    <w:pPr>
      <w:numPr>
        <w:ilvl w:val="2"/>
        <w:numId w:val="29"/>
      </w:numPr>
      <w:spacing w:after="120" w:line="240" w:lineRule="auto"/>
    </w:pPr>
    <w:rPr>
      <w:rFonts w:eastAsia="Yu Mincho"/>
      <w:kern w:val="0"/>
      <w:szCs w:val="20"/>
      <w14:ligatures w14:val="none"/>
    </w:rPr>
  </w:style>
  <w:style w:type="table" w:customStyle="1" w:styleId="GridTable1Light1">
    <w:name w:val="Grid Table 1 Light1"/>
    <w:basedOn w:val="TableNormal"/>
    <w:next w:val="GridTable1Light"/>
    <w:uiPriority w:val="46"/>
    <w:rsid w:val="005E019D"/>
    <w:pPr>
      <w:spacing w:after="0" w:line="240" w:lineRule="auto"/>
    </w:pPr>
    <w:rPr>
      <w:rFonts w:eastAsia="Yu Mincho"/>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unhideWhenUsed/>
    <w:rsid w:val="005E019D"/>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EndnoteText1">
    <w:name w:val="Endnote Text1"/>
    <w:basedOn w:val="Normal"/>
    <w:next w:val="EndnoteText"/>
    <w:link w:val="EndnoteTextChar"/>
    <w:uiPriority w:val="99"/>
    <w:semiHidden/>
    <w:unhideWhenUsed/>
    <w:rsid w:val="005E019D"/>
    <w:pPr>
      <w:spacing w:after="0" w:line="240" w:lineRule="auto"/>
    </w:pPr>
  </w:style>
  <w:style w:type="character" w:customStyle="1" w:styleId="EndnoteTextChar">
    <w:name w:val="Endnote Text Char"/>
    <w:basedOn w:val="DefaultParagraphFont"/>
    <w:link w:val="EndnoteText1"/>
    <w:uiPriority w:val="99"/>
    <w:semiHidden/>
    <w:rsid w:val="005E019D"/>
    <w:rPr>
      <w:lang w:val="sl-SI"/>
    </w:rPr>
  </w:style>
  <w:style w:type="character" w:styleId="EndnoteReference">
    <w:name w:val="endnote reference"/>
    <w:basedOn w:val="DefaultParagraphFont"/>
    <w:uiPriority w:val="99"/>
    <w:semiHidden/>
    <w:unhideWhenUsed/>
    <w:rsid w:val="005E019D"/>
    <w:rPr>
      <w:vertAlign w:val="superscript"/>
    </w:rPr>
  </w:style>
  <w:style w:type="paragraph" w:customStyle="1" w:styleId="Typedudocument">
    <w:name w:val="Type du document"/>
    <w:basedOn w:val="Normal"/>
    <w:next w:val="Normal"/>
    <w:rsid w:val="005E019D"/>
    <w:pPr>
      <w:spacing w:before="360" w:after="0" w:line="240" w:lineRule="auto"/>
      <w:jc w:val="center"/>
    </w:pPr>
    <w:rPr>
      <w:rFonts w:ascii="Times New Roman" w:hAnsi="Times New Roman" w:cs="Times New Roman"/>
      <w:b/>
      <w:kern w:val="0"/>
      <w:szCs w:val="22"/>
      <w14:ligatures w14:val="none"/>
    </w:rPr>
  </w:style>
  <w:style w:type="paragraph" w:customStyle="1" w:styleId="Titreobjet">
    <w:name w:val="Titre objet"/>
    <w:basedOn w:val="Normal"/>
    <w:next w:val="Normal"/>
    <w:rsid w:val="005E019D"/>
    <w:pPr>
      <w:spacing w:before="360" w:after="360" w:line="240" w:lineRule="auto"/>
      <w:jc w:val="center"/>
    </w:pPr>
    <w:rPr>
      <w:rFonts w:ascii="Times New Roman" w:hAnsi="Times New Roman" w:cs="Times New Roman"/>
      <w:b/>
      <w:kern w:val="0"/>
      <w:szCs w:val="22"/>
      <w14:ligatures w14:val="none"/>
    </w:rPr>
  </w:style>
  <w:style w:type="character" w:customStyle="1" w:styleId="PagedecouvertureChar">
    <w:name w:val="Page de couverture Char"/>
    <w:basedOn w:val="DefaultParagraphFont"/>
    <w:link w:val="Pagedecouverture"/>
    <w:rsid w:val="005E019D"/>
    <w:rPr>
      <w:rFonts w:ascii="Times New Roman" w:hAnsi="Times New Roman" w:cs="Times New Roman"/>
      <w:kern w:val="0"/>
      <w:szCs w:val="22"/>
      <w14:ligatures w14:val="none"/>
    </w:rPr>
  </w:style>
  <w:style w:type="character" w:customStyle="1" w:styleId="FollowedHyperlink1">
    <w:name w:val="FollowedHyperlink1"/>
    <w:basedOn w:val="DefaultParagraphFont"/>
    <w:uiPriority w:val="99"/>
    <w:semiHidden/>
    <w:unhideWhenUsed/>
    <w:rsid w:val="005E019D"/>
    <w:rPr>
      <w:color w:val="954F72"/>
      <w:u w:val="single"/>
    </w:rPr>
  </w:style>
  <w:style w:type="paragraph" w:customStyle="1" w:styleId="Disclaimer">
    <w:name w:val="Disclaimer"/>
    <w:basedOn w:val="Normal"/>
    <w:rsid w:val="005E019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Cs w:val="22"/>
      <w14:ligatures w14:val="none"/>
    </w:rPr>
  </w:style>
  <w:style w:type="paragraph" w:customStyle="1" w:styleId="SecurityMarking">
    <w:name w:val="SecurityMarking"/>
    <w:basedOn w:val="Normal"/>
    <w:rsid w:val="005E019D"/>
    <w:pPr>
      <w:spacing w:after="0" w:line="276" w:lineRule="auto"/>
      <w:ind w:left="5103"/>
    </w:pPr>
    <w:rPr>
      <w:rFonts w:ascii="Times New Roman" w:hAnsi="Times New Roman" w:cs="Times New Roman"/>
      <w:kern w:val="0"/>
      <w:sz w:val="28"/>
      <w:szCs w:val="22"/>
      <w14:ligatures w14:val="none"/>
    </w:rPr>
  </w:style>
  <w:style w:type="paragraph" w:customStyle="1" w:styleId="DateMarking">
    <w:name w:val="DateMarking"/>
    <w:basedOn w:val="Normal"/>
    <w:rsid w:val="005E019D"/>
    <w:pPr>
      <w:spacing w:after="0" w:line="276" w:lineRule="auto"/>
      <w:ind w:left="5103"/>
    </w:pPr>
    <w:rPr>
      <w:rFonts w:ascii="Times New Roman" w:hAnsi="Times New Roman" w:cs="Times New Roman"/>
      <w:i/>
      <w:kern w:val="0"/>
      <w:sz w:val="28"/>
      <w:szCs w:val="22"/>
      <w14:ligatures w14:val="none"/>
    </w:rPr>
  </w:style>
  <w:style w:type="paragraph" w:customStyle="1" w:styleId="ReleasableTo">
    <w:name w:val="ReleasableTo"/>
    <w:basedOn w:val="Normal"/>
    <w:rsid w:val="005E019D"/>
    <w:pPr>
      <w:spacing w:after="0" w:line="276" w:lineRule="auto"/>
      <w:ind w:left="5103"/>
    </w:pPr>
    <w:rPr>
      <w:rFonts w:ascii="Times New Roman" w:hAnsi="Times New Roman" w:cs="Times New Roman"/>
      <w:i/>
      <w:kern w:val="0"/>
      <w:sz w:val="28"/>
      <w:szCs w:val="22"/>
      <w14:ligatures w14:val="none"/>
    </w:rPr>
  </w:style>
  <w:style w:type="paragraph" w:styleId="CommentText">
    <w:name w:val="annotation text"/>
    <w:basedOn w:val="Normal"/>
    <w:link w:val="CommentTextChar1"/>
    <w:uiPriority w:val="99"/>
    <w:semiHidden/>
    <w:unhideWhenUsed/>
    <w:rsid w:val="005E019D"/>
    <w:pPr>
      <w:spacing w:line="240" w:lineRule="auto"/>
    </w:pPr>
    <w:rPr>
      <w:sz w:val="20"/>
      <w:szCs w:val="20"/>
    </w:rPr>
  </w:style>
  <w:style w:type="character" w:customStyle="1" w:styleId="CommentTextChar1">
    <w:name w:val="Comment Text Char1"/>
    <w:basedOn w:val="DefaultParagraphFont"/>
    <w:link w:val="CommentText"/>
    <w:uiPriority w:val="99"/>
    <w:semiHidden/>
    <w:rsid w:val="005E019D"/>
    <w:rPr>
      <w:sz w:val="20"/>
      <w:szCs w:val="20"/>
    </w:rPr>
  </w:style>
  <w:style w:type="paragraph" w:styleId="CommentSubject">
    <w:name w:val="annotation subject"/>
    <w:basedOn w:val="CommentText"/>
    <w:next w:val="CommentText"/>
    <w:link w:val="CommentSubjectChar"/>
    <w:uiPriority w:val="99"/>
    <w:semiHidden/>
    <w:unhideWhenUsed/>
    <w:rsid w:val="005E019D"/>
    <w:rPr>
      <w:b/>
      <w:bCs/>
      <w:sz w:val="24"/>
      <w:szCs w:val="24"/>
    </w:rPr>
  </w:style>
  <w:style w:type="character" w:customStyle="1" w:styleId="CommentSubjectChar1">
    <w:name w:val="Comment Subject Char1"/>
    <w:basedOn w:val="CommentTextChar1"/>
    <w:uiPriority w:val="99"/>
    <w:semiHidden/>
    <w:rsid w:val="005E019D"/>
    <w:rPr>
      <w:b/>
      <w:bCs/>
      <w:sz w:val="20"/>
      <w:szCs w:val="20"/>
    </w:rPr>
  </w:style>
  <w:style w:type="paragraph" w:styleId="NoSpacing">
    <w:name w:val="No Spacing"/>
    <w:uiPriority w:val="1"/>
    <w:qFormat/>
    <w:rsid w:val="005E019D"/>
    <w:pPr>
      <w:spacing w:after="0" w:line="240" w:lineRule="auto"/>
    </w:pPr>
  </w:style>
  <w:style w:type="character" w:styleId="SubtleEmphasis">
    <w:name w:val="Subtle Emphasis"/>
    <w:basedOn w:val="DefaultParagraphFont"/>
    <w:uiPriority w:val="19"/>
    <w:qFormat/>
    <w:rsid w:val="005E019D"/>
    <w:rPr>
      <w:i/>
      <w:iCs/>
      <w:color w:val="404040" w:themeColor="text1" w:themeTint="BF"/>
    </w:rPr>
  </w:style>
  <w:style w:type="character" w:styleId="SubtleReference">
    <w:name w:val="Subtle Reference"/>
    <w:basedOn w:val="DefaultParagraphFont"/>
    <w:uiPriority w:val="31"/>
    <w:qFormat/>
    <w:rsid w:val="005E019D"/>
    <w:rPr>
      <w:smallCaps/>
      <w:color w:val="5A5A5A" w:themeColor="text1" w:themeTint="A5"/>
    </w:rPr>
  </w:style>
  <w:style w:type="paragraph" w:styleId="Revision">
    <w:name w:val="Revision"/>
    <w:hidden/>
    <w:uiPriority w:val="99"/>
    <w:semiHidden/>
    <w:rsid w:val="005E019D"/>
    <w:pPr>
      <w:spacing w:after="0" w:line="240" w:lineRule="auto"/>
    </w:pPr>
  </w:style>
  <w:style w:type="paragraph" w:styleId="FootnoteText">
    <w:name w:val="footnote text"/>
    <w:basedOn w:val="Normal"/>
    <w:link w:val="FootnoteTextChar1"/>
    <w:uiPriority w:val="99"/>
    <w:semiHidden/>
    <w:unhideWhenUsed/>
    <w:rsid w:val="005E019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E019D"/>
    <w:rPr>
      <w:sz w:val="20"/>
      <w:szCs w:val="20"/>
    </w:rPr>
  </w:style>
  <w:style w:type="character" w:styleId="Hyperlink">
    <w:name w:val="Hyperlink"/>
    <w:basedOn w:val="DefaultParagraphFont"/>
    <w:uiPriority w:val="99"/>
    <w:semiHidden/>
    <w:unhideWhenUsed/>
    <w:rsid w:val="005E019D"/>
    <w:rPr>
      <w:color w:val="467886" w:themeColor="hyperlink"/>
      <w:u w:val="single"/>
    </w:rPr>
  </w:style>
  <w:style w:type="table" w:styleId="GridTable1Light">
    <w:name w:val="Grid Table 1 Light"/>
    <w:basedOn w:val="TableNormal"/>
    <w:uiPriority w:val="46"/>
    <w:rsid w:val="005E01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1"/>
    <w:uiPriority w:val="99"/>
    <w:semiHidden/>
    <w:unhideWhenUsed/>
    <w:rsid w:val="005E019D"/>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5E019D"/>
    <w:rPr>
      <w:sz w:val="20"/>
      <w:szCs w:val="20"/>
    </w:rPr>
  </w:style>
  <w:style w:type="character" w:styleId="FollowedHyperlink">
    <w:name w:val="FollowedHyperlink"/>
    <w:basedOn w:val="DefaultParagraphFont"/>
    <w:uiPriority w:val="99"/>
    <w:semiHidden/>
    <w:unhideWhenUsed/>
    <w:rsid w:val="005E01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PDF/?uri=OJ:L_202302413" TargetMode="External"/><Relationship Id="rId2" Type="http://schemas.openxmlformats.org/officeDocument/2006/relationships/hyperlink" Target="https://www.eea.europa.eu/en/analysis/publications/european-climate-risk-assessment" TargetMode="External"/><Relationship Id="rId1" Type="http://schemas.openxmlformats.org/officeDocument/2006/relationships/hyperlink" Target="https://ec.europa.eu/eurostat/databrowser/view/nama_10_gdp/default/table?lang=en" TargetMode="External"/><Relationship Id="rId5" Type="http://schemas.openxmlformats.org/officeDocument/2006/relationships/hyperlink" Target="https://commission.europa.eu/strategy-and-policy/eu-budget/performance-and-reporting/horizontal-priorities/green-budgeting/climate-mainstreaming_en?prefLang=sl" TargetMode="External"/><Relationship Id="rId4" Type="http://schemas.openxmlformats.org/officeDocument/2006/relationships/hyperlink" Target="https://eur-lex.europa.eu/legal-content/SL/TXT/?uri=CELEX:52025DC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62882A23142B42BEA7BDEECAE38CBC" ma:contentTypeVersion="6" ma:contentTypeDescription="Create a new document." ma:contentTypeScope="" ma:versionID="4fb655133c12bb38ead6450f685565a5">
  <xsd:schema xmlns:xsd="http://www.w3.org/2001/XMLSchema" xmlns:xs="http://www.w3.org/2001/XMLSchema" xmlns:p="http://schemas.microsoft.com/office/2006/metadata/properties" xmlns:ns2="b9dc0b9a-c69c-4cd3-a0e2-5f92821c28cc" xmlns:ns3="8b8bc127-4aaa-49ec-9822-40a440d69fa2" targetNamespace="http://schemas.microsoft.com/office/2006/metadata/properties" ma:root="true" ma:fieldsID="610f9125c92640b039e5c9075f959c73" ns2:_="" ns3:_="">
    <xsd:import namespace="b9dc0b9a-c69c-4cd3-a0e2-5f92821c28cc"/>
    <xsd:import namespace="8b8bc127-4aaa-49ec-9822-40a440d69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0b9a-c69c-4cd3-a0e2-5f92821c2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bc127-4aaa-49ec-9822-40a440d69f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E99D-75BE-48AE-AA9C-DD4482BC7B6E}">
  <ds:schemaRefs>
    <ds:schemaRef ds:uri="http://schemas.microsoft.com/sharepoint/v3/contenttype/forms"/>
  </ds:schemaRefs>
</ds:datastoreItem>
</file>

<file path=customXml/itemProps2.xml><?xml version="1.0" encoding="utf-8"?>
<ds:datastoreItem xmlns:ds="http://schemas.openxmlformats.org/officeDocument/2006/customXml" ds:itemID="{9FFB072A-663F-4759-BC7F-02DF22E8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0b9a-c69c-4cd3-a0e2-5f92821c28cc"/>
    <ds:schemaRef ds:uri="8b8bc127-4aaa-49ec-9822-40a440d69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5CAB9-581F-47E5-8B7F-14B3710E8D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498F5-12A7-422C-96C8-3321FBFB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11929</Words>
  <Characters>67998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24</cp:revision>
  <dcterms:created xsi:type="dcterms:W3CDTF">2025-05-21T13:45:00Z</dcterms:created>
  <dcterms:modified xsi:type="dcterms:W3CDTF">2025-07-22T07:18:00Z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9.1, Build 20240808</vt:lpwstr>
  </property>
  <property fmtid="{D5CDD505-2E9C-101B-9397-08002B2CF9AE}" pid="8" name="Created using">
    <vt:lpwstr>LW 9.1, Build 20240808</vt:lpwstr>
  </property>
  <property fmtid="{D5CDD505-2E9C-101B-9397-08002B2CF9AE}" pid="9" name="MSIP_Label_6bd9ddd1-4d20-43f6-abfa-fc3c07406f94_Enabled">
    <vt:lpwstr>true</vt:lpwstr>
  </property>
  <property fmtid="{D5CDD505-2E9C-101B-9397-08002B2CF9AE}" pid="10" name="MSIP_Label_6bd9ddd1-4d20-43f6-abfa-fc3c07406f94_SetDate">
    <vt:lpwstr>2025-05-21T13:49:15Z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a6bbb197-15c9-465e-b265-4c354256f011</vt:lpwstr>
  </property>
  <property fmtid="{D5CDD505-2E9C-101B-9397-08002B2CF9AE}" pid="15" name="MSIP_Label_6bd9ddd1-4d20-43f6-abfa-fc3c07406f94_ContentBits">
    <vt:lpwstr>0</vt:lpwstr>
  </property>
  <property fmtid="{D5CDD505-2E9C-101B-9397-08002B2CF9AE}" pid="16" name="ContentTypeId">
    <vt:lpwstr>0x010100A062882A23142B42BEA7BDEECAE38CBC</vt:lpwstr>
  </property>
</Properties>
</file>