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B5FE" w14:textId="093D7464" w:rsidR="00FC26D3" w:rsidRPr="00814B72" w:rsidRDefault="00E70746" w:rsidP="00E70746">
      <w:pPr>
        <w:pStyle w:val="Pagedecouverture"/>
        <w:rPr>
          <w:noProof/>
        </w:rPr>
      </w:pPr>
      <w:bookmarkStart w:id="0" w:name="LW_BM_COVERPAGE"/>
      <w:r>
        <w:rPr>
          <w:noProof/>
        </w:rPr>
        <w:pict w14:anchorId="5F192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F2F6440-BA4C-449F-B18D-319AB26D6E1C" style="width:455.25pt;height:365.25pt">
            <v:imagedata r:id="rId11" o:title=""/>
          </v:shape>
        </w:pict>
      </w:r>
    </w:p>
    <w:bookmarkEnd w:id="0"/>
    <w:p w14:paraId="530196CE" w14:textId="77777777" w:rsidR="007D2C78" w:rsidRPr="00814B72" w:rsidRDefault="007D2C78" w:rsidP="007D2C78">
      <w:pPr>
        <w:rPr>
          <w:noProof/>
        </w:rPr>
        <w:sectPr w:rsidR="007D2C78" w:rsidRPr="00814B72" w:rsidSect="00E7074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7F034C40" w14:textId="77777777" w:rsidR="00167262" w:rsidRPr="00814B72" w:rsidRDefault="00167262" w:rsidP="00301BBE">
      <w:pPr>
        <w:pStyle w:val="Pagedecouverture"/>
        <w:rPr>
          <w:noProof/>
        </w:rPr>
      </w:pPr>
      <w:bookmarkStart w:id="1" w:name="_GoBack"/>
      <w:bookmarkEnd w:id="1"/>
    </w:p>
    <w:p w14:paraId="3C913746" w14:textId="77777777" w:rsidR="00301BBE" w:rsidRPr="00814B72" w:rsidRDefault="00301BBE" w:rsidP="00301BBE">
      <w:pPr>
        <w:pStyle w:val="Pagedecouverture"/>
        <w:rPr>
          <w:noProof/>
        </w:rPr>
        <w:sectPr w:rsidR="00301BBE" w:rsidRPr="00814B72" w:rsidSect="007D2C78">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sdt>
      <w:sdtPr>
        <w:rPr>
          <w:rFonts w:ascii="Times New Roman" w:hAnsi="Times New Roman"/>
          <w:b w:val="0"/>
          <w:noProof/>
          <w:sz w:val="22"/>
        </w:rPr>
        <w:alias w:val="Table of Contents"/>
        <w:tag w:val="eqT1QegFOKAi3zHpinqjV4"/>
        <w:id w:val="64073399"/>
      </w:sdtPr>
      <w:sdtEndPr/>
      <w:sdtContent>
        <w:p w14:paraId="2A02545E" w14:textId="75BD233D" w:rsidR="00190177" w:rsidRPr="00814B72" w:rsidRDefault="00E70746" w:rsidP="008B6005">
          <w:pPr>
            <w:pStyle w:val="TOCHeading"/>
            <w:rPr>
              <w:noProof/>
            </w:rPr>
          </w:pPr>
          <w:sdt>
            <w:sdtPr>
              <w:rPr>
                <w:noProof/>
              </w:rPr>
              <w:id w:val="-214508680"/>
              <w:dataBinding w:xpath="/Texts/TOCHeading" w:storeItemID="{4EF90DE6-88B6-4264-9629-4D8DFDFE87D2}"/>
              <w:text w:multiLine="1"/>
            </w:sdtPr>
            <w:sdtEndPr/>
            <w:sdtContent>
              <w:r w:rsidR="005D02B1">
                <w:rPr>
                  <w:noProof/>
                </w:rPr>
                <w:t>Contents</w:t>
              </w:r>
            </w:sdtContent>
          </w:sdt>
        </w:p>
        <w:p w14:paraId="15ACE31C" w14:textId="484FB74C" w:rsidR="000A08F3" w:rsidRDefault="004F6F3F">
          <w:pPr>
            <w:pStyle w:val="TOC1"/>
            <w:rPr>
              <w:rFonts w:asciiTheme="minorHAnsi" w:eastAsiaTheme="minorEastAsia" w:hAnsiTheme="minorHAnsi" w:cstheme="minorBidi"/>
              <w:b w:val="0"/>
              <w:noProof/>
              <w:kern w:val="2"/>
              <w:sz w:val="24"/>
              <w:szCs w:val="24"/>
              <w:lang w:val="en-IE" w:eastAsia="en-IE"/>
              <w14:ligatures w14:val="standardContextual"/>
            </w:rPr>
          </w:pPr>
          <w:r w:rsidRPr="00814B72">
            <w:rPr>
              <w:noProof/>
            </w:rPr>
            <w:fldChar w:fldCharType="begin"/>
          </w:r>
          <w:r w:rsidRPr="00814B72">
            <w:rPr>
              <w:noProof/>
            </w:rPr>
            <w:instrText>TOC \o "1-4" \h \z \t "ChapterTitle;5;PartTitle;5;SectionTitle;5;AnnexTitle;6" \* MERGEFORMAT</w:instrText>
          </w:r>
          <w:r w:rsidRPr="00814B72">
            <w:rPr>
              <w:noProof/>
            </w:rPr>
            <w:fldChar w:fldCharType="separate"/>
          </w:r>
          <w:hyperlink w:anchor="_Toc203477649" w:history="1">
            <w:r w:rsidR="000A08F3" w:rsidRPr="00E577BA">
              <w:rPr>
                <w:rStyle w:val="Hyperlink"/>
                <w:noProof/>
              </w:rPr>
              <w:t>1.</w:t>
            </w:r>
            <w:r w:rsidR="000A08F3">
              <w:rPr>
                <w:rFonts w:asciiTheme="minorHAnsi" w:eastAsiaTheme="minorEastAsia" w:hAnsiTheme="minorHAnsi" w:cstheme="minorBidi"/>
                <w:b w:val="0"/>
                <w:noProof/>
                <w:kern w:val="2"/>
                <w:sz w:val="24"/>
                <w:szCs w:val="24"/>
                <w:lang w:val="en-IE" w:eastAsia="en-IE"/>
                <w14:ligatures w14:val="standardContextual"/>
              </w:rPr>
              <w:tab/>
            </w:r>
            <w:r w:rsidR="000A08F3" w:rsidRPr="00E577BA">
              <w:rPr>
                <w:rStyle w:val="Hyperlink"/>
                <w:noProof/>
              </w:rPr>
              <w:t>Introduction</w:t>
            </w:r>
            <w:r w:rsidR="000A08F3">
              <w:rPr>
                <w:noProof/>
                <w:webHidden/>
              </w:rPr>
              <w:tab/>
            </w:r>
            <w:r w:rsidR="000A08F3">
              <w:rPr>
                <w:noProof/>
                <w:webHidden/>
              </w:rPr>
              <w:fldChar w:fldCharType="begin"/>
            </w:r>
            <w:r w:rsidR="000A08F3">
              <w:rPr>
                <w:noProof/>
                <w:webHidden/>
              </w:rPr>
              <w:instrText xml:space="preserve"> PAGEREF _Toc203477649 \h </w:instrText>
            </w:r>
            <w:r w:rsidR="000A08F3">
              <w:rPr>
                <w:noProof/>
                <w:webHidden/>
              </w:rPr>
            </w:r>
            <w:r w:rsidR="000A08F3">
              <w:rPr>
                <w:noProof/>
                <w:webHidden/>
              </w:rPr>
              <w:fldChar w:fldCharType="separate"/>
            </w:r>
            <w:r w:rsidR="000A08F3">
              <w:rPr>
                <w:noProof/>
                <w:webHidden/>
              </w:rPr>
              <w:t>4</w:t>
            </w:r>
            <w:r w:rsidR="000A08F3">
              <w:rPr>
                <w:noProof/>
                <w:webHidden/>
              </w:rPr>
              <w:fldChar w:fldCharType="end"/>
            </w:r>
          </w:hyperlink>
        </w:p>
        <w:p w14:paraId="2491681D" w14:textId="3659DFCA"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50" w:history="1">
            <w:r w:rsidR="000A08F3" w:rsidRPr="00E577BA">
              <w:rPr>
                <w:rStyle w:val="Hyperlink"/>
              </w:rPr>
              <w:t>1.1.</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The EU’s financial interests and their protection</w:t>
            </w:r>
            <w:r w:rsidR="000A08F3">
              <w:rPr>
                <w:webHidden/>
              </w:rPr>
              <w:tab/>
            </w:r>
            <w:r w:rsidR="000A08F3">
              <w:rPr>
                <w:webHidden/>
              </w:rPr>
              <w:fldChar w:fldCharType="begin"/>
            </w:r>
            <w:r w:rsidR="000A08F3">
              <w:rPr>
                <w:webHidden/>
              </w:rPr>
              <w:instrText xml:space="preserve"> PAGEREF _Toc203477650 \h </w:instrText>
            </w:r>
            <w:r w:rsidR="000A08F3">
              <w:rPr>
                <w:webHidden/>
              </w:rPr>
            </w:r>
            <w:r w:rsidR="000A08F3">
              <w:rPr>
                <w:webHidden/>
              </w:rPr>
              <w:fldChar w:fldCharType="separate"/>
            </w:r>
            <w:r w:rsidR="000A08F3">
              <w:rPr>
                <w:webHidden/>
              </w:rPr>
              <w:t>4</w:t>
            </w:r>
            <w:r w:rsidR="000A08F3">
              <w:rPr>
                <w:webHidden/>
              </w:rPr>
              <w:fldChar w:fldCharType="end"/>
            </w:r>
          </w:hyperlink>
        </w:p>
        <w:p w14:paraId="7953EA30" w14:textId="3B692BB4"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51" w:history="1">
            <w:r w:rsidR="000A08F3" w:rsidRPr="00E577BA">
              <w:rPr>
                <w:rStyle w:val="Hyperlink"/>
              </w:rPr>
              <w:t>1.2.</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Data sources</w:t>
            </w:r>
            <w:r w:rsidR="000A08F3">
              <w:rPr>
                <w:webHidden/>
              </w:rPr>
              <w:tab/>
            </w:r>
            <w:r w:rsidR="000A08F3">
              <w:rPr>
                <w:webHidden/>
              </w:rPr>
              <w:fldChar w:fldCharType="begin"/>
            </w:r>
            <w:r w:rsidR="000A08F3">
              <w:rPr>
                <w:webHidden/>
              </w:rPr>
              <w:instrText xml:space="preserve"> PAGEREF _Toc203477651 \h </w:instrText>
            </w:r>
            <w:r w:rsidR="000A08F3">
              <w:rPr>
                <w:webHidden/>
              </w:rPr>
            </w:r>
            <w:r w:rsidR="000A08F3">
              <w:rPr>
                <w:webHidden/>
              </w:rPr>
              <w:fldChar w:fldCharType="separate"/>
            </w:r>
            <w:r w:rsidR="000A08F3">
              <w:rPr>
                <w:webHidden/>
              </w:rPr>
              <w:t>5</w:t>
            </w:r>
            <w:r w:rsidR="000A08F3">
              <w:rPr>
                <w:webHidden/>
              </w:rPr>
              <w:fldChar w:fldCharType="end"/>
            </w:r>
          </w:hyperlink>
        </w:p>
        <w:p w14:paraId="234C227C" w14:textId="16C2CE8B" w:rsidR="000A08F3" w:rsidRDefault="00E70746">
          <w:pPr>
            <w:pStyle w:val="TOC1"/>
            <w:rPr>
              <w:rFonts w:asciiTheme="minorHAnsi" w:eastAsiaTheme="minorEastAsia" w:hAnsiTheme="minorHAnsi" w:cstheme="minorBidi"/>
              <w:b w:val="0"/>
              <w:noProof/>
              <w:kern w:val="2"/>
              <w:sz w:val="24"/>
              <w:szCs w:val="24"/>
              <w:lang w:val="en-IE" w:eastAsia="en-IE"/>
              <w14:ligatures w14:val="standardContextual"/>
            </w:rPr>
          </w:pPr>
          <w:hyperlink w:anchor="_Toc203477652" w:history="1">
            <w:r w:rsidR="000A08F3" w:rsidRPr="00E577BA">
              <w:rPr>
                <w:rStyle w:val="Hyperlink"/>
                <w:noProof/>
              </w:rPr>
              <w:t>2.</w:t>
            </w:r>
            <w:r w:rsidR="000A08F3">
              <w:rPr>
                <w:rFonts w:asciiTheme="minorHAnsi" w:eastAsiaTheme="minorEastAsia" w:hAnsiTheme="minorHAnsi" w:cstheme="minorBidi"/>
                <w:b w:val="0"/>
                <w:noProof/>
                <w:kern w:val="2"/>
                <w:sz w:val="24"/>
                <w:szCs w:val="24"/>
                <w:lang w:val="en-IE" w:eastAsia="en-IE"/>
                <w14:ligatures w14:val="standardContextual"/>
              </w:rPr>
              <w:tab/>
            </w:r>
            <w:r w:rsidR="000A08F3" w:rsidRPr="00E577BA">
              <w:rPr>
                <w:rStyle w:val="Hyperlink"/>
                <w:noProof/>
              </w:rPr>
              <w:t>Key measures</w:t>
            </w:r>
            <w:r w:rsidR="000A08F3">
              <w:rPr>
                <w:noProof/>
                <w:webHidden/>
              </w:rPr>
              <w:tab/>
            </w:r>
            <w:r w:rsidR="000A08F3">
              <w:rPr>
                <w:noProof/>
                <w:webHidden/>
              </w:rPr>
              <w:fldChar w:fldCharType="begin"/>
            </w:r>
            <w:r w:rsidR="000A08F3">
              <w:rPr>
                <w:noProof/>
                <w:webHidden/>
              </w:rPr>
              <w:instrText xml:space="preserve"> PAGEREF _Toc203477652 \h </w:instrText>
            </w:r>
            <w:r w:rsidR="000A08F3">
              <w:rPr>
                <w:noProof/>
                <w:webHidden/>
              </w:rPr>
            </w:r>
            <w:r w:rsidR="000A08F3">
              <w:rPr>
                <w:noProof/>
                <w:webHidden/>
              </w:rPr>
              <w:fldChar w:fldCharType="separate"/>
            </w:r>
            <w:r w:rsidR="000A08F3">
              <w:rPr>
                <w:noProof/>
                <w:webHidden/>
              </w:rPr>
              <w:t>7</w:t>
            </w:r>
            <w:r w:rsidR="000A08F3">
              <w:rPr>
                <w:noProof/>
                <w:webHidden/>
              </w:rPr>
              <w:fldChar w:fldCharType="end"/>
            </w:r>
          </w:hyperlink>
        </w:p>
        <w:p w14:paraId="3AD3AA04" w14:textId="7D7DE10C"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53" w:history="1">
            <w:r w:rsidR="000A08F3" w:rsidRPr="00E577BA">
              <w:rPr>
                <w:rStyle w:val="Hyperlink"/>
              </w:rPr>
              <w:t>2.1.</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Measures taken at EU level</w:t>
            </w:r>
            <w:r w:rsidR="000A08F3">
              <w:rPr>
                <w:webHidden/>
              </w:rPr>
              <w:tab/>
            </w:r>
            <w:r w:rsidR="000A08F3">
              <w:rPr>
                <w:webHidden/>
              </w:rPr>
              <w:fldChar w:fldCharType="begin"/>
            </w:r>
            <w:r w:rsidR="000A08F3">
              <w:rPr>
                <w:webHidden/>
              </w:rPr>
              <w:instrText xml:space="preserve"> PAGEREF _Toc203477653 \h </w:instrText>
            </w:r>
            <w:r w:rsidR="000A08F3">
              <w:rPr>
                <w:webHidden/>
              </w:rPr>
            </w:r>
            <w:r w:rsidR="000A08F3">
              <w:rPr>
                <w:webHidden/>
              </w:rPr>
              <w:fldChar w:fldCharType="separate"/>
            </w:r>
            <w:r w:rsidR="000A08F3">
              <w:rPr>
                <w:webHidden/>
              </w:rPr>
              <w:t>7</w:t>
            </w:r>
            <w:r w:rsidR="000A08F3">
              <w:rPr>
                <w:webHidden/>
              </w:rPr>
              <w:fldChar w:fldCharType="end"/>
            </w:r>
          </w:hyperlink>
        </w:p>
        <w:p w14:paraId="652E336B" w14:textId="38AC3321"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54" w:history="1">
            <w:r w:rsidR="000A08F3" w:rsidRPr="00E577BA">
              <w:rPr>
                <w:rStyle w:val="Hyperlink"/>
                <w:noProof/>
              </w:rPr>
              <w:t>2.1.1.</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The European Parliament’s resolution on the 2023 PIF Report</w:t>
            </w:r>
            <w:r w:rsidR="000A08F3">
              <w:rPr>
                <w:noProof/>
                <w:webHidden/>
              </w:rPr>
              <w:tab/>
            </w:r>
            <w:r w:rsidR="000A08F3">
              <w:rPr>
                <w:noProof/>
                <w:webHidden/>
              </w:rPr>
              <w:fldChar w:fldCharType="begin"/>
            </w:r>
            <w:r w:rsidR="000A08F3">
              <w:rPr>
                <w:noProof/>
                <w:webHidden/>
              </w:rPr>
              <w:instrText xml:space="preserve"> PAGEREF _Toc203477654 \h </w:instrText>
            </w:r>
            <w:r w:rsidR="000A08F3">
              <w:rPr>
                <w:noProof/>
                <w:webHidden/>
              </w:rPr>
            </w:r>
            <w:r w:rsidR="000A08F3">
              <w:rPr>
                <w:noProof/>
                <w:webHidden/>
              </w:rPr>
              <w:fldChar w:fldCharType="separate"/>
            </w:r>
            <w:r w:rsidR="000A08F3">
              <w:rPr>
                <w:noProof/>
                <w:webHidden/>
              </w:rPr>
              <w:t>7</w:t>
            </w:r>
            <w:r w:rsidR="000A08F3">
              <w:rPr>
                <w:noProof/>
                <w:webHidden/>
              </w:rPr>
              <w:fldChar w:fldCharType="end"/>
            </w:r>
          </w:hyperlink>
        </w:p>
        <w:p w14:paraId="38777327" w14:textId="1A58C5A1"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55" w:history="1">
            <w:r w:rsidR="000A08F3" w:rsidRPr="00E577BA">
              <w:rPr>
                <w:rStyle w:val="Hyperlink"/>
                <w:noProof/>
              </w:rPr>
              <w:t>2.1.2.</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Cooperation between the main EU-level actors</w:t>
            </w:r>
            <w:r w:rsidR="000A08F3">
              <w:rPr>
                <w:noProof/>
                <w:webHidden/>
              </w:rPr>
              <w:tab/>
            </w:r>
            <w:r w:rsidR="000A08F3">
              <w:rPr>
                <w:noProof/>
                <w:webHidden/>
              </w:rPr>
              <w:fldChar w:fldCharType="begin"/>
            </w:r>
            <w:r w:rsidR="000A08F3">
              <w:rPr>
                <w:noProof/>
                <w:webHidden/>
              </w:rPr>
              <w:instrText xml:space="preserve"> PAGEREF _Toc203477655 \h </w:instrText>
            </w:r>
            <w:r w:rsidR="000A08F3">
              <w:rPr>
                <w:noProof/>
                <w:webHidden/>
              </w:rPr>
            </w:r>
            <w:r w:rsidR="000A08F3">
              <w:rPr>
                <w:noProof/>
                <w:webHidden/>
              </w:rPr>
              <w:fldChar w:fldCharType="separate"/>
            </w:r>
            <w:r w:rsidR="000A08F3">
              <w:rPr>
                <w:noProof/>
                <w:webHidden/>
              </w:rPr>
              <w:t>8</w:t>
            </w:r>
            <w:r w:rsidR="000A08F3">
              <w:rPr>
                <w:noProof/>
                <w:webHidden/>
              </w:rPr>
              <w:fldChar w:fldCharType="end"/>
            </w:r>
          </w:hyperlink>
        </w:p>
        <w:p w14:paraId="59896C7E" w14:textId="693F8E54"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56" w:history="1">
            <w:r w:rsidR="000A08F3" w:rsidRPr="00E577BA">
              <w:rPr>
                <w:rStyle w:val="Hyperlink"/>
                <w:noProof/>
              </w:rPr>
              <w:t>2.1.3.</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The Commission: implementation of the action plan accompanying the CAFS</w:t>
            </w:r>
            <w:r w:rsidR="000A08F3">
              <w:rPr>
                <w:noProof/>
                <w:webHidden/>
              </w:rPr>
              <w:tab/>
            </w:r>
            <w:r w:rsidR="000A08F3">
              <w:rPr>
                <w:noProof/>
                <w:webHidden/>
              </w:rPr>
              <w:fldChar w:fldCharType="begin"/>
            </w:r>
            <w:r w:rsidR="000A08F3">
              <w:rPr>
                <w:noProof/>
                <w:webHidden/>
              </w:rPr>
              <w:instrText xml:space="preserve"> PAGEREF _Toc203477656 \h </w:instrText>
            </w:r>
            <w:r w:rsidR="000A08F3">
              <w:rPr>
                <w:noProof/>
                <w:webHidden/>
              </w:rPr>
            </w:r>
            <w:r w:rsidR="000A08F3">
              <w:rPr>
                <w:noProof/>
                <w:webHidden/>
              </w:rPr>
              <w:fldChar w:fldCharType="separate"/>
            </w:r>
            <w:r w:rsidR="000A08F3">
              <w:rPr>
                <w:noProof/>
                <w:webHidden/>
              </w:rPr>
              <w:t>9</w:t>
            </w:r>
            <w:r w:rsidR="000A08F3">
              <w:rPr>
                <w:noProof/>
                <w:webHidden/>
              </w:rPr>
              <w:fldChar w:fldCharType="end"/>
            </w:r>
          </w:hyperlink>
        </w:p>
        <w:p w14:paraId="08140900" w14:textId="43CDB6E0"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57" w:history="1">
            <w:r w:rsidR="000A08F3" w:rsidRPr="00E577BA">
              <w:rPr>
                <w:rStyle w:val="Hyperlink"/>
                <w:noProof/>
              </w:rPr>
              <w:t>2.1.4.</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AMLA, the newest actor in the EU anti-fraud architecture</w:t>
            </w:r>
            <w:r w:rsidR="000A08F3">
              <w:rPr>
                <w:noProof/>
                <w:webHidden/>
              </w:rPr>
              <w:tab/>
            </w:r>
            <w:r w:rsidR="000A08F3">
              <w:rPr>
                <w:noProof/>
                <w:webHidden/>
              </w:rPr>
              <w:fldChar w:fldCharType="begin"/>
            </w:r>
            <w:r w:rsidR="000A08F3">
              <w:rPr>
                <w:noProof/>
                <w:webHidden/>
              </w:rPr>
              <w:instrText xml:space="preserve"> PAGEREF _Toc203477657 \h </w:instrText>
            </w:r>
            <w:r w:rsidR="000A08F3">
              <w:rPr>
                <w:noProof/>
                <w:webHidden/>
              </w:rPr>
            </w:r>
            <w:r w:rsidR="000A08F3">
              <w:rPr>
                <w:noProof/>
                <w:webHidden/>
              </w:rPr>
              <w:fldChar w:fldCharType="separate"/>
            </w:r>
            <w:r w:rsidR="000A08F3">
              <w:rPr>
                <w:noProof/>
                <w:webHidden/>
              </w:rPr>
              <w:t>10</w:t>
            </w:r>
            <w:r w:rsidR="000A08F3">
              <w:rPr>
                <w:noProof/>
                <w:webHidden/>
              </w:rPr>
              <w:fldChar w:fldCharType="end"/>
            </w:r>
          </w:hyperlink>
        </w:p>
        <w:p w14:paraId="03A9F5B5" w14:textId="22C8D2A9"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58" w:history="1">
            <w:r w:rsidR="000A08F3" w:rsidRPr="00E577BA">
              <w:rPr>
                <w:rStyle w:val="Hyperlink"/>
                <w:noProof/>
              </w:rPr>
              <w:t>2.1.5.</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The future actor: the EU Customs Authority</w:t>
            </w:r>
            <w:r w:rsidR="000A08F3">
              <w:rPr>
                <w:noProof/>
                <w:webHidden/>
              </w:rPr>
              <w:tab/>
            </w:r>
            <w:r w:rsidR="000A08F3">
              <w:rPr>
                <w:noProof/>
                <w:webHidden/>
              </w:rPr>
              <w:fldChar w:fldCharType="begin"/>
            </w:r>
            <w:r w:rsidR="000A08F3">
              <w:rPr>
                <w:noProof/>
                <w:webHidden/>
              </w:rPr>
              <w:instrText xml:space="preserve"> PAGEREF _Toc203477658 \h </w:instrText>
            </w:r>
            <w:r w:rsidR="000A08F3">
              <w:rPr>
                <w:noProof/>
                <w:webHidden/>
              </w:rPr>
            </w:r>
            <w:r w:rsidR="000A08F3">
              <w:rPr>
                <w:noProof/>
                <w:webHidden/>
              </w:rPr>
              <w:fldChar w:fldCharType="separate"/>
            </w:r>
            <w:r w:rsidR="000A08F3">
              <w:rPr>
                <w:noProof/>
                <w:webHidden/>
              </w:rPr>
              <w:t>10</w:t>
            </w:r>
            <w:r w:rsidR="000A08F3">
              <w:rPr>
                <w:noProof/>
                <w:webHidden/>
              </w:rPr>
              <w:fldChar w:fldCharType="end"/>
            </w:r>
          </w:hyperlink>
        </w:p>
        <w:p w14:paraId="2A43D6C7" w14:textId="238992FA"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59" w:history="1">
            <w:r w:rsidR="000A08F3" w:rsidRPr="00E577BA">
              <w:rPr>
                <w:rStyle w:val="Hyperlink"/>
              </w:rPr>
              <w:t>2.2.</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Measures taken at national level</w:t>
            </w:r>
            <w:r w:rsidR="000A08F3">
              <w:rPr>
                <w:webHidden/>
              </w:rPr>
              <w:tab/>
            </w:r>
            <w:r w:rsidR="000A08F3">
              <w:rPr>
                <w:webHidden/>
              </w:rPr>
              <w:fldChar w:fldCharType="begin"/>
            </w:r>
            <w:r w:rsidR="000A08F3">
              <w:rPr>
                <w:webHidden/>
              </w:rPr>
              <w:instrText xml:space="preserve"> PAGEREF _Toc203477659 \h </w:instrText>
            </w:r>
            <w:r w:rsidR="000A08F3">
              <w:rPr>
                <w:webHidden/>
              </w:rPr>
            </w:r>
            <w:r w:rsidR="000A08F3">
              <w:rPr>
                <w:webHidden/>
              </w:rPr>
              <w:fldChar w:fldCharType="separate"/>
            </w:r>
            <w:r w:rsidR="000A08F3">
              <w:rPr>
                <w:webHidden/>
              </w:rPr>
              <w:t>10</w:t>
            </w:r>
            <w:r w:rsidR="000A08F3">
              <w:rPr>
                <w:webHidden/>
              </w:rPr>
              <w:fldChar w:fldCharType="end"/>
            </w:r>
          </w:hyperlink>
        </w:p>
        <w:p w14:paraId="079368B6" w14:textId="47AD7F94"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60" w:history="1">
            <w:r w:rsidR="000A08F3" w:rsidRPr="00E577BA">
              <w:rPr>
                <w:rStyle w:val="Hyperlink"/>
                <w:noProof/>
              </w:rPr>
              <w:t>2.2.1.</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Strengthening the governance of Member States’ anti-fraud networks</w:t>
            </w:r>
            <w:r w:rsidR="000A08F3">
              <w:rPr>
                <w:noProof/>
                <w:webHidden/>
              </w:rPr>
              <w:tab/>
            </w:r>
            <w:r w:rsidR="000A08F3">
              <w:rPr>
                <w:noProof/>
                <w:webHidden/>
              </w:rPr>
              <w:fldChar w:fldCharType="begin"/>
            </w:r>
            <w:r w:rsidR="000A08F3">
              <w:rPr>
                <w:noProof/>
                <w:webHidden/>
              </w:rPr>
              <w:instrText xml:space="preserve"> PAGEREF _Toc203477660 \h </w:instrText>
            </w:r>
            <w:r w:rsidR="000A08F3">
              <w:rPr>
                <w:noProof/>
                <w:webHidden/>
              </w:rPr>
            </w:r>
            <w:r w:rsidR="000A08F3">
              <w:rPr>
                <w:noProof/>
                <w:webHidden/>
              </w:rPr>
              <w:fldChar w:fldCharType="separate"/>
            </w:r>
            <w:r w:rsidR="000A08F3">
              <w:rPr>
                <w:noProof/>
                <w:webHidden/>
              </w:rPr>
              <w:t>10</w:t>
            </w:r>
            <w:r w:rsidR="000A08F3">
              <w:rPr>
                <w:noProof/>
                <w:webHidden/>
              </w:rPr>
              <w:fldChar w:fldCharType="end"/>
            </w:r>
          </w:hyperlink>
        </w:p>
        <w:p w14:paraId="3D24CE7B" w14:textId="1A38E51F"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61" w:history="1">
            <w:r w:rsidR="000A08F3" w:rsidRPr="00E577BA">
              <w:rPr>
                <w:rStyle w:val="Hyperlink"/>
                <w:noProof/>
              </w:rPr>
              <w:t>2.2.2.</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National anti-fraud strategies</w:t>
            </w:r>
            <w:r w:rsidR="000A08F3">
              <w:rPr>
                <w:noProof/>
                <w:webHidden/>
              </w:rPr>
              <w:tab/>
            </w:r>
            <w:r w:rsidR="000A08F3">
              <w:rPr>
                <w:noProof/>
                <w:webHidden/>
              </w:rPr>
              <w:fldChar w:fldCharType="begin"/>
            </w:r>
            <w:r w:rsidR="000A08F3">
              <w:rPr>
                <w:noProof/>
                <w:webHidden/>
              </w:rPr>
              <w:instrText xml:space="preserve"> PAGEREF _Toc203477661 \h </w:instrText>
            </w:r>
            <w:r w:rsidR="000A08F3">
              <w:rPr>
                <w:noProof/>
                <w:webHidden/>
              </w:rPr>
            </w:r>
            <w:r w:rsidR="000A08F3">
              <w:rPr>
                <w:noProof/>
                <w:webHidden/>
              </w:rPr>
              <w:fldChar w:fldCharType="separate"/>
            </w:r>
            <w:r w:rsidR="000A08F3">
              <w:rPr>
                <w:noProof/>
                <w:webHidden/>
              </w:rPr>
              <w:t>10</w:t>
            </w:r>
            <w:r w:rsidR="000A08F3">
              <w:rPr>
                <w:noProof/>
                <w:webHidden/>
              </w:rPr>
              <w:fldChar w:fldCharType="end"/>
            </w:r>
          </w:hyperlink>
        </w:p>
        <w:p w14:paraId="48121FA5" w14:textId="2B4B31F5"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62" w:history="1">
            <w:r w:rsidR="000A08F3" w:rsidRPr="00E577BA">
              <w:rPr>
                <w:rStyle w:val="Hyperlink"/>
                <w:noProof/>
              </w:rPr>
              <w:t>2.2.3.</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National measures adopted to strengthen the protection of the EU’s financial interests</w:t>
            </w:r>
            <w:r w:rsidR="000A08F3">
              <w:rPr>
                <w:noProof/>
                <w:webHidden/>
              </w:rPr>
              <w:tab/>
            </w:r>
            <w:r w:rsidR="000A08F3">
              <w:rPr>
                <w:noProof/>
                <w:webHidden/>
              </w:rPr>
              <w:fldChar w:fldCharType="begin"/>
            </w:r>
            <w:r w:rsidR="000A08F3">
              <w:rPr>
                <w:noProof/>
                <w:webHidden/>
              </w:rPr>
              <w:instrText xml:space="preserve"> PAGEREF _Toc203477662 \h </w:instrText>
            </w:r>
            <w:r w:rsidR="000A08F3">
              <w:rPr>
                <w:noProof/>
                <w:webHidden/>
              </w:rPr>
            </w:r>
            <w:r w:rsidR="000A08F3">
              <w:rPr>
                <w:noProof/>
                <w:webHidden/>
              </w:rPr>
              <w:fldChar w:fldCharType="separate"/>
            </w:r>
            <w:r w:rsidR="000A08F3">
              <w:rPr>
                <w:noProof/>
                <w:webHidden/>
              </w:rPr>
              <w:t>11</w:t>
            </w:r>
            <w:r w:rsidR="000A08F3">
              <w:rPr>
                <w:noProof/>
                <w:webHidden/>
              </w:rPr>
              <w:fldChar w:fldCharType="end"/>
            </w:r>
          </w:hyperlink>
        </w:p>
        <w:p w14:paraId="7A54EA69" w14:textId="0CBBD1C0"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63" w:history="1">
            <w:r w:rsidR="000A08F3" w:rsidRPr="00E577BA">
              <w:rPr>
                <w:rStyle w:val="Hyperlink"/>
                <w:noProof/>
              </w:rPr>
              <w:t>2.2.4.</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Enhanced cooperation and information exchange</w:t>
            </w:r>
            <w:r w:rsidR="000A08F3">
              <w:rPr>
                <w:noProof/>
                <w:webHidden/>
              </w:rPr>
              <w:tab/>
            </w:r>
            <w:r w:rsidR="000A08F3">
              <w:rPr>
                <w:noProof/>
                <w:webHidden/>
              </w:rPr>
              <w:fldChar w:fldCharType="begin"/>
            </w:r>
            <w:r w:rsidR="000A08F3">
              <w:rPr>
                <w:noProof/>
                <w:webHidden/>
              </w:rPr>
              <w:instrText xml:space="preserve"> PAGEREF _Toc203477663 \h </w:instrText>
            </w:r>
            <w:r w:rsidR="000A08F3">
              <w:rPr>
                <w:noProof/>
                <w:webHidden/>
              </w:rPr>
            </w:r>
            <w:r w:rsidR="000A08F3">
              <w:rPr>
                <w:noProof/>
                <w:webHidden/>
              </w:rPr>
              <w:fldChar w:fldCharType="separate"/>
            </w:r>
            <w:r w:rsidR="000A08F3">
              <w:rPr>
                <w:noProof/>
                <w:webHidden/>
              </w:rPr>
              <w:t>13</w:t>
            </w:r>
            <w:r w:rsidR="000A08F3">
              <w:rPr>
                <w:noProof/>
                <w:webHidden/>
              </w:rPr>
              <w:fldChar w:fldCharType="end"/>
            </w:r>
          </w:hyperlink>
        </w:p>
        <w:p w14:paraId="26B1A672" w14:textId="6D08E4C4"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64" w:history="1">
            <w:r w:rsidR="000A08F3" w:rsidRPr="00E577BA">
              <w:rPr>
                <w:rStyle w:val="Hyperlink"/>
              </w:rPr>
              <w:t>2.3.</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Cooperation between the EU and national level</w:t>
            </w:r>
            <w:r w:rsidR="000A08F3">
              <w:rPr>
                <w:webHidden/>
              </w:rPr>
              <w:tab/>
            </w:r>
            <w:r w:rsidR="000A08F3">
              <w:rPr>
                <w:webHidden/>
              </w:rPr>
              <w:fldChar w:fldCharType="begin"/>
            </w:r>
            <w:r w:rsidR="000A08F3">
              <w:rPr>
                <w:webHidden/>
              </w:rPr>
              <w:instrText xml:space="preserve"> PAGEREF _Toc203477664 \h </w:instrText>
            </w:r>
            <w:r w:rsidR="000A08F3">
              <w:rPr>
                <w:webHidden/>
              </w:rPr>
            </w:r>
            <w:r w:rsidR="000A08F3">
              <w:rPr>
                <w:webHidden/>
              </w:rPr>
              <w:fldChar w:fldCharType="separate"/>
            </w:r>
            <w:r w:rsidR="000A08F3">
              <w:rPr>
                <w:webHidden/>
              </w:rPr>
              <w:t>13</w:t>
            </w:r>
            <w:r w:rsidR="000A08F3">
              <w:rPr>
                <w:webHidden/>
              </w:rPr>
              <w:fldChar w:fldCharType="end"/>
            </w:r>
          </w:hyperlink>
        </w:p>
        <w:p w14:paraId="084B3743" w14:textId="0F3A8825"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65" w:history="1">
            <w:r w:rsidR="000A08F3" w:rsidRPr="00E577BA">
              <w:rPr>
                <w:rStyle w:val="Hyperlink"/>
                <w:noProof/>
              </w:rPr>
              <w:t>2.3.1.</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 xml:space="preserve">Dedicated </w:t>
            </w:r>
            <w:r w:rsidR="000A08F3" w:rsidRPr="00E577BA">
              <w:rPr>
                <w:rStyle w:val="Hyperlink"/>
                <w:i/>
                <w:noProof/>
              </w:rPr>
              <w:t>forums</w:t>
            </w:r>
            <w:r w:rsidR="000A08F3" w:rsidRPr="00E577BA">
              <w:rPr>
                <w:rStyle w:val="Hyperlink"/>
                <w:noProof/>
              </w:rPr>
              <w:t>: COCOLAF and its subgroups</w:t>
            </w:r>
            <w:r w:rsidR="000A08F3">
              <w:rPr>
                <w:noProof/>
                <w:webHidden/>
              </w:rPr>
              <w:tab/>
            </w:r>
            <w:r w:rsidR="000A08F3">
              <w:rPr>
                <w:noProof/>
                <w:webHidden/>
              </w:rPr>
              <w:fldChar w:fldCharType="begin"/>
            </w:r>
            <w:r w:rsidR="000A08F3">
              <w:rPr>
                <w:noProof/>
                <w:webHidden/>
              </w:rPr>
              <w:instrText xml:space="preserve"> PAGEREF _Toc203477665 \h </w:instrText>
            </w:r>
            <w:r w:rsidR="000A08F3">
              <w:rPr>
                <w:noProof/>
                <w:webHidden/>
              </w:rPr>
            </w:r>
            <w:r w:rsidR="000A08F3">
              <w:rPr>
                <w:noProof/>
                <w:webHidden/>
              </w:rPr>
              <w:fldChar w:fldCharType="separate"/>
            </w:r>
            <w:r w:rsidR="000A08F3">
              <w:rPr>
                <w:noProof/>
                <w:webHidden/>
              </w:rPr>
              <w:t>13</w:t>
            </w:r>
            <w:r w:rsidR="000A08F3">
              <w:rPr>
                <w:noProof/>
                <w:webHidden/>
              </w:rPr>
              <w:fldChar w:fldCharType="end"/>
            </w:r>
          </w:hyperlink>
        </w:p>
        <w:p w14:paraId="4893C2A2" w14:textId="68FF671D"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66" w:history="1">
            <w:r w:rsidR="000A08F3" w:rsidRPr="00E577BA">
              <w:rPr>
                <w:rStyle w:val="Hyperlink"/>
                <w:noProof/>
              </w:rPr>
              <w:t>2.3.2.</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Implementation of the EU anti-fraud programme</w:t>
            </w:r>
            <w:r w:rsidR="000A08F3">
              <w:rPr>
                <w:noProof/>
                <w:webHidden/>
              </w:rPr>
              <w:tab/>
            </w:r>
            <w:r w:rsidR="000A08F3">
              <w:rPr>
                <w:noProof/>
                <w:webHidden/>
              </w:rPr>
              <w:fldChar w:fldCharType="begin"/>
            </w:r>
            <w:r w:rsidR="000A08F3">
              <w:rPr>
                <w:noProof/>
                <w:webHidden/>
              </w:rPr>
              <w:instrText xml:space="preserve"> PAGEREF _Toc203477666 \h </w:instrText>
            </w:r>
            <w:r w:rsidR="000A08F3">
              <w:rPr>
                <w:noProof/>
                <w:webHidden/>
              </w:rPr>
            </w:r>
            <w:r w:rsidR="000A08F3">
              <w:rPr>
                <w:noProof/>
                <w:webHidden/>
              </w:rPr>
              <w:fldChar w:fldCharType="separate"/>
            </w:r>
            <w:r w:rsidR="000A08F3">
              <w:rPr>
                <w:noProof/>
                <w:webHidden/>
              </w:rPr>
              <w:t>14</w:t>
            </w:r>
            <w:r w:rsidR="000A08F3">
              <w:rPr>
                <w:noProof/>
                <w:webHidden/>
              </w:rPr>
              <w:fldChar w:fldCharType="end"/>
            </w:r>
          </w:hyperlink>
        </w:p>
        <w:p w14:paraId="679E8AA7" w14:textId="57A4CFCE"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67" w:history="1">
            <w:r w:rsidR="000A08F3" w:rsidRPr="00E577BA">
              <w:rPr>
                <w:rStyle w:val="Hyperlink"/>
                <w:noProof/>
              </w:rPr>
              <w:t>2.3.3.</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Improving reporting and follow-up of suspected fraud</w:t>
            </w:r>
            <w:r w:rsidR="000A08F3">
              <w:rPr>
                <w:noProof/>
                <w:webHidden/>
              </w:rPr>
              <w:tab/>
            </w:r>
            <w:r w:rsidR="000A08F3">
              <w:rPr>
                <w:noProof/>
                <w:webHidden/>
              </w:rPr>
              <w:fldChar w:fldCharType="begin"/>
            </w:r>
            <w:r w:rsidR="000A08F3">
              <w:rPr>
                <w:noProof/>
                <w:webHidden/>
              </w:rPr>
              <w:instrText xml:space="preserve"> PAGEREF _Toc203477667 \h </w:instrText>
            </w:r>
            <w:r w:rsidR="000A08F3">
              <w:rPr>
                <w:noProof/>
                <w:webHidden/>
              </w:rPr>
            </w:r>
            <w:r w:rsidR="000A08F3">
              <w:rPr>
                <w:noProof/>
                <w:webHidden/>
              </w:rPr>
              <w:fldChar w:fldCharType="separate"/>
            </w:r>
            <w:r w:rsidR="000A08F3">
              <w:rPr>
                <w:noProof/>
                <w:webHidden/>
              </w:rPr>
              <w:t>14</w:t>
            </w:r>
            <w:r w:rsidR="000A08F3">
              <w:rPr>
                <w:noProof/>
                <w:webHidden/>
              </w:rPr>
              <w:fldChar w:fldCharType="end"/>
            </w:r>
          </w:hyperlink>
        </w:p>
        <w:p w14:paraId="483A25A6" w14:textId="6E6AC065" w:rsidR="000A08F3" w:rsidRDefault="00E70746">
          <w:pPr>
            <w:pStyle w:val="TOC1"/>
            <w:rPr>
              <w:rFonts w:asciiTheme="minorHAnsi" w:eastAsiaTheme="minorEastAsia" w:hAnsiTheme="minorHAnsi" w:cstheme="minorBidi"/>
              <w:b w:val="0"/>
              <w:noProof/>
              <w:kern w:val="2"/>
              <w:sz w:val="24"/>
              <w:szCs w:val="24"/>
              <w:lang w:val="en-IE" w:eastAsia="en-IE"/>
              <w14:ligatures w14:val="standardContextual"/>
            </w:rPr>
          </w:pPr>
          <w:hyperlink w:anchor="_Toc203477668" w:history="1">
            <w:r w:rsidR="000A08F3" w:rsidRPr="00E577BA">
              <w:rPr>
                <w:rStyle w:val="Hyperlink"/>
                <w:noProof/>
              </w:rPr>
              <w:t>3.</w:t>
            </w:r>
            <w:r w:rsidR="000A08F3">
              <w:rPr>
                <w:rFonts w:asciiTheme="minorHAnsi" w:eastAsiaTheme="minorEastAsia" w:hAnsiTheme="minorHAnsi" w:cstheme="minorBidi"/>
                <w:b w:val="0"/>
                <w:noProof/>
                <w:kern w:val="2"/>
                <w:sz w:val="24"/>
                <w:szCs w:val="24"/>
                <w:lang w:val="en-IE" w:eastAsia="en-IE"/>
                <w14:ligatures w14:val="standardContextual"/>
              </w:rPr>
              <w:tab/>
            </w:r>
            <w:r w:rsidR="000A08F3" w:rsidRPr="00E577BA">
              <w:rPr>
                <w:rStyle w:val="Hyperlink"/>
                <w:noProof/>
              </w:rPr>
              <w:t>Digitalisation of the fight against fraud</w:t>
            </w:r>
            <w:r w:rsidR="000A08F3">
              <w:rPr>
                <w:noProof/>
                <w:webHidden/>
              </w:rPr>
              <w:tab/>
            </w:r>
            <w:r w:rsidR="000A08F3">
              <w:rPr>
                <w:noProof/>
                <w:webHidden/>
              </w:rPr>
              <w:fldChar w:fldCharType="begin"/>
            </w:r>
            <w:r w:rsidR="000A08F3">
              <w:rPr>
                <w:noProof/>
                <w:webHidden/>
              </w:rPr>
              <w:instrText xml:space="preserve"> PAGEREF _Toc203477668 \h </w:instrText>
            </w:r>
            <w:r w:rsidR="000A08F3">
              <w:rPr>
                <w:noProof/>
                <w:webHidden/>
              </w:rPr>
            </w:r>
            <w:r w:rsidR="000A08F3">
              <w:rPr>
                <w:noProof/>
                <w:webHidden/>
              </w:rPr>
              <w:fldChar w:fldCharType="separate"/>
            </w:r>
            <w:r w:rsidR="000A08F3">
              <w:rPr>
                <w:noProof/>
                <w:webHidden/>
              </w:rPr>
              <w:t>15</w:t>
            </w:r>
            <w:r w:rsidR="000A08F3">
              <w:rPr>
                <w:noProof/>
                <w:webHidden/>
              </w:rPr>
              <w:fldChar w:fldCharType="end"/>
            </w:r>
          </w:hyperlink>
        </w:p>
        <w:p w14:paraId="79C32A3E" w14:textId="13AF0D0F"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69" w:history="1">
            <w:r w:rsidR="000A08F3" w:rsidRPr="00E577BA">
              <w:rPr>
                <w:rStyle w:val="Hyperlink"/>
              </w:rPr>
              <w:t>3.1.</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Foster digitalisation and the use of IT tools to fight fraud in the Commission</w:t>
            </w:r>
            <w:r w:rsidR="000A08F3">
              <w:rPr>
                <w:webHidden/>
              </w:rPr>
              <w:tab/>
            </w:r>
            <w:r w:rsidR="000A08F3">
              <w:rPr>
                <w:webHidden/>
              </w:rPr>
              <w:fldChar w:fldCharType="begin"/>
            </w:r>
            <w:r w:rsidR="000A08F3">
              <w:rPr>
                <w:webHidden/>
              </w:rPr>
              <w:instrText xml:space="preserve"> PAGEREF _Toc203477669 \h </w:instrText>
            </w:r>
            <w:r w:rsidR="000A08F3">
              <w:rPr>
                <w:webHidden/>
              </w:rPr>
            </w:r>
            <w:r w:rsidR="000A08F3">
              <w:rPr>
                <w:webHidden/>
              </w:rPr>
              <w:fldChar w:fldCharType="separate"/>
            </w:r>
            <w:r w:rsidR="000A08F3">
              <w:rPr>
                <w:webHidden/>
              </w:rPr>
              <w:t>15</w:t>
            </w:r>
            <w:r w:rsidR="000A08F3">
              <w:rPr>
                <w:webHidden/>
              </w:rPr>
              <w:fldChar w:fldCharType="end"/>
            </w:r>
          </w:hyperlink>
        </w:p>
        <w:p w14:paraId="4F387DAA" w14:textId="16762CDD"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70" w:history="1">
            <w:r w:rsidR="000A08F3" w:rsidRPr="00E577BA">
              <w:rPr>
                <w:rStyle w:val="Hyperlink"/>
              </w:rPr>
              <w:t>3.2.</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National measures aimed to step up digitalisation of the fight against fraud</w:t>
            </w:r>
            <w:r w:rsidR="000A08F3">
              <w:rPr>
                <w:webHidden/>
              </w:rPr>
              <w:tab/>
            </w:r>
            <w:r w:rsidR="000A08F3">
              <w:rPr>
                <w:webHidden/>
              </w:rPr>
              <w:fldChar w:fldCharType="begin"/>
            </w:r>
            <w:r w:rsidR="000A08F3">
              <w:rPr>
                <w:webHidden/>
              </w:rPr>
              <w:instrText xml:space="preserve"> PAGEREF _Toc203477670 \h </w:instrText>
            </w:r>
            <w:r w:rsidR="000A08F3">
              <w:rPr>
                <w:webHidden/>
              </w:rPr>
            </w:r>
            <w:r w:rsidR="000A08F3">
              <w:rPr>
                <w:webHidden/>
              </w:rPr>
              <w:fldChar w:fldCharType="separate"/>
            </w:r>
            <w:r w:rsidR="000A08F3">
              <w:rPr>
                <w:webHidden/>
              </w:rPr>
              <w:t>16</w:t>
            </w:r>
            <w:r w:rsidR="000A08F3">
              <w:rPr>
                <w:webHidden/>
              </w:rPr>
              <w:fldChar w:fldCharType="end"/>
            </w:r>
          </w:hyperlink>
        </w:p>
        <w:p w14:paraId="4539C763" w14:textId="50C50E77"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71" w:history="1">
            <w:r w:rsidR="000A08F3" w:rsidRPr="00E577BA">
              <w:rPr>
                <w:rStyle w:val="Hyperlink"/>
                <w:noProof/>
              </w:rPr>
              <w:t>3.2.1.</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Follow-up to the recommendation of the 2023 PIF report on accelerating the digitalisation of the fight against fraud</w:t>
            </w:r>
            <w:r w:rsidR="000A08F3">
              <w:rPr>
                <w:noProof/>
                <w:webHidden/>
              </w:rPr>
              <w:tab/>
            </w:r>
            <w:r w:rsidR="000A08F3">
              <w:rPr>
                <w:noProof/>
                <w:webHidden/>
              </w:rPr>
              <w:fldChar w:fldCharType="begin"/>
            </w:r>
            <w:r w:rsidR="000A08F3">
              <w:rPr>
                <w:noProof/>
                <w:webHidden/>
              </w:rPr>
              <w:instrText xml:space="preserve"> PAGEREF _Toc203477671 \h </w:instrText>
            </w:r>
            <w:r w:rsidR="000A08F3">
              <w:rPr>
                <w:noProof/>
                <w:webHidden/>
              </w:rPr>
            </w:r>
            <w:r w:rsidR="000A08F3">
              <w:rPr>
                <w:noProof/>
                <w:webHidden/>
              </w:rPr>
              <w:fldChar w:fldCharType="separate"/>
            </w:r>
            <w:r w:rsidR="000A08F3">
              <w:rPr>
                <w:noProof/>
                <w:webHidden/>
              </w:rPr>
              <w:t>16</w:t>
            </w:r>
            <w:r w:rsidR="000A08F3">
              <w:rPr>
                <w:noProof/>
                <w:webHidden/>
              </w:rPr>
              <w:fldChar w:fldCharType="end"/>
            </w:r>
          </w:hyperlink>
        </w:p>
        <w:p w14:paraId="54A2F8A1" w14:textId="6E676364"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72" w:history="1">
            <w:r w:rsidR="000A08F3" w:rsidRPr="00E577BA">
              <w:rPr>
                <w:rStyle w:val="Hyperlink"/>
                <w:noProof/>
              </w:rPr>
              <w:t>3.2.2.</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Digitalisation and the use of new technologies in control systems</w:t>
            </w:r>
            <w:r w:rsidR="000A08F3">
              <w:rPr>
                <w:noProof/>
                <w:webHidden/>
              </w:rPr>
              <w:tab/>
            </w:r>
            <w:r w:rsidR="000A08F3">
              <w:rPr>
                <w:noProof/>
                <w:webHidden/>
              </w:rPr>
              <w:fldChar w:fldCharType="begin"/>
            </w:r>
            <w:r w:rsidR="000A08F3">
              <w:rPr>
                <w:noProof/>
                <w:webHidden/>
              </w:rPr>
              <w:instrText xml:space="preserve"> PAGEREF _Toc203477672 \h </w:instrText>
            </w:r>
            <w:r w:rsidR="000A08F3">
              <w:rPr>
                <w:noProof/>
                <w:webHidden/>
              </w:rPr>
            </w:r>
            <w:r w:rsidR="000A08F3">
              <w:rPr>
                <w:noProof/>
                <w:webHidden/>
              </w:rPr>
              <w:fldChar w:fldCharType="separate"/>
            </w:r>
            <w:r w:rsidR="000A08F3">
              <w:rPr>
                <w:noProof/>
                <w:webHidden/>
              </w:rPr>
              <w:t>18</w:t>
            </w:r>
            <w:r w:rsidR="000A08F3">
              <w:rPr>
                <w:noProof/>
                <w:webHidden/>
              </w:rPr>
              <w:fldChar w:fldCharType="end"/>
            </w:r>
          </w:hyperlink>
        </w:p>
        <w:p w14:paraId="0B292643" w14:textId="0608CC7A" w:rsidR="000A08F3" w:rsidRDefault="00E70746">
          <w:pPr>
            <w:pStyle w:val="TOC1"/>
            <w:rPr>
              <w:rFonts w:asciiTheme="minorHAnsi" w:eastAsiaTheme="minorEastAsia" w:hAnsiTheme="minorHAnsi" w:cstheme="minorBidi"/>
              <w:b w:val="0"/>
              <w:noProof/>
              <w:kern w:val="2"/>
              <w:sz w:val="24"/>
              <w:szCs w:val="24"/>
              <w:lang w:val="en-IE" w:eastAsia="en-IE"/>
              <w14:ligatures w14:val="standardContextual"/>
            </w:rPr>
          </w:pPr>
          <w:hyperlink w:anchor="_Toc203477673" w:history="1">
            <w:r w:rsidR="000A08F3" w:rsidRPr="00E577BA">
              <w:rPr>
                <w:rStyle w:val="Hyperlink"/>
                <w:noProof/>
              </w:rPr>
              <w:t>4.</w:t>
            </w:r>
            <w:r w:rsidR="000A08F3">
              <w:rPr>
                <w:rFonts w:asciiTheme="minorHAnsi" w:eastAsiaTheme="minorEastAsia" w:hAnsiTheme="minorHAnsi" w:cstheme="minorBidi"/>
                <w:b w:val="0"/>
                <w:noProof/>
                <w:kern w:val="2"/>
                <w:sz w:val="24"/>
                <w:szCs w:val="24"/>
                <w:lang w:val="en-IE" w:eastAsia="en-IE"/>
                <w14:ligatures w14:val="standardContextual"/>
              </w:rPr>
              <w:tab/>
            </w:r>
            <w:r w:rsidR="000A08F3" w:rsidRPr="00E577BA">
              <w:rPr>
                <w:rStyle w:val="Hyperlink"/>
                <w:noProof/>
              </w:rPr>
              <w:t>Combating irregularities, fraud, corruption and conflicts of interest detrimental to the EU budget</w:t>
            </w:r>
            <w:r w:rsidR="000A08F3">
              <w:rPr>
                <w:noProof/>
                <w:webHidden/>
              </w:rPr>
              <w:tab/>
            </w:r>
            <w:r w:rsidR="000A08F3">
              <w:rPr>
                <w:noProof/>
                <w:webHidden/>
              </w:rPr>
              <w:fldChar w:fldCharType="begin"/>
            </w:r>
            <w:r w:rsidR="000A08F3">
              <w:rPr>
                <w:noProof/>
                <w:webHidden/>
              </w:rPr>
              <w:instrText xml:space="preserve"> PAGEREF _Toc203477673 \h </w:instrText>
            </w:r>
            <w:r w:rsidR="000A08F3">
              <w:rPr>
                <w:noProof/>
                <w:webHidden/>
              </w:rPr>
            </w:r>
            <w:r w:rsidR="000A08F3">
              <w:rPr>
                <w:noProof/>
                <w:webHidden/>
              </w:rPr>
              <w:fldChar w:fldCharType="separate"/>
            </w:r>
            <w:r w:rsidR="000A08F3">
              <w:rPr>
                <w:noProof/>
                <w:webHidden/>
              </w:rPr>
              <w:t>19</w:t>
            </w:r>
            <w:r w:rsidR="000A08F3">
              <w:rPr>
                <w:noProof/>
                <w:webHidden/>
              </w:rPr>
              <w:fldChar w:fldCharType="end"/>
            </w:r>
          </w:hyperlink>
        </w:p>
        <w:p w14:paraId="44AD8FC9" w14:textId="78000FEA"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74" w:history="1">
            <w:r w:rsidR="000A08F3" w:rsidRPr="00E577BA">
              <w:rPr>
                <w:rStyle w:val="Hyperlink"/>
              </w:rPr>
              <w:t>4.1.</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General overview</w:t>
            </w:r>
            <w:r w:rsidR="000A08F3">
              <w:rPr>
                <w:webHidden/>
              </w:rPr>
              <w:tab/>
            </w:r>
            <w:r w:rsidR="000A08F3">
              <w:rPr>
                <w:webHidden/>
              </w:rPr>
              <w:fldChar w:fldCharType="begin"/>
            </w:r>
            <w:r w:rsidR="000A08F3">
              <w:rPr>
                <w:webHidden/>
              </w:rPr>
              <w:instrText xml:space="preserve"> PAGEREF _Toc203477674 \h </w:instrText>
            </w:r>
            <w:r w:rsidR="000A08F3">
              <w:rPr>
                <w:webHidden/>
              </w:rPr>
            </w:r>
            <w:r w:rsidR="000A08F3">
              <w:rPr>
                <w:webHidden/>
              </w:rPr>
              <w:fldChar w:fldCharType="separate"/>
            </w:r>
            <w:r w:rsidR="000A08F3">
              <w:rPr>
                <w:webHidden/>
              </w:rPr>
              <w:t>19</w:t>
            </w:r>
            <w:r w:rsidR="000A08F3">
              <w:rPr>
                <w:webHidden/>
              </w:rPr>
              <w:fldChar w:fldCharType="end"/>
            </w:r>
          </w:hyperlink>
        </w:p>
        <w:p w14:paraId="5171FBBE" w14:textId="74BF455C"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75" w:history="1">
            <w:r w:rsidR="000A08F3" w:rsidRPr="00E577BA">
              <w:rPr>
                <w:rStyle w:val="Hyperlink"/>
                <w:noProof/>
              </w:rPr>
              <w:t>4.1.1.</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Investigations by OLAF</w:t>
            </w:r>
            <w:r w:rsidR="000A08F3">
              <w:rPr>
                <w:noProof/>
                <w:webHidden/>
              </w:rPr>
              <w:tab/>
            </w:r>
            <w:r w:rsidR="000A08F3">
              <w:rPr>
                <w:noProof/>
                <w:webHidden/>
              </w:rPr>
              <w:fldChar w:fldCharType="begin"/>
            </w:r>
            <w:r w:rsidR="000A08F3">
              <w:rPr>
                <w:noProof/>
                <w:webHidden/>
              </w:rPr>
              <w:instrText xml:space="preserve"> PAGEREF _Toc203477675 \h </w:instrText>
            </w:r>
            <w:r w:rsidR="000A08F3">
              <w:rPr>
                <w:noProof/>
                <w:webHidden/>
              </w:rPr>
            </w:r>
            <w:r w:rsidR="000A08F3">
              <w:rPr>
                <w:noProof/>
                <w:webHidden/>
              </w:rPr>
              <w:fldChar w:fldCharType="separate"/>
            </w:r>
            <w:r w:rsidR="000A08F3">
              <w:rPr>
                <w:noProof/>
                <w:webHidden/>
              </w:rPr>
              <w:t>20</w:t>
            </w:r>
            <w:r w:rsidR="000A08F3">
              <w:rPr>
                <w:noProof/>
                <w:webHidden/>
              </w:rPr>
              <w:fldChar w:fldCharType="end"/>
            </w:r>
          </w:hyperlink>
        </w:p>
        <w:p w14:paraId="1CD38D2E" w14:textId="433C346C"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76" w:history="1">
            <w:r w:rsidR="000A08F3" w:rsidRPr="00E577BA">
              <w:rPr>
                <w:rStyle w:val="Hyperlink"/>
                <w:noProof/>
              </w:rPr>
              <w:t>4.1.2.</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Investigations by the EPPO</w:t>
            </w:r>
            <w:r w:rsidR="000A08F3">
              <w:rPr>
                <w:noProof/>
                <w:webHidden/>
              </w:rPr>
              <w:tab/>
            </w:r>
            <w:r w:rsidR="000A08F3">
              <w:rPr>
                <w:noProof/>
                <w:webHidden/>
              </w:rPr>
              <w:fldChar w:fldCharType="begin"/>
            </w:r>
            <w:r w:rsidR="000A08F3">
              <w:rPr>
                <w:noProof/>
                <w:webHidden/>
              </w:rPr>
              <w:instrText xml:space="preserve"> PAGEREF _Toc203477676 \h </w:instrText>
            </w:r>
            <w:r w:rsidR="000A08F3">
              <w:rPr>
                <w:noProof/>
                <w:webHidden/>
              </w:rPr>
            </w:r>
            <w:r w:rsidR="000A08F3">
              <w:rPr>
                <w:noProof/>
                <w:webHidden/>
              </w:rPr>
              <w:fldChar w:fldCharType="separate"/>
            </w:r>
            <w:r w:rsidR="000A08F3">
              <w:rPr>
                <w:noProof/>
                <w:webHidden/>
              </w:rPr>
              <w:t>21</w:t>
            </w:r>
            <w:r w:rsidR="000A08F3">
              <w:rPr>
                <w:noProof/>
                <w:webHidden/>
              </w:rPr>
              <w:fldChar w:fldCharType="end"/>
            </w:r>
          </w:hyperlink>
        </w:p>
        <w:p w14:paraId="7ADBD96D" w14:textId="42773315"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77" w:history="1">
            <w:r w:rsidR="000A08F3" w:rsidRPr="00E577BA">
              <w:rPr>
                <w:rStyle w:val="Hyperlink"/>
              </w:rPr>
              <w:t>4.2.</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Revenue</w:t>
            </w:r>
            <w:r w:rsidR="000A08F3">
              <w:rPr>
                <w:webHidden/>
              </w:rPr>
              <w:tab/>
            </w:r>
            <w:r w:rsidR="000A08F3">
              <w:rPr>
                <w:webHidden/>
              </w:rPr>
              <w:fldChar w:fldCharType="begin"/>
            </w:r>
            <w:r w:rsidR="000A08F3">
              <w:rPr>
                <w:webHidden/>
              </w:rPr>
              <w:instrText xml:space="preserve"> PAGEREF _Toc203477677 \h </w:instrText>
            </w:r>
            <w:r w:rsidR="000A08F3">
              <w:rPr>
                <w:webHidden/>
              </w:rPr>
            </w:r>
            <w:r w:rsidR="000A08F3">
              <w:rPr>
                <w:webHidden/>
              </w:rPr>
              <w:fldChar w:fldCharType="separate"/>
            </w:r>
            <w:r w:rsidR="000A08F3">
              <w:rPr>
                <w:webHidden/>
              </w:rPr>
              <w:t>21</w:t>
            </w:r>
            <w:r w:rsidR="000A08F3">
              <w:rPr>
                <w:webHidden/>
              </w:rPr>
              <w:fldChar w:fldCharType="end"/>
            </w:r>
          </w:hyperlink>
        </w:p>
        <w:p w14:paraId="5F3121E2" w14:textId="31397487"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78" w:history="1">
            <w:r w:rsidR="000A08F3" w:rsidRPr="00E577BA">
              <w:rPr>
                <w:rStyle w:val="Hyperlink"/>
                <w:noProof/>
              </w:rPr>
              <w:t>4.2.1.</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Revenue – VAT</w:t>
            </w:r>
            <w:r w:rsidR="000A08F3">
              <w:rPr>
                <w:noProof/>
                <w:webHidden/>
              </w:rPr>
              <w:tab/>
            </w:r>
            <w:r w:rsidR="000A08F3">
              <w:rPr>
                <w:noProof/>
                <w:webHidden/>
              </w:rPr>
              <w:fldChar w:fldCharType="begin"/>
            </w:r>
            <w:r w:rsidR="000A08F3">
              <w:rPr>
                <w:noProof/>
                <w:webHidden/>
              </w:rPr>
              <w:instrText xml:space="preserve"> PAGEREF _Toc203477678 \h </w:instrText>
            </w:r>
            <w:r w:rsidR="000A08F3">
              <w:rPr>
                <w:noProof/>
                <w:webHidden/>
              </w:rPr>
            </w:r>
            <w:r w:rsidR="000A08F3">
              <w:rPr>
                <w:noProof/>
                <w:webHidden/>
              </w:rPr>
              <w:fldChar w:fldCharType="separate"/>
            </w:r>
            <w:r w:rsidR="000A08F3">
              <w:rPr>
                <w:noProof/>
                <w:webHidden/>
              </w:rPr>
              <w:t>21</w:t>
            </w:r>
            <w:r w:rsidR="000A08F3">
              <w:rPr>
                <w:noProof/>
                <w:webHidden/>
              </w:rPr>
              <w:fldChar w:fldCharType="end"/>
            </w:r>
          </w:hyperlink>
        </w:p>
        <w:p w14:paraId="7AEDBB88" w14:textId="0C951E80"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79" w:history="1">
            <w:r w:rsidR="000A08F3" w:rsidRPr="00E577BA">
              <w:rPr>
                <w:rStyle w:val="Hyperlink"/>
                <w:noProof/>
              </w:rPr>
              <w:t>4.2.2.</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Revenue – traditional own resources </w:t>
            </w:r>
            <w:r w:rsidR="000A08F3">
              <w:rPr>
                <w:noProof/>
                <w:webHidden/>
              </w:rPr>
              <w:tab/>
            </w:r>
            <w:r w:rsidR="000A08F3">
              <w:rPr>
                <w:noProof/>
                <w:webHidden/>
              </w:rPr>
              <w:fldChar w:fldCharType="begin"/>
            </w:r>
            <w:r w:rsidR="000A08F3">
              <w:rPr>
                <w:noProof/>
                <w:webHidden/>
              </w:rPr>
              <w:instrText xml:space="preserve"> PAGEREF _Toc203477679 \h </w:instrText>
            </w:r>
            <w:r w:rsidR="000A08F3">
              <w:rPr>
                <w:noProof/>
                <w:webHidden/>
              </w:rPr>
            </w:r>
            <w:r w:rsidR="000A08F3">
              <w:rPr>
                <w:noProof/>
                <w:webHidden/>
              </w:rPr>
              <w:fldChar w:fldCharType="separate"/>
            </w:r>
            <w:r w:rsidR="000A08F3">
              <w:rPr>
                <w:noProof/>
                <w:webHidden/>
              </w:rPr>
              <w:t>22</w:t>
            </w:r>
            <w:r w:rsidR="000A08F3">
              <w:rPr>
                <w:noProof/>
                <w:webHidden/>
              </w:rPr>
              <w:fldChar w:fldCharType="end"/>
            </w:r>
          </w:hyperlink>
        </w:p>
        <w:p w14:paraId="0D4047D8" w14:textId="24B52DBD"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80" w:history="1">
            <w:r w:rsidR="000A08F3" w:rsidRPr="00E577BA">
              <w:rPr>
                <w:rStyle w:val="Hyperlink"/>
              </w:rPr>
              <w:t>4.3.</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Expenditure</w:t>
            </w:r>
            <w:r w:rsidR="000A08F3">
              <w:rPr>
                <w:webHidden/>
              </w:rPr>
              <w:tab/>
            </w:r>
            <w:r w:rsidR="000A08F3">
              <w:rPr>
                <w:webHidden/>
              </w:rPr>
              <w:fldChar w:fldCharType="begin"/>
            </w:r>
            <w:r w:rsidR="000A08F3">
              <w:rPr>
                <w:webHidden/>
              </w:rPr>
              <w:instrText xml:space="preserve"> PAGEREF _Toc203477680 \h </w:instrText>
            </w:r>
            <w:r w:rsidR="000A08F3">
              <w:rPr>
                <w:webHidden/>
              </w:rPr>
            </w:r>
            <w:r w:rsidR="000A08F3">
              <w:rPr>
                <w:webHidden/>
              </w:rPr>
              <w:fldChar w:fldCharType="separate"/>
            </w:r>
            <w:r w:rsidR="000A08F3">
              <w:rPr>
                <w:webHidden/>
              </w:rPr>
              <w:t>24</w:t>
            </w:r>
            <w:r w:rsidR="000A08F3">
              <w:rPr>
                <w:webHidden/>
              </w:rPr>
              <w:fldChar w:fldCharType="end"/>
            </w:r>
          </w:hyperlink>
        </w:p>
        <w:p w14:paraId="7610F19F" w14:textId="0C088C41"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81" w:history="1">
            <w:r w:rsidR="000A08F3" w:rsidRPr="00E577BA">
              <w:rPr>
                <w:rStyle w:val="Hyperlink"/>
                <w:noProof/>
              </w:rPr>
              <w:t>4.3.1.</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Agriculture </w:t>
            </w:r>
            <w:r w:rsidR="000A08F3">
              <w:rPr>
                <w:noProof/>
                <w:webHidden/>
              </w:rPr>
              <w:tab/>
            </w:r>
            <w:r w:rsidR="000A08F3">
              <w:rPr>
                <w:noProof/>
                <w:webHidden/>
              </w:rPr>
              <w:fldChar w:fldCharType="begin"/>
            </w:r>
            <w:r w:rsidR="000A08F3">
              <w:rPr>
                <w:noProof/>
                <w:webHidden/>
              </w:rPr>
              <w:instrText xml:space="preserve"> PAGEREF _Toc203477681 \h </w:instrText>
            </w:r>
            <w:r w:rsidR="000A08F3">
              <w:rPr>
                <w:noProof/>
                <w:webHidden/>
              </w:rPr>
            </w:r>
            <w:r w:rsidR="000A08F3">
              <w:rPr>
                <w:noProof/>
                <w:webHidden/>
              </w:rPr>
              <w:fldChar w:fldCharType="separate"/>
            </w:r>
            <w:r w:rsidR="000A08F3">
              <w:rPr>
                <w:noProof/>
                <w:webHidden/>
              </w:rPr>
              <w:t>25</w:t>
            </w:r>
            <w:r w:rsidR="000A08F3">
              <w:rPr>
                <w:noProof/>
                <w:webHidden/>
              </w:rPr>
              <w:fldChar w:fldCharType="end"/>
            </w:r>
          </w:hyperlink>
        </w:p>
        <w:p w14:paraId="03125DE5" w14:textId="7CE6FED6"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82" w:history="1">
            <w:r w:rsidR="000A08F3" w:rsidRPr="00E577BA">
              <w:rPr>
                <w:rStyle w:val="Hyperlink"/>
                <w:bCs/>
                <w:noProof/>
              </w:rPr>
              <w:t>4.3.2.</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Cohesion policy </w:t>
            </w:r>
            <w:r w:rsidR="000A08F3">
              <w:rPr>
                <w:noProof/>
                <w:webHidden/>
              </w:rPr>
              <w:tab/>
            </w:r>
            <w:r w:rsidR="000A08F3">
              <w:rPr>
                <w:noProof/>
                <w:webHidden/>
              </w:rPr>
              <w:fldChar w:fldCharType="begin"/>
            </w:r>
            <w:r w:rsidR="000A08F3">
              <w:rPr>
                <w:noProof/>
                <w:webHidden/>
              </w:rPr>
              <w:instrText xml:space="preserve"> PAGEREF _Toc203477682 \h </w:instrText>
            </w:r>
            <w:r w:rsidR="000A08F3">
              <w:rPr>
                <w:noProof/>
                <w:webHidden/>
              </w:rPr>
            </w:r>
            <w:r w:rsidR="000A08F3">
              <w:rPr>
                <w:noProof/>
                <w:webHidden/>
              </w:rPr>
              <w:fldChar w:fldCharType="separate"/>
            </w:r>
            <w:r w:rsidR="000A08F3">
              <w:rPr>
                <w:noProof/>
                <w:webHidden/>
              </w:rPr>
              <w:t>26</w:t>
            </w:r>
            <w:r w:rsidR="000A08F3">
              <w:rPr>
                <w:noProof/>
                <w:webHidden/>
              </w:rPr>
              <w:fldChar w:fldCharType="end"/>
            </w:r>
          </w:hyperlink>
        </w:p>
        <w:p w14:paraId="72A8DADA" w14:textId="450E5249"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83" w:history="1">
            <w:r w:rsidR="000A08F3" w:rsidRPr="00E577BA">
              <w:rPr>
                <w:rStyle w:val="Hyperlink"/>
                <w:noProof/>
              </w:rPr>
              <w:t>4.3.3.</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Other budgetary areas </w:t>
            </w:r>
            <w:r w:rsidR="000A08F3">
              <w:rPr>
                <w:noProof/>
                <w:webHidden/>
              </w:rPr>
              <w:tab/>
            </w:r>
            <w:r w:rsidR="000A08F3">
              <w:rPr>
                <w:noProof/>
                <w:webHidden/>
              </w:rPr>
              <w:fldChar w:fldCharType="begin"/>
            </w:r>
            <w:r w:rsidR="000A08F3">
              <w:rPr>
                <w:noProof/>
                <w:webHidden/>
              </w:rPr>
              <w:instrText xml:space="preserve"> PAGEREF _Toc203477683 \h </w:instrText>
            </w:r>
            <w:r w:rsidR="000A08F3">
              <w:rPr>
                <w:noProof/>
                <w:webHidden/>
              </w:rPr>
            </w:r>
            <w:r w:rsidR="000A08F3">
              <w:rPr>
                <w:noProof/>
                <w:webHidden/>
              </w:rPr>
              <w:fldChar w:fldCharType="separate"/>
            </w:r>
            <w:r w:rsidR="000A08F3">
              <w:rPr>
                <w:noProof/>
                <w:webHidden/>
              </w:rPr>
              <w:t>28</w:t>
            </w:r>
            <w:r w:rsidR="000A08F3">
              <w:rPr>
                <w:noProof/>
                <w:webHidden/>
              </w:rPr>
              <w:fldChar w:fldCharType="end"/>
            </w:r>
          </w:hyperlink>
        </w:p>
        <w:p w14:paraId="52E0D408" w14:textId="76389E85" w:rsidR="000A08F3" w:rsidRDefault="00E70746">
          <w:pPr>
            <w:pStyle w:val="TOC3"/>
            <w:rPr>
              <w:rFonts w:asciiTheme="minorHAnsi" w:eastAsiaTheme="minorEastAsia" w:hAnsiTheme="minorHAnsi" w:cstheme="minorBidi"/>
              <w:noProof/>
              <w:kern w:val="2"/>
              <w:sz w:val="24"/>
              <w:szCs w:val="24"/>
              <w:lang w:val="en-IE" w:eastAsia="en-IE"/>
              <w14:ligatures w14:val="standardContextual"/>
            </w:rPr>
          </w:pPr>
          <w:hyperlink w:anchor="_Toc203477684" w:history="1">
            <w:r w:rsidR="000A08F3" w:rsidRPr="00E577BA">
              <w:rPr>
                <w:rStyle w:val="Hyperlink"/>
                <w:noProof/>
              </w:rPr>
              <w:t>4.3.4.</w:t>
            </w:r>
            <w:r w:rsidR="000A08F3">
              <w:rPr>
                <w:rFonts w:asciiTheme="minorHAnsi" w:eastAsiaTheme="minorEastAsia" w:hAnsiTheme="minorHAnsi" w:cstheme="minorBidi"/>
                <w:noProof/>
                <w:kern w:val="2"/>
                <w:sz w:val="24"/>
                <w:szCs w:val="24"/>
                <w:lang w:val="en-IE" w:eastAsia="en-IE"/>
                <w14:ligatures w14:val="standardContextual"/>
              </w:rPr>
              <w:tab/>
            </w:r>
            <w:r w:rsidR="000A08F3" w:rsidRPr="00E577BA">
              <w:rPr>
                <w:rStyle w:val="Hyperlink"/>
                <w:noProof/>
              </w:rPr>
              <w:t>Recovery and Resilience Facility</w:t>
            </w:r>
            <w:r w:rsidR="000A08F3">
              <w:rPr>
                <w:noProof/>
                <w:webHidden/>
              </w:rPr>
              <w:tab/>
            </w:r>
            <w:r w:rsidR="000A08F3">
              <w:rPr>
                <w:noProof/>
                <w:webHidden/>
              </w:rPr>
              <w:fldChar w:fldCharType="begin"/>
            </w:r>
            <w:r w:rsidR="000A08F3">
              <w:rPr>
                <w:noProof/>
                <w:webHidden/>
              </w:rPr>
              <w:instrText xml:space="preserve"> PAGEREF _Toc203477684 \h </w:instrText>
            </w:r>
            <w:r w:rsidR="000A08F3">
              <w:rPr>
                <w:noProof/>
                <w:webHidden/>
              </w:rPr>
            </w:r>
            <w:r w:rsidR="000A08F3">
              <w:rPr>
                <w:noProof/>
                <w:webHidden/>
              </w:rPr>
              <w:fldChar w:fldCharType="separate"/>
            </w:r>
            <w:r w:rsidR="000A08F3">
              <w:rPr>
                <w:noProof/>
                <w:webHidden/>
              </w:rPr>
              <w:t>28</w:t>
            </w:r>
            <w:r w:rsidR="000A08F3">
              <w:rPr>
                <w:noProof/>
                <w:webHidden/>
              </w:rPr>
              <w:fldChar w:fldCharType="end"/>
            </w:r>
          </w:hyperlink>
        </w:p>
        <w:p w14:paraId="16332AF9" w14:textId="37A24C65"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85" w:history="1">
            <w:r w:rsidR="000A08F3" w:rsidRPr="00E577BA">
              <w:rPr>
                <w:rStyle w:val="Hyperlink"/>
              </w:rPr>
              <w:t>4.4.</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Organised crime, corruption and conflicts of interest</w:t>
            </w:r>
            <w:r w:rsidR="000A08F3">
              <w:rPr>
                <w:webHidden/>
              </w:rPr>
              <w:tab/>
            </w:r>
            <w:r w:rsidR="000A08F3">
              <w:rPr>
                <w:webHidden/>
              </w:rPr>
              <w:fldChar w:fldCharType="begin"/>
            </w:r>
            <w:r w:rsidR="000A08F3">
              <w:rPr>
                <w:webHidden/>
              </w:rPr>
              <w:instrText xml:space="preserve"> PAGEREF _Toc203477685 \h </w:instrText>
            </w:r>
            <w:r w:rsidR="000A08F3">
              <w:rPr>
                <w:webHidden/>
              </w:rPr>
            </w:r>
            <w:r w:rsidR="000A08F3">
              <w:rPr>
                <w:webHidden/>
              </w:rPr>
              <w:fldChar w:fldCharType="separate"/>
            </w:r>
            <w:r w:rsidR="000A08F3">
              <w:rPr>
                <w:webHidden/>
              </w:rPr>
              <w:t>30</w:t>
            </w:r>
            <w:r w:rsidR="000A08F3">
              <w:rPr>
                <w:webHidden/>
              </w:rPr>
              <w:fldChar w:fldCharType="end"/>
            </w:r>
          </w:hyperlink>
        </w:p>
        <w:p w14:paraId="440453CB" w14:textId="57C54481" w:rsidR="000A08F3" w:rsidRDefault="00E70746">
          <w:pPr>
            <w:pStyle w:val="TOC1"/>
            <w:rPr>
              <w:rFonts w:asciiTheme="minorHAnsi" w:eastAsiaTheme="minorEastAsia" w:hAnsiTheme="minorHAnsi" w:cstheme="minorBidi"/>
              <w:b w:val="0"/>
              <w:noProof/>
              <w:kern w:val="2"/>
              <w:sz w:val="24"/>
              <w:szCs w:val="24"/>
              <w:lang w:val="en-IE" w:eastAsia="en-IE"/>
              <w14:ligatures w14:val="standardContextual"/>
            </w:rPr>
          </w:pPr>
          <w:hyperlink w:anchor="_Toc203477686" w:history="1">
            <w:r w:rsidR="000A08F3" w:rsidRPr="00E577BA">
              <w:rPr>
                <w:rStyle w:val="Hyperlink"/>
                <w:noProof/>
              </w:rPr>
              <w:t>5.</w:t>
            </w:r>
            <w:r w:rsidR="000A08F3">
              <w:rPr>
                <w:rFonts w:asciiTheme="minorHAnsi" w:eastAsiaTheme="minorEastAsia" w:hAnsiTheme="minorHAnsi" w:cstheme="minorBidi"/>
                <w:b w:val="0"/>
                <w:noProof/>
                <w:kern w:val="2"/>
                <w:sz w:val="24"/>
                <w:szCs w:val="24"/>
                <w:lang w:val="en-IE" w:eastAsia="en-IE"/>
                <w14:ligatures w14:val="standardContextual"/>
              </w:rPr>
              <w:tab/>
            </w:r>
            <w:r w:rsidR="000A08F3" w:rsidRPr="00E577BA">
              <w:rPr>
                <w:rStyle w:val="Hyperlink"/>
                <w:noProof/>
              </w:rPr>
              <w:t>Conclusions and recommendations</w:t>
            </w:r>
            <w:r w:rsidR="000A08F3">
              <w:rPr>
                <w:noProof/>
                <w:webHidden/>
              </w:rPr>
              <w:tab/>
            </w:r>
            <w:r w:rsidR="000A08F3">
              <w:rPr>
                <w:noProof/>
                <w:webHidden/>
              </w:rPr>
              <w:fldChar w:fldCharType="begin"/>
            </w:r>
            <w:r w:rsidR="000A08F3">
              <w:rPr>
                <w:noProof/>
                <w:webHidden/>
              </w:rPr>
              <w:instrText xml:space="preserve"> PAGEREF _Toc203477686 \h </w:instrText>
            </w:r>
            <w:r w:rsidR="000A08F3">
              <w:rPr>
                <w:noProof/>
                <w:webHidden/>
              </w:rPr>
            </w:r>
            <w:r w:rsidR="000A08F3">
              <w:rPr>
                <w:noProof/>
                <w:webHidden/>
              </w:rPr>
              <w:fldChar w:fldCharType="separate"/>
            </w:r>
            <w:r w:rsidR="000A08F3">
              <w:rPr>
                <w:noProof/>
                <w:webHidden/>
              </w:rPr>
              <w:t>31</w:t>
            </w:r>
            <w:r w:rsidR="000A08F3">
              <w:rPr>
                <w:noProof/>
                <w:webHidden/>
              </w:rPr>
              <w:fldChar w:fldCharType="end"/>
            </w:r>
          </w:hyperlink>
        </w:p>
        <w:p w14:paraId="750F7B91" w14:textId="5D456B77"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87" w:history="1">
            <w:r w:rsidR="000A08F3" w:rsidRPr="00E577BA">
              <w:rPr>
                <w:rStyle w:val="Hyperlink"/>
              </w:rPr>
              <w:t>5.1.</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Improved reporting and more effective communication channels</w:t>
            </w:r>
            <w:r w:rsidR="000A08F3">
              <w:rPr>
                <w:webHidden/>
              </w:rPr>
              <w:tab/>
            </w:r>
            <w:r w:rsidR="000A08F3">
              <w:rPr>
                <w:webHidden/>
              </w:rPr>
              <w:fldChar w:fldCharType="begin"/>
            </w:r>
            <w:r w:rsidR="000A08F3">
              <w:rPr>
                <w:webHidden/>
              </w:rPr>
              <w:instrText xml:space="preserve"> PAGEREF _Toc203477687 \h </w:instrText>
            </w:r>
            <w:r w:rsidR="000A08F3">
              <w:rPr>
                <w:webHidden/>
              </w:rPr>
            </w:r>
            <w:r w:rsidR="000A08F3">
              <w:rPr>
                <w:webHidden/>
              </w:rPr>
              <w:fldChar w:fldCharType="separate"/>
            </w:r>
            <w:r w:rsidR="000A08F3">
              <w:rPr>
                <w:webHidden/>
              </w:rPr>
              <w:t>31</w:t>
            </w:r>
            <w:r w:rsidR="000A08F3">
              <w:rPr>
                <w:webHidden/>
              </w:rPr>
              <w:fldChar w:fldCharType="end"/>
            </w:r>
          </w:hyperlink>
        </w:p>
        <w:p w14:paraId="6E046E4C" w14:textId="4286D636"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88" w:history="1">
            <w:r w:rsidR="000A08F3" w:rsidRPr="00E577BA">
              <w:rPr>
                <w:rStyle w:val="Hyperlink"/>
              </w:rPr>
              <w:t>5.2.</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National anti-fraud strategies as a key element of the anti-fraud governance</w:t>
            </w:r>
            <w:r w:rsidR="000A08F3">
              <w:rPr>
                <w:webHidden/>
              </w:rPr>
              <w:tab/>
            </w:r>
            <w:r w:rsidR="000A08F3">
              <w:rPr>
                <w:webHidden/>
              </w:rPr>
              <w:fldChar w:fldCharType="begin"/>
            </w:r>
            <w:r w:rsidR="000A08F3">
              <w:rPr>
                <w:webHidden/>
              </w:rPr>
              <w:instrText xml:space="preserve"> PAGEREF _Toc203477688 \h </w:instrText>
            </w:r>
            <w:r w:rsidR="000A08F3">
              <w:rPr>
                <w:webHidden/>
              </w:rPr>
            </w:r>
            <w:r w:rsidR="000A08F3">
              <w:rPr>
                <w:webHidden/>
              </w:rPr>
              <w:fldChar w:fldCharType="separate"/>
            </w:r>
            <w:r w:rsidR="000A08F3">
              <w:rPr>
                <w:webHidden/>
              </w:rPr>
              <w:t>32</w:t>
            </w:r>
            <w:r w:rsidR="000A08F3">
              <w:rPr>
                <w:webHidden/>
              </w:rPr>
              <w:fldChar w:fldCharType="end"/>
            </w:r>
          </w:hyperlink>
        </w:p>
        <w:p w14:paraId="3B0846EE" w14:textId="0EE3D3B4" w:rsidR="000A08F3" w:rsidRDefault="00E70746">
          <w:pPr>
            <w:pStyle w:val="TOC2"/>
            <w:rPr>
              <w:rFonts w:asciiTheme="minorHAnsi" w:eastAsiaTheme="minorEastAsia" w:hAnsiTheme="minorHAnsi" w:cstheme="minorBidi"/>
              <w:kern w:val="2"/>
              <w:sz w:val="24"/>
              <w:szCs w:val="24"/>
              <w:lang w:val="en-IE" w:eastAsia="en-IE"/>
              <w14:ligatures w14:val="standardContextual"/>
            </w:rPr>
          </w:pPr>
          <w:hyperlink w:anchor="_Toc203477689" w:history="1">
            <w:r w:rsidR="000A08F3" w:rsidRPr="00E577BA">
              <w:rPr>
                <w:rStyle w:val="Hyperlink"/>
              </w:rPr>
              <w:t>5.3.</w:t>
            </w:r>
            <w:r w:rsidR="000A08F3">
              <w:rPr>
                <w:rFonts w:asciiTheme="minorHAnsi" w:eastAsiaTheme="minorEastAsia" w:hAnsiTheme="minorHAnsi" w:cstheme="minorBidi"/>
                <w:kern w:val="2"/>
                <w:sz w:val="24"/>
                <w:szCs w:val="24"/>
                <w:lang w:val="en-IE" w:eastAsia="en-IE"/>
                <w14:ligatures w14:val="standardContextual"/>
              </w:rPr>
              <w:tab/>
            </w:r>
            <w:r w:rsidR="000A08F3" w:rsidRPr="00E577BA">
              <w:rPr>
                <w:rStyle w:val="Hyperlink"/>
              </w:rPr>
              <w:t>Use of innovative technologies</w:t>
            </w:r>
            <w:r w:rsidR="000A08F3">
              <w:rPr>
                <w:webHidden/>
              </w:rPr>
              <w:tab/>
            </w:r>
            <w:r w:rsidR="000A08F3">
              <w:rPr>
                <w:webHidden/>
              </w:rPr>
              <w:fldChar w:fldCharType="begin"/>
            </w:r>
            <w:r w:rsidR="000A08F3">
              <w:rPr>
                <w:webHidden/>
              </w:rPr>
              <w:instrText xml:space="preserve"> PAGEREF _Toc203477689 \h </w:instrText>
            </w:r>
            <w:r w:rsidR="000A08F3">
              <w:rPr>
                <w:webHidden/>
              </w:rPr>
            </w:r>
            <w:r w:rsidR="000A08F3">
              <w:rPr>
                <w:webHidden/>
              </w:rPr>
              <w:fldChar w:fldCharType="separate"/>
            </w:r>
            <w:r w:rsidR="000A08F3">
              <w:rPr>
                <w:webHidden/>
              </w:rPr>
              <w:t>32</w:t>
            </w:r>
            <w:r w:rsidR="000A08F3">
              <w:rPr>
                <w:webHidden/>
              </w:rPr>
              <w:fldChar w:fldCharType="end"/>
            </w:r>
          </w:hyperlink>
        </w:p>
        <w:p w14:paraId="5E81DE1D" w14:textId="4795F2E6" w:rsidR="00190177" w:rsidRPr="00814B72" w:rsidRDefault="004F6F3F">
          <w:pPr>
            <w:rPr>
              <w:noProof/>
            </w:rPr>
          </w:pPr>
          <w:r w:rsidRPr="00814B72">
            <w:rPr>
              <w:noProof/>
            </w:rPr>
            <w:fldChar w:fldCharType="end"/>
          </w:r>
          <w:r w:rsidRPr="00814B72">
            <w:rPr>
              <w:noProof/>
            </w:rPr>
            <w:br w:type="page"/>
          </w:r>
        </w:p>
      </w:sdtContent>
    </w:sdt>
    <w:p w14:paraId="3732D574" w14:textId="77777777" w:rsidR="001E21E5" w:rsidRPr="00814B72" w:rsidRDefault="00440F24" w:rsidP="001E21E5">
      <w:pPr>
        <w:rPr>
          <w:b/>
          <w:noProof/>
        </w:rPr>
      </w:pPr>
      <w:r w:rsidRPr="00814B72">
        <w:rPr>
          <w:b/>
          <w:noProof/>
        </w:rPr>
        <w:t>EXECUTIVE SUMMARY</w:t>
      </w:r>
    </w:p>
    <w:p w14:paraId="67689F4B" w14:textId="5CC18CFF" w:rsidR="00021EDE" w:rsidRDefault="00021EDE" w:rsidP="009A3D43">
      <w:pPr>
        <w:rPr>
          <w:noProof/>
        </w:rPr>
      </w:pPr>
      <w:r w:rsidRPr="00021EDE">
        <w:rPr>
          <w:noProof/>
        </w:rPr>
        <w:t xml:space="preserve">In line with the obligation laid down in Article 325(5) of the Treaty on the Functioning of the European Union, each year the European Commission, in cooperation with the EU Member States, submits a report </w:t>
      </w:r>
      <w:r>
        <w:rPr>
          <w:noProof/>
        </w:rPr>
        <w:t xml:space="preserve">on </w:t>
      </w:r>
      <w:r w:rsidRPr="00021EDE">
        <w:rPr>
          <w:noProof/>
        </w:rPr>
        <w:t xml:space="preserve">the </w:t>
      </w:r>
      <w:r>
        <w:rPr>
          <w:noProof/>
        </w:rPr>
        <w:t>p</w:t>
      </w:r>
      <w:r w:rsidRPr="00021EDE">
        <w:rPr>
          <w:noProof/>
        </w:rPr>
        <w:t xml:space="preserve">rotection of </w:t>
      </w:r>
      <w:r>
        <w:rPr>
          <w:noProof/>
        </w:rPr>
        <w:t>the EU’s f</w:t>
      </w:r>
      <w:r w:rsidRPr="00021EDE">
        <w:rPr>
          <w:noProof/>
        </w:rPr>
        <w:t xml:space="preserve">inancial </w:t>
      </w:r>
      <w:r>
        <w:rPr>
          <w:noProof/>
        </w:rPr>
        <w:t>i</w:t>
      </w:r>
      <w:r w:rsidRPr="00021EDE">
        <w:rPr>
          <w:noProof/>
        </w:rPr>
        <w:t xml:space="preserve">nterests </w:t>
      </w:r>
      <w:r>
        <w:rPr>
          <w:noProof/>
        </w:rPr>
        <w:t>(</w:t>
      </w:r>
      <w:r w:rsidRPr="00021EDE">
        <w:rPr>
          <w:noProof/>
        </w:rPr>
        <w:t xml:space="preserve">PIF </w:t>
      </w:r>
      <w:r>
        <w:rPr>
          <w:noProof/>
        </w:rPr>
        <w:t>r</w:t>
      </w:r>
      <w:r w:rsidRPr="00021EDE">
        <w:rPr>
          <w:noProof/>
        </w:rPr>
        <w:t xml:space="preserve">eport) to the European Parliament and the Council on the measures taken </w:t>
      </w:r>
      <w:r>
        <w:rPr>
          <w:noProof/>
        </w:rPr>
        <w:t>in this area</w:t>
      </w:r>
      <w:r w:rsidRPr="00021EDE">
        <w:rPr>
          <w:noProof/>
        </w:rPr>
        <w:t xml:space="preserve">. </w:t>
      </w:r>
    </w:p>
    <w:p w14:paraId="4E94C8C5" w14:textId="4AF1D702" w:rsidR="00021EDE" w:rsidRDefault="00021EDE" w:rsidP="009A3D43">
      <w:pPr>
        <w:rPr>
          <w:noProof/>
        </w:rPr>
      </w:pPr>
      <w:r w:rsidRPr="00814B72">
        <w:rPr>
          <w:noProof/>
        </w:rPr>
        <w:t xml:space="preserve">On </w:t>
      </w:r>
      <w:r>
        <w:rPr>
          <w:noProof/>
        </w:rPr>
        <w:t>6</w:t>
      </w:r>
      <w:r w:rsidRPr="00814B72">
        <w:rPr>
          <w:noProof/>
        </w:rPr>
        <w:t xml:space="preserve"> </w:t>
      </w:r>
      <w:r>
        <w:rPr>
          <w:noProof/>
        </w:rPr>
        <w:t>Ma</w:t>
      </w:r>
      <w:r w:rsidRPr="00814B72">
        <w:rPr>
          <w:noProof/>
        </w:rPr>
        <w:t>y 202</w:t>
      </w:r>
      <w:r>
        <w:rPr>
          <w:noProof/>
        </w:rPr>
        <w:t>5,</w:t>
      </w:r>
      <w:r w:rsidRPr="00814B72">
        <w:rPr>
          <w:noProof/>
        </w:rPr>
        <w:t xml:space="preserve"> the European Parliament adopted its resolution on the protection of the EU’s financial interests </w:t>
      </w:r>
      <w:r>
        <w:rPr>
          <w:noProof/>
        </w:rPr>
        <w:t xml:space="preserve">based on the </w:t>
      </w:r>
      <w:r w:rsidRPr="00814B72">
        <w:rPr>
          <w:noProof/>
        </w:rPr>
        <w:t>202</w:t>
      </w:r>
      <w:r>
        <w:rPr>
          <w:noProof/>
        </w:rPr>
        <w:t>3 PIF report</w:t>
      </w:r>
      <w:r w:rsidRPr="00814B72">
        <w:rPr>
          <w:noProof/>
        </w:rPr>
        <w:t>.</w:t>
      </w:r>
      <w:r>
        <w:rPr>
          <w:noProof/>
        </w:rPr>
        <w:t xml:space="preserve"> </w:t>
      </w:r>
      <w:r w:rsidRPr="00814B72">
        <w:rPr>
          <w:noProof/>
        </w:rPr>
        <w:t xml:space="preserve">The Parliament </w:t>
      </w:r>
      <w:r>
        <w:rPr>
          <w:noProof/>
        </w:rPr>
        <w:t xml:space="preserve">highlighted the significant challenges that the EU is confronted with in an increasingly complex and rapidly evolving landscape and emphasised the need to modernise the EU anti-fraud architecture along three main lines: a) strengthening </w:t>
      </w:r>
      <w:r w:rsidR="00BB68EE">
        <w:rPr>
          <w:noProof/>
        </w:rPr>
        <w:t xml:space="preserve">its </w:t>
      </w:r>
      <w:r>
        <w:rPr>
          <w:noProof/>
        </w:rPr>
        <w:t xml:space="preserve">governance; b) maximising </w:t>
      </w:r>
      <w:r w:rsidRPr="003E4753">
        <w:rPr>
          <w:noProof/>
        </w:rPr>
        <w:t>the financial impact of anti-fraud actions</w:t>
      </w:r>
      <w:r w:rsidR="00BB68EE">
        <w:rPr>
          <w:noProof/>
        </w:rPr>
        <w:t xml:space="preserve"> of investigative bodies</w:t>
      </w:r>
      <w:r>
        <w:rPr>
          <w:noProof/>
        </w:rPr>
        <w:t xml:space="preserve">; and c) </w:t>
      </w:r>
      <w:r w:rsidRPr="003E4753">
        <w:rPr>
          <w:noProof/>
        </w:rPr>
        <w:t>ada</w:t>
      </w:r>
      <w:r>
        <w:rPr>
          <w:noProof/>
        </w:rPr>
        <w:t>pting</w:t>
      </w:r>
      <w:r w:rsidRPr="003E4753">
        <w:rPr>
          <w:noProof/>
        </w:rPr>
        <w:t xml:space="preserve"> anti-fraud measures to new technologies.</w:t>
      </w:r>
    </w:p>
    <w:p w14:paraId="43088744" w14:textId="5A519C63" w:rsidR="00BB68EE" w:rsidRDefault="00BB68EE" w:rsidP="009A3D43">
      <w:pPr>
        <w:rPr>
          <w:noProof/>
        </w:rPr>
      </w:pPr>
      <w:r>
        <w:rPr>
          <w:noProof/>
        </w:rPr>
        <w:t xml:space="preserve">In line with the Parliament’s requests, this PIF report focuses on the progress made in 2024 in the three identified areas. </w:t>
      </w:r>
    </w:p>
    <w:p w14:paraId="03ACD055" w14:textId="32E4AD70" w:rsidR="00BB68EE" w:rsidRDefault="00BB68EE" w:rsidP="009A3D43">
      <w:pPr>
        <w:rPr>
          <w:noProof/>
        </w:rPr>
      </w:pPr>
      <w:r>
        <w:rPr>
          <w:noProof/>
        </w:rPr>
        <w:t xml:space="preserve">Exchanges of information, expertise and know-how between the main bodies of the </w:t>
      </w:r>
      <w:r w:rsidR="0052274C">
        <w:rPr>
          <w:noProof/>
        </w:rPr>
        <w:t xml:space="preserve">EU level </w:t>
      </w:r>
      <w:r>
        <w:rPr>
          <w:noProof/>
        </w:rPr>
        <w:t xml:space="preserve">of the anti-fraud architecture happen regularly in different forums. The annual exchange of views </w:t>
      </w:r>
      <w:r w:rsidR="00D21332">
        <w:rPr>
          <w:noProof/>
        </w:rPr>
        <w:t xml:space="preserve">at political level to discuss the European Anti-Fraud Office’s policy on combating fraud gathered, for the second consecutive year, all key anti-fraud players at EU level to discuss, in particular, the potential impact of artificial intelligence in the fight against fraud. At operational level, complementary administrative investigations by the European Anti-fraud Office enable faster recoveries of financial resources compromised by fraudsters investigated by the European Public Prosecutor Office. </w:t>
      </w:r>
    </w:p>
    <w:p w14:paraId="0AFC3F90" w14:textId="61830CE6" w:rsidR="00923341" w:rsidRDefault="00C33093" w:rsidP="009A3D43">
      <w:pPr>
        <w:rPr>
          <w:noProof/>
        </w:rPr>
      </w:pPr>
      <w:r>
        <w:rPr>
          <w:noProof/>
        </w:rPr>
        <w:t>A</w:t>
      </w:r>
      <w:r w:rsidR="009619D1">
        <w:rPr>
          <w:noProof/>
        </w:rPr>
        <w:t xml:space="preserve">ll </w:t>
      </w:r>
      <w:r w:rsidR="00923341">
        <w:rPr>
          <w:noProof/>
        </w:rPr>
        <w:t xml:space="preserve">Member States </w:t>
      </w:r>
      <w:r w:rsidR="009619D1">
        <w:rPr>
          <w:noProof/>
        </w:rPr>
        <w:t>reported having anti-fraud strategies in place, although these vary significantly in terms of scope and only 10 Member States have a fully-fledge</w:t>
      </w:r>
      <w:r>
        <w:rPr>
          <w:noProof/>
        </w:rPr>
        <w:t>d</w:t>
      </w:r>
      <w:r w:rsidR="009619D1">
        <w:rPr>
          <w:noProof/>
        </w:rPr>
        <w:t xml:space="preserve"> national anti-fraud strategy in place.</w:t>
      </w:r>
    </w:p>
    <w:p w14:paraId="041401B1" w14:textId="6A217A85" w:rsidR="00C33093" w:rsidRDefault="00C33093" w:rsidP="009A3D43">
      <w:pPr>
        <w:rPr>
          <w:noProof/>
        </w:rPr>
      </w:pPr>
      <w:r>
        <w:rPr>
          <w:noProof/>
        </w:rPr>
        <w:t xml:space="preserve">In 2024, the Commission </w:t>
      </w:r>
      <w:r w:rsidR="003E629E">
        <w:rPr>
          <w:noProof/>
        </w:rPr>
        <w:t xml:space="preserve">advanced </w:t>
      </w:r>
      <w:r>
        <w:rPr>
          <w:noProof/>
        </w:rPr>
        <w:t>the implementation of the action plan accompanying its anti-fraud strategy.</w:t>
      </w:r>
    </w:p>
    <w:p w14:paraId="6431ED0C" w14:textId="664273FA" w:rsidR="009619D1" w:rsidRDefault="009619D1" w:rsidP="009A3D43">
      <w:pPr>
        <w:rPr>
          <w:noProof/>
        </w:rPr>
      </w:pPr>
      <w:r>
        <w:rPr>
          <w:noProof/>
        </w:rPr>
        <w:t>Digitalisation of the fight against fraud and the use of innovative technologies is a recurrent theme in the EU’s anti-fraud agenda</w:t>
      </w:r>
      <w:r w:rsidR="00C33093">
        <w:rPr>
          <w:noProof/>
        </w:rPr>
        <w:t xml:space="preserve"> (including in the action plan accompanying the Commission’s strategy)</w:t>
      </w:r>
      <w:r>
        <w:rPr>
          <w:noProof/>
        </w:rPr>
        <w:t xml:space="preserve">, with several initiatives ongoing, some supported also by the EU anti-fraud programme. Member States </w:t>
      </w:r>
      <w:r w:rsidR="00C33093">
        <w:rPr>
          <w:noProof/>
        </w:rPr>
        <w:t xml:space="preserve">show a strong focus on building capacity and commitment to boost digitalisation. </w:t>
      </w:r>
    </w:p>
    <w:p w14:paraId="78248BF1" w14:textId="3DBEA724" w:rsidR="00C5061A" w:rsidRDefault="00C33093" w:rsidP="009A3D43">
      <w:pPr>
        <w:rPr>
          <w:noProof/>
        </w:rPr>
      </w:pPr>
      <w:r>
        <w:rPr>
          <w:noProof/>
        </w:rPr>
        <w:t>I</w:t>
      </w:r>
      <w:r w:rsidRPr="00C33093">
        <w:rPr>
          <w:noProof/>
        </w:rPr>
        <w:t xml:space="preserve">rregularities </w:t>
      </w:r>
      <w:r w:rsidR="00C5061A">
        <w:rPr>
          <w:noProof/>
        </w:rPr>
        <w:t>d</w:t>
      </w:r>
      <w:r>
        <w:rPr>
          <w:noProof/>
        </w:rPr>
        <w:t>etected and reported</w:t>
      </w:r>
      <w:r w:rsidRPr="00C33093">
        <w:rPr>
          <w:noProof/>
        </w:rPr>
        <w:t xml:space="preserve"> </w:t>
      </w:r>
      <w:r>
        <w:rPr>
          <w:noProof/>
        </w:rPr>
        <w:t xml:space="preserve">in 2024 have only slightly increased compared to the previous years. </w:t>
      </w:r>
      <w:r w:rsidR="00C5061A">
        <w:rPr>
          <w:noProof/>
        </w:rPr>
        <w:t xml:space="preserve">However, the number of reported fraudulent irregularities has significantly increased, in all budgetary areas except for agriculture. While this </w:t>
      </w:r>
      <w:r w:rsidRPr="00C33093">
        <w:rPr>
          <w:noProof/>
        </w:rPr>
        <w:t>re</w:t>
      </w:r>
      <w:r w:rsidR="00C5061A">
        <w:rPr>
          <w:noProof/>
        </w:rPr>
        <w:t xml:space="preserve">presents a positive development in line with </w:t>
      </w:r>
      <w:r w:rsidR="003E629E">
        <w:rPr>
          <w:noProof/>
        </w:rPr>
        <w:t xml:space="preserve">past </w:t>
      </w:r>
      <w:r w:rsidR="00C5061A">
        <w:rPr>
          <w:noProof/>
        </w:rPr>
        <w:t xml:space="preserve">recommendations </w:t>
      </w:r>
      <w:r w:rsidR="003E629E">
        <w:rPr>
          <w:noProof/>
        </w:rPr>
        <w:t xml:space="preserve">of </w:t>
      </w:r>
      <w:r w:rsidR="00C5061A">
        <w:rPr>
          <w:noProof/>
        </w:rPr>
        <w:t xml:space="preserve">the Commission, some </w:t>
      </w:r>
      <w:r w:rsidR="003E629E">
        <w:rPr>
          <w:noProof/>
        </w:rPr>
        <w:t xml:space="preserve">problems remain </w:t>
      </w:r>
      <w:r w:rsidRPr="00C33093">
        <w:rPr>
          <w:noProof/>
        </w:rPr>
        <w:t xml:space="preserve">in relation to the follow-up of </w:t>
      </w:r>
      <w:r w:rsidR="00C5061A">
        <w:rPr>
          <w:noProof/>
        </w:rPr>
        <w:t xml:space="preserve">reported cases of </w:t>
      </w:r>
      <w:r w:rsidRPr="00C33093">
        <w:rPr>
          <w:noProof/>
        </w:rPr>
        <w:t>suspected fraud</w:t>
      </w:r>
      <w:r w:rsidR="00C5061A">
        <w:rPr>
          <w:noProof/>
        </w:rPr>
        <w:t>, point</w:t>
      </w:r>
      <w:r w:rsidR="003E629E">
        <w:rPr>
          <w:noProof/>
        </w:rPr>
        <w:t>ing</w:t>
      </w:r>
      <w:r w:rsidR="00C5061A">
        <w:rPr>
          <w:noProof/>
        </w:rPr>
        <w:t xml:space="preserve"> to the need to further develop the exchange of information between administrative and judicial bodies</w:t>
      </w:r>
      <w:r w:rsidRPr="00C33093">
        <w:rPr>
          <w:noProof/>
        </w:rPr>
        <w:t xml:space="preserve">. </w:t>
      </w:r>
    </w:p>
    <w:p w14:paraId="62567253" w14:textId="09DE6BB8" w:rsidR="00455988" w:rsidRDefault="00C33093" w:rsidP="00DC0B57">
      <w:pPr>
        <w:spacing w:line="240" w:lineRule="auto"/>
        <w:rPr>
          <w:noProof/>
        </w:rPr>
      </w:pPr>
      <w:r w:rsidRPr="00C33093">
        <w:rPr>
          <w:noProof/>
        </w:rPr>
        <w:t xml:space="preserve">The Commission </w:t>
      </w:r>
      <w:r w:rsidR="00C5061A">
        <w:rPr>
          <w:noProof/>
        </w:rPr>
        <w:t xml:space="preserve">calls once more on the Member States to ensure (i) the swift </w:t>
      </w:r>
      <w:r w:rsidR="003E629E">
        <w:rPr>
          <w:noProof/>
        </w:rPr>
        <w:t xml:space="preserve">and continuous </w:t>
      </w:r>
      <w:r w:rsidR="00C5061A">
        <w:rPr>
          <w:noProof/>
        </w:rPr>
        <w:t xml:space="preserve">reporting of detected cases of suspected fraud and their follow-up; </w:t>
      </w:r>
      <w:r w:rsidR="008B6005">
        <w:rPr>
          <w:noProof/>
        </w:rPr>
        <w:t xml:space="preserve">(ii) the establishment of more effective communication channels between the actors involved; </w:t>
      </w:r>
      <w:r w:rsidR="00C5061A">
        <w:rPr>
          <w:noProof/>
        </w:rPr>
        <w:t>(i</w:t>
      </w:r>
      <w:r w:rsidR="008B6005">
        <w:rPr>
          <w:noProof/>
        </w:rPr>
        <w:t>i</w:t>
      </w:r>
      <w:r w:rsidR="00C5061A">
        <w:rPr>
          <w:noProof/>
        </w:rPr>
        <w:t>i) the adoption of national anti-fraud strategies, as a key element of national anti-fraud governance; and (i</w:t>
      </w:r>
      <w:r w:rsidR="008B6005">
        <w:rPr>
          <w:noProof/>
        </w:rPr>
        <w:t>v</w:t>
      </w:r>
      <w:r w:rsidR="00C5061A">
        <w:rPr>
          <w:noProof/>
        </w:rPr>
        <w:t xml:space="preserve">) the </w:t>
      </w:r>
      <w:r w:rsidR="007A2B2C">
        <w:rPr>
          <w:noProof/>
        </w:rPr>
        <w:t>development of innovative technologies in the fight against fraud</w:t>
      </w:r>
      <w:r w:rsidRPr="00C33093">
        <w:rPr>
          <w:noProof/>
        </w:rPr>
        <w:t>.</w:t>
      </w:r>
      <w:r w:rsidR="00455988">
        <w:rPr>
          <w:noProof/>
        </w:rPr>
        <w:t xml:space="preserve"> </w:t>
      </w:r>
    </w:p>
    <w:p w14:paraId="34339197" w14:textId="6EA6AFA4" w:rsidR="00440F24" w:rsidRPr="00814B72" w:rsidRDefault="00455988" w:rsidP="009A3D43">
      <w:pPr>
        <w:rPr>
          <w:noProof/>
        </w:rPr>
      </w:pPr>
      <w:r w:rsidRPr="00A57A8E">
        <w:rPr>
          <w:noProof/>
        </w:rPr>
        <w:t>As part of its efforts to ensure the most efficient protection of its financial interests, the EU has also started preparatory work to review its anti-fraud architecture. This comprehensive review, involving all the relevant actors within the EU anti-fraud architecture, will focus on</w:t>
      </w:r>
      <w:r w:rsidRPr="00A57A8E">
        <w:rPr>
          <w:noProof/>
          <w:sz w:val="24"/>
          <w:szCs w:val="24"/>
        </w:rPr>
        <w:t xml:space="preserve"> deterrence, and </w:t>
      </w:r>
      <w:r w:rsidRPr="00A57A8E">
        <w:rPr>
          <w:noProof/>
        </w:rPr>
        <w:t>create more synergies and efficiencies among relevant actors, avoiding duplication at every stage of the anti-fraud cycle - prevention, detection, investigation, correction of fraud, and the recovery of the amounts concerned, including those for the EU budget.</w:t>
      </w:r>
      <w:r w:rsidR="00021EDE" w:rsidRPr="00021EDE" w:rsidDel="00021EDE">
        <w:rPr>
          <w:noProof/>
        </w:rPr>
        <w:t xml:space="preserve"> </w:t>
      </w:r>
      <w:r w:rsidR="004F6F3F" w:rsidRPr="00814B72">
        <w:rPr>
          <w:noProof/>
        </w:rPr>
        <w:br w:type="page"/>
      </w:r>
    </w:p>
    <w:p w14:paraId="39652E84" w14:textId="77777777" w:rsidR="00190177" w:rsidRPr="00814B72" w:rsidRDefault="00440F24">
      <w:pPr>
        <w:rPr>
          <w:b/>
          <w:noProof/>
        </w:rPr>
      </w:pPr>
      <w:bookmarkStart w:id="2" w:name="_Toc76127613"/>
      <w:r w:rsidRPr="00814B72">
        <w:rPr>
          <w:b/>
          <w:noProof/>
        </w:rPr>
        <w:t>LIST OF ABBREVIATIONS</w:t>
      </w:r>
      <w:bookmarkEnd w:id="2"/>
    </w:p>
    <w:tbl>
      <w:tblPr>
        <w:tblW w:w="8364" w:type="dxa"/>
        <w:tblInd w:w="108" w:type="dxa"/>
        <w:tblLook w:val="04A0" w:firstRow="1" w:lastRow="0" w:firstColumn="1" w:lastColumn="0" w:noHBand="0" w:noVBand="1"/>
      </w:tblPr>
      <w:tblGrid>
        <w:gridCol w:w="1400"/>
        <w:gridCol w:w="6964"/>
      </w:tblGrid>
      <w:tr w:rsidR="00CF7811" w:rsidRPr="00814B72" w14:paraId="38009487" w14:textId="77777777" w:rsidTr="00A27EF6">
        <w:trPr>
          <w:trHeight w:val="315"/>
        </w:trPr>
        <w:tc>
          <w:tcPr>
            <w:tcW w:w="1400" w:type="dxa"/>
            <w:tcBorders>
              <w:top w:val="nil"/>
              <w:left w:val="nil"/>
              <w:bottom w:val="nil"/>
              <w:right w:val="nil"/>
            </w:tcBorders>
            <w:shd w:val="clear" w:color="auto" w:fill="auto"/>
            <w:noWrap/>
            <w:vAlign w:val="bottom"/>
          </w:tcPr>
          <w:p w14:paraId="79B63D90" w14:textId="792BD08F" w:rsidR="00CF7811" w:rsidRPr="00814B72" w:rsidRDefault="00CF7811" w:rsidP="00A27EF6">
            <w:pPr>
              <w:spacing w:after="0"/>
              <w:jc w:val="left"/>
              <w:rPr>
                <w:noProof/>
                <w:color w:val="000000"/>
                <w:szCs w:val="24"/>
              </w:rPr>
            </w:pPr>
            <w:r w:rsidRPr="00814B72">
              <w:rPr>
                <w:noProof/>
                <w:color w:val="000000"/>
                <w:szCs w:val="24"/>
              </w:rPr>
              <w:t>AF</w:t>
            </w:r>
            <w:r w:rsidR="00273DEC">
              <w:rPr>
                <w:noProof/>
                <w:color w:val="000000"/>
                <w:szCs w:val="24"/>
              </w:rPr>
              <w:t>A</w:t>
            </w:r>
          </w:p>
        </w:tc>
        <w:tc>
          <w:tcPr>
            <w:tcW w:w="6964" w:type="dxa"/>
            <w:tcBorders>
              <w:top w:val="nil"/>
              <w:left w:val="nil"/>
              <w:bottom w:val="nil"/>
              <w:right w:val="nil"/>
            </w:tcBorders>
            <w:shd w:val="clear" w:color="auto" w:fill="auto"/>
            <w:noWrap/>
            <w:vAlign w:val="bottom"/>
          </w:tcPr>
          <w:p w14:paraId="5F64C5AE" w14:textId="2EDAA1C5" w:rsidR="00CF7811" w:rsidRPr="00814B72" w:rsidRDefault="00CF7811" w:rsidP="00A27EF6">
            <w:pPr>
              <w:spacing w:after="0"/>
              <w:jc w:val="left"/>
              <w:rPr>
                <w:noProof/>
                <w:color w:val="000000"/>
                <w:szCs w:val="24"/>
              </w:rPr>
            </w:pPr>
            <w:r w:rsidRPr="00814B72">
              <w:rPr>
                <w:noProof/>
                <w:color w:val="000000"/>
                <w:szCs w:val="24"/>
              </w:rPr>
              <w:t>Anti-</w:t>
            </w:r>
            <w:r w:rsidR="00273DEC">
              <w:rPr>
                <w:noProof/>
                <w:color w:val="000000"/>
                <w:szCs w:val="24"/>
              </w:rPr>
              <w:t>F</w:t>
            </w:r>
            <w:r w:rsidRPr="00814B72">
              <w:rPr>
                <w:noProof/>
                <w:color w:val="000000"/>
                <w:szCs w:val="24"/>
              </w:rPr>
              <w:t xml:space="preserve">raud </w:t>
            </w:r>
            <w:r w:rsidR="00273DEC">
              <w:rPr>
                <w:noProof/>
                <w:color w:val="000000"/>
                <w:szCs w:val="24"/>
              </w:rPr>
              <w:t>Architecture</w:t>
            </w:r>
          </w:p>
        </w:tc>
      </w:tr>
      <w:tr w:rsidR="00EA292B" w:rsidRPr="00814B72" w14:paraId="490A5F4E" w14:textId="77777777" w:rsidTr="00A27EF6">
        <w:trPr>
          <w:trHeight w:val="315"/>
        </w:trPr>
        <w:tc>
          <w:tcPr>
            <w:tcW w:w="1400" w:type="dxa"/>
            <w:tcBorders>
              <w:top w:val="nil"/>
              <w:left w:val="nil"/>
              <w:bottom w:val="nil"/>
              <w:right w:val="nil"/>
            </w:tcBorders>
            <w:shd w:val="clear" w:color="auto" w:fill="auto"/>
            <w:noWrap/>
            <w:vAlign w:val="bottom"/>
          </w:tcPr>
          <w:p w14:paraId="63990301" w14:textId="5317988C" w:rsidR="00EA292B" w:rsidRPr="00814B72" w:rsidRDefault="00EA292B" w:rsidP="00A27EF6">
            <w:pPr>
              <w:spacing w:after="0"/>
              <w:jc w:val="left"/>
              <w:rPr>
                <w:noProof/>
                <w:color w:val="000000"/>
                <w:szCs w:val="24"/>
              </w:rPr>
            </w:pPr>
            <w:r>
              <w:rPr>
                <w:noProof/>
                <w:color w:val="000000"/>
                <w:szCs w:val="24"/>
              </w:rPr>
              <w:t>AFIS</w:t>
            </w:r>
          </w:p>
        </w:tc>
        <w:tc>
          <w:tcPr>
            <w:tcW w:w="6964" w:type="dxa"/>
            <w:tcBorders>
              <w:top w:val="nil"/>
              <w:left w:val="nil"/>
              <w:bottom w:val="nil"/>
              <w:right w:val="nil"/>
            </w:tcBorders>
            <w:shd w:val="clear" w:color="auto" w:fill="auto"/>
            <w:noWrap/>
            <w:vAlign w:val="bottom"/>
          </w:tcPr>
          <w:p w14:paraId="001537CD" w14:textId="0F4FF08E" w:rsidR="00EA292B" w:rsidRPr="00814B72" w:rsidRDefault="00EA292B" w:rsidP="00A27EF6">
            <w:pPr>
              <w:spacing w:after="0"/>
              <w:jc w:val="left"/>
              <w:rPr>
                <w:noProof/>
                <w:color w:val="000000"/>
                <w:szCs w:val="24"/>
              </w:rPr>
            </w:pPr>
            <w:r>
              <w:rPr>
                <w:noProof/>
                <w:color w:val="000000"/>
                <w:szCs w:val="24"/>
              </w:rPr>
              <w:t>Anti-Fraud Information System</w:t>
            </w:r>
          </w:p>
        </w:tc>
      </w:tr>
      <w:tr w:rsidR="00F92CBE" w:rsidRPr="00814B72" w:rsidDel="00F45C87" w14:paraId="2ECED6AF" w14:textId="77777777" w:rsidTr="00A27EF6">
        <w:trPr>
          <w:trHeight w:val="315"/>
        </w:trPr>
        <w:tc>
          <w:tcPr>
            <w:tcW w:w="1400" w:type="dxa"/>
            <w:tcBorders>
              <w:top w:val="nil"/>
              <w:left w:val="nil"/>
              <w:bottom w:val="nil"/>
              <w:right w:val="nil"/>
            </w:tcBorders>
            <w:shd w:val="clear" w:color="auto" w:fill="auto"/>
            <w:noWrap/>
            <w:vAlign w:val="bottom"/>
          </w:tcPr>
          <w:p w14:paraId="094EE39A" w14:textId="77777777" w:rsidR="00F92CBE" w:rsidRPr="00814B72" w:rsidDel="00F45C87" w:rsidRDefault="00F92CBE" w:rsidP="00A27EF6">
            <w:pPr>
              <w:spacing w:after="0"/>
              <w:jc w:val="left"/>
              <w:rPr>
                <w:noProof/>
                <w:color w:val="000000"/>
                <w:szCs w:val="24"/>
              </w:rPr>
            </w:pPr>
            <w:r>
              <w:rPr>
                <w:noProof/>
                <w:color w:val="000000"/>
                <w:szCs w:val="24"/>
              </w:rPr>
              <w:t>AI</w:t>
            </w:r>
          </w:p>
        </w:tc>
        <w:tc>
          <w:tcPr>
            <w:tcW w:w="6964" w:type="dxa"/>
            <w:tcBorders>
              <w:top w:val="nil"/>
              <w:left w:val="nil"/>
              <w:bottom w:val="nil"/>
              <w:right w:val="nil"/>
            </w:tcBorders>
            <w:shd w:val="clear" w:color="auto" w:fill="auto"/>
            <w:noWrap/>
            <w:vAlign w:val="bottom"/>
          </w:tcPr>
          <w:p w14:paraId="327E3548" w14:textId="12E72D10" w:rsidR="00F92CBE" w:rsidRPr="00814B72" w:rsidDel="00F45C87" w:rsidRDefault="00F92CBE" w:rsidP="002A0AAD">
            <w:pPr>
              <w:spacing w:after="0"/>
              <w:jc w:val="left"/>
              <w:rPr>
                <w:noProof/>
                <w:color w:val="000000"/>
                <w:szCs w:val="24"/>
              </w:rPr>
            </w:pPr>
            <w:r>
              <w:rPr>
                <w:noProof/>
                <w:color w:val="000000"/>
                <w:szCs w:val="24"/>
              </w:rPr>
              <w:t xml:space="preserve">Artificial </w:t>
            </w:r>
            <w:r w:rsidR="00273DEC">
              <w:rPr>
                <w:noProof/>
                <w:color w:val="000000"/>
                <w:szCs w:val="24"/>
              </w:rPr>
              <w:t>I</w:t>
            </w:r>
            <w:r>
              <w:rPr>
                <w:noProof/>
                <w:color w:val="000000"/>
                <w:szCs w:val="24"/>
              </w:rPr>
              <w:t>ntelligence</w:t>
            </w:r>
          </w:p>
        </w:tc>
      </w:tr>
      <w:tr w:rsidR="00273DEC" w:rsidRPr="00814B72" w14:paraId="2C33DAA6" w14:textId="77777777" w:rsidTr="00A27EF6">
        <w:trPr>
          <w:trHeight w:val="315"/>
        </w:trPr>
        <w:tc>
          <w:tcPr>
            <w:tcW w:w="1400" w:type="dxa"/>
            <w:tcBorders>
              <w:top w:val="nil"/>
              <w:left w:val="nil"/>
              <w:bottom w:val="nil"/>
              <w:right w:val="nil"/>
            </w:tcBorders>
            <w:shd w:val="clear" w:color="auto" w:fill="auto"/>
            <w:noWrap/>
            <w:vAlign w:val="bottom"/>
          </w:tcPr>
          <w:p w14:paraId="6676BD1F" w14:textId="305FE0B1" w:rsidR="00273DEC" w:rsidRPr="00814B72" w:rsidRDefault="00273DEC" w:rsidP="00A27EF6">
            <w:pPr>
              <w:spacing w:after="0"/>
              <w:jc w:val="left"/>
              <w:rPr>
                <w:noProof/>
                <w:color w:val="000000"/>
                <w:szCs w:val="24"/>
              </w:rPr>
            </w:pPr>
            <w:r>
              <w:rPr>
                <w:noProof/>
                <w:color w:val="000000"/>
                <w:szCs w:val="24"/>
              </w:rPr>
              <w:t>AMLA</w:t>
            </w:r>
          </w:p>
        </w:tc>
        <w:tc>
          <w:tcPr>
            <w:tcW w:w="6964" w:type="dxa"/>
            <w:tcBorders>
              <w:top w:val="nil"/>
              <w:left w:val="nil"/>
              <w:bottom w:val="nil"/>
              <w:right w:val="nil"/>
            </w:tcBorders>
            <w:shd w:val="clear" w:color="auto" w:fill="auto"/>
            <w:noWrap/>
            <w:vAlign w:val="bottom"/>
          </w:tcPr>
          <w:p w14:paraId="74423D3A" w14:textId="60279FF3" w:rsidR="00273DEC" w:rsidRPr="00814B72" w:rsidRDefault="00273DEC" w:rsidP="00304DA3">
            <w:pPr>
              <w:spacing w:after="0"/>
              <w:jc w:val="left"/>
              <w:rPr>
                <w:noProof/>
                <w:color w:val="000000"/>
                <w:szCs w:val="24"/>
              </w:rPr>
            </w:pPr>
            <w:r>
              <w:rPr>
                <w:noProof/>
              </w:rPr>
              <w:t>Authority for Anti-Money Laundering and Countering the Financing of Terrorism</w:t>
            </w:r>
          </w:p>
        </w:tc>
      </w:tr>
      <w:tr w:rsidR="00273DEC" w:rsidRPr="00814B72" w14:paraId="1AF37406" w14:textId="77777777" w:rsidTr="00A27EF6">
        <w:trPr>
          <w:trHeight w:val="315"/>
        </w:trPr>
        <w:tc>
          <w:tcPr>
            <w:tcW w:w="1400" w:type="dxa"/>
            <w:tcBorders>
              <w:top w:val="nil"/>
              <w:left w:val="nil"/>
              <w:bottom w:val="nil"/>
              <w:right w:val="nil"/>
            </w:tcBorders>
            <w:shd w:val="clear" w:color="auto" w:fill="auto"/>
            <w:noWrap/>
            <w:vAlign w:val="bottom"/>
          </w:tcPr>
          <w:p w14:paraId="7A48FE0F" w14:textId="43EA7BCC" w:rsidR="00273DEC" w:rsidRDefault="00273DEC" w:rsidP="00A27EF6">
            <w:pPr>
              <w:spacing w:after="0"/>
              <w:jc w:val="left"/>
              <w:rPr>
                <w:noProof/>
                <w:color w:val="000000"/>
                <w:szCs w:val="24"/>
              </w:rPr>
            </w:pPr>
            <w:r>
              <w:rPr>
                <w:noProof/>
                <w:color w:val="000000"/>
                <w:szCs w:val="24"/>
              </w:rPr>
              <w:t>AFCOS</w:t>
            </w:r>
          </w:p>
        </w:tc>
        <w:tc>
          <w:tcPr>
            <w:tcW w:w="6964" w:type="dxa"/>
            <w:tcBorders>
              <w:top w:val="nil"/>
              <w:left w:val="nil"/>
              <w:bottom w:val="nil"/>
              <w:right w:val="nil"/>
            </w:tcBorders>
            <w:shd w:val="clear" w:color="auto" w:fill="auto"/>
            <w:noWrap/>
            <w:vAlign w:val="bottom"/>
          </w:tcPr>
          <w:p w14:paraId="5D477F82" w14:textId="1FE6E7F6" w:rsidR="00273DEC" w:rsidRDefault="00273DEC" w:rsidP="00304DA3">
            <w:pPr>
              <w:spacing w:after="0"/>
              <w:jc w:val="left"/>
              <w:rPr>
                <w:noProof/>
              </w:rPr>
            </w:pPr>
            <w:r>
              <w:rPr>
                <w:noProof/>
              </w:rPr>
              <w:t>Anti-Fraud Coordination Services</w:t>
            </w:r>
          </w:p>
        </w:tc>
      </w:tr>
      <w:tr w:rsidR="00440F24" w:rsidRPr="00814B72" w14:paraId="1F5C15DB" w14:textId="77777777" w:rsidTr="00A27EF6">
        <w:trPr>
          <w:trHeight w:val="315"/>
        </w:trPr>
        <w:tc>
          <w:tcPr>
            <w:tcW w:w="1400" w:type="dxa"/>
            <w:tcBorders>
              <w:top w:val="nil"/>
              <w:left w:val="nil"/>
              <w:bottom w:val="nil"/>
              <w:right w:val="nil"/>
            </w:tcBorders>
            <w:shd w:val="clear" w:color="auto" w:fill="auto"/>
            <w:noWrap/>
            <w:vAlign w:val="bottom"/>
            <w:hideMark/>
          </w:tcPr>
          <w:p w14:paraId="500ED502" w14:textId="77777777" w:rsidR="00440F24" w:rsidRPr="00814B72" w:rsidRDefault="00440F24" w:rsidP="00A27EF6">
            <w:pPr>
              <w:spacing w:after="0"/>
              <w:jc w:val="left"/>
              <w:rPr>
                <w:noProof/>
                <w:color w:val="000000"/>
                <w:szCs w:val="24"/>
              </w:rPr>
            </w:pPr>
            <w:r w:rsidRPr="00814B72">
              <w:rPr>
                <w:noProof/>
                <w:color w:val="000000"/>
                <w:szCs w:val="24"/>
              </w:rPr>
              <w:t>CAFS</w:t>
            </w:r>
          </w:p>
        </w:tc>
        <w:tc>
          <w:tcPr>
            <w:tcW w:w="6964" w:type="dxa"/>
            <w:tcBorders>
              <w:top w:val="nil"/>
              <w:left w:val="nil"/>
              <w:bottom w:val="nil"/>
              <w:right w:val="nil"/>
            </w:tcBorders>
            <w:shd w:val="clear" w:color="auto" w:fill="auto"/>
            <w:noWrap/>
            <w:vAlign w:val="bottom"/>
            <w:hideMark/>
          </w:tcPr>
          <w:p w14:paraId="640E9AF8" w14:textId="5E129B29" w:rsidR="00440F24" w:rsidRPr="00814B72" w:rsidRDefault="00440F24" w:rsidP="00304DA3">
            <w:pPr>
              <w:spacing w:after="0"/>
              <w:jc w:val="left"/>
              <w:rPr>
                <w:noProof/>
                <w:color w:val="000000"/>
                <w:szCs w:val="24"/>
              </w:rPr>
            </w:pPr>
            <w:r w:rsidRPr="00814B72">
              <w:rPr>
                <w:noProof/>
                <w:color w:val="000000"/>
                <w:szCs w:val="24"/>
              </w:rPr>
              <w:t xml:space="preserve">Commission </w:t>
            </w:r>
            <w:r w:rsidR="00273DEC">
              <w:rPr>
                <w:noProof/>
                <w:color w:val="000000"/>
                <w:szCs w:val="24"/>
              </w:rPr>
              <w:t>A</w:t>
            </w:r>
            <w:r w:rsidR="00304DA3" w:rsidRPr="00814B72">
              <w:rPr>
                <w:noProof/>
                <w:color w:val="000000"/>
                <w:szCs w:val="24"/>
              </w:rPr>
              <w:t>nti</w:t>
            </w:r>
            <w:r w:rsidRPr="00814B72">
              <w:rPr>
                <w:noProof/>
                <w:color w:val="000000"/>
                <w:szCs w:val="24"/>
              </w:rPr>
              <w:t>-</w:t>
            </w:r>
            <w:r w:rsidR="00273DEC">
              <w:rPr>
                <w:noProof/>
                <w:color w:val="000000"/>
                <w:szCs w:val="24"/>
              </w:rPr>
              <w:t>F</w:t>
            </w:r>
            <w:r w:rsidR="00304DA3" w:rsidRPr="00814B72">
              <w:rPr>
                <w:noProof/>
                <w:color w:val="000000"/>
                <w:szCs w:val="24"/>
              </w:rPr>
              <w:t xml:space="preserve">raud </w:t>
            </w:r>
            <w:r w:rsidR="00273DEC">
              <w:rPr>
                <w:noProof/>
                <w:color w:val="000000"/>
                <w:szCs w:val="24"/>
              </w:rPr>
              <w:t>S</w:t>
            </w:r>
            <w:r w:rsidR="00304DA3" w:rsidRPr="00814B72">
              <w:rPr>
                <w:noProof/>
                <w:color w:val="000000"/>
                <w:szCs w:val="24"/>
              </w:rPr>
              <w:t>trategy</w:t>
            </w:r>
          </w:p>
        </w:tc>
      </w:tr>
      <w:tr w:rsidR="002174DB" w:rsidRPr="00814B72" w14:paraId="301637A6" w14:textId="77777777" w:rsidTr="00A27EF6">
        <w:trPr>
          <w:trHeight w:val="315"/>
        </w:trPr>
        <w:tc>
          <w:tcPr>
            <w:tcW w:w="1400" w:type="dxa"/>
            <w:tcBorders>
              <w:top w:val="nil"/>
              <w:left w:val="nil"/>
              <w:bottom w:val="nil"/>
              <w:right w:val="nil"/>
            </w:tcBorders>
            <w:shd w:val="clear" w:color="auto" w:fill="auto"/>
            <w:noWrap/>
            <w:vAlign w:val="bottom"/>
          </w:tcPr>
          <w:p w14:paraId="2ABF2C68" w14:textId="77777777" w:rsidR="002174DB" w:rsidRPr="00814B72" w:rsidRDefault="002174DB" w:rsidP="00A27EF6">
            <w:pPr>
              <w:spacing w:after="0"/>
              <w:jc w:val="left"/>
              <w:rPr>
                <w:noProof/>
                <w:color w:val="000000"/>
                <w:szCs w:val="24"/>
              </w:rPr>
            </w:pPr>
            <w:r w:rsidRPr="00814B72">
              <w:rPr>
                <w:noProof/>
                <w:color w:val="000000"/>
                <w:szCs w:val="24"/>
              </w:rPr>
              <w:t>CAP</w:t>
            </w:r>
          </w:p>
        </w:tc>
        <w:tc>
          <w:tcPr>
            <w:tcW w:w="6964" w:type="dxa"/>
            <w:tcBorders>
              <w:top w:val="nil"/>
              <w:left w:val="nil"/>
              <w:bottom w:val="nil"/>
              <w:right w:val="nil"/>
            </w:tcBorders>
            <w:shd w:val="clear" w:color="auto" w:fill="auto"/>
            <w:noWrap/>
            <w:vAlign w:val="bottom"/>
          </w:tcPr>
          <w:p w14:paraId="03174DF4" w14:textId="262D23ED" w:rsidR="002174DB" w:rsidRPr="00814B72" w:rsidRDefault="002174DB" w:rsidP="00A27EF6">
            <w:pPr>
              <w:spacing w:after="0"/>
              <w:jc w:val="left"/>
              <w:rPr>
                <w:noProof/>
                <w:color w:val="000000"/>
                <w:szCs w:val="24"/>
              </w:rPr>
            </w:pPr>
            <w:r w:rsidRPr="00814B72">
              <w:rPr>
                <w:noProof/>
                <w:color w:val="000000"/>
                <w:szCs w:val="24"/>
              </w:rPr>
              <w:t xml:space="preserve">Common </w:t>
            </w:r>
            <w:r w:rsidR="00273DEC">
              <w:rPr>
                <w:noProof/>
                <w:color w:val="000000"/>
                <w:szCs w:val="24"/>
              </w:rPr>
              <w:t>A</w:t>
            </w:r>
            <w:r w:rsidR="00273DEC" w:rsidRPr="00814B72">
              <w:rPr>
                <w:noProof/>
                <w:color w:val="000000"/>
                <w:szCs w:val="24"/>
              </w:rPr>
              <w:t xml:space="preserve">gricultural </w:t>
            </w:r>
            <w:r w:rsidR="00273DEC">
              <w:rPr>
                <w:noProof/>
                <w:color w:val="000000"/>
                <w:szCs w:val="24"/>
              </w:rPr>
              <w:t>P</w:t>
            </w:r>
            <w:r w:rsidRPr="00814B72">
              <w:rPr>
                <w:noProof/>
                <w:color w:val="000000"/>
                <w:szCs w:val="24"/>
              </w:rPr>
              <w:t>olicy</w:t>
            </w:r>
          </w:p>
        </w:tc>
      </w:tr>
      <w:tr w:rsidR="00EA292B" w:rsidRPr="00814B72" w14:paraId="15F96AD0" w14:textId="77777777" w:rsidTr="00A27EF6">
        <w:trPr>
          <w:trHeight w:val="315"/>
        </w:trPr>
        <w:tc>
          <w:tcPr>
            <w:tcW w:w="1400" w:type="dxa"/>
            <w:tcBorders>
              <w:top w:val="nil"/>
              <w:left w:val="nil"/>
              <w:bottom w:val="nil"/>
              <w:right w:val="nil"/>
            </w:tcBorders>
            <w:shd w:val="clear" w:color="auto" w:fill="auto"/>
            <w:noWrap/>
            <w:vAlign w:val="bottom"/>
          </w:tcPr>
          <w:p w14:paraId="2958B70C" w14:textId="42B96A87" w:rsidR="00EA292B" w:rsidRPr="00814B72" w:rsidRDefault="00EA292B" w:rsidP="00A27EF6">
            <w:pPr>
              <w:spacing w:after="0"/>
              <w:jc w:val="left"/>
              <w:rPr>
                <w:noProof/>
                <w:color w:val="000000"/>
                <w:szCs w:val="24"/>
              </w:rPr>
            </w:pPr>
            <w:r>
              <w:rPr>
                <w:noProof/>
                <w:color w:val="000000"/>
                <w:szCs w:val="24"/>
              </w:rPr>
              <w:t>COCOLAF</w:t>
            </w:r>
          </w:p>
        </w:tc>
        <w:tc>
          <w:tcPr>
            <w:tcW w:w="6964" w:type="dxa"/>
            <w:tcBorders>
              <w:top w:val="nil"/>
              <w:left w:val="nil"/>
              <w:bottom w:val="nil"/>
              <w:right w:val="nil"/>
            </w:tcBorders>
            <w:shd w:val="clear" w:color="auto" w:fill="auto"/>
            <w:noWrap/>
            <w:vAlign w:val="bottom"/>
          </w:tcPr>
          <w:p w14:paraId="4B7300FB" w14:textId="00FA2D9D" w:rsidR="00EA292B" w:rsidRPr="00814B72" w:rsidRDefault="00EA292B" w:rsidP="00A27EF6">
            <w:pPr>
              <w:spacing w:after="0"/>
              <w:jc w:val="left"/>
              <w:rPr>
                <w:noProof/>
                <w:color w:val="000000"/>
                <w:szCs w:val="24"/>
              </w:rPr>
            </w:pPr>
            <w:r>
              <w:rPr>
                <w:noProof/>
                <w:color w:val="000000"/>
                <w:szCs w:val="24"/>
              </w:rPr>
              <w:t>Advisory Committee for the Coordination of Fraud Prevention</w:t>
            </w:r>
          </w:p>
        </w:tc>
      </w:tr>
      <w:tr w:rsidR="00273DEC" w:rsidRPr="00814B72" w:rsidDel="00A60CB2" w14:paraId="5F045AA5" w14:textId="77777777" w:rsidTr="00A27EF6">
        <w:trPr>
          <w:trHeight w:val="315"/>
        </w:trPr>
        <w:tc>
          <w:tcPr>
            <w:tcW w:w="1400" w:type="dxa"/>
            <w:tcBorders>
              <w:top w:val="nil"/>
              <w:left w:val="nil"/>
              <w:bottom w:val="nil"/>
              <w:right w:val="nil"/>
            </w:tcBorders>
            <w:shd w:val="clear" w:color="auto" w:fill="auto"/>
            <w:noWrap/>
            <w:vAlign w:val="bottom"/>
          </w:tcPr>
          <w:p w14:paraId="3FCA3CAD" w14:textId="0D6C4866" w:rsidR="00273DEC" w:rsidRDefault="00273DEC" w:rsidP="00A27EF6">
            <w:pPr>
              <w:spacing w:after="0"/>
              <w:jc w:val="left"/>
              <w:rPr>
                <w:noProof/>
                <w:color w:val="000000"/>
                <w:szCs w:val="24"/>
              </w:rPr>
            </w:pPr>
            <w:r>
              <w:rPr>
                <w:noProof/>
                <w:color w:val="000000"/>
                <w:szCs w:val="24"/>
              </w:rPr>
              <w:t>CONT</w:t>
            </w:r>
          </w:p>
        </w:tc>
        <w:tc>
          <w:tcPr>
            <w:tcW w:w="6964" w:type="dxa"/>
            <w:tcBorders>
              <w:top w:val="nil"/>
              <w:left w:val="nil"/>
              <w:bottom w:val="nil"/>
              <w:right w:val="nil"/>
            </w:tcBorders>
            <w:shd w:val="clear" w:color="auto" w:fill="auto"/>
            <w:noWrap/>
            <w:vAlign w:val="bottom"/>
          </w:tcPr>
          <w:p w14:paraId="4C8680B4" w14:textId="234447FC" w:rsidR="00273DEC" w:rsidRDefault="00273DEC" w:rsidP="00A27EF6">
            <w:pPr>
              <w:spacing w:after="0"/>
              <w:jc w:val="left"/>
              <w:rPr>
                <w:noProof/>
              </w:rPr>
            </w:pPr>
            <w:r>
              <w:rPr>
                <w:noProof/>
              </w:rPr>
              <w:t>Committee on Budgetary Control</w:t>
            </w:r>
          </w:p>
        </w:tc>
      </w:tr>
      <w:tr w:rsidR="004F4F39" w:rsidRPr="00814B72" w:rsidDel="00A60CB2" w14:paraId="00C576AF" w14:textId="77777777" w:rsidTr="00A27EF6">
        <w:trPr>
          <w:trHeight w:val="315"/>
        </w:trPr>
        <w:tc>
          <w:tcPr>
            <w:tcW w:w="1400" w:type="dxa"/>
            <w:tcBorders>
              <w:top w:val="nil"/>
              <w:left w:val="nil"/>
              <w:bottom w:val="nil"/>
              <w:right w:val="nil"/>
            </w:tcBorders>
            <w:shd w:val="clear" w:color="auto" w:fill="auto"/>
            <w:noWrap/>
            <w:vAlign w:val="bottom"/>
          </w:tcPr>
          <w:p w14:paraId="5F61A303" w14:textId="4ADB0FC3" w:rsidR="004F4F39" w:rsidRPr="00814B72" w:rsidDel="00A60CB2" w:rsidRDefault="00273DEC" w:rsidP="00A27EF6">
            <w:pPr>
              <w:spacing w:after="0"/>
              <w:jc w:val="left"/>
              <w:rPr>
                <w:noProof/>
                <w:color w:val="000000"/>
                <w:szCs w:val="24"/>
              </w:rPr>
            </w:pPr>
            <w:r>
              <w:rPr>
                <w:noProof/>
                <w:color w:val="000000"/>
                <w:szCs w:val="24"/>
              </w:rPr>
              <w:t>ECA</w:t>
            </w:r>
          </w:p>
        </w:tc>
        <w:tc>
          <w:tcPr>
            <w:tcW w:w="6964" w:type="dxa"/>
            <w:tcBorders>
              <w:top w:val="nil"/>
              <w:left w:val="nil"/>
              <w:bottom w:val="nil"/>
              <w:right w:val="nil"/>
            </w:tcBorders>
            <w:shd w:val="clear" w:color="auto" w:fill="auto"/>
            <w:noWrap/>
            <w:vAlign w:val="bottom"/>
          </w:tcPr>
          <w:p w14:paraId="3FB7946A" w14:textId="4D00BA3A" w:rsidR="004F4F39" w:rsidRPr="00814B72" w:rsidDel="00A60CB2" w:rsidRDefault="00273DEC" w:rsidP="00A27EF6">
            <w:pPr>
              <w:spacing w:after="0"/>
              <w:jc w:val="left"/>
              <w:rPr>
                <w:noProof/>
              </w:rPr>
            </w:pPr>
            <w:r>
              <w:rPr>
                <w:noProof/>
              </w:rPr>
              <w:t>European Court of Auditors</w:t>
            </w:r>
          </w:p>
        </w:tc>
      </w:tr>
      <w:tr w:rsidR="00440F24" w:rsidRPr="00814B72" w14:paraId="7234E6AE" w14:textId="77777777" w:rsidTr="00A27EF6">
        <w:trPr>
          <w:trHeight w:val="315"/>
        </w:trPr>
        <w:tc>
          <w:tcPr>
            <w:tcW w:w="1400" w:type="dxa"/>
            <w:tcBorders>
              <w:top w:val="nil"/>
              <w:left w:val="nil"/>
              <w:bottom w:val="nil"/>
              <w:right w:val="nil"/>
            </w:tcBorders>
            <w:shd w:val="clear" w:color="auto" w:fill="auto"/>
            <w:noWrap/>
            <w:vAlign w:val="bottom"/>
            <w:hideMark/>
          </w:tcPr>
          <w:p w14:paraId="3266D8B0" w14:textId="77777777" w:rsidR="00440F24" w:rsidRPr="00814B72" w:rsidRDefault="00440F24" w:rsidP="00A27EF6">
            <w:pPr>
              <w:spacing w:after="0"/>
              <w:jc w:val="left"/>
              <w:rPr>
                <w:noProof/>
                <w:color w:val="000000"/>
                <w:szCs w:val="24"/>
              </w:rPr>
            </w:pPr>
            <w:r w:rsidRPr="00814B72">
              <w:rPr>
                <w:noProof/>
                <w:color w:val="000000"/>
                <w:szCs w:val="24"/>
              </w:rPr>
              <w:t>EDES</w:t>
            </w:r>
          </w:p>
        </w:tc>
        <w:tc>
          <w:tcPr>
            <w:tcW w:w="6964" w:type="dxa"/>
            <w:tcBorders>
              <w:top w:val="nil"/>
              <w:left w:val="nil"/>
              <w:bottom w:val="nil"/>
              <w:right w:val="nil"/>
            </w:tcBorders>
            <w:shd w:val="clear" w:color="auto" w:fill="auto"/>
            <w:noWrap/>
            <w:vAlign w:val="bottom"/>
            <w:hideMark/>
          </w:tcPr>
          <w:p w14:paraId="2E93ABDC" w14:textId="77777777" w:rsidR="00440F24" w:rsidRPr="00814B72" w:rsidRDefault="00440F24" w:rsidP="00A27EF6">
            <w:pPr>
              <w:spacing w:after="0"/>
              <w:jc w:val="left"/>
              <w:rPr>
                <w:noProof/>
                <w:color w:val="000000"/>
                <w:szCs w:val="24"/>
              </w:rPr>
            </w:pPr>
            <w:r w:rsidRPr="00814B72">
              <w:rPr>
                <w:noProof/>
                <w:color w:val="000000"/>
                <w:szCs w:val="24"/>
              </w:rPr>
              <w:t>Early Detection and Exclusion System</w:t>
            </w:r>
          </w:p>
        </w:tc>
      </w:tr>
      <w:tr w:rsidR="00440F24" w:rsidRPr="00814B72" w14:paraId="06709427" w14:textId="77777777" w:rsidTr="00A27EF6">
        <w:trPr>
          <w:trHeight w:val="315"/>
        </w:trPr>
        <w:tc>
          <w:tcPr>
            <w:tcW w:w="1400" w:type="dxa"/>
            <w:tcBorders>
              <w:top w:val="nil"/>
              <w:left w:val="nil"/>
              <w:bottom w:val="nil"/>
              <w:right w:val="nil"/>
            </w:tcBorders>
            <w:shd w:val="clear" w:color="auto" w:fill="auto"/>
            <w:noWrap/>
            <w:vAlign w:val="bottom"/>
            <w:hideMark/>
          </w:tcPr>
          <w:p w14:paraId="72829BE7" w14:textId="77777777" w:rsidR="00440F24" w:rsidRPr="00814B72" w:rsidRDefault="00440F24" w:rsidP="00A27EF6">
            <w:pPr>
              <w:spacing w:after="0"/>
              <w:jc w:val="left"/>
              <w:rPr>
                <w:noProof/>
                <w:color w:val="000000"/>
                <w:szCs w:val="24"/>
              </w:rPr>
            </w:pPr>
            <w:r w:rsidRPr="00814B72">
              <w:rPr>
                <w:noProof/>
                <w:color w:val="000000"/>
                <w:szCs w:val="24"/>
              </w:rPr>
              <w:t>EPPO</w:t>
            </w:r>
          </w:p>
        </w:tc>
        <w:tc>
          <w:tcPr>
            <w:tcW w:w="6964" w:type="dxa"/>
            <w:tcBorders>
              <w:top w:val="nil"/>
              <w:left w:val="nil"/>
              <w:bottom w:val="nil"/>
              <w:right w:val="nil"/>
            </w:tcBorders>
            <w:shd w:val="clear" w:color="auto" w:fill="auto"/>
            <w:noWrap/>
            <w:vAlign w:val="bottom"/>
            <w:hideMark/>
          </w:tcPr>
          <w:p w14:paraId="17A3EABA" w14:textId="77777777" w:rsidR="00440F24" w:rsidRPr="00814B72" w:rsidRDefault="00440F24" w:rsidP="00F37220">
            <w:pPr>
              <w:spacing w:after="0"/>
              <w:jc w:val="left"/>
              <w:rPr>
                <w:noProof/>
                <w:color w:val="000000"/>
                <w:szCs w:val="24"/>
              </w:rPr>
            </w:pPr>
            <w:r w:rsidRPr="00814B72">
              <w:rPr>
                <w:noProof/>
                <w:color w:val="000000"/>
                <w:szCs w:val="24"/>
              </w:rPr>
              <w:t>European Public Prosecut</w:t>
            </w:r>
            <w:r w:rsidR="00F37220">
              <w:rPr>
                <w:noProof/>
                <w:color w:val="000000"/>
                <w:szCs w:val="24"/>
              </w:rPr>
              <w:t>or</w:t>
            </w:r>
            <w:r w:rsidR="009D4863">
              <w:rPr>
                <w:noProof/>
                <w:color w:val="000000"/>
                <w:szCs w:val="24"/>
              </w:rPr>
              <w:t>’</w:t>
            </w:r>
            <w:r w:rsidRPr="00814B72">
              <w:rPr>
                <w:noProof/>
                <w:color w:val="000000"/>
                <w:szCs w:val="24"/>
              </w:rPr>
              <w:t>s Office</w:t>
            </w:r>
          </w:p>
        </w:tc>
      </w:tr>
      <w:tr w:rsidR="00304DA3" w:rsidRPr="00814B72" w14:paraId="2C21C267" w14:textId="77777777" w:rsidTr="00A27EF6">
        <w:trPr>
          <w:trHeight w:val="315"/>
        </w:trPr>
        <w:tc>
          <w:tcPr>
            <w:tcW w:w="1400" w:type="dxa"/>
            <w:tcBorders>
              <w:top w:val="nil"/>
              <w:left w:val="nil"/>
              <w:bottom w:val="nil"/>
              <w:right w:val="nil"/>
            </w:tcBorders>
            <w:shd w:val="clear" w:color="auto" w:fill="auto"/>
            <w:noWrap/>
            <w:vAlign w:val="bottom"/>
          </w:tcPr>
          <w:p w14:paraId="27F04096" w14:textId="77777777" w:rsidR="00304DA3" w:rsidRPr="00814B72" w:rsidRDefault="00304DA3" w:rsidP="00A27EF6">
            <w:pPr>
              <w:spacing w:after="0"/>
              <w:jc w:val="left"/>
              <w:rPr>
                <w:noProof/>
                <w:color w:val="000000"/>
                <w:szCs w:val="24"/>
              </w:rPr>
            </w:pPr>
            <w:r>
              <w:rPr>
                <w:noProof/>
                <w:color w:val="000000"/>
                <w:szCs w:val="24"/>
              </w:rPr>
              <w:t>ERDF</w:t>
            </w:r>
          </w:p>
        </w:tc>
        <w:tc>
          <w:tcPr>
            <w:tcW w:w="6964" w:type="dxa"/>
            <w:tcBorders>
              <w:top w:val="nil"/>
              <w:left w:val="nil"/>
              <w:bottom w:val="nil"/>
              <w:right w:val="nil"/>
            </w:tcBorders>
            <w:shd w:val="clear" w:color="auto" w:fill="auto"/>
            <w:noWrap/>
            <w:vAlign w:val="bottom"/>
          </w:tcPr>
          <w:p w14:paraId="46EA789C" w14:textId="77777777" w:rsidR="00304DA3" w:rsidRPr="00814B72" w:rsidRDefault="00304DA3" w:rsidP="004F4F39">
            <w:pPr>
              <w:spacing w:after="0"/>
              <w:jc w:val="left"/>
              <w:rPr>
                <w:noProof/>
                <w:color w:val="000000"/>
                <w:szCs w:val="24"/>
              </w:rPr>
            </w:pPr>
            <w:r>
              <w:rPr>
                <w:noProof/>
                <w:color w:val="000000"/>
                <w:szCs w:val="24"/>
              </w:rPr>
              <w:t xml:space="preserve">European </w:t>
            </w:r>
            <w:r w:rsidR="004F4F39">
              <w:rPr>
                <w:noProof/>
                <w:color w:val="000000"/>
                <w:szCs w:val="24"/>
              </w:rPr>
              <w:t xml:space="preserve">Regional </w:t>
            </w:r>
            <w:r>
              <w:rPr>
                <w:noProof/>
                <w:color w:val="000000"/>
                <w:szCs w:val="24"/>
              </w:rPr>
              <w:t xml:space="preserve">and </w:t>
            </w:r>
            <w:r w:rsidR="004F4F39">
              <w:rPr>
                <w:noProof/>
                <w:color w:val="000000"/>
                <w:szCs w:val="24"/>
              </w:rPr>
              <w:t>Development Fund</w:t>
            </w:r>
          </w:p>
        </w:tc>
      </w:tr>
      <w:tr w:rsidR="00304DA3" w:rsidRPr="00814B72" w14:paraId="002E5491" w14:textId="77777777" w:rsidTr="00A27EF6">
        <w:trPr>
          <w:trHeight w:val="315"/>
        </w:trPr>
        <w:tc>
          <w:tcPr>
            <w:tcW w:w="1400" w:type="dxa"/>
            <w:tcBorders>
              <w:top w:val="nil"/>
              <w:left w:val="nil"/>
              <w:bottom w:val="nil"/>
              <w:right w:val="nil"/>
            </w:tcBorders>
            <w:shd w:val="clear" w:color="auto" w:fill="auto"/>
            <w:noWrap/>
            <w:vAlign w:val="bottom"/>
          </w:tcPr>
          <w:p w14:paraId="262BB912" w14:textId="77777777" w:rsidR="00304DA3" w:rsidRDefault="00304DA3" w:rsidP="00A27EF6">
            <w:pPr>
              <w:spacing w:after="0"/>
              <w:jc w:val="left"/>
              <w:rPr>
                <w:noProof/>
                <w:color w:val="000000"/>
                <w:szCs w:val="24"/>
              </w:rPr>
            </w:pPr>
            <w:r>
              <w:rPr>
                <w:noProof/>
                <w:color w:val="000000"/>
                <w:szCs w:val="24"/>
              </w:rPr>
              <w:t>ESF</w:t>
            </w:r>
          </w:p>
        </w:tc>
        <w:tc>
          <w:tcPr>
            <w:tcW w:w="6964" w:type="dxa"/>
            <w:tcBorders>
              <w:top w:val="nil"/>
              <w:left w:val="nil"/>
              <w:bottom w:val="nil"/>
              <w:right w:val="nil"/>
            </w:tcBorders>
            <w:shd w:val="clear" w:color="auto" w:fill="auto"/>
            <w:noWrap/>
            <w:vAlign w:val="bottom"/>
          </w:tcPr>
          <w:p w14:paraId="76679E3C" w14:textId="77777777" w:rsidR="00304DA3" w:rsidRDefault="00304DA3" w:rsidP="004F4F39">
            <w:pPr>
              <w:spacing w:after="0"/>
              <w:jc w:val="left"/>
              <w:rPr>
                <w:noProof/>
                <w:color w:val="000000"/>
                <w:szCs w:val="24"/>
              </w:rPr>
            </w:pPr>
            <w:r>
              <w:rPr>
                <w:noProof/>
                <w:color w:val="000000"/>
                <w:szCs w:val="24"/>
              </w:rPr>
              <w:t xml:space="preserve">European </w:t>
            </w:r>
            <w:r w:rsidR="004F4F39">
              <w:rPr>
                <w:noProof/>
                <w:color w:val="000000"/>
                <w:szCs w:val="24"/>
              </w:rPr>
              <w:t>S</w:t>
            </w:r>
            <w:r>
              <w:rPr>
                <w:noProof/>
                <w:color w:val="000000"/>
                <w:szCs w:val="24"/>
              </w:rPr>
              <w:t xml:space="preserve">ocial </w:t>
            </w:r>
            <w:r w:rsidR="004F4F39">
              <w:rPr>
                <w:noProof/>
                <w:color w:val="000000"/>
                <w:szCs w:val="24"/>
              </w:rPr>
              <w:t>F</w:t>
            </w:r>
            <w:r>
              <w:rPr>
                <w:noProof/>
                <w:color w:val="000000"/>
                <w:szCs w:val="24"/>
              </w:rPr>
              <w:t>und</w:t>
            </w:r>
          </w:p>
        </w:tc>
      </w:tr>
      <w:tr w:rsidR="00440F24" w:rsidRPr="00814B72" w14:paraId="48131E19" w14:textId="77777777" w:rsidTr="00A27EF6">
        <w:trPr>
          <w:trHeight w:val="315"/>
        </w:trPr>
        <w:tc>
          <w:tcPr>
            <w:tcW w:w="1400" w:type="dxa"/>
            <w:tcBorders>
              <w:top w:val="nil"/>
              <w:left w:val="nil"/>
              <w:bottom w:val="nil"/>
              <w:right w:val="nil"/>
            </w:tcBorders>
            <w:shd w:val="clear" w:color="auto" w:fill="auto"/>
            <w:noWrap/>
            <w:vAlign w:val="bottom"/>
            <w:hideMark/>
          </w:tcPr>
          <w:p w14:paraId="0C6F0064" w14:textId="77777777" w:rsidR="00440F24" w:rsidRPr="00814B72" w:rsidRDefault="00440F24" w:rsidP="00A27EF6">
            <w:pPr>
              <w:spacing w:after="0"/>
              <w:jc w:val="left"/>
              <w:rPr>
                <w:noProof/>
                <w:color w:val="000000"/>
                <w:szCs w:val="24"/>
              </w:rPr>
            </w:pPr>
            <w:r w:rsidRPr="00814B72">
              <w:rPr>
                <w:noProof/>
                <w:color w:val="000000"/>
                <w:szCs w:val="24"/>
              </w:rPr>
              <w:t>EU</w:t>
            </w:r>
          </w:p>
        </w:tc>
        <w:tc>
          <w:tcPr>
            <w:tcW w:w="6964" w:type="dxa"/>
            <w:tcBorders>
              <w:top w:val="nil"/>
              <w:left w:val="nil"/>
              <w:bottom w:val="nil"/>
              <w:right w:val="nil"/>
            </w:tcBorders>
            <w:shd w:val="clear" w:color="auto" w:fill="auto"/>
            <w:noWrap/>
            <w:vAlign w:val="bottom"/>
            <w:hideMark/>
          </w:tcPr>
          <w:p w14:paraId="196EBB46" w14:textId="77777777" w:rsidR="00440F24" w:rsidRPr="00814B72" w:rsidRDefault="00440F24" w:rsidP="00A27EF6">
            <w:pPr>
              <w:spacing w:after="0"/>
              <w:jc w:val="left"/>
              <w:rPr>
                <w:noProof/>
                <w:color w:val="000000"/>
                <w:szCs w:val="24"/>
              </w:rPr>
            </w:pPr>
            <w:r w:rsidRPr="00814B72">
              <w:rPr>
                <w:noProof/>
                <w:color w:val="000000"/>
                <w:szCs w:val="24"/>
              </w:rPr>
              <w:t>European Union</w:t>
            </w:r>
          </w:p>
        </w:tc>
      </w:tr>
      <w:tr w:rsidR="009334E5" w:rsidRPr="00814B72" w14:paraId="49EB4969" w14:textId="77777777" w:rsidTr="00A27EF6">
        <w:trPr>
          <w:trHeight w:val="315"/>
        </w:trPr>
        <w:tc>
          <w:tcPr>
            <w:tcW w:w="1400" w:type="dxa"/>
            <w:tcBorders>
              <w:top w:val="nil"/>
              <w:left w:val="nil"/>
              <w:bottom w:val="nil"/>
              <w:right w:val="nil"/>
            </w:tcBorders>
            <w:shd w:val="clear" w:color="auto" w:fill="auto"/>
            <w:noWrap/>
            <w:vAlign w:val="bottom"/>
          </w:tcPr>
          <w:p w14:paraId="20768016" w14:textId="77777777" w:rsidR="009334E5" w:rsidRPr="00814B72" w:rsidRDefault="009334E5" w:rsidP="00A27EF6">
            <w:pPr>
              <w:spacing w:after="0"/>
              <w:jc w:val="left"/>
              <w:rPr>
                <w:noProof/>
                <w:color w:val="000000"/>
                <w:szCs w:val="24"/>
              </w:rPr>
            </w:pPr>
            <w:r w:rsidRPr="00814B72">
              <w:rPr>
                <w:noProof/>
                <w:color w:val="000000"/>
                <w:szCs w:val="24"/>
              </w:rPr>
              <w:t>FEAD</w:t>
            </w:r>
          </w:p>
        </w:tc>
        <w:tc>
          <w:tcPr>
            <w:tcW w:w="6964" w:type="dxa"/>
            <w:tcBorders>
              <w:top w:val="nil"/>
              <w:left w:val="nil"/>
              <w:bottom w:val="nil"/>
              <w:right w:val="nil"/>
            </w:tcBorders>
            <w:shd w:val="clear" w:color="auto" w:fill="auto"/>
            <w:noWrap/>
            <w:vAlign w:val="bottom"/>
          </w:tcPr>
          <w:p w14:paraId="7D1C8370" w14:textId="77777777" w:rsidR="009334E5" w:rsidRPr="00814B72" w:rsidRDefault="002174DB" w:rsidP="00A27EF6">
            <w:pPr>
              <w:spacing w:after="0"/>
              <w:jc w:val="left"/>
              <w:rPr>
                <w:noProof/>
                <w:color w:val="000000"/>
                <w:szCs w:val="24"/>
              </w:rPr>
            </w:pPr>
            <w:r w:rsidRPr="00814B72">
              <w:rPr>
                <w:noProof/>
                <w:color w:val="000000"/>
                <w:szCs w:val="24"/>
              </w:rPr>
              <w:t>Fund for European Aid to the Most Deprived</w:t>
            </w:r>
          </w:p>
        </w:tc>
      </w:tr>
      <w:tr w:rsidR="00273DEC" w:rsidRPr="00814B72" w14:paraId="79444FD0" w14:textId="77777777" w:rsidTr="00A27EF6">
        <w:trPr>
          <w:trHeight w:val="315"/>
        </w:trPr>
        <w:tc>
          <w:tcPr>
            <w:tcW w:w="1400" w:type="dxa"/>
            <w:tcBorders>
              <w:top w:val="nil"/>
              <w:left w:val="nil"/>
              <w:bottom w:val="nil"/>
              <w:right w:val="nil"/>
            </w:tcBorders>
            <w:shd w:val="clear" w:color="auto" w:fill="auto"/>
            <w:noWrap/>
            <w:vAlign w:val="bottom"/>
          </w:tcPr>
          <w:p w14:paraId="1B20000A" w14:textId="620DDE5E" w:rsidR="00273DEC" w:rsidRPr="00814B72" w:rsidRDefault="00273DEC" w:rsidP="00A27EF6">
            <w:pPr>
              <w:spacing w:after="0"/>
              <w:jc w:val="left"/>
              <w:rPr>
                <w:noProof/>
                <w:color w:val="000000"/>
                <w:szCs w:val="24"/>
              </w:rPr>
            </w:pPr>
            <w:r>
              <w:rPr>
                <w:noProof/>
                <w:color w:val="000000"/>
                <w:szCs w:val="24"/>
              </w:rPr>
              <w:t>FPDNet</w:t>
            </w:r>
          </w:p>
        </w:tc>
        <w:tc>
          <w:tcPr>
            <w:tcW w:w="6964" w:type="dxa"/>
            <w:tcBorders>
              <w:top w:val="nil"/>
              <w:left w:val="nil"/>
              <w:bottom w:val="nil"/>
              <w:right w:val="nil"/>
            </w:tcBorders>
            <w:shd w:val="clear" w:color="auto" w:fill="auto"/>
            <w:noWrap/>
            <w:vAlign w:val="bottom"/>
          </w:tcPr>
          <w:p w14:paraId="35AE42C5" w14:textId="3150A3D6" w:rsidR="00273DEC" w:rsidRPr="00814B72" w:rsidRDefault="00273DEC" w:rsidP="00A27EF6">
            <w:pPr>
              <w:spacing w:after="0"/>
              <w:jc w:val="left"/>
              <w:rPr>
                <w:noProof/>
                <w:color w:val="000000"/>
                <w:szCs w:val="24"/>
              </w:rPr>
            </w:pPr>
            <w:r>
              <w:rPr>
                <w:noProof/>
                <w:color w:val="000000"/>
                <w:szCs w:val="24"/>
              </w:rPr>
              <w:t>Fraud Prevention and Detection Network</w:t>
            </w:r>
          </w:p>
        </w:tc>
      </w:tr>
      <w:tr w:rsidR="00A57A8E" w:rsidRPr="00814B72" w14:paraId="51524A42" w14:textId="77777777" w:rsidTr="00A27EF6">
        <w:trPr>
          <w:trHeight w:val="315"/>
        </w:trPr>
        <w:tc>
          <w:tcPr>
            <w:tcW w:w="1400" w:type="dxa"/>
            <w:tcBorders>
              <w:top w:val="nil"/>
              <w:left w:val="nil"/>
              <w:bottom w:val="nil"/>
              <w:right w:val="nil"/>
            </w:tcBorders>
            <w:shd w:val="clear" w:color="auto" w:fill="auto"/>
            <w:noWrap/>
            <w:vAlign w:val="bottom"/>
          </w:tcPr>
          <w:p w14:paraId="1CBF28F3" w14:textId="7645EFA0" w:rsidR="00A57A8E" w:rsidRPr="00814B72" w:rsidRDefault="00A57A8E" w:rsidP="00A27EF6">
            <w:pPr>
              <w:spacing w:after="0"/>
              <w:jc w:val="left"/>
              <w:rPr>
                <w:noProof/>
                <w:color w:val="000000"/>
                <w:szCs w:val="24"/>
              </w:rPr>
            </w:pPr>
            <w:r>
              <w:rPr>
                <w:noProof/>
                <w:color w:val="000000"/>
                <w:szCs w:val="24"/>
              </w:rPr>
              <w:t>IBOA</w:t>
            </w:r>
          </w:p>
        </w:tc>
        <w:tc>
          <w:tcPr>
            <w:tcW w:w="6964" w:type="dxa"/>
            <w:tcBorders>
              <w:top w:val="nil"/>
              <w:left w:val="nil"/>
              <w:bottom w:val="nil"/>
              <w:right w:val="nil"/>
            </w:tcBorders>
            <w:shd w:val="clear" w:color="auto" w:fill="auto"/>
            <w:noWrap/>
            <w:vAlign w:val="bottom"/>
          </w:tcPr>
          <w:p w14:paraId="6C92A860" w14:textId="11F63085" w:rsidR="00A57A8E" w:rsidRPr="00814B72" w:rsidRDefault="00A57A8E" w:rsidP="00A27EF6">
            <w:pPr>
              <w:spacing w:after="0"/>
              <w:jc w:val="left"/>
              <w:rPr>
                <w:noProof/>
                <w:color w:val="000000"/>
                <w:szCs w:val="24"/>
              </w:rPr>
            </w:pPr>
            <w:r>
              <w:rPr>
                <w:noProof/>
                <w:color w:val="000000"/>
                <w:szCs w:val="24"/>
              </w:rPr>
              <w:t>Institutions, Bodies, Offices and Agencies</w:t>
            </w:r>
          </w:p>
        </w:tc>
      </w:tr>
      <w:tr w:rsidR="00440F24" w:rsidRPr="00814B72" w14:paraId="7474A81C" w14:textId="77777777" w:rsidTr="00A27EF6">
        <w:trPr>
          <w:trHeight w:val="315"/>
        </w:trPr>
        <w:tc>
          <w:tcPr>
            <w:tcW w:w="1400" w:type="dxa"/>
            <w:tcBorders>
              <w:top w:val="nil"/>
              <w:left w:val="nil"/>
              <w:bottom w:val="nil"/>
              <w:right w:val="nil"/>
            </w:tcBorders>
            <w:shd w:val="clear" w:color="auto" w:fill="auto"/>
            <w:noWrap/>
            <w:vAlign w:val="bottom"/>
          </w:tcPr>
          <w:p w14:paraId="626C265F" w14:textId="77777777" w:rsidR="00440F24" w:rsidRPr="00814B72" w:rsidRDefault="00440F24" w:rsidP="00A27EF6">
            <w:pPr>
              <w:spacing w:after="0"/>
              <w:jc w:val="left"/>
              <w:rPr>
                <w:noProof/>
                <w:color w:val="000000"/>
                <w:szCs w:val="24"/>
              </w:rPr>
            </w:pPr>
            <w:r w:rsidRPr="00814B72">
              <w:rPr>
                <w:noProof/>
                <w:color w:val="000000"/>
                <w:szCs w:val="24"/>
              </w:rPr>
              <w:t>IMS</w:t>
            </w:r>
          </w:p>
        </w:tc>
        <w:tc>
          <w:tcPr>
            <w:tcW w:w="6964" w:type="dxa"/>
            <w:tcBorders>
              <w:top w:val="nil"/>
              <w:left w:val="nil"/>
              <w:bottom w:val="nil"/>
              <w:right w:val="nil"/>
            </w:tcBorders>
            <w:shd w:val="clear" w:color="auto" w:fill="auto"/>
            <w:noWrap/>
            <w:vAlign w:val="bottom"/>
          </w:tcPr>
          <w:p w14:paraId="6A08F38F" w14:textId="77777777" w:rsidR="00440F24" w:rsidRPr="00814B72" w:rsidRDefault="00440F24" w:rsidP="00A27EF6">
            <w:pPr>
              <w:spacing w:after="0"/>
              <w:jc w:val="left"/>
              <w:rPr>
                <w:noProof/>
                <w:color w:val="000000"/>
                <w:szCs w:val="24"/>
              </w:rPr>
            </w:pPr>
            <w:r w:rsidRPr="00814B72">
              <w:rPr>
                <w:noProof/>
                <w:color w:val="000000"/>
                <w:szCs w:val="24"/>
              </w:rPr>
              <w:t>Irregularity Management System</w:t>
            </w:r>
          </w:p>
        </w:tc>
      </w:tr>
      <w:tr w:rsidR="0088404A" w:rsidRPr="00814B72" w14:paraId="2F41BA15" w14:textId="77777777" w:rsidTr="00A27EF6">
        <w:trPr>
          <w:trHeight w:val="315"/>
        </w:trPr>
        <w:tc>
          <w:tcPr>
            <w:tcW w:w="1400" w:type="dxa"/>
            <w:tcBorders>
              <w:top w:val="nil"/>
              <w:left w:val="nil"/>
              <w:bottom w:val="nil"/>
              <w:right w:val="nil"/>
            </w:tcBorders>
            <w:shd w:val="clear" w:color="auto" w:fill="auto"/>
            <w:noWrap/>
            <w:vAlign w:val="bottom"/>
          </w:tcPr>
          <w:p w14:paraId="3A624158" w14:textId="77777777" w:rsidR="0088404A" w:rsidRPr="00814B72" w:rsidRDefault="0088404A" w:rsidP="00A27EF6">
            <w:pPr>
              <w:spacing w:after="0"/>
              <w:jc w:val="left"/>
              <w:rPr>
                <w:noProof/>
                <w:color w:val="000000"/>
                <w:szCs w:val="24"/>
              </w:rPr>
            </w:pPr>
            <w:r w:rsidRPr="00814B72">
              <w:rPr>
                <w:noProof/>
                <w:color w:val="000000"/>
                <w:szCs w:val="24"/>
              </w:rPr>
              <w:t>IPA</w:t>
            </w:r>
          </w:p>
        </w:tc>
        <w:tc>
          <w:tcPr>
            <w:tcW w:w="6964" w:type="dxa"/>
            <w:tcBorders>
              <w:top w:val="nil"/>
              <w:left w:val="nil"/>
              <w:bottom w:val="nil"/>
              <w:right w:val="nil"/>
            </w:tcBorders>
            <w:shd w:val="clear" w:color="auto" w:fill="auto"/>
            <w:noWrap/>
            <w:vAlign w:val="bottom"/>
          </w:tcPr>
          <w:p w14:paraId="66719A84" w14:textId="77777777" w:rsidR="0088404A" w:rsidRPr="00814B72" w:rsidRDefault="0088404A" w:rsidP="00CF7811">
            <w:pPr>
              <w:spacing w:after="0"/>
              <w:jc w:val="left"/>
              <w:rPr>
                <w:noProof/>
                <w:color w:val="000000"/>
                <w:szCs w:val="24"/>
              </w:rPr>
            </w:pPr>
            <w:r w:rsidRPr="00814B72">
              <w:rPr>
                <w:noProof/>
                <w:color w:val="000000"/>
                <w:szCs w:val="24"/>
              </w:rPr>
              <w:t>Instrument for Pre-Accession</w:t>
            </w:r>
          </w:p>
        </w:tc>
      </w:tr>
      <w:tr w:rsidR="00EA292B" w:rsidRPr="00814B72" w14:paraId="5663AD2F" w14:textId="77777777" w:rsidTr="00A27EF6">
        <w:trPr>
          <w:trHeight w:val="315"/>
        </w:trPr>
        <w:tc>
          <w:tcPr>
            <w:tcW w:w="1400" w:type="dxa"/>
            <w:tcBorders>
              <w:top w:val="nil"/>
              <w:left w:val="nil"/>
              <w:bottom w:val="nil"/>
              <w:right w:val="nil"/>
            </w:tcBorders>
            <w:shd w:val="clear" w:color="auto" w:fill="auto"/>
            <w:noWrap/>
            <w:vAlign w:val="bottom"/>
          </w:tcPr>
          <w:p w14:paraId="08BAC993" w14:textId="66E0ED3D" w:rsidR="00EA292B" w:rsidRPr="00814B72" w:rsidRDefault="00EA292B" w:rsidP="00A27EF6">
            <w:pPr>
              <w:spacing w:after="0"/>
              <w:jc w:val="left"/>
              <w:rPr>
                <w:noProof/>
                <w:color w:val="000000"/>
                <w:szCs w:val="24"/>
              </w:rPr>
            </w:pPr>
            <w:r>
              <w:rPr>
                <w:noProof/>
                <w:color w:val="000000"/>
                <w:szCs w:val="24"/>
              </w:rPr>
              <w:t>IT</w:t>
            </w:r>
          </w:p>
        </w:tc>
        <w:tc>
          <w:tcPr>
            <w:tcW w:w="6964" w:type="dxa"/>
            <w:tcBorders>
              <w:top w:val="nil"/>
              <w:left w:val="nil"/>
              <w:bottom w:val="nil"/>
              <w:right w:val="nil"/>
            </w:tcBorders>
            <w:shd w:val="clear" w:color="auto" w:fill="auto"/>
            <w:noWrap/>
            <w:vAlign w:val="bottom"/>
          </w:tcPr>
          <w:p w14:paraId="00D3BF6F" w14:textId="712D3957" w:rsidR="00EA292B" w:rsidRPr="00814B72" w:rsidRDefault="00EA292B" w:rsidP="00CF7811">
            <w:pPr>
              <w:spacing w:after="0"/>
              <w:jc w:val="left"/>
              <w:rPr>
                <w:noProof/>
                <w:color w:val="000000"/>
                <w:szCs w:val="24"/>
              </w:rPr>
            </w:pPr>
            <w:r>
              <w:rPr>
                <w:noProof/>
                <w:color w:val="000000"/>
                <w:szCs w:val="24"/>
              </w:rPr>
              <w:t>Information Technology</w:t>
            </w:r>
          </w:p>
        </w:tc>
      </w:tr>
      <w:tr w:rsidR="00866442" w:rsidRPr="00814B72" w14:paraId="6790CE2D" w14:textId="77777777" w:rsidTr="00A27EF6">
        <w:trPr>
          <w:trHeight w:val="315"/>
        </w:trPr>
        <w:tc>
          <w:tcPr>
            <w:tcW w:w="1400" w:type="dxa"/>
            <w:tcBorders>
              <w:top w:val="nil"/>
              <w:left w:val="nil"/>
              <w:bottom w:val="nil"/>
              <w:right w:val="nil"/>
            </w:tcBorders>
            <w:shd w:val="clear" w:color="auto" w:fill="auto"/>
            <w:noWrap/>
            <w:vAlign w:val="bottom"/>
          </w:tcPr>
          <w:p w14:paraId="078C8256" w14:textId="77777777" w:rsidR="00866442" w:rsidRPr="00814B72" w:rsidRDefault="00866442" w:rsidP="00A27EF6">
            <w:pPr>
              <w:spacing w:after="0"/>
              <w:jc w:val="left"/>
              <w:rPr>
                <w:noProof/>
                <w:color w:val="000000"/>
                <w:szCs w:val="24"/>
              </w:rPr>
            </w:pPr>
            <w:r w:rsidRPr="00814B72">
              <w:rPr>
                <w:noProof/>
                <w:color w:val="000000"/>
                <w:szCs w:val="24"/>
              </w:rPr>
              <w:t>JCO</w:t>
            </w:r>
          </w:p>
        </w:tc>
        <w:tc>
          <w:tcPr>
            <w:tcW w:w="6964" w:type="dxa"/>
            <w:tcBorders>
              <w:top w:val="nil"/>
              <w:left w:val="nil"/>
              <w:bottom w:val="nil"/>
              <w:right w:val="nil"/>
            </w:tcBorders>
            <w:shd w:val="clear" w:color="auto" w:fill="auto"/>
            <w:noWrap/>
            <w:vAlign w:val="bottom"/>
          </w:tcPr>
          <w:p w14:paraId="3470D464" w14:textId="77777777" w:rsidR="00866442" w:rsidRPr="00814B72" w:rsidRDefault="00866442" w:rsidP="00A27EF6">
            <w:pPr>
              <w:spacing w:after="0"/>
              <w:jc w:val="left"/>
              <w:rPr>
                <w:noProof/>
                <w:color w:val="000000"/>
                <w:szCs w:val="24"/>
              </w:rPr>
            </w:pPr>
            <w:r w:rsidRPr="00814B72">
              <w:rPr>
                <w:noProof/>
                <w:color w:val="000000"/>
                <w:szCs w:val="24"/>
              </w:rPr>
              <w:t>Joint Customs Operation</w:t>
            </w:r>
          </w:p>
        </w:tc>
      </w:tr>
      <w:tr w:rsidR="009334E5" w:rsidRPr="00814B72" w14:paraId="4C31F5FF" w14:textId="77777777" w:rsidTr="00A27EF6">
        <w:trPr>
          <w:trHeight w:val="315"/>
        </w:trPr>
        <w:tc>
          <w:tcPr>
            <w:tcW w:w="1400" w:type="dxa"/>
            <w:tcBorders>
              <w:top w:val="nil"/>
              <w:left w:val="nil"/>
              <w:bottom w:val="nil"/>
              <w:right w:val="nil"/>
            </w:tcBorders>
            <w:shd w:val="clear" w:color="auto" w:fill="auto"/>
            <w:noWrap/>
            <w:vAlign w:val="bottom"/>
          </w:tcPr>
          <w:p w14:paraId="394289FC" w14:textId="77777777" w:rsidR="009334E5" w:rsidRPr="00814B72" w:rsidRDefault="009334E5" w:rsidP="00A27EF6">
            <w:pPr>
              <w:spacing w:after="0"/>
              <w:jc w:val="left"/>
              <w:rPr>
                <w:noProof/>
                <w:color w:val="000000"/>
                <w:szCs w:val="24"/>
              </w:rPr>
            </w:pPr>
            <w:r w:rsidRPr="00814B72">
              <w:rPr>
                <w:noProof/>
                <w:color w:val="000000"/>
                <w:szCs w:val="24"/>
              </w:rPr>
              <w:t>NAFS</w:t>
            </w:r>
          </w:p>
        </w:tc>
        <w:tc>
          <w:tcPr>
            <w:tcW w:w="6964" w:type="dxa"/>
            <w:tcBorders>
              <w:top w:val="nil"/>
              <w:left w:val="nil"/>
              <w:bottom w:val="nil"/>
              <w:right w:val="nil"/>
            </w:tcBorders>
            <w:shd w:val="clear" w:color="auto" w:fill="auto"/>
            <w:noWrap/>
            <w:vAlign w:val="bottom"/>
          </w:tcPr>
          <w:p w14:paraId="48B46921" w14:textId="77777777" w:rsidR="009334E5" w:rsidRPr="00814B72" w:rsidRDefault="009334E5" w:rsidP="00A27EF6">
            <w:pPr>
              <w:spacing w:after="0"/>
              <w:jc w:val="left"/>
              <w:rPr>
                <w:noProof/>
                <w:color w:val="000000"/>
                <w:szCs w:val="24"/>
              </w:rPr>
            </w:pPr>
            <w:r w:rsidRPr="00814B72">
              <w:rPr>
                <w:noProof/>
                <w:color w:val="000000"/>
                <w:szCs w:val="24"/>
              </w:rPr>
              <w:t>National Anti-Fraud Strategies</w:t>
            </w:r>
          </w:p>
        </w:tc>
      </w:tr>
      <w:tr w:rsidR="00440F24" w:rsidRPr="00814B72" w14:paraId="6B1B979B" w14:textId="77777777" w:rsidTr="00A27EF6">
        <w:trPr>
          <w:trHeight w:val="315"/>
        </w:trPr>
        <w:tc>
          <w:tcPr>
            <w:tcW w:w="1400" w:type="dxa"/>
            <w:tcBorders>
              <w:top w:val="nil"/>
              <w:left w:val="nil"/>
              <w:bottom w:val="nil"/>
              <w:right w:val="nil"/>
            </w:tcBorders>
            <w:shd w:val="clear" w:color="auto" w:fill="auto"/>
            <w:noWrap/>
            <w:vAlign w:val="bottom"/>
            <w:hideMark/>
          </w:tcPr>
          <w:p w14:paraId="1AD9443D" w14:textId="77777777" w:rsidR="00440F24" w:rsidRPr="00814B72" w:rsidRDefault="00440F24" w:rsidP="00A27EF6">
            <w:pPr>
              <w:spacing w:after="0"/>
              <w:jc w:val="left"/>
              <w:rPr>
                <w:noProof/>
                <w:color w:val="000000"/>
                <w:szCs w:val="24"/>
              </w:rPr>
            </w:pPr>
            <w:r w:rsidRPr="00814B72">
              <w:rPr>
                <w:noProof/>
                <w:color w:val="000000"/>
                <w:szCs w:val="24"/>
              </w:rPr>
              <w:t>OLAF</w:t>
            </w:r>
          </w:p>
        </w:tc>
        <w:tc>
          <w:tcPr>
            <w:tcW w:w="6964" w:type="dxa"/>
            <w:tcBorders>
              <w:top w:val="nil"/>
              <w:left w:val="nil"/>
              <w:bottom w:val="nil"/>
              <w:right w:val="nil"/>
            </w:tcBorders>
            <w:shd w:val="clear" w:color="auto" w:fill="auto"/>
            <w:noWrap/>
            <w:vAlign w:val="bottom"/>
            <w:hideMark/>
          </w:tcPr>
          <w:p w14:paraId="1C1BA1D1" w14:textId="77777777" w:rsidR="00440F24" w:rsidRPr="00814B72" w:rsidRDefault="00440F24" w:rsidP="00A27EF6">
            <w:pPr>
              <w:spacing w:after="0"/>
              <w:jc w:val="left"/>
              <w:rPr>
                <w:noProof/>
                <w:color w:val="000000"/>
                <w:szCs w:val="24"/>
              </w:rPr>
            </w:pPr>
            <w:r w:rsidRPr="00814B72">
              <w:rPr>
                <w:noProof/>
                <w:color w:val="000000"/>
                <w:szCs w:val="24"/>
              </w:rPr>
              <w:t>European Anti-Fraud Office</w:t>
            </w:r>
          </w:p>
        </w:tc>
      </w:tr>
      <w:tr w:rsidR="00440F24" w:rsidRPr="00814B72" w14:paraId="5FDBC8DD" w14:textId="77777777" w:rsidTr="00A27EF6">
        <w:trPr>
          <w:trHeight w:val="315"/>
        </w:trPr>
        <w:tc>
          <w:tcPr>
            <w:tcW w:w="1400" w:type="dxa"/>
            <w:tcBorders>
              <w:top w:val="nil"/>
              <w:left w:val="nil"/>
              <w:bottom w:val="nil"/>
              <w:right w:val="nil"/>
            </w:tcBorders>
            <w:shd w:val="clear" w:color="auto" w:fill="auto"/>
            <w:noWrap/>
            <w:vAlign w:val="bottom"/>
            <w:hideMark/>
          </w:tcPr>
          <w:p w14:paraId="1C93F67E" w14:textId="77777777" w:rsidR="00440F24" w:rsidRPr="00814B72" w:rsidRDefault="00440F24" w:rsidP="00A27EF6">
            <w:pPr>
              <w:spacing w:after="0"/>
              <w:jc w:val="left"/>
              <w:rPr>
                <w:noProof/>
                <w:color w:val="000000"/>
                <w:szCs w:val="24"/>
              </w:rPr>
            </w:pPr>
            <w:r w:rsidRPr="00814B72">
              <w:rPr>
                <w:noProof/>
                <w:color w:val="000000"/>
                <w:szCs w:val="24"/>
              </w:rPr>
              <w:t>PIF</w:t>
            </w:r>
          </w:p>
        </w:tc>
        <w:tc>
          <w:tcPr>
            <w:tcW w:w="6964" w:type="dxa"/>
            <w:tcBorders>
              <w:top w:val="nil"/>
              <w:left w:val="nil"/>
              <w:bottom w:val="nil"/>
              <w:right w:val="nil"/>
            </w:tcBorders>
            <w:shd w:val="clear" w:color="auto" w:fill="auto"/>
            <w:noWrap/>
            <w:vAlign w:val="bottom"/>
            <w:hideMark/>
          </w:tcPr>
          <w:p w14:paraId="736409E0" w14:textId="77777777" w:rsidR="00440F24" w:rsidRPr="00814B72" w:rsidRDefault="00440F24" w:rsidP="00A27EF6">
            <w:pPr>
              <w:spacing w:after="0"/>
              <w:jc w:val="left"/>
              <w:rPr>
                <w:noProof/>
                <w:color w:val="000000"/>
                <w:szCs w:val="24"/>
              </w:rPr>
            </w:pPr>
            <w:r w:rsidRPr="00814B72">
              <w:rPr>
                <w:noProof/>
                <w:color w:val="000000"/>
                <w:szCs w:val="24"/>
              </w:rPr>
              <w:t>Protection of financial interests</w:t>
            </w:r>
          </w:p>
        </w:tc>
      </w:tr>
      <w:tr w:rsidR="00182088" w:rsidRPr="00814B72" w14:paraId="658AB762" w14:textId="77777777" w:rsidTr="00A27EF6">
        <w:trPr>
          <w:trHeight w:val="315"/>
        </w:trPr>
        <w:tc>
          <w:tcPr>
            <w:tcW w:w="1400" w:type="dxa"/>
            <w:tcBorders>
              <w:top w:val="nil"/>
              <w:left w:val="nil"/>
              <w:bottom w:val="nil"/>
              <w:right w:val="nil"/>
            </w:tcBorders>
            <w:shd w:val="clear" w:color="auto" w:fill="auto"/>
            <w:noWrap/>
            <w:vAlign w:val="bottom"/>
          </w:tcPr>
          <w:p w14:paraId="0DB5B51C" w14:textId="77777777" w:rsidR="00182088" w:rsidRPr="00814B72" w:rsidRDefault="00182088" w:rsidP="00A27EF6">
            <w:pPr>
              <w:spacing w:after="0"/>
              <w:jc w:val="left"/>
              <w:rPr>
                <w:noProof/>
                <w:color w:val="000000"/>
                <w:szCs w:val="24"/>
              </w:rPr>
            </w:pPr>
            <w:r w:rsidRPr="00814B72">
              <w:rPr>
                <w:noProof/>
                <w:color w:val="000000"/>
                <w:szCs w:val="24"/>
              </w:rPr>
              <w:t>PFIU audits</w:t>
            </w:r>
          </w:p>
        </w:tc>
        <w:tc>
          <w:tcPr>
            <w:tcW w:w="6964" w:type="dxa"/>
            <w:tcBorders>
              <w:top w:val="nil"/>
              <w:left w:val="nil"/>
              <w:bottom w:val="nil"/>
              <w:right w:val="nil"/>
            </w:tcBorders>
            <w:shd w:val="clear" w:color="auto" w:fill="auto"/>
            <w:noWrap/>
            <w:vAlign w:val="bottom"/>
          </w:tcPr>
          <w:p w14:paraId="0EF19917" w14:textId="77777777" w:rsidR="00182088" w:rsidRPr="00814B72" w:rsidRDefault="00182088" w:rsidP="00A27EF6">
            <w:pPr>
              <w:spacing w:after="0"/>
              <w:jc w:val="left"/>
              <w:rPr>
                <w:noProof/>
                <w:color w:val="000000"/>
                <w:szCs w:val="24"/>
              </w:rPr>
            </w:pPr>
            <w:r w:rsidRPr="00814B72">
              <w:rPr>
                <w:noProof/>
                <w:color w:val="000000"/>
                <w:szCs w:val="24"/>
              </w:rPr>
              <w:t>Audits on the protection of the financial interests of the Union</w:t>
            </w:r>
          </w:p>
        </w:tc>
      </w:tr>
      <w:tr w:rsidR="00440F24" w:rsidRPr="00814B72" w14:paraId="15B1E070" w14:textId="77777777" w:rsidTr="00A27EF6">
        <w:trPr>
          <w:trHeight w:val="315"/>
        </w:trPr>
        <w:tc>
          <w:tcPr>
            <w:tcW w:w="1400" w:type="dxa"/>
            <w:tcBorders>
              <w:top w:val="nil"/>
              <w:left w:val="nil"/>
              <w:bottom w:val="nil"/>
              <w:right w:val="nil"/>
            </w:tcBorders>
            <w:shd w:val="clear" w:color="auto" w:fill="auto"/>
            <w:noWrap/>
            <w:vAlign w:val="bottom"/>
            <w:hideMark/>
          </w:tcPr>
          <w:p w14:paraId="15AA1501" w14:textId="77777777" w:rsidR="00440F24" w:rsidRPr="00814B72" w:rsidRDefault="00440F24" w:rsidP="00A27EF6">
            <w:pPr>
              <w:spacing w:after="0"/>
              <w:jc w:val="left"/>
              <w:rPr>
                <w:noProof/>
                <w:color w:val="000000"/>
                <w:szCs w:val="24"/>
              </w:rPr>
            </w:pPr>
            <w:r w:rsidRPr="00814B72">
              <w:rPr>
                <w:noProof/>
                <w:color w:val="000000"/>
                <w:szCs w:val="24"/>
              </w:rPr>
              <w:t>RRF</w:t>
            </w:r>
          </w:p>
        </w:tc>
        <w:tc>
          <w:tcPr>
            <w:tcW w:w="6964" w:type="dxa"/>
            <w:tcBorders>
              <w:top w:val="nil"/>
              <w:left w:val="nil"/>
              <w:bottom w:val="nil"/>
              <w:right w:val="nil"/>
            </w:tcBorders>
            <w:shd w:val="clear" w:color="auto" w:fill="auto"/>
            <w:noWrap/>
            <w:vAlign w:val="bottom"/>
            <w:hideMark/>
          </w:tcPr>
          <w:p w14:paraId="38F47824" w14:textId="77777777" w:rsidR="00440F24" w:rsidRPr="00814B72" w:rsidRDefault="00440F24" w:rsidP="00A27EF6">
            <w:pPr>
              <w:spacing w:after="0"/>
              <w:jc w:val="left"/>
              <w:rPr>
                <w:noProof/>
                <w:color w:val="000000"/>
                <w:szCs w:val="24"/>
              </w:rPr>
            </w:pPr>
            <w:r w:rsidRPr="00814B72">
              <w:rPr>
                <w:noProof/>
                <w:color w:val="000000"/>
                <w:szCs w:val="24"/>
              </w:rPr>
              <w:t>Recovery and Resilience Facility</w:t>
            </w:r>
          </w:p>
        </w:tc>
      </w:tr>
      <w:tr w:rsidR="00972C40" w:rsidRPr="00814B72" w14:paraId="7D1ACFF0" w14:textId="77777777" w:rsidTr="00A27EF6">
        <w:trPr>
          <w:trHeight w:val="315"/>
        </w:trPr>
        <w:tc>
          <w:tcPr>
            <w:tcW w:w="1400" w:type="dxa"/>
            <w:tcBorders>
              <w:top w:val="nil"/>
              <w:left w:val="nil"/>
              <w:bottom w:val="nil"/>
              <w:right w:val="nil"/>
            </w:tcBorders>
            <w:shd w:val="clear" w:color="auto" w:fill="auto"/>
            <w:noWrap/>
            <w:vAlign w:val="bottom"/>
          </w:tcPr>
          <w:p w14:paraId="63FBD69E" w14:textId="77777777" w:rsidR="00972C40" w:rsidRPr="00814B72" w:rsidRDefault="00972C40" w:rsidP="00A27EF6">
            <w:pPr>
              <w:spacing w:after="0"/>
              <w:jc w:val="left"/>
              <w:rPr>
                <w:noProof/>
                <w:color w:val="000000"/>
                <w:szCs w:val="24"/>
              </w:rPr>
            </w:pPr>
            <w:r w:rsidRPr="00814B72">
              <w:rPr>
                <w:noProof/>
                <w:color w:val="000000"/>
                <w:szCs w:val="24"/>
              </w:rPr>
              <w:t>RRP</w:t>
            </w:r>
          </w:p>
        </w:tc>
        <w:tc>
          <w:tcPr>
            <w:tcW w:w="6964" w:type="dxa"/>
            <w:tcBorders>
              <w:top w:val="nil"/>
              <w:left w:val="nil"/>
              <w:bottom w:val="nil"/>
              <w:right w:val="nil"/>
            </w:tcBorders>
            <w:shd w:val="clear" w:color="auto" w:fill="auto"/>
            <w:noWrap/>
            <w:vAlign w:val="bottom"/>
          </w:tcPr>
          <w:p w14:paraId="4F655280" w14:textId="0ACA37A4" w:rsidR="00972C40" w:rsidRPr="00814B72" w:rsidRDefault="00972C40" w:rsidP="00866442">
            <w:pPr>
              <w:spacing w:after="0"/>
              <w:jc w:val="left"/>
              <w:rPr>
                <w:noProof/>
                <w:color w:val="000000"/>
                <w:szCs w:val="24"/>
              </w:rPr>
            </w:pPr>
            <w:r w:rsidRPr="00814B72">
              <w:rPr>
                <w:noProof/>
                <w:color w:val="000000"/>
                <w:szCs w:val="24"/>
              </w:rPr>
              <w:t xml:space="preserve">National </w:t>
            </w:r>
            <w:r w:rsidR="000139E7">
              <w:rPr>
                <w:noProof/>
                <w:color w:val="000000"/>
                <w:szCs w:val="24"/>
              </w:rPr>
              <w:t>R</w:t>
            </w:r>
            <w:r w:rsidRPr="00814B72">
              <w:rPr>
                <w:noProof/>
                <w:color w:val="000000"/>
                <w:szCs w:val="24"/>
              </w:rPr>
              <w:t xml:space="preserve">ecovery and </w:t>
            </w:r>
            <w:r w:rsidR="00203106">
              <w:rPr>
                <w:noProof/>
                <w:color w:val="000000"/>
                <w:szCs w:val="24"/>
              </w:rPr>
              <w:t>R</w:t>
            </w:r>
            <w:r w:rsidRPr="00814B72">
              <w:rPr>
                <w:noProof/>
                <w:color w:val="000000"/>
                <w:szCs w:val="24"/>
              </w:rPr>
              <w:t xml:space="preserve">esilience </w:t>
            </w:r>
            <w:r w:rsidR="00203106">
              <w:rPr>
                <w:noProof/>
                <w:color w:val="000000"/>
                <w:szCs w:val="24"/>
              </w:rPr>
              <w:t>P</w:t>
            </w:r>
            <w:r w:rsidRPr="00814B72">
              <w:rPr>
                <w:noProof/>
                <w:color w:val="000000"/>
                <w:szCs w:val="24"/>
              </w:rPr>
              <w:t>lan</w:t>
            </w:r>
          </w:p>
        </w:tc>
      </w:tr>
      <w:tr w:rsidR="00440F24" w:rsidRPr="00814B72" w14:paraId="4438088D" w14:textId="77777777" w:rsidTr="00A27EF6">
        <w:trPr>
          <w:trHeight w:val="315"/>
        </w:trPr>
        <w:tc>
          <w:tcPr>
            <w:tcW w:w="1400" w:type="dxa"/>
            <w:tcBorders>
              <w:top w:val="nil"/>
              <w:left w:val="nil"/>
              <w:bottom w:val="nil"/>
              <w:right w:val="nil"/>
            </w:tcBorders>
            <w:shd w:val="clear" w:color="auto" w:fill="auto"/>
            <w:noWrap/>
            <w:vAlign w:val="bottom"/>
            <w:hideMark/>
          </w:tcPr>
          <w:p w14:paraId="08A8296B" w14:textId="77777777" w:rsidR="00440F24" w:rsidRPr="00814B72" w:rsidRDefault="00440F24" w:rsidP="00A27EF6">
            <w:pPr>
              <w:spacing w:after="0"/>
              <w:jc w:val="left"/>
              <w:rPr>
                <w:noProof/>
                <w:color w:val="000000"/>
                <w:szCs w:val="24"/>
              </w:rPr>
            </w:pPr>
            <w:r w:rsidRPr="00814B72">
              <w:rPr>
                <w:noProof/>
                <w:color w:val="000000"/>
                <w:szCs w:val="24"/>
              </w:rPr>
              <w:t>TFEU</w:t>
            </w:r>
          </w:p>
        </w:tc>
        <w:tc>
          <w:tcPr>
            <w:tcW w:w="6964" w:type="dxa"/>
            <w:tcBorders>
              <w:top w:val="nil"/>
              <w:left w:val="nil"/>
              <w:bottom w:val="nil"/>
              <w:right w:val="nil"/>
            </w:tcBorders>
            <w:shd w:val="clear" w:color="auto" w:fill="auto"/>
            <w:noWrap/>
            <w:vAlign w:val="bottom"/>
            <w:hideMark/>
          </w:tcPr>
          <w:p w14:paraId="3649B1D5" w14:textId="77777777" w:rsidR="00440F24" w:rsidRPr="00814B72" w:rsidRDefault="00440F24" w:rsidP="00A27EF6">
            <w:pPr>
              <w:spacing w:after="0"/>
              <w:jc w:val="left"/>
              <w:rPr>
                <w:noProof/>
                <w:color w:val="000000"/>
                <w:szCs w:val="24"/>
              </w:rPr>
            </w:pPr>
            <w:r w:rsidRPr="00814B72">
              <w:rPr>
                <w:noProof/>
                <w:color w:val="000000"/>
                <w:szCs w:val="24"/>
              </w:rPr>
              <w:t xml:space="preserve">Treaty on the Functioning of the European Union </w:t>
            </w:r>
          </w:p>
        </w:tc>
      </w:tr>
      <w:tr w:rsidR="00440F24" w:rsidRPr="00814B72" w14:paraId="7434EC89" w14:textId="77777777" w:rsidTr="00A27EF6">
        <w:trPr>
          <w:trHeight w:val="315"/>
        </w:trPr>
        <w:tc>
          <w:tcPr>
            <w:tcW w:w="1400" w:type="dxa"/>
            <w:tcBorders>
              <w:top w:val="nil"/>
              <w:left w:val="nil"/>
              <w:bottom w:val="nil"/>
              <w:right w:val="nil"/>
            </w:tcBorders>
            <w:shd w:val="clear" w:color="auto" w:fill="auto"/>
            <w:noWrap/>
            <w:vAlign w:val="bottom"/>
            <w:hideMark/>
          </w:tcPr>
          <w:p w14:paraId="34ACF0B3" w14:textId="77777777" w:rsidR="00440F24" w:rsidRPr="00814B72" w:rsidRDefault="00440F24" w:rsidP="00A27EF6">
            <w:pPr>
              <w:spacing w:after="0"/>
              <w:jc w:val="left"/>
              <w:rPr>
                <w:noProof/>
                <w:color w:val="000000"/>
                <w:szCs w:val="24"/>
              </w:rPr>
            </w:pPr>
            <w:r w:rsidRPr="00814B72">
              <w:rPr>
                <w:noProof/>
                <w:color w:val="000000"/>
                <w:szCs w:val="24"/>
              </w:rPr>
              <w:t>TOR</w:t>
            </w:r>
          </w:p>
        </w:tc>
        <w:tc>
          <w:tcPr>
            <w:tcW w:w="6964" w:type="dxa"/>
            <w:tcBorders>
              <w:top w:val="nil"/>
              <w:left w:val="nil"/>
              <w:bottom w:val="nil"/>
              <w:right w:val="nil"/>
            </w:tcBorders>
            <w:shd w:val="clear" w:color="auto" w:fill="auto"/>
            <w:noWrap/>
            <w:vAlign w:val="bottom"/>
            <w:hideMark/>
          </w:tcPr>
          <w:p w14:paraId="699AD6F2" w14:textId="77777777" w:rsidR="00440F24" w:rsidRPr="00814B72" w:rsidRDefault="00440F24" w:rsidP="00A27EF6">
            <w:pPr>
              <w:spacing w:after="0"/>
              <w:jc w:val="left"/>
              <w:rPr>
                <w:noProof/>
                <w:color w:val="000000"/>
                <w:szCs w:val="24"/>
              </w:rPr>
            </w:pPr>
            <w:r w:rsidRPr="00814B72">
              <w:rPr>
                <w:noProof/>
                <w:color w:val="000000"/>
                <w:szCs w:val="24"/>
              </w:rPr>
              <w:t xml:space="preserve">Traditional </w:t>
            </w:r>
            <w:r w:rsidR="0012637C">
              <w:rPr>
                <w:noProof/>
                <w:color w:val="000000"/>
                <w:szCs w:val="24"/>
              </w:rPr>
              <w:t>o</w:t>
            </w:r>
            <w:r w:rsidRPr="00814B72">
              <w:rPr>
                <w:noProof/>
                <w:color w:val="000000"/>
                <w:szCs w:val="24"/>
              </w:rPr>
              <w:t xml:space="preserve">wn </w:t>
            </w:r>
            <w:r w:rsidR="0012637C">
              <w:rPr>
                <w:noProof/>
                <w:color w:val="000000"/>
                <w:szCs w:val="24"/>
              </w:rPr>
              <w:t>r</w:t>
            </w:r>
            <w:r w:rsidRPr="00814B72">
              <w:rPr>
                <w:noProof/>
                <w:color w:val="000000"/>
                <w:szCs w:val="24"/>
              </w:rPr>
              <w:t>esources</w:t>
            </w:r>
          </w:p>
        </w:tc>
      </w:tr>
      <w:tr w:rsidR="009334E5" w:rsidRPr="00814B72" w14:paraId="75C33B87" w14:textId="77777777" w:rsidTr="00A27EF6">
        <w:trPr>
          <w:trHeight w:val="315"/>
        </w:trPr>
        <w:tc>
          <w:tcPr>
            <w:tcW w:w="1400" w:type="dxa"/>
            <w:tcBorders>
              <w:top w:val="nil"/>
              <w:left w:val="nil"/>
              <w:bottom w:val="nil"/>
              <w:right w:val="nil"/>
            </w:tcBorders>
            <w:shd w:val="clear" w:color="auto" w:fill="auto"/>
            <w:noWrap/>
            <w:vAlign w:val="bottom"/>
          </w:tcPr>
          <w:p w14:paraId="2D632FD1" w14:textId="77777777" w:rsidR="009334E5" w:rsidRPr="00814B72" w:rsidRDefault="009334E5" w:rsidP="00A27EF6">
            <w:pPr>
              <w:spacing w:after="0"/>
              <w:jc w:val="left"/>
              <w:rPr>
                <w:noProof/>
                <w:color w:val="000000"/>
                <w:szCs w:val="24"/>
              </w:rPr>
            </w:pPr>
            <w:r w:rsidRPr="00814B72">
              <w:rPr>
                <w:noProof/>
                <w:color w:val="000000"/>
                <w:szCs w:val="24"/>
              </w:rPr>
              <w:t>UAFP</w:t>
            </w:r>
          </w:p>
        </w:tc>
        <w:tc>
          <w:tcPr>
            <w:tcW w:w="6964" w:type="dxa"/>
            <w:tcBorders>
              <w:top w:val="nil"/>
              <w:left w:val="nil"/>
              <w:bottom w:val="nil"/>
              <w:right w:val="nil"/>
            </w:tcBorders>
            <w:shd w:val="clear" w:color="auto" w:fill="auto"/>
            <w:noWrap/>
            <w:vAlign w:val="bottom"/>
          </w:tcPr>
          <w:p w14:paraId="512E3C11" w14:textId="77777777" w:rsidR="009334E5" w:rsidRPr="00814B72" w:rsidRDefault="009334E5" w:rsidP="00F90561">
            <w:pPr>
              <w:spacing w:after="0"/>
              <w:jc w:val="left"/>
              <w:rPr>
                <w:noProof/>
                <w:color w:val="000000"/>
                <w:szCs w:val="24"/>
              </w:rPr>
            </w:pPr>
            <w:r w:rsidRPr="00814B72">
              <w:rPr>
                <w:noProof/>
                <w:color w:val="000000"/>
                <w:szCs w:val="24"/>
              </w:rPr>
              <w:t>Union Anti-Fraud Programme</w:t>
            </w:r>
          </w:p>
        </w:tc>
      </w:tr>
      <w:tr w:rsidR="00440F24" w:rsidRPr="00814B72" w14:paraId="2E3AFF4D" w14:textId="77777777" w:rsidTr="00A27EF6">
        <w:trPr>
          <w:trHeight w:val="315"/>
        </w:trPr>
        <w:tc>
          <w:tcPr>
            <w:tcW w:w="1400" w:type="dxa"/>
            <w:tcBorders>
              <w:top w:val="nil"/>
              <w:left w:val="nil"/>
              <w:bottom w:val="nil"/>
              <w:right w:val="nil"/>
            </w:tcBorders>
            <w:shd w:val="clear" w:color="auto" w:fill="auto"/>
            <w:noWrap/>
            <w:vAlign w:val="bottom"/>
          </w:tcPr>
          <w:p w14:paraId="5DCFA4B3" w14:textId="77777777" w:rsidR="00440F24" w:rsidRPr="00814B72" w:rsidRDefault="00440F24" w:rsidP="00A27EF6">
            <w:pPr>
              <w:spacing w:after="0"/>
              <w:jc w:val="left"/>
              <w:rPr>
                <w:noProof/>
                <w:color w:val="000000"/>
                <w:szCs w:val="24"/>
              </w:rPr>
            </w:pPr>
            <w:r w:rsidRPr="00814B72">
              <w:rPr>
                <w:noProof/>
                <w:color w:val="000000"/>
                <w:szCs w:val="24"/>
              </w:rPr>
              <w:t>VAT</w:t>
            </w:r>
          </w:p>
        </w:tc>
        <w:tc>
          <w:tcPr>
            <w:tcW w:w="6964" w:type="dxa"/>
            <w:tcBorders>
              <w:top w:val="nil"/>
              <w:left w:val="nil"/>
              <w:bottom w:val="nil"/>
              <w:right w:val="nil"/>
            </w:tcBorders>
            <w:shd w:val="clear" w:color="auto" w:fill="auto"/>
            <w:noWrap/>
            <w:vAlign w:val="bottom"/>
          </w:tcPr>
          <w:p w14:paraId="01EE4E35" w14:textId="77777777" w:rsidR="00440F24" w:rsidRPr="00814B72" w:rsidRDefault="00440F24" w:rsidP="00A27EF6">
            <w:pPr>
              <w:spacing w:after="0"/>
              <w:jc w:val="left"/>
              <w:rPr>
                <w:noProof/>
                <w:color w:val="000000"/>
                <w:szCs w:val="24"/>
              </w:rPr>
            </w:pPr>
            <w:r w:rsidRPr="00814B72">
              <w:rPr>
                <w:noProof/>
                <w:color w:val="000000"/>
                <w:szCs w:val="24"/>
              </w:rPr>
              <w:t>Value Added Tax</w:t>
            </w:r>
          </w:p>
        </w:tc>
      </w:tr>
    </w:tbl>
    <w:p w14:paraId="286101B8" w14:textId="77777777" w:rsidR="00440F24" w:rsidRPr="00814B72" w:rsidRDefault="00440F24">
      <w:pPr>
        <w:rPr>
          <w:b/>
          <w:noProof/>
        </w:rPr>
      </w:pPr>
    </w:p>
    <w:p w14:paraId="2C8BCB08" w14:textId="77777777" w:rsidR="00440F24" w:rsidRPr="00814B72" w:rsidRDefault="00440F24" w:rsidP="00440F24">
      <w:pPr>
        <w:rPr>
          <w:noProof/>
        </w:rPr>
      </w:pPr>
      <w:r w:rsidRPr="00814B72">
        <w:rPr>
          <w:noProof/>
        </w:rPr>
        <w:br w:type="page"/>
      </w:r>
    </w:p>
    <w:p w14:paraId="09F8CDEC" w14:textId="77777777" w:rsidR="00190177" w:rsidRDefault="0048430C" w:rsidP="00B147F9">
      <w:pPr>
        <w:pStyle w:val="Heading1"/>
        <w:rPr>
          <w:noProof/>
        </w:rPr>
      </w:pPr>
      <w:bookmarkStart w:id="3" w:name="_Toc202011312"/>
      <w:bookmarkStart w:id="4" w:name="_Toc203477649"/>
      <w:r w:rsidRPr="00814B72">
        <w:rPr>
          <w:noProof/>
        </w:rPr>
        <w:t>Introduction</w:t>
      </w:r>
      <w:bookmarkEnd w:id="3"/>
      <w:bookmarkEnd w:id="4"/>
    </w:p>
    <w:p w14:paraId="29008C4F" w14:textId="77777777" w:rsidR="00E93574" w:rsidRPr="00E93574" w:rsidRDefault="00E93574" w:rsidP="00FA377B">
      <w:pPr>
        <w:pStyle w:val="Heading2"/>
        <w:rPr>
          <w:noProof/>
        </w:rPr>
      </w:pPr>
      <w:bookmarkStart w:id="5" w:name="_The_EU’s_financial"/>
      <w:bookmarkStart w:id="6" w:name="_Toc202011313"/>
      <w:bookmarkStart w:id="7" w:name="_Toc203477650"/>
      <w:bookmarkEnd w:id="5"/>
      <w:r>
        <w:rPr>
          <w:noProof/>
        </w:rPr>
        <w:t>The EU’s financial interests and their protection</w:t>
      </w:r>
      <w:bookmarkEnd w:id="6"/>
      <w:bookmarkEnd w:id="7"/>
    </w:p>
    <w:p w14:paraId="151387AC" w14:textId="561EF83A" w:rsidR="0048430C" w:rsidRPr="00814B72" w:rsidRDefault="00DE46ED" w:rsidP="0048430C">
      <w:pPr>
        <w:rPr>
          <w:noProof/>
        </w:rPr>
      </w:pPr>
      <w:r>
        <w:rPr>
          <w:noProof/>
        </w:rPr>
        <w:t xml:space="preserve">The EU’s 2024 budget amounts to EUR </w:t>
      </w:r>
      <w:r w:rsidR="00600CD6">
        <w:rPr>
          <w:noProof/>
        </w:rPr>
        <w:t>189</w:t>
      </w:r>
      <w:r>
        <w:rPr>
          <w:noProof/>
        </w:rPr>
        <w:t>.</w:t>
      </w:r>
      <w:r w:rsidR="00600CD6">
        <w:rPr>
          <w:noProof/>
        </w:rPr>
        <w:t xml:space="preserve">4 </w:t>
      </w:r>
      <w:r>
        <w:rPr>
          <w:noProof/>
        </w:rPr>
        <w:t xml:space="preserve">billion in commitment appropriations and EUR </w:t>
      </w:r>
      <w:r w:rsidR="00600CD6">
        <w:rPr>
          <w:noProof/>
        </w:rPr>
        <w:t>142</w:t>
      </w:r>
      <w:r>
        <w:rPr>
          <w:noProof/>
        </w:rPr>
        <w:t>.</w:t>
      </w:r>
      <w:r w:rsidR="00600CD6">
        <w:rPr>
          <w:noProof/>
        </w:rPr>
        <w:t xml:space="preserve">6 </w:t>
      </w:r>
      <w:r>
        <w:rPr>
          <w:noProof/>
        </w:rPr>
        <w:t xml:space="preserve">billion in payment appropriations. The 2021-2027 multiannual financial framework amounts to EUR </w:t>
      </w:r>
      <w:r w:rsidR="00600CD6" w:rsidRPr="00600CD6">
        <w:rPr>
          <w:noProof/>
        </w:rPr>
        <w:t>1</w:t>
      </w:r>
      <w:r w:rsidR="00600CD6">
        <w:rPr>
          <w:noProof/>
        </w:rPr>
        <w:t> </w:t>
      </w:r>
      <w:r w:rsidR="00600CD6" w:rsidRPr="00600CD6">
        <w:rPr>
          <w:noProof/>
        </w:rPr>
        <w:t>200</w:t>
      </w:r>
      <w:r w:rsidR="00600CD6">
        <w:rPr>
          <w:noProof/>
        </w:rPr>
        <w:t>.</w:t>
      </w:r>
      <w:r w:rsidR="00600CD6" w:rsidRPr="00600CD6">
        <w:rPr>
          <w:noProof/>
        </w:rPr>
        <w:t>6</w:t>
      </w:r>
      <w:r>
        <w:rPr>
          <w:noProof/>
        </w:rPr>
        <w:t xml:space="preserve"> billion</w:t>
      </w:r>
      <w:r w:rsidR="00600CD6" w:rsidRPr="00600CD6">
        <w:rPr>
          <w:noProof/>
        </w:rPr>
        <w:t> (</w:t>
      </w:r>
      <w:r w:rsidR="00600CD6">
        <w:rPr>
          <w:rStyle w:val="FootnoteReference"/>
          <w:noProof/>
        </w:rPr>
        <w:footnoteReference w:id="2"/>
      </w:r>
      <w:r w:rsidR="00600CD6">
        <w:rPr>
          <w:noProof/>
        </w:rPr>
        <w:t>)</w:t>
      </w:r>
      <w:r>
        <w:rPr>
          <w:noProof/>
        </w:rPr>
        <w:t>. Additional resources come from NextGeneration EU, the EU’s post-COVID economic recovery package</w:t>
      </w:r>
      <w:r w:rsidR="00E070A6">
        <w:rPr>
          <w:noProof/>
        </w:rPr>
        <w:t xml:space="preserve"> under which </w:t>
      </w:r>
      <w:r>
        <w:rPr>
          <w:noProof/>
        </w:rPr>
        <w:t xml:space="preserve">EUR 750 billion </w:t>
      </w:r>
      <w:r w:rsidR="00E070A6">
        <w:rPr>
          <w:noProof/>
        </w:rPr>
        <w:t xml:space="preserve">is </w:t>
      </w:r>
      <w:r>
        <w:rPr>
          <w:noProof/>
        </w:rPr>
        <w:t>to be spent between 2021 and 2026.</w:t>
      </w:r>
    </w:p>
    <w:p w14:paraId="29488436" w14:textId="13B84E73" w:rsidR="007868A2" w:rsidRPr="00814B72" w:rsidRDefault="00E070A6" w:rsidP="0048430C">
      <w:pPr>
        <w:rPr>
          <w:noProof/>
        </w:rPr>
      </w:pPr>
      <w:r>
        <w:rPr>
          <w:noProof/>
        </w:rPr>
        <w:t>These financial</w:t>
      </w:r>
      <w:r w:rsidR="00DE46ED">
        <w:rPr>
          <w:noProof/>
        </w:rPr>
        <w:t xml:space="preserve"> resources</w:t>
      </w:r>
      <w:r>
        <w:rPr>
          <w:noProof/>
        </w:rPr>
        <w:t xml:space="preserve"> </w:t>
      </w:r>
      <w:r w:rsidR="005279A4">
        <w:rPr>
          <w:noProof/>
        </w:rPr>
        <w:t>enable the</w:t>
      </w:r>
      <w:r w:rsidR="00DE46ED">
        <w:rPr>
          <w:noProof/>
        </w:rPr>
        <w:t xml:space="preserve"> EU </w:t>
      </w:r>
      <w:r>
        <w:rPr>
          <w:noProof/>
        </w:rPr>
        <w:t xml:space="preserve">to </w:t>
      </w:r>
      <w:r w:rsidR="00DE46ED">
        <w:rPr>
          <w:noProof/>
        </w:rPr>
        <w:t>finance its policies and promote its aims and values.</w:t>
      </w:r>
    </w:p>
    <w:p w14:paraId="5E04E455" w14:textId="0BCE1BC5" w:rsidR="007868A2" w:rsidRPr="00814B72" w:rsidRDefault="00DE46ED" w:rsidP="0048430C">
      <w:pPr>
        <w:rPr>
          <w:noProof/>
        </w:rPr>
      </w:pPr>
      <w:r>
        <w:rPr>
          <w:noProof/>
        </w:rPr>
        <w:t>EU Member States manage the largest share of EU expenditure and collect VAT and traditional own resources (TOR</w:t>
      </w:r>
      <w:r w:rsidR="00E070A6">
        <w:rPr>
          <w:noProof/>
        </w:rPr>
        <w:t>), the latter mainly taking the form of</w:t>
      </w:r>
      <w:r>
        <w:rPr>
          <w:noProof/>
        </w:rPr>
        <w:t xml:space="preserve"> customs duties.</w:t>
      </w:r>
    </w:p>
    <w:p w14:paraId="7CB86D1D" w14:textId="52D6F920" w:rsidR="0048430C" w:rsidRDefault="00C14871" w:rsidP="007868A2">
      <w:pPr>
        <w:rPr>
          <w:noProof/>
        </w:rPr>
      </w:pPr>
      <w:r w:rsidRPr="00814B72">
        <w:rPr>
          <w:noProof/>
        </w:rPr>
        <w:t>I</w:t>
      </w:r>
      <w:r w:rsidR="007868A2" w:rsidRPr="00814B72">
        <w:rPr>
          <w:noProof/>
        </w:rPr>
        <w:t xml:space="preserve">n accordance with </w:t>
      </w:r>
      <w:hyperlink r:id="rId24" w:history="1">
        <w:r w:rsidRPr="00814B72">
          <w:rPr>
            <w:rStyle w:val="Hyperlink"/>
            <w:noProof/>
          </w:rPr>
          <w:t>A</w:t>
        </w:r>
        <w:r w:rsidR="007868A2" w:rsidRPr="00814B72">
          <w:rPr>
            <w:rStyle w:val="Hyperlink"/>
            <w:noProof/>
          </w:rPr>
          <w:t>rticle 325</w:t>
        </w:r>
      </w:hyperlink>
      <w:r w:rsidR="007868A2" w:rsidRPr="00814B72">
        <w:rPr>
          <w:noProof/>
        </w:rPr>
        <w:t xml:space="preserve"> </w:t>
      </w:r>
      <w:r w:rsidR="00E070A6">
        <w:rPr>
          <w:noProof/>
        </w:rPr>
        <w:t xml:space="preserve">of the </w:t>
      </w:r>
      <w:r w:rsidR="007868A2" w:rsidRPr="00814B72">
        <w:rPr>
          <w:noProof/>
        </w:rPr>
        <w:t>T</w:t>
      </w:r>
      <w:r w:rsidR="00E070A6">
        <w:rPr>
          <w:noProof/>
        </w:rPr>
        <w:t xml:space="preserve">reaty on the </w:t>
      </w:r>
      <w:r w:rsidR="007868A2" w:rsidRPr="00814B72">
        <w:rPr>
          <w:noProof/>
        </w:rPr>
        <w:t>F</w:t>
      </w:r>
      <w:r w:rsidR="00E070A6">
        <w:rPr>
          <w:noProof/>
        </w:rPr>
        <w:t xml:space="preserve">unctioning of the </w:t>
      </w:r>
      <w:r w:rsidR="007868A2" w:rsidRPr="00814B72">
        <w:rPr>
          <w:noProof/>
        </w:rPr>
        <w:t>E</w:t>
      </w:r>
      <w:r w:rsidR="00E070A6">
        <w:rPr>
          <w:noProof/>
        </w:rPr>
        <w:t xml:space="preserve">uropean </w:t>
      </w:r>
      <w:r w:rsidR="007868A2" w:rsidRPr="00814B72">
        <w:rPr>
          <w:noProof/>
        </w:rPr>
        <w:t>U</w:t>
      </w:r>
      <w:r w:rsidR="00E070A6">
        <w:rPr>
          <w:noProof/>
        </w:rPr>
        <w:t>nion (TFEU)</w:t>
      </w:r>
      <w:r w:rsidR="007868A2" w:rsidRPr="00814B72">
        <w:rPr>
          <w:noProof/>
        </w:rPr>
        <w:t xml:space="preserve">, </w:t>
      </w:r>
      <w:r w:rsidRPr="00814B72">
        <w:rPr>
          <w:noProof/>
        </w:rPr>
        <w:t xml:space="preserve">the EU and its Member States </w:t>
      </w:r>
      <w:r w:rsidR="00F3696B">
        <w:rPr>
          <w:noProof/>
        </w:rPr>
        <w:t xml:space="preserve">must </w:t>
      </w:r>
      <w:r w:rsidR="007868A2" w:rsidRPr="00814B72">
        <w:rPr>
          <w:noProof/>
        </w:rPr>
        <w:t xml:space="preserve">counter fraud and any other illegal activities </w:t>
      </w:r>
      <w:r w:rsidR="00CC3A8C">
        <w:rPr>
          <w:noProof/>
        </w:rPr>
        <w:t xml:space="preserve">that </w:t>
      </w:r>
      <w:r w:rsidR="007868A2" w:rsidRPr="00814B72">
        <w:rPr>
          <w:noProof/>
        </w:rPr>
        <w:t xml:space="preserve">affect the </w:t>
      </w:r>
      <w:r w:rsidRPr="00814B72">
        <w:rPr>
          <w:noProof/>
        </w:rPr>
        <w:t xml:space="preserve">EU’s </w:t>
      </w:r>
      <w:r w:rsidR="007868A2" w:rsidRPr="00814B72">
        <w:rPr>
          <w:noProof/>
        </w:rPr>
        <w:t xml:space="preserve">financial interests. In line with </w:t>
      </w:r>
      <w:r w:rsidRPr="00814B72">
        <w:rPr>
          <w:noProof/>
        </w:rPr>
        <w:t>A</w:t>
      </w:r>
      <w:r w:rsidR="007868A2" w:rsidRPr="00814B72">
        <w:rPr>
          <w:noProof/>
        </w:rPr>
        <w:t>rticle 325</w:t>
      </w:r>
      <w:r w:rsidRPr="00814B72">
        <w:rPr>
          <w:noProof/>
        </w:rPr>
        <w:t>(5)</w:t>
      </w:r>
      <w:r w:rsidR="007868A2" w:rsidRPr="00814B72">
        <w:rPr>
          <w:noProof/>
        </w:rPr>
        <w:t xml:space="preserve"> TFEU, </w:t>
      </w:r>
      <w:r w:rsidRPr="00814B72">
        <w:rPr>
          <w:noProof/>
        </w:rPr>
        <w:t xml:space="preserve">each year </w:t>
      </w:r>
      <w:r w:rsidR="007868A2" w:rsidRPr="00814B72">
        <w:rPr>
          <w:noProof/>
        </w:rPr>
        <w:t xml:space="preserve">the Commission, in cooperation with the Member States, submits </w:t>
      </w:r>
      <w:r w:rsidRPr="00814B72">
        <w:rPr>
          <w:noProof/>
        </w:rPr>
        <w:t xml:space="preserve">a report </w:t>
      </w:r>
      <w:r w:rsidR="007868A2" w:rsidRPr="00814B72">
        <w:rPr>
          <w:noProof/>
        </w:rPr>
        <w:t xml:space="preserve">to the European Parliament and the Council on the measures taken </w:t>
      </w:r>
      <w:r w:rsidR="00CC3A8C">
        <w:rPr>
          <w:noProof/>
        </w:rPr>
        <w:t>to</w:t>
      </w:r>
      <w:r w:rsidR="00CC3A8C" w:rsidRPr="00814B72">
        <w:rPr>
          <w:noProof/>
        </w:rPr>
        <w:t xml:space="preserve"> </w:t>
      </w:r>
      <w:r w:rsidR="007868A2" w:rsidRPr="00814B72">
        <w:rPr>
          <w:noProof/>
        </w:rPr>
        <w:t>implement th</w:t>
      </w:r>
      <w:r w:rsidR="00E070A6">
        <w:rPr>
          <w:noProof/>
        </w:rPr>
        <w:t>at</w:t>
      </w:r>
      <w:r w:rsidR="007868A2" w:rsidRPr="00814B72">
        <w:rPr>
          <w:noProof/>
        </w:rPr>
        <w:t xml:space="preserve"> </w:t>
      </w:r>
      <w:r w:rsidRPr="00814B72">
        <w:rPr>
          <w:noProof/>
        </w:rPr>
        <w:t>A</w:t>
      </w:r>
      <w:r w:rsidR="007868A2" w:rsidRPr="00814B72">
        <w:rPr>
          <w:noProof/>
        </w:rPr>
        <w:t xml:space="preserve">rticle. </w:t>
      </w:r>
      <w:r w:rsidRPr="00814B72">
        <w:rPr>
          <w:noProof/>
        </w:rPr>
        <w:t>This report</w:t>
      </w:r>
      <w:r w:rsidR="007868A2" w:rsidRPr="00814B72">
        <w:rPr>
          <w:noProof/>
        </w:rPr>
        <w:t xml:space="preserve">, also known as </w:t>
      </w:r>
      <w:r w:rsidRPr="00814B72">
        <w:rPr>
          <w:noProof/>
        </w:rPr>
        <w:t xml:space="preserve">the </w:t>
      </w:r>
      <w:r w:rsidR="007868A2" w:rsidRPr="00814B72">
        <w:rPr>
          <w:noProof/>
        </w:rPr>
        <w:t xml:space="preserve">PIF </w:t>
      </w:r>
      <w:r w:rsidR="00E070A6">
        <w:rPr>
          <w:noProof/>
        </w:rPr>
        <w:t>r</w:t>
      </w:r>
      <w:r w:rsidR="007868A2" w:rsidRPr="00814B72">
        <w:rPr>
          <w:noProof/>
        </w:rPr>
        <w:t>eport, meets th</w:t>
      </w:r>
      <w:r w:rsidRPr="00814B72">
        <w:rPr>
          <w:noProof/>
        </w:rPr>
        <w:t>at</w:t>
      </w:r>
      <w:r w:rsidR="007868A2" w:rsidRPr="00814B72">
        <w:rPr>
          <w:noProof/>
        </w:rPr>
        <w:t xml:space="preserve"> obligation</w:t>
      </w:r>
      <w:r w:rsidRPr="00814B72">
        <w:rPr>
          <w:noProof/>
        </w:rPr>
        <w:t xml:space="preserve"> for 202</w:t>
      </w:r>
      <w:r w:rsidR="00DE46ED">
        <w:rPr>
          <w:noProof/>
        </w:rPr>
        <w:t>4 (</w:t>
      </w:r>
      <w:r w:rsidR="00DE46ED" w:rsidRPr="00814B72">
        <w:rPr>
          <w:rStyle w:val="FootnoteReference"/>
          <w:noProof/>
        </w:rPr>
        <w:footnoteReference w:id="3"/>
      </w:r>
      <w:r w:rsidR="00DE46ED">
        <w:rPr>
          <w:noProof/>
        </w:rPr>
        <w:t>)</w:t>
      </w:r>
      <w:r w:rsidR="007868A2" w:rsidRPr="00814B72">
        <w:rPr>
          <w:noProof/>
        </w:rPr>
        <w:t xml:space="preserve">. It is accompanied by </w:t>
      </w:r>
      <w:r w:rsidR="003F7418" w:rsidRPr="00814B72">
        <w:rPr>
          <w:noProof/>
        </w:rPr>
        <w:t>seven</w:t>
      </w:r>
      <w:r w:rsidR="007868A2" w:rsidRPr="00814B72">
        <w:rPr>
          <w:noProof/>
        </w:rPr>
        <w:t xml:space="preserve"> working documents</w:t>
      </w:r>
      <w:r w:rsidR="00BD1B70">
        <w:rPr>
          <w:noProof/>
        </w:rPr>
        <w:t> (</w:t>
      </w:r>
      <w:r w:rsidR="007868A2" w:rsidRPr="00814B72">
        <w:rPr>
          <w:rStyle w:val="FootnoteReference"/>
          <w:noProof/>
        </w:rPr>
        <w:footnoteReference w:id="4"/>
      </w:r>
      <w:r w:rsidR="00BD1B70">
        <w:rPr>
          <w:noProof/>
        </w:rPr>
        <w:t>)</w:t>
      </w:r>
      <w:r w:rsidR="007868A2" w:rsidRPr="00814B72">
        <w:rPr>
          <w:noProof/>
        </w:rPr>
        <w:t>.</w:t>
      </w:r>
      <w:r w:rsidR="000B4633" w:rsidRPr="00814B72">
        <w:rPr>
          <w:noProof/>
        </w:rPr>
        <w:t xml:space="preserve"> </w:t>
      </w:r>
    </w:p>
    <w:p w14:paraId="697F6BFE" w14:textId="44660274" w:rsidR="005F0550" w:rsidRDefault="005F0550" w:rsidP="007868A2">
      <w:pPr>
        <w:rPr>
          <w:noProof/>
        </w:rPr>
      </w:pPr>
      <w:r w:rsidRPr="00814B72">
        <w:rPr>
          <w:noProof/>
        </w:rPr>
        <w:t xml:space="preserve">On </w:t>
      </w:r>
      <w:r>
        <w:rPr>
          <w:noProof/>
        </w:rPr>
        <w:t>6</w:t>
      </w:r>
      <w:r w:rsidRPr="00814B72">
        <w:rPr>
          <w:noProof/>
        </w:rPr>
        <w:t xml:space="preserve"> </w:t>
      </w:r>
      <w:r>
        <w:rPr>
          <w:noProof/>
        </w:rPr>
        <w:t>Ma</w:t>
      </w:r>
      <w:r w:rsidRPr="00814B72">
        <w:rPr>
          <w:noProof/>
        </w:rPr>
        <w:t>y 202</w:t>
      </w:r>
      <w:r>
        <w:rPr>
          <w:noProof/>
        </w:rPr>
        <w:t>5,</w:t>
      </w:r>
      <w:r w:rsidRPr="00814B72">
        <w:rPr>
          <w:noProof/>
        </w:rPr>
        <w:t xml:space="preserve"> the European Parliament adopted its resolution on the protection of the EU’s financial interests for 202</w:t>
      </w:r>
      <w:r>
        <w:rPr>
          <w:noProof/>
        </w:rPr>
        <w:t>3 (</w:t>
      </w:r>
      <w:r w:rsidRPr="00814B72">
        <w:rPr>
          <w:rStyle w:val="FootnoteReference"/>
          <w:noProof/>
        </w:rPr>
        <w:footnoteReference w:id="5"/>
      </w:r>
      <w:r w:rsidR="00A57A8E">
        <w:rPr>
          <w:noProof/>
        </w:rPr>
        <w:t>)</w:t>
      </w:r>
      <w:r w:rsidR="00A57A8E" w:rsidRPr="00814B72">
        <w:rPr>
          <w:noProof/>
        </w:rPr>
        <w:t>.</w:t>
      </w:r>
      <w:r w:rsidR="00A57A8E">
        <w:rPr>
          <w:noProof/>
        </w:rPr>
        <w:t xml:space="preserve"> Parliament</w:t>
      </w:r>
      <w:r>
        <w:rPr>
          <w:noProof/>
        </w:rPr>
        <w:t xml:space="preserve"> call</w:t>
      </w:r>
      <w:r w:rsidR="009A3B66">
        <w:rPr>
          <w:noProof/>
        </w:rPr>
        <w:t>ed</w:t>
      </w:r>
      <w:r>
        <w:rPr>
          <w:noProof/>
        </w:rPr>
        <w:t xml:space="preserve"> for the PIF report to </w:t>
      </w:r>
      <w:r w:rsidR="007A3FFD">
        <w:rPr>
          <w:noProof/>
        </w:rPr>
        <w:t xml:space="preserve">become a tool </w:t>
      </w:r>
      <w:r w:rsidR="00E070A6">
        <w:rPr>
          <w:noProof/>
        </w:rPr>
        <w:t xml:space="preserve">serving the better </w:t>
      </w:r>
      <w:r w:rsidR="007A3FFD">
        <w:rPr>
          <w:noProof/>
        </w:rPr>
        <w:t xml:space="preserve">governance </w:t>
      </w:r>
      <w:r w:rsidR="00E070A6">
        <w:rPr>
          <w:noProof/>
        </w:rPr>
        <w:t xml:space="preserve">of the EU’s anti-fraud architecture </w:t>
      </w:r>
      <w:r w:rsidR="007A3FFD">
        <w:rPr>
          <w:noProof/>
        </w:rPr>
        <w:t xml:space="preserve">and </w:t>
      </w:r>
      <w:r w:rsidR="00E070A6">
        <w:rPr>
          <w:noProof/>
        </w:rPr>
        <w:t xml:space="preserve">for the report’s </w:t>
      </w:r>
      <w:r w:rsidR="007A3FFD">
        <w:rPr>
          <w:noProof/>
        </w:rPr>
        <w:t>holistic approach</w:t>
      </w:r>
      <w:r w:rsidR="00E070A6">
        <w:rPr>
          <w:noProof/>
        </w:rPr>
        <w:t xml:space="preserve"> to be further enhanced</w:t>
      </w:r>
      <w:r w:rsidR="005F502A">
        <w:rPr>
          <w:noProof/>
        </w:rPr>
        <w:t>.</w:t>
      </w:r>
      <w:r w:rsidR="007A3FFD">
        <w:rPr>
          <w:noProof/>
        </w:rPr>
        <w:t xml:space="preserve"> </w:t>
      </w:r>
      <w:r w:rsidR="005F502A">
        <w:rPr>
          <w:noProof/>
        </w:rPr>
        <w:t xml:space="preserve">In line with </w:t>
      </w:r>
      <w:r w:rsidR="00C86024">
        <w:rPr>
          <w:noProof/>
        </w:rPr>
        <w:t>this</w:t>
      </w:r>
      <w:r w:rsidR="005F502A">
        <w:rPr>
          <w:noProof/>
        </w:rPr>
        <w:t xml:space="preserve"> request, </w:t>
      </w:r>
      <w:r w:rsidR="007A3FFD">
        <w:rPr>
          <w:noProof/>
        </w:rPr>
        <w:t xml:space="preserve">the </w:t>
      </w:r>
      <w:r w:rsidR="00E070A6">
        <w:rPr>
          <w:noProof/>
        </w:rPr>
        <w:t xml:space="preserve">2024 PIF report </w:t>
      </w:r>
      <w:r w:rsidR="007A3FFD">
        <w:rPr>
          <w:noProof/>
        </w:rPr>
        <w:t xml:space="preserve">has been structured </w:t>
      </w:r>
      <w:r w:rsidR="008F2872">
        <w:rPr>
          <w:noProof/>
        </w:rPr>
        <w:t>to answer this call</w:t>
      </w:r>
      <w:r w:rsidR="001A64E8">
        <w:rPr>
          <w:noProof/>
        </w:rPr>
        <w:t xml:space="preserve"> and provide a more comprehensive overview of the key measures taken in 202</w:t>
      </w:r>
      <w:r w:rsidR="00C76F14">
        <w:rPr>
          <w:noProof/>
        </w:rPr>
        <w:t>4</w:t>
      </w:r>
      <w:r w:rsidR="001A64E8">
        <w:rPr>
          <w:noProof/>
        </w:rPr>
        <w:t xml:space="preserve"> across the various layers and elements of the anti-fraud architecture</w:t>
      </w:r>
      <w:r w:rsidR="007A3FFD">
        <w:rPr>
          <w:noProof/>
        </w:rPr>
        <w:t>.</w:t>
      </w:r>
    </w:p>
    <w:bookmarkStart w:id="8" w:name="_Hlk169018490"/>
    <w:p w14:paraId="585ED76C" w14:textId="7C216525" w:rsidR="00067531" w:rsidRDefault="005F502A" w:rsidP="00067531">
      <w:pPr>
        <w:rPr>
          <w:noProof/>
        </w:rPr>
      </w:pPr>
      <w:r>
        <w:rPr>
          <w:noProof/>
        </w:rPr>
        <w:fldChar w:fldCharType="begin"/>
      </w:r>
      <w:r>
        <w:rPr>
          <w:noProof/>
        </w:rPr>
        <w:instrText xml:space="preserve"> HYPERLINK  \l "_The_EU_anti-fraud" </w:instrText>
      </w:r>
      <w:r>
        <w:rPr>
          <w:noProof/>
        </w:rPr>
        <w:fldChar w:fldCharType="separate"/>
      </w:r>
      <w:r w:rsidRPr="005F502A">
        <w:rPr>
          <w:rStyle w:val="Hyperlink"/>
          <w:noProof/>
        </w:rPr>
        <w:t>Section 2</w:t>
      </w:r>
      <w:r>
        <w:rPr>
          <w:noProof/>
        </w:rPr>
        <w:fldChar w:fldCharType="end"/>
      </w:r>
      <w:r>
        <w:rPr>
          <w:noProof/>
        </w:rPr>
        <w:t xml:space="preserve"> </w:t>
      </w:r>
      <w:r w:rsidR="00DE46ED">
        <w:rPr>
          <w:noProof/>
        </w:rPr>
        <w:t>is divided in</w:t>
      </w:r>
      <w:r w:rsidR="00E070A6">
        <w:rPr>
          <w:noProof/>
        </w:rPr>
        <w:t>to</w:t>
      </w:r>
      <w:r w:rsidR="00DE46ED">
        <w:rPr>
          <w:noProof/>
        </w:rPr>
        <w:t xml:space="preserve"> two main parts</w:t>
      </w:r>
      <w:r w:rsidR="00E070A6">
        <w:rPr>
          <w:noProof/>
        </w:rPr>
        <w:t>. It looks first at</w:t>
      </w:r>
      <w:r w:rsidR="00DE46ED">
        <w:rPr>
          <w:noProof/>
        </w:rPr>
        <w:t xml:space="preserve"> the </w:t>
      </w:r>
      <w:r w:rsidR="00E070A6">
        <w:rPr>
          <w:noProof/>
        </w:rPr>
        <w:t xml:space="preserve">EU </w:t>
      </w:r>
      <w:r w:rsidR="00DD39EA">
        <w:rPr>
          <w:noProof/>
        </w:rPr>
        <w:t xml:space="preserve">level of the </w:t>
      </w:r>
      <w:r w:rsidR="00E070A6">
        <w:rPr>
          <w:noProof/>
        </w:rPr>
        <w:t xml:space="preserve">anti-fraud architecture </w:t>
      </w:r>
      <w:r w:rsidR="00DE46ED">
        <w:rPr>
          <w:noProof/>
        </w:rPr>
        <w:t>(</w:t>
      </w:r>
      <w:r w:rsidR="00E070A6">
        <w:rPr>
          <w:noProof/>
        </w:rPr>
        <w:t xml:space="preserve">i.e. </w:t>
      </w:r>
      <w:r w:rsidR="00DE46ED">
        <w:rPr>
          <w:noProof/>
        </w:rPr>
        <w:t xml:space="preserve">the EU </w:t>
      </w:r>
      <w:r w:rsidR="00E070A6">
        <w:rPr>
          <w:noProof/>
        </w:rPr>
        <w:t>players</w:t>
      </w:r>
      <w:r w:rsidR="00DE46ED">
        <w:rPr>
          <w:noProof/>
        </w:rPr>
        <w:t>)</w:t>
      </w:r>
      <w:r w:rsidR="00E05475">
        <w:rPr>
          <w:noProof/>
        </w:rPr>
        <w:t xml:space="preserve">, before moving on to </w:t>
      </w:r>
      <w:r w:rsidR="0052274C">
        <w:rPr>
          <w:noProof/>
        </w:rPr>
        <w:t>Member States level</w:t>
      </w:r>
      <w:r w:rsidR="00DE46ED">
        <w:rPr>
          <w:noProof/>
        </w:rPr>
        <w:t xml:space="preserve">. </w:t>
      </w:r>
      <w:r w:rsidR="00E05475">
        <w:rPr>
          <w:noProof/>
        </w:rPr>
        <w:t>Th</w:t>
      </w:r>
      <w:r w:rsidR="003E629E">
        <w:rPr>
          <w:noProof/>
        </w:rPr>
        <w:t>e</w:t>
      </w:r>
      <w:r w:rsidR="00E05475">
        <w:rPr>
          <w:noProof/>
        </w:rPr>
        <w:t xml:space="preserve"> section also </w:t>
      </w:r>
      <w:r w:rsidR="00DE46ED">
        <w:rPr>
          <w:noProof/>
        </w:rPr>
        <w:t xml:space="preserve">offers an overview of cooperation between the different bodies involved and the actions taken to strengthen the protection of the EU’s financial interests and the governance of </w:t>
      </w:r>
      <w:r w:rsidR="003E1E43">
        <w:rPr>
          <w:noProof/>
        </w:rPr>
        <w:t xml:space="preserve">national </w:t>
      </w:r>
      <w:r w:rsidR="00DE46ED">
        <w:rPr>
          <w:noProof/>
        </w:rPr>
        <w:t xml:space="preserve">anti-fraud networks. </w:t>
      </w:r>
      <w:hyperlink w:anchor="_Digitalisation_of_the" w:history="1">
        <w:r w:rsidR="00DE46ED" w:rsidRPr="003E1E43">
          <w:rPr>
            <w:rStyle w:val="Hyperlink"/>
            <w:noProof/>
          </w:rPr>
          <w:t>Section 3</w:t>
        </w:r>
      </w:hyperlink>
      <w:r w:rsidR="00DE46ED">
        <w:rPr>
          <w:noProof/>
        </w:rPr>
        <w:t xml:space="preserve"> presents </w:t>
      </w:r>
      <w:r w:rsidR="00E05475">
        <w:rPr>
          <w:noProof/>
        </w:rPr>
        <w:t xml:space="preserve">how </w:t>
      </w:r>
      <w:r w:rsidR="00DE46ED">
        <w:rPr>
          <w:noProof/>
        </w:rPr>
        <w:t xml:space="preserve">the </w:t>
      </w:r>
      <w:r w:rsidR="00E05475">
        <w:rPr>
          <w:noProof/>
        </w:rPr>
        <w:t xml:space="preserve">EU </w:t>
      </w:r>
      <w:r w:rsidR="00DE46ED">
        <w:rPr>
          <w:noProof/>
        </w:rPr>
        <w:t xml:space="preserve">and national </w:t>
      </w:r>
      <w:r w:rsidR="00E05475">
        <w:rPr>
          <w:noProof/>
        </w:rPr>
        <w:t xml:space="preserve">authorities are using digitalisation and innovative technologies </w:t>
      </w:r>
      <w:r w:rsidR="00DE46ED">
        <w:rPr>
          <w:noProof/>
        </w:rPr>
        <w:t xml:space="preserve">to step up the fight against fraud. </w:t>
      </w:r>
      <w:hyperlink w:anchor="_Combating_irregularities,_fraud," w:history="1">
        <w:r w:rsidR="00DE46ED" w:rsidRPr="003E1E43">
          <w:rPr>
            <w:rStyle w:val="Hyperlink"/>
            <w:noProof/>
          </w:rPr>
          <w:t>Section 4</w:t>
        </w:r>
      </w:hyperlink>
      <w:r w:rsidR="00DE46ED">
        <w:rPr>
          <w:noProof/>
        </w:rPr>
        <w:t xml:space="preserve"> presents data on the fight against fraud, corruption, conflicts of interest and other irregularities that affect the EU</w:t>
      </w:r>
      <w:r w:rsidR="003E1E43">
        <w:rPr>
          <w:noProof/>
        </w:rPr>
        <w:t>’s financial interests</w:t>
      </w:r>
      <w:r w:rsidR="00DE46ED">
        <w:rPr>
          <w:noProof/>
        </w:rPr>
        <w:t>. Whe</w:t>
      </w:r>
      <w:r w:rsidR="003E629E">
        <w:rPr>
          <w:noProof/>
        </w:rPr>
        <w:t>re</w:t>
      </w:r>
      <w:r w:rsidR="00DE46ED">
        <w:rPr>
          <w:noProof/>
        </w:rPr>
        <w:t xml:space="preserve"> available, </w:t>
      </w:r>
      <w:r w:rsidR="003E629E">
        <w:rPr>
          <w:noProof/>
        </w:rPr>
        <w:t xml:space="preserve">the </w:t>
      </w:r>
      <w:r w:rsidR="00DE46ED">
        <w:rPr>
          <w:noProof/>
        </w:rPr>
        <w:t>data also reflect</w:t>
      </w:r>
      <w:r w:rsidR="003E629E">
        <w:rPr>
          <w:noProof/>
        </w:rPr>
        <w:t>s</w:t>
      </w:r>
      <w:r w:rsidR="00DE46ED">
        <w:rPr>
          <w:noProof/>
        </w:rPr>
        <w:t xml:space="preserve"> the state of recoveries. </w:t>
      </w:r>
      <w:hyperlink w:anchor="_Conclusions_and_recommendations" w:history="1">
        <w:r w:rsidR="00DE46ED" w:rsidRPr="003E1E43">
          <w:rPr>
            <w:rStyle w:val="Hyperlink"/>
            <w:noProof/>
          </w:rPr>
          <w:t>Section 5</w:t>
        </w:r>
      </w:hyperlink>
      <w:r w:rsidR="00DE46ED">
        <w:rPr>
          <w:noProof/>
        </w:rPr>
        <w:t xml:space="preserve"> provides conclusions and recommendations.</w:t>
      </w:r>
    </w:p>
    <w:p w14:paraId="497B3681" w14:textId="77777777" w:rsidR="00E93574" w:rsidRDefault="00E93574" w:rsidP="00FA377B">
      <w:pPr>
        <w:pStyle w:val="Heading2"/>
        <w:rPr>
          <w:noProof/>
        </w:rPr>
      </w:pPr>
      <w:bookmarkStart w:id="9" w:name="_Data_sources"/>
      <w:bookmarkStart w:id="10" w:name="_Toc202011314"/>
      <w:bookmarkStart w:id="11" w:name="_Toc203477651"/>
      <w:bookmarkEnd w:id="8"/>
      <w:bookmarkEnd w:id="9"/>
      <w:r>
        <w:rPr>
          <w:noProof/>
        </w:rPr>
        <w:t>Data sources</w:t>
      </w:r>
      <w:bookmarkEnd w:id="10"/>
      <w:bookmarkEnd w:id="11"/>
    </w:p>
    <w:p w14:paraId="16E6DEC3" w14:textId="64202854" w:rsidR="000C1CC0" w:rsidRDefault="003E1E43" w:rsidP="000C1CC0">
      <w:pPr>
        <w:rPr>
          <w:noProof/>
        </w:rPr>
      </w:pPr>
      <w:r>
        <w:rPr>
          <w:noProof/>
        </w:rPr>
        <w:t>T</w:t>
      </w:r>
      <w:r w:rsidR="00DE46ED">
        <w:rPr>
          <w:noProof/>
        </w:rPr>
        <w:t>his report relies on information provided by the Member States through dedicated questionnaires</w:t>
      </w:r>
      <w:r w:rsidRPr="003E1E43">
        <w:rPr>
          <w:noProof/>
        </w:rPr>
        <w:t> (</w:t>
      </w:r>
      <w:r>
        <w:rPr>
          <w:rStyle w:val="FootnoteReference"/>
          <w:noProof/>
        </w:rPr>
        <w:footnoteReference w:id="6"/>
      </w:r>
      <w:r>
        <w:rPr>
          <w:noProof/>
        </w:rPr>
        <w:t>)</w:t>
      </w:r>
      <w:r w:rsidR="00DE46ED">
        <w:rPr>
          <w:noProof/>
        </w:rPr>
        <w:t xml:space="preserve">. </w:t>
      </w:r>
      <w:hyperlink w:anchor="_Revenue_–_traditional" w:history="1">
        <w:r w:rsidR="00DE46ED" w:rsidRPr="003E1E43">
          <w:rPr>
            <w:rStyle w:val="Hyperlink"/>
            <w:noProof/>
          </w:rPr>
          <w:t>Section 4</w:t>
        </w:r>
      </w:hyperlink>
      <w:r w:rsidR="00DE46ED">
        <w:rPr>
          <w:noProof/>
        </w:rPr>
        <w:t xml:space="preserve"> is based on irregularities detected and reported by the Member States (</w:t>
      </w:r>
      <w:r w:rsidR="00DE46ED">
        <w:rPr>
          <w:rStyle w:val="FootnoteReference"/>
          <w:noProof/>
        </w:rPr>
        <w:footnoteReference w:id="7"/>
      </w:r>
      <w:r w:rsidR="00DE46ED">
        <w:rPr>
          <w:noProof/>
        </w:rPr>
        <w:t xml:space="preserve">) (Sections </w:t>
      </w:r>
      <w:hyperlink w:anchor="_Revenue_–_traditional" w:history="1">
        <w:r w:rsidR="00DE46ED" w:rsidRPr="00B069AD">
          <w:rPr>
            <w:rStyle w:val="Hyperlink"/>
            <w:noProof/>
          </w:rPr>
          <w:t>4.2</w:t>
        </w:r>
        <w:r w:rsidR="00B069AD" w:rsidRPr="00B069AD">
          <w:rPr>
            <w:rStyle w:val="Hyperlink"/>
            <w:noProof/>
          </w:rPr>
          <w:t>.</w:t>
        </w:r>
        <w:r w:rsidR="00976443">
          <w:rPr>
            <w:rStyle w:val="Hyperlink"/>
            <w:noProof/>
          </w:rPr>
          <w:t>2</w:t>
        </w:r>
      </w:hyperlink>
      <w:r w:rsidR="00DE46ED">
        <w:rPr>
          <w:noProof/>
        </w:rPr>
        <w:t xml:space="preserve"> and </w:t>
      </w:r>
      <w:hyperlink w:anchor="_Expenditure" w:history="1">
        <w:r w:rsidR="00DE46ED" w:rsidRPr="00B069AD">
          <w:rPr>
            <w:rStyle w:val="Hyperlink"/>
            <w:noProof/>
          </w:rPr>
          <w:t>4.3</w:t>
        </w:r>
      </w:hyperlink>
      <w:r w:rsidR="00DE46ED">
        <w:rPr>
          <w:noProof/>
        </w:rPr>
        <w:t>), by the beneficiary countries of pre-accession assistance (</w:t>
      </w:r>
      <w:r w:rsidR="00DE46ED">
        <w:rPr>
          <w:rStyle w:val="FootnoteReference"/>
          <w:noProof/>
        </w:rPr>
        <w:footnoteReference w:id="8"/>
      </w:r>
      <w:r w:rsidR="00DE46ED">
        <w:rPr>
          <w:noProof/>
        </w:rPr>
        <w:t>) (</w:t>
      </w:r>
      <w:hyperlink w:anchor="_Other_budgetary_areas" w:history="1">
        <w:r w:rsidR="00DE46ED" w:rsidRPr="00B069AD">
          <w:rPr>
            <w:rStyle w:val="Hyperlink"/>
            <w:noProof/>
          </w:rPr>
          <w:t>Section 4.3.3</w:t>
        </w:r>
      </w:hyperlink>
      <w:r w:rsidR="00DE46ED">
        <w:rPr>
          <w:noProof/>
        </w:rPr>
        <w:t>) and on recovery orders extracted from the Commission accounting system (</w:t>
      </w:r>
      <w:r w:rsidR="00DE46ED">
        <w:rPr>
          <w:rStyle w:val="FootnoteReference"/>
          <w:noProof/>
        </w:rPr>
        <w:footnoteReference w:id="9"/>
      </w:r>
      <w:r w:rsidR="00DE46ED">
        <w:rPr>
          <w:noProof/>
        </w:rPr>
        <w:t>) (</w:t>
      </w:r>
      <w:hyperlink w:anchor="_Other_budgetary_areas" w:history="1">
        <w:r w:rsidR="00DE46ED" w:rsidRPr="00B069AD">
          <w:rPr>
            <w:rStyle w:val="Hyperlink"/>
            <w:noProof/>
          </w:rPr>
          <w:t>Section 4.3.</w:t>
        </w:r>
        <w:r w:rsidR="00B069AD" w:rsidRPr="00B069AD">
          <w:rPr>
            <w:rStyle w:val="Hyperlink"/>
            <w:noProof/>
          </w:rPr>
          <w:t>3</w:t>
        </w:r>
      </w:hyperlink>
      <w:r w:rsidR="005A6B8A">
        <w:rPr>
          <w:rStyle w:val="Hyperlink"/>
          <w:noProof/>
        </w:rPr>
        <w:t xml:space="preserve">, </w:t>
      </w:r>
      <w:r w:rsidR="005A6B8A">
        <w:rPr>
          <w:noProof/>
        </w:rPr>
        <w:t>direct management</w:t>
      </w:r>
      <w:r w:rsidR="00DE46ED">
        <w:rPr>
          <w:noProof/>
        </w:rPr>
        <w:t>).</w:t>
      </w:r>
    </w:p>
    <w:p w14:paraId="31FCA7E5" w14:textId="77777777" w:rsidR="005D5C87" w:rsidRDefault="00DE46ED" w:rsidP="005D5C87">
      <w:pPr>
        <w:rPr>
          <w:noProof/>
        </w:rPr>
      </w:pPr>
      <w:r>
        <w:rPr>
          <w:noProof/>
        </w:rPr>
        <w:t>Sectoral regulations on traditional own resources, shared management funds and pre-accession instruments specify the conditions under which Member States and beneficiary countries of pre-accession assistance must report irregularities detected in those areas. The reporting of irregularities is subject to certain limitations (</w:t>
      </w:r>
      <w:r>
        <w:rPr>
          <w:rStyle w:val="FootnoteReference"/>
          <w:noProof/>
        </w:rPr>
        <w:footnoteReference w:id="10"/>
      </w:r>
      <w:r>
        <w:rPr>
          <w:noProof/>
        </w:rPr>
        <w:t>).</w:t>
      </w:r>
    </w:p>
    <w:p w14:paraId="44C1D9DA" w14:textId="77777777" w:rsidR="005D5C87" w:rsidRDefault="00BC3C4F" w:rsidP="005D5C87">
      <w:pPr>
        <w:rPr>
          <w:noProof/>
        </w:rPr>
      </w:pPr>
      <w:r>
        <w:rPr>
          <w:noProof/>
        </w:rPr>
        <w:t xml:space="preserve">Two broad categories are used in this report for cases reported by the Member States and beneficiary countries: </w:t>
      </w:r>
      <w:r w:rsidRPr="007C57A7">
        <w:rPr>
          <w:b/>
          <w:noProof/>
        </w:rPr>
        <w:t>fraudulent irregularities</w:t>
      </w:r>
      <w:r w:rsidRPr="00BC3C4F">
        <w:rPr>
          <w:noProof/>
        </w:rPr>
        <w:t> (</w:t>
      </w:r>
      <w:r>
        <w:rPr>
          <w:rStyle w:val="FootnoteReference"/>
          <w:noProof/>
        </w:rPr>
        <w:footnoteReference w:id="11"/>
      </w:r>
      <w:r>
        <w:rPr>
          <w:noProof/>
        </w:rPr>
        <w:t xml:space="preserve">) and </w:t>
      </w:r>
      <w:r w:rsidRPr="007C57A7">
        <w:rPr>
          <w:b/>
          <w:noProof/>
        </w:rPr>
        <w:t>non-fraudulent irregularities</w:t>
      </w:r>
      <w:r>
        <w:rPr>
          <w:noProof/>
        </w:rPr>
        <w:t> (</w:t>
      </w:r>
      <w:r>
        <w:rPr>
          <w:rStyle w:val="FootnoteReference"/>
          <w:noProof/>
        </w:rPr>
        <w:footnoteReference w:id="12"/>
      </w:r>
      <w:r>
        <w:rPr>
          <w:noProof/>
        </w:rPr>
        <w:t>).</w:t>
      </w:r>
    </w:p>
    <w:p w14:paraId="5BCF5BFB" w14:textId="40B80611" w:rsidR="00BC3C4F" w:rsidRDefault="00BC3C4F" w:rsidP="005D5C87">
      <w:pPr>
        <w:rPr>
          <w:noProof/>
        </w:rPr>
      </w:pPr>
      <w:r>
        <w:rPr>
          <w:noProof/>
        </w:rPr>
        <w:t xml:space="preserve">Throughout this report reference is made to the results of </w:t>
      </w:r>
      <w:r w:rsidR="005A6B8A">
        <w:rPr>
          <w:noProof/>
        </w:rPr>
        <w:t xml:space="preserve">investigations by </w:t>
      </w:r>
      <w:r>
        <w:rPr>
          <w:noProof/>
        </w:rPr>
        <w:t>the European Anti-Fraud Office (OLAF) and the European Public Prosecutor’s Office (EPPO). Data referred to are taken from the respective annual reports (</w:t>
      </w:r>
      <w:r>
        <w:rPr>
          <w:rStyle w:val="FootnoteReference"/>
          <w:noProof/>
        </w:rPr>
        <w:footnoteReference w:id="13"/>
      </w:r>
      <w:r>
        <w:rPr>
          <w:noProof/>
        </w:rPr>
        <w:t>) or have been obtained directly from these bodies</w:t>
      </w:r>
      <w:r w:rsidR="00976443">
        <w:rPr>
          <w:noProof/>
        </w:rPr>
        <w:t xml:space="preserve"> (in which case reference is made to them as: </w:t>
      </w:r>
      <w:r w:rsidR="00976443">
        <w:rPr>
          <w:i/>
          <w:noProof/>
        </w:rPr>
        <w:t>Commission</w:t>
      </w:r>
      <w:r w:rsidR="00F60113">
        <w:rPr>
          <w:i/>
          <w:noProof/>
        </w:rPr>
        <w:t>’s</w:t>
      </w:r>
      <w:r w:rsidR="00976443">
        <w:rPr>
          <w:i/>
          <w:noProof/>
        </w:rPr>
        <w:t xml:space="preserve"> </w:t>
      </w:r>
      <w:r w:rsidR="00F60113">
        <w:rPr>
          <w:i/>
          <w:noProof/>
        </w:rPr>
        <w:t>calculation</w:t>
      </w:r>
      <w:r w:rsidR="00976443">
        <w:rPr>
          <w:i/>
          <w:noProof/>
        </w:rPr>
        <w:t xml:space="preserve"> on data provided by OLAF/the EPPO</w:t>
      </w:r>
      <w:r w:rsidR="00976443">
        <w:rPr>
          <w:noProof/>
        </w:rPr>
        <w:t>)</w:t>
      </w:r>
      <w:r>
        <w:rPr>
          <w:noProof/>
        </w:rPr>
        <w:t>.</w:t>
      </w:r>
    </w:p>
    <w:p w14:paraId="0DF8A41A" w14:textId="6EB6549B" w:rsidR="00F60113" w:rsidRDefault="00F60113" w:rsidP="00F60113">
      <w:pPr>
        <w:rPr>
          <w:noProof/>
        </w:rPr>
      </w:pPr>
      <w:r>
        <w:rPr>
          <w:noProof/>
        </w:rPr>
        <w:t>Th</w:t>
      </w:r>
      <w:r w:rsidR="005A6B8A">
        <w:rPr>
          <w:noProof/>
        </w:rPr>
        <w:t>es</w:t>
      </w:r>
      <w:r>
        <w:rPr>
          <w:noProof/>
        </w:rPr>
        <w:t xml:space="preserve">e data sources have some significant underlying differences in nature, </w:t>
      </w:r>
      <w:r w:rsidRPr="002A73A0">
        <w:rPr>
          <w:noProof/>
        </w:rPr>
        <w:t>scope, budgetary areas covered and timelines</w:t>
      </w:r>
      <w:r>
        <w:rPr>
          <w:noProof/>
        </w:rPr>
        <w:t> (</w:t>
      </w:r>
      <w:r>
        <w:rPr>
          <w:rStyle w:val="FootnoteReference"/>
          <w:noProof/>
        </w:rPr>
        <w:footnoteReference w:id="14"/>
      </w:r>
      <w:r>
        <w:rPr>
          <w:noProof/>
        </w:rPr>
        <w:t>)</w:t>
      </w:r>
      <w:r w:rsidRPr="002A73A0">
        <w:rPr>
          <w:noProof/>
        </w:rPr>
        <w:t>.</w:t>
      </w:r>
      <w:r>
        <w:rPr>
          <w:noProof/>
        </w:rPr>
        <w:t xml:space="preserve"> </w:t>
      </w:r>
    </w:p>
    <w:p w14:paraId="16BC2B0D" w14:textId="77777777" w:rsidR="00F60113" w:rsidRPr="002D435B" w:rsidRDefault="00F60113" w:rsidP="00F60113">
      <w:pPr>
        <w:rPr>
          <w:rStyle w:val="CommentReference"/>
          <w:b/>
          <w:i/>
          <w:noProof/>
          <w:sz w:val="22"/>
        </w:rPr>
      </w:pPr>
      <w:r>
        <w:rPr>
          <w:noProof/>
        </w:rPr>
        <w:t xml:space="preserve">The PIF Report primarily takes </w:t>
      </w:r>
      <w:r w:rsidRPr="00814B72">
        <w:rPr>
          <w:noProof/>
        </w:rPr>
        <w:t>a single year approach</w:t>
      </w:r>
      <w:r>
        <w:rPr>
          <w:noProof/>
        </w:rPr>
        <w:t xml:space="preserve">, presenting </w:t>
      </w:r>
      <w:r w:rsidRPr="00814B72">
        <w:rPr>
          <w:noProof/>
        </w:rPr>
        <w:t xml:space="preserve">irregularities reported </w:t>
      </w:r>
      <w:r>
        <w:rPr>
          <w:noProof/>
        </w:rPr>
        <w:t>in the reporting year, and shows</w:t>
      </w:r>
      <w:r w:rsidRPr="00814B72">
        <w:rPr>
          <w:noProof/>
        </w:rPr>
        <w:t xml:space="preserve"> the amounts calculated and reported by the Member States as the </w:t>
      </w:r>
      <w:r>
        <w:rPr>
          <w:noProof/>
        </w:rPr>
        <w:t>f</w:t>
      </w:r>
      <w:r w:rsidRPr="00814B72">
        <w:rPr>
          <w:noProof/>
        </w:rPr>
        <w:t xml:space="preserve">inancial impact of </w:t>
      </w:r>
      <w:r>
        <w:rPr>
          <w:noProof/>
        </w:rPr>
        <w:t>the irregularities</w:t>
      </w:r>
      <w:r w:rsidRPr="00934BD8">
        <w:rPr>
          <w:noProof/>
        </w:rPr>
        <w:t xml:space="preserve"> </w:t>
      </w:r>
      <w:r>
        <w:rPr>
          <w:noProof/>
        </w:rPr>
        <w:t>detected (</w:t>
      </w:r>
      <w:r>
        <w:rPr>
          <w:rStyle w:val="FootnoteReference"/>
          <w:noProof/>
        </w:rPr>
        <w:footnoteReference w:id="15"/>
      </w:r>
      <w:r>
        <w:rPr>
          <w:noProof/>
        </w:rPr>
        <w:t>)</w:t>
      </w:r>
      <w:r w:rsidRPr="002D435B">
        <w:rPr>
          <w:rStyle w:val="CommentReference"/>
          <w:noProof/>
          <w:sz w:val="22"/>
        </w:rPr>
        <w:t>.</w:t>
      </w:r>
    </w:p>
    <w:p w14:paraId="4BCC4EA4" w14:textId="77777777" w:rsidR="00F60113" w:rsidRDefault="00F60113" w:rsidP="00F60113">
      <w:pPr>
        <w:rPr>
          <w:noProof/>
        </w:rPr>
      </w:pPr>
      <w:r w:rsidRPr="00814B72">
        <w:rPr>
          <w:noProof/>
        </w:rPr>
        <w:t xml:space="preserve">The following table </w:t>
      </w:r>
      <w:r>
        <w:rPr>
          <w:noProof/>
        </w:rPr>
        <w:t>summarises</w:t>
      </w:r>
      <w:r w:rsidRPr="00814B72">
        <w:rPr>
          <w:noProof/>
        </w:rPr>
        <w:t xml:space="preserve"> the </w:t>
      </w:r>
      <w:r>
        <w:rPr>
          <w:noProof/>
        </w:rPr>
        <w:t xml:space="preserve">main </w:t>
      </w:r>
      <w:r w:rsidRPr="00814B72">
        <w:rPr>
          <w:noProof/>
        </w:rPr>
        <w:t xml:space="preserve">differences </w:t>
      </w:r>
      <w:r>
        <w:rPr>
          <w:noProof/>
        </w:rPr>
        <w:t>between the three main data sources</w:t>
      </w:r>
      <w:r w:rsidRPr="00814B72">
        <w:rPr>
          <w:noProof/>
        </w:rPr>
        <w:t>.</w:t>
      </w:r>
    </w:p>
    <w:p w14:paraId="77F1B6E7" w14:textId="7FF69DBD" w:rsidR="00F60113" w:rsidRDefault="00F60113" w:rsidP="00F60113">
      <w:pPr>
        <w:pStyle w:val="Caption"/>
        <w:keepNext/>
        <w:rPr>
          <w:noProof/>
        </w:rPr>
      </w:pPr>
      <w:r>
        <w:rPr>
          <w:noProof/>
        </w:rPr>
        <w:t xml:space="preserve">Figure </w:t>
      </w:r>
      <w:r w:rsidR="00472123">
        <w:rPr>
          <w:noProof/>
        </w:rPr>
        <w:fldChar w:fldCharType="begin"/>
      </w:r>
      <w:r w:rsidR="00472123">
        <w:rPr>
          <w:noProof/>
        </w:rPr>
        <w:instrText xml:space="preserve"> SEQ Figure \* ARABIC </w:instrText>
      </w:r>
      <w:r w:rsidR="00472123">
        <w:rPr>
          <w:noProof/>
        </w:rPr>
        <w:fldChar w:fldCharType="separate"/>
      </w:r>
      <w:r w:rsidR="000060D9">
        <w:rPr>
          <w:noProof/>
        </w:rPr>
        <w:t>1</w:t>
      </w:r>
      <w:r w:rsidR="00472123">
        <w:rPr>
          <w:noProof/>
        </w:rPr>
        <w:fldChar w:fldCharType="end"/>
      </w:r>
      <w:r>
        <w:rPr>
          <w:noProof/>
        </w:rPr>
        <w:t>: Similarities and differences between the data sources used in this report</w:t>
      </w:r>
    </w:p>
    <w:tbl>
      <w:tblPr>
        <w:tblW w:w="8726" w:type="dxa"/>
        <w:tblInd w:w="108" w:type="dxa"/>
        <w:tblLook w:val="04A0" w:firstRow="1" w:lastRow="0" w:firstColumn="1" w:lastColumn="0" w:noHBand="0" w:noVBand="1"/>
      </w:tblPr>
      <w:tblGrid>
        <w:gridCol w:w="3261"/>
        <w:gridCol w:w="1931"/>
        <w:gridCol w:w="1765"/>
        <w:gridCol w:w="1769"/>
      </w:tblGrid>
      <w:tr w:rsidR="00F60113" w:rsidRPr="002D1F36" w14:paraId="3A06DDB5" w14:textId="77777777" w:rsidTr="00CF480A">
        <w:trPr>
          <w:trHeight w:val="300"/>
        </w:trPr>
        <w:tc>
          <w:tcPr>
            <w:tcW w:w="3261" w:type="dxa"/>
            <w:tcBorders>
              <w:top w:val="nil"/>
              <w:left w:val="nil"/>
              <w:bottom w:val="nil"/>
              <w:right w:val="nil"/>
            </w:tcBorders>
            <w:shd w:val="clear" w:color="000000" w:fill="D0CECE"/>
            <w:noWrap/>
            <w:vAlign w:val="bottom"/>
            <w:hideMark/>
          </w:tcPr>
          <w:p w14:paraId="0F02A725" w14:textId="77777777" w:rsidR="00F60113" w:rsidRPr="002D1F36" w:rsidRDefault="00F60113" w:rsidP="00CF480A">
            <w:pPr>
              <w:keepNext/>
              <w:spacing w:after="0" w:line="240" w:lineRule="auto"/>
              <w:jc w:val="left"/>
              <w:rPr>
                <w:rFonts w:ascii="Calibri" w:hAnsi="Calibri" w:cs="Calibri"/>
                <w:b/>
                <w:bCs/>
                <w:noProof/>
                <w:color w:val="000000"/>
                <w:szCs w:val="22"/>
              </w:rPr>
            </w:pPr>
            <w:r w:rsidRPr="002D1F36">
              <w:rPr>
                <w:rFonts w:ascii="Calibri" w:hAnsi="Calibri" w:cs="Calibri"/>
                <w:b/>
                <w:bCs/>
                <w:noProof/>
                <w:color w:val="000000"/>
                <w:szCs w:val="22"/>
              </w:rPr>
              <w:t>Scope</w:t>
            </w:r>
          </w:p>
        </w:tc>
        <w:tc>
          <w:tcPr>
            <w:tcW w:w="1931" w:type="dxa"/>
            <w:tcBorders>
              <w:top w:val="nil"/>
              <w:left w:val="nil"/>
              <w:bottom w:val="nil"/>
              <w:right w:val="nil"/>
            </w:tcBorders>
            <w:shd w:val="clear" w:color="000000" w:fill="D0CECE"/>
            <w:noWrap/>
            <w:vAlign w:val="bottom"/>
            <w:hideMark/>
          </w:tcPr>
          <w:p w14:paraId="73D2E738" w14:textId="77777777" w:rsidR="00F60113" w:rsidRPr="002D1F36" w:rsidRDefault="00F60113" w:rsidP="00CF480A">
            <w:pPr>
              <w:keepNext/>
              <w:spacing w:after="0" w:line="240" w:lineRule="auto"/>
              <w:jc w:val="center"/>
              <w:rPr>
                <w:rFonts w:ascii="Calibri" w:hAnsi="Calibri" w:cs="Calibri"/>
                <w:b/>
                <w:bCs/>
                <w:noProof/>
                <w:color w:val="000000"/>
                <w:szCs w:val="22"/>
              </w:rPr>
            </w:pPr>
            <w:r>
              <w:rPr>
                <w:rFonts w:ascii="Calibri" w:hAnsi="Calibri" w:cs="Calibri"/>
                <w:b/>
                <w:bCs/>
                <w:noProof/>
                <w:color w:val="000000"/>
                <w:szCs w:val="22"/>
              </w:rPr>
              <w:t>PIF Report</w:t>
            </w:r>
          </w:p>
        </w:tc>
        <w:tc>
          <w:tcPr>
            <w:tcW w:w="1765" w:type="dxa"/>
            <w:tcBorders>
              <w:top w:val="nil"/>
              <w:left w:val="nil"/>
              <w:bottom w:val="nil"/>
              <w:right w:val="nil"/>
            </w:tcBorders>
            <w:shd w:val="clear" w:color="000000" w:fill="D0CECE"/>
            <w:noWrap/>
            <w:vAlign w:val="bottom"/>
            <w:hideMark/>
          </w:tcPr>
          <w:p w14:paraId="7CFD32B2" w14:textId="77777777" w:rsidR="00F60113" w:rsidRPr="002D1F36" w:rsidRDefault="00F60113" w:rsidP="00CF480A">
            <w:pPr>
              <w:keepNext/>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xml:space="preserve">OLAF </w:t>
            </w:r>
            <w:r>
              <w:rPr>
                <w:rFonts w:ascii="Calibri" w:hAnsi="Calibri" w:cs="Calibri"/>
                <w:b/>
                <w:bCs/>
                <w:noProof/>
                <w:color w:val="000000"/>
                <w:szCs w:val="22"/>
              </w:rPr>
              <w:t>Report</w:t>
            </w:r>
          </w:p>
        </w:tc>
        <w:tc>
          <w:tcPr>
            <w:tcW w:w="1769" w:type="dxa"/>
            <w:tcBorders>
              <w:top w:val="nil"/>
              <w:left w:val="nil"/>
              <w:bottom w:val="nil"/>
              <w:right w:val="nil"/>
            </w:tcBorders>
            <w:shd w:val="clear" w:color="000000" w:fill="D0CECE"/>
            <w:noWrap/>
            <w:vAlign w:val="bottom"/>
            <w:hideMark/>
          </w:tcPr>
          <w:p w14:paraId="188ED179" w14:textId="77777777" w:rsidR="00F60113" w:rsidRPr="002D1F36" w:rsidRDefault="00F60113" w:rsidP="00CF480A">
            <w:pPr>
              <w:keepNext/>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xml:space="preserve">EPPO </w:t>
            </w:r>
            <w:r>
              <w:rPr>
                <w:rFonts w:ascii="Calibri" w:hAnsi="Calibri" w:cs="Calibri"/>
                <w:b/>
                <w:bCs/>
                <w:noProof/>
                <w:color w:val="000000"/>
                <w:szCs w:val="22"/>
              </w:rPr>
              <w:t>Report</w:t>
            </w:r>
          </w:p>
        </w:tc>
      </w:tr>
      <w:tr w:rsidR="00F60113" w:rsidRPr="002D1F36" w14:paraId="54409BB6" w14:textId="77777777" w:rsidTr="00CF480A">
        <w:trPr>
          <w:trHeight w:val="300"/>
        </w:trPr>
        <w:tc>
          <w:tcPr>
            <w:tcW w:w="3261" w:type="dxa"/>
            <w:tcBorders>
              <w:top w:val="nil"/>
              <w:left w:val="nil"/>
              <w:bottom w:val="nil"/>
              <w:right w:val="nil"/>
            </w:tcBorders>
            <w:shd w:val="clear" w:color="000000" w:fill="F2F2F2"/>
            <w:noWrap/>
            <w:vAlign w:val="bottom"/>
            <w:hideMark/>
          </w:tcPr>
          <w:p w14:paraId="34743EEC"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Specific to the activities of a single body</w:t>
            </w:r>
          </w:p>
        </w:tc>
        <w:tc>
          <w:tcPr>
            <w:tcW w:w="1931" w:type="dxa"/>
            <w:tcBorders>
              <w:top w:val="nil"/>
              <w:left w:val="nil"/>
              <w:bottom w:val="nil"/>
              <w:right w:val="nil"/>
            </w:tcBorders>
            <w:shd w:val="clear" w:color="000000" w:fill="FFC7CE"/>
            <w:noWrap/>
            <w:vAlign w:val="bottom"/>
            <w:hideMark/>
          </w:tcPr>
          <w:p w14:paraId="6A9EB93A" w14:textId="77777777" w:rsidR="00F60113" w:rsidRPr="002D1F36" w:rsidRDefault="00F60113" w:rsidP="00CF480A">
            <w:pPr>
              <w:spacing w:after="0" w:line="240" w:lineRule="auto"/>
              <w:jc w:val="center"/>
              <w:rPr>
                <w:rFonts w:ascii="Calibri" w:hAnsi="Calibri" w:cs="Calibri"/>
                <w:noProof/>
                <w:color w:val="9C0006"/>
                <w:szCs w:val="22"/>
              </w:rPr>
            </w:pPr>
            <w:r w:rsidRPr="002D1F36">
              <w:rPr>
                <w:rFonts w:ascii="Calibri" w:hAnsi="Calibri" w:cs="Calibri"/>
                <w:noProof/>
                <w:color w:val="9C0006"/>
                <w:szCs w:val="22"/>
              </w:rPr>
              <w:t>No</w:t>
            </w:r>
          </w:p>
        </w:tc>
        <w:tc>
          <w:tcPr>
            <w:tcW w:w="1765" w:type="dxa"/>
            <w:tcBorders>
              <w:top w:val="nil"/>
              <w:left w:val="nil"/>
              <w:bottom w:val="nil"/>
              <w:right w:val="nil"/>
            </w:tcBorders>
            <w:shd w:val="clear" w:color="000000" w:fill="C6EFCE"/>
            <w:noWrap/>
            <w:vAlign w:val="bottom"/>
            <w:hideMark/>
          </w:tcPr>
          <w:p w14:paraId="6634C993"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1225EEA3"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1BE5D579" w14:textId="77777777" w:rsidTr="00CF480A">
        <w:trPr>
          <w:trHeight w:val="300"/>
        </w:trPr>
        <w:tc>
          <w:tcPr>
            <w:tcW w:w="3261" w:type="dxa"/>
            <w:tcBorders>
              <w:top w:val="nil"/>
              <w:left w:val="nil"/>
              <w:bottom w:val="nil"/>
              <w:right w:val="nil"/>
            </w:tcBorders>
            <w:shd w:val="clear" w:color="000000" w:fill="F2F2F2"/>
            <w:noWrap/>
            <w:vAlign w:val="bottom"/>
            <w:hideMark/>
          </w:tcPr>
          <w:p w14:paraId="4DA26D4F"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Fraudulent irregularities</w:t>
            </w:r>
          </w:p>
        </w:tc>
        <w:tc>
          <w:tcPr>
            <w:tcW w:w="1931" w:type="dxa"/>
            <w:tcBorders>
              <w:top w:val="nil"/>
              <w:left w:val="nil"/>
              <w:bottom w:val="nil"/>
              <w:right w:val="nil"/>
            </w:tcBorders>
            <w:shd w:val="clear" w:color="000000" w:fill="C6EFCE"/>
            <w:noWrap/>
            <w:vAlign w:val="bottom"/>
            <w:hideMark/>
          </w:tcPr>
          <w:p w14:paraId="6B484185"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4E0672A4"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r w:rsidRPr="00D03243">
              <w:rPr>
                <w:rFonts w:ascii="Calibri" w:hAnsi="Calibri" w:cs="Calibri"/>
                <w:noProof/>
                <w:color w:val="006100"/>
                <w:szCs w:val="22"/>
                <w:vertAlign w:val="superscript"/>
              </w:rPr>
              <w:t>(a</w:t>
            </w:r>
            <w:r>
              <w:rPr>
                <w:rFonts w:ascii="Calibri" w:hAnsi="Calibri" w:cs="Calibri"/>
                <w:noProof/>
                <w:color w:val="006100"/>
                <w:szCs w:val="22"/>
                <w:vertAlign w:val="superscript"/>
              </w:rPr>
              <w:t>)</w:t>
            </w:r>
          </w:p>
        </w:tc>
        <w:tc>
          <w:tcPr>
            <w:tcW w:w="1769" w:type="dxa"/>
            <w:tcBorders>
              <w:top w:val="nil"/>
              <w:left w:val="nil"/>
              <w:bottom w:val="nil"/>
              <w:right w:val="nil"/>
            </w:tcBorders>
            <w:shd w:val="clear" w:color="000000" w:fill="C6EFCE"/>
            <w:noWrap/>
            <w:vAlign w:val="bottom"/>
            <w:hideMark/>
          </w:tcPr>
          <w:p w14:paraId="6868E9FF"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77C827FF" w14:textId="77777777" w:rsidTr="00CF480A">
        <w:trPr>
          <w:trHeight w:val="300"/>
        </w:trPr>
        <w:tc>
          <w:tcPr>
            <w:tcW w:w="3261" w:type="dxa"/>
            <w:tcBorders>
              <w:top w:val="nil"/>
              <w:left w:val="nil"/>
              <w:bottom w:val="nil"/>
              <w:right w:val="nil"/>
            </w:tcBorders>
            <w:shd w:val="clear" w:color="000000" w:fill="F2F2F2"/>
            <w:noWrap/>
            <w:vAlign w:val="bottom"/>
            <w:hideMark/>
          </w:tcPr>
          <w:p w14:paraId="5B3B43C5"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Non-fraudulent irregularities</w:t>
            </w:r>
          </w:p>
        </w:tc>
        <w:tc>
          <w:tcPr>
            <w:tcW w:w="1931" w:type="dxa"/>
            <w:tcBorders>
              <w:top w:val="nil"/>
              <w:left w:val="nil"/>
              <w:bottom w:val="nil"/>
              <w:right w:val="nil"/>
            </w:tcBorders>
            <w:shd w:val="clear" w:color="000000" w:fill="C6EFCE"/>
            <w:noWrap/>
            <w:vAlign w:val="bottom"/>
            <w:hideMark/>
          </w:tcPr>
          <w:p w14:paraId="0BA3BAFB"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2348DD91"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FFC7CE"/>
            <w:noWrap/>
            <w:vAlign w:val="bottom"/>
            <w:hideMark/>
          </w:tcPr>
          <w:p w14:paraId="3D68C7DC" w14:textId="77777777" w:rsidR="00F60113" w:rsidRPr="002D1F36" w:rsidRDefault="00F60113" w:rsidP="00CF480A">
            <w:pPr>
              <w:spacing w:after="0" w:line="240" w:lineRule="auto"/>
              <w:jc w:val="center"/>
              <w:rPr>
                <w:rFonts w:ascii="Calibri" w:hAnsi="Calibri" w:cs="Calibri"/>
                <w:noProof/>
                <w:color w:val="9C0006"/>
                <w:szCs w:val="22"/>
              </w:rPr>
            </w:pPr>
            <w:r w:rsidRPr="002D1F36">
              <w:rPr>
                <w:rFonts w:ascii="Calibri" w:hAnsi="Calibri" w:cs="Calibri"/>
                <w:noProof/>
                <w:color w:val="9C0006"/>
                <w:szCs w:val="22"/>
              </w:rPr>
              <w:t>No</w:t>
            </w:r>
          </w:p>
        </w:tc>
      </w:tr>
      <w:tr w:rsidR="00F60113" w:rsidRPr="002D1F36" w14:paraId="323308F7" w14:textId="77777777" w:rsidTr="00CF480A">
        <w:trPr>
          <w:trHeight w:val="300"/>
        </w:trPr>
        <w:tc>
          <w:tcPr>
            <w:tcW w:w="3261" w:type="dxa"/>
            <w:tcBorders>
              <w:top w:val="nil"/>
              <w:left w:val="nil"/>
              <w:bottom w:val="nil"/>
              <w:right w:val="nil"/>
            </w:tcBorders>
            <w:shd w:val="clear" w:color="000000" w:fill="D0CECE"/>
            <w:noWrap/>
            <w:vAlign w:val="bottom"/>
            <w:hideMark/>
          </w:tcPr>
          <w:p w14:paraId="54B3631D" w14:textId="77777777" w:rsidR="00F60113" w:rsidRPr="002D1F36" w:rsidRDefault="00F60113" w:rsidP="00CF480A">
            <w:pPr>
              <w:spacing w:after="0" w:line="240" w:lineRule="auto"/>
              <w:jc w:val="left"/>
              <w:rPr>
                <w:rFonts w:ascii="Calibri" w:hAnsi="Calibri" w:cs="Calibri"/>
                <w:b/>
                <w:bCs/>
                <w:noProof/>
                <w:color w:val="000000"/>
                <w:szCs w:val="22"/>
              </w:rPr>
            </w:pPr>
            <w:r w:rsidRPr="002D1F36">
              <w:rPr>
                <w:rFonts w:ascii="Calibri" w:hAnsi="Calibri" w:cs="Calibri"/>
                <w:b/>
                <w:bCs/>
                <w:noProof/>
                <w:color w:val="000000"/>
                <w:szCs w:val="22"/>
              </w:rPr>
              <w:t>Territorial scope</w:t>
            </w:r>
          </w:p>
        </w:tc>
        <w:tc>
          <w:tcPr>
            <w:tcW w:w="1931" w:type="dxa"/>
            <w:tcBorders>
              <w:top w:val="nil"/>
              <w:left w:val="nil"/>
              <w:bottom w:val="nil"/>
              <w:right w:val="nil"/>
            </w:tcBorders>
            <w:shd w:val="clear" w:color="000000" w:fill="D0CECE"/>
            <w:noWrap/>
            <w:vAlign w:val="bottom"/>
            <w:hideMark/>
          </w:tcPr>
          <w:p w14:paraId="00EE2495"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5" w:type="dxa"/>
            <w:tcBorders>
              <w:top w:val="nil"/>
              <w:left w:val="nil"/>
              <w:bottom w:val="nil"/>
              <w:right w:val="nil"/>
            </w:tcBorders>
            <w:shd w:val="clear" w:color="000000" w:fill="D0CECE"/>
            <w:noWrap/>
            <w:vAlign w:val="bottom"/>
            <w:hideMark/>
          </w:tcPr>
          <w:p w14:paraId="4AFE21D3"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9" w:type="dxa"/>
            <w:tcBorders>
              <w:top w:val="nil"/>
              <w:left w:val="nil"/>
              <w:bottom w:val="nil"/>
              <w:right w:val="nil"/>
            </w:tcBorders>
            <w:shd w:val="clear" w:color="000000" w:fill="D0CECE"/>
            <w:noWrap/>
            <w:vAlign w:val="bottom"/>
            <w:hideMark/>
          </w:tcPr>
          <w:p w14:paraId="12647040"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r>
      <w:tr w:rsidR="00F60113" w:rsidRPr="002D1F36" w14:paraId="15499D43" w14:textId="77777777" w:rsidTr="00CF480A">
        <w:trPr>
          <w:trHeight w:val="300"/>
        </w:trPr>
        <w:tc>
          <w:tcPr>
            <w:tcW w:w="3261" w:type="dxa"/>
            <w:tcBorders>
              <w:top w:val="nil"/>
              <w:left w:val="nil"/>
              <w:bottom w:val="nil"/>
              <w:right w:val="nil"/>
            </w:tcBorders>
            <w:shd w:val="clear" w:color="000000" w:fill="F2F2F2"/>
            <w:noWrap/>
            <w:vAlign w:val="bottom"/>
            <w:hideMark/>
          </w:tcPr>
          <w:p w14:paraId="6AEBAAAB"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EPPO participating Member States</w:t>
            </w:r>
          </w:p>
        </w:tc>
        <w:tc>
          <w:tcPr>
            <w:tcW w:w="1931" w:type="dxa"/>
            <w:tcBorders>
              <w:top w:val="nil"/>
              <w:left w:val="nil"/>
              <w:bottom w:val="nil"/>
              <w:right w:val="nil"/>
            </w:tcBorders>
            <w:shd w:val="clear" w:color="000000" w:fill="C6EFCE"/>
            <w:noWrap/>
            <w:vAlign w:val="bottom"/>
            <w:hideMark/>
          </w:tcPr>
          <w:p w14:paraId="6DFF5223"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76FEF7D5"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2E768E9B"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52A16E47" w14:textId="77777777" w:rsidTr="00CF480A">
        <w:trPr>
          <w:trHeight w:val="300"/>
        </w:trPr>
        <w:tc>
          <w:tcPr>
            <w:tcW w:w="3261" w:type="dxa"/>
            <w:tcBorders>
              <w:top w:val="nil"/>
              <w:left w:val="nil"/>
              <w:bottom w:val="nil"/>
              <w:right w:val="nil"/>
            </w:tcBorders>
            <w:shd w:val="clear" w:color="000000" w:fill="F2F2F2"/>
            <w:noWrap/>
            <w:vAlign w:val="bottom"/>
            <w:hideMark/>
          </w:tcPr>
          <w:p w14:paraId="4422DBB8"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Non-EPPO Member States</w:t>
            </w:r>
          </w:p>
        </w:tc>
        <w:tc>
          <w:tcPr>
            <w:tcW w:w="1931" w:type="dxa"/>
            <w:tcBorders>
              <w:top w:val="nil"/>
              <w:left w:val="nil"/>
              <w:bottom w:val="nil"/>
              <w:right w:val="nil"/>
            </w:tcBorders>
            <w:shd w:val="clear" w:color="000000" w:fill="C6EFCE"/>
            <w:noWrap/>
            <w:vAlign w:val="bottom"/>
            <w:hideMark/>
          </w:tcPr>
          <w:p w14:paraId="08540D85"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1B975B78"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189CCE42"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r w:rsidRPr="00BD6E00">
              <w:rPr>
                <w:rFonts w:ascii="Calibri" w:hAnsi="Calibri" w:cs="Calibri"/>
                <w:noProof/>
                <w:color w:val="006100"/>
                <w:szCs w:val="22"/>
                <w:vertAlign w:val="superscript"/>
              </w:rPr>
              <w:t xml:space="preserve"> (a</w:t>
            </w:r>
            <w:r>
              <w:rPr>
                <w:rFonts w:ascii="Calibri" w:hAnsi="Calibri" w:cs="Calibri"/>
                <w:noProof/>
                <w:color w:val="006100"/>
                <w:szCs w:val="22"/>
                <w:vertAlign w:val="superscript"/>
              </w:rPr>
              <w:t>)</w:t>
            </w:r>
          </w:p>
        </w:tc>
      </w:tr>
      <w:tr w:rsidR="00F60113" w:rsidRPr="002D1F36" w14:paraId="5E6C595D" w14:textId="77777777" w:rsidTr="00CF480A">
        <w:trPr>
          <w:trHeight w:val="300"/>
        </w:trPr>
        <w:tc>
          <w:tcPr>
            <w:tcW w:w="3261" w:type="dxa"/>
            <w:tcBorders>
              <w:top w:val="nil"/>
              <w:left w:val="nil"/>
              <w:bottom w:val="nil"/>
              <w:right w:val="nil"/>
            </w:tcBorders>
            <w:shd w:val="clear" w:color="000000" w:fill="F2F2F2"/>
            <w:noWrap/>
            <w:vAlign w:val="bottom"/>
            <w:hideMark/>
          </w:tcPr>
          <w:p w14:paraId="16106B65" w14:textId="77777777" w:rsidR="00F60113" w:rsidRPr="002D1F36" w:rsidRDefault="00F60113" w:rsidP="00CF480A">
            <w:pPr>
              <w:spacing w:after="0" w:line="240" w:lineRule="auto"/>
              <w:jc w:val="left"/>
              <w:rPr>
                <w:rFonts w:ascii="Calibri" w:hAnsi="Calibri" w:cs="Calibri"/>
                <w:noProof/>
                <w:color w:val="000000"/>
                <w:szCs w:val="22"/>
              </w:rPr>
            </w:pPr>
            <w:r>
              <w:rPr>
                <w:rFonts w:ascii="Calibri" w:hAnsi="Calibri" w:cs="Calibri"/>
                <w:noProof/>
                <w:color w:val="000000"/>
                <w:szCs w:val="22"/>
              </w:rPr>
              <w:t>Non-EU</w:t>
            </w:r>
            <w:r w:rsidRPr="002D1F36">
              <w:rPr>
                <w:rFonts w:ascii="Calibri" w:hAnsi="Calibri" w:cs="Calibri"/>
                <w:noProof/>
                <w:color w:val="000000"/>
                <w:szCs w:val="22"/>
              </w:rPr>
              <w:t xml:space="preserve"> countries</w:t>
            </w:r>
          </w:p>
        </w:tc>
        <w:tc>
          <w:tcPr>
            <w:tcW w:w="1931" w:type="dxa"/>
            <w:tcBorders>
              <w:top w:val="nil"/>
              <w:left w:val="nil"/>
              <w:bottom w:val="nil"/>
              <w:right w:val="nil"/>
            </w:tcBorders>
            <w:shd w:val="clear" w:color="000000" w:fill="C6EFCE"/>
            <w:noWrap/>
            <w:vAlign w:val="bottom"/>
            <w:hideMark/>
          </w:tcPr>
          <w:p w14:paraId="0EF4ADC1"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r w:rsidRPr="00BD6E00">
              <w:rPr>
                <w:rFonts w:ascii="Calibri" w:hAnsi="Calibri" w:cs="Calibri"/>
                <w:noProof/>
                <w:color w:val="006100"/>
                <w:szCs w:val="22"/>
                <w:vertAlign w:val="superscript"/>
              </w:rPr>
              <w:t xml:space="preserve"> (</w:t>
            </w:r>
            <w:r>
              <w:rPr>
                <w:rFonts w:ascii="Calibri" w:hAnsi="Calibri" w:cs="Calibri"/>
                <w:noProof/>
                <w:color w:val="006100"/>
                <w:szCs w:val="22"/>
                <w:vertAlign w:val="superscript"/>
              </w:rPr>
              <w:t>b)</w:t>
            </w:r>
          </w:p>
        </w:tc>
        <w:tc>
          <w:tcPr>
            <w:tcW w:w="1765" w:type="dxa"/>
            <w:tcBorders>
              <w:top w:val="nil"/>
              <w:left w:val="nil"/>
              <w:bottom w:val="nil"/>
              <w:right w:val="nil"/>
            </w:tcBorders>
            <w:shd w:val="clear" w:color="000000" w:fill="C6EFCE"/>
            <w:noWrap/>
            <w:vAlign w:val="bottom"/>
            <w:hideMark/>
          </w:tcPr>
          <w:p w14:paraId="5BBA7118"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1A919776"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r w:rsidRPr="00BD6E00">
              <w:rPr>
                <w:rFonts w:ascii="Calibri" w:hAnsi="Calibri" w:cs="Calibri"/>
                <w:noProof/>
                <w:color w:val="006100"/>
                <w:szCs w:val="22"/>
                <w:vertAlign w:val="superscript"/>
              </w:rPr>
              <w:t xml:space="preserve"> (a</w:t>
            </w:r>
            <w:r>
              <w:rPr>
                <w:rFonts w:ascii="Calibri" w:hAnsi="Calibri" w:cs="Calibri"/>
                <w:noProof/>
                <w:color w:val="006100"/>
                <w:szCs w:val="22"/>
                <w:vertAlign w:val="superscript"/>
              </w:rPr>
              <w:t>)</w:t>
            </w:r>
          </w:p>
        </w:tc>
      </w:tr>
      <w:tr w:rsidR="00F60113" w:rsidRPr="002D1F36" w14:paraId="021C683F" w14:textId="77777777" w:rsidTr="00CF480A">
        <w:trPr>
          <w:trHeight w:val="300"/>
        </w:trPr>
        <w:tc>
          <w:tcPr>
            <w:tcW w:w="3261" w:type="dxa"/>
            <w:tcBorders>
              <w:top w:val="nil"/>
              <w:left w:val="nil"/>
              <w:bottom w:val="nil"/>
              <w:right w:val="nil"/>
            </w:tcBorders>
            <w:shd w:val="clear" w:color="000000" w:fill="D0CECE"/>
            <w:noWrap/>
            <w:vAlign w:val="bottom"/>
            <w:hideMark/>
          </w:tcPr>
          <w:p w14:paraId="7DAD3A45" w14:textId="77777777" w:rsidR="00F60113" w:rsidRPr="002D1F36" w:rsidRDefault="00F60113" w:rsidP="00CF480A">
            <w:pPr>
              <w:spacing w:after="0" w:line="240" w:lineRule="auto"/>
              <w:jc w:val="left"/>
              <w:rPr>
                <w:rFonts w:ascii="Calibri" w:hAnsi="Calibri" w:cs="Calibri"/>
                <w:b/>
                <w:bCs/>
                <w:noProof/>
                <w:color w:val="000000"/>
                <w:szCs w:val="22"/>
              </w:rPr>
            </w:pPr>
            <w:r w:rsidRPr="002D1F36">
              <w:rPr>
                <w:rFonts w:ascii="Calibri" w:hAnsi="Calibri" w:cs="Calibri"/>
                <w:b/>
                <w:bCs/>
                <w:noProof/>
                <w:color w:val="000000"/>
                <w:szCs w:val="22"/>
              </w:rPr>
              <w:t xml:space="preserve">Budgetary </w:t>
            </w:r>
            <w:r>
              <w:rPr>
                <w:rFonts w:ascii="Calibri" w:hAnsi="Calibri" w:cs="Calibri"/>
                <w:b/>
                <w:bCs/>
                <w:noProof/>
                <w:color w:val="000000"/>
                <w:szCs w:val="22"/>
              </w:rPr>
              <w:t>a</w:t>
            </w:r>
            <w:r w:rsidRPr="002D1F36">
              <w:rPr>
                <w:rFonts w:ascii="Calibri" w:hAnsi="Calibri" w:cs="Calibri"/>
                <w:b/>
                <w:bCs/>
                <w:noProof/>
                <w:color w:val="000000"/>
                <w:szCs w:val="22"/>
              </w:rPr>
              <w:t>rea</w:t>
            </w:r>
          </w:p>
        </w:tc>
        <w:tc>
          <w:tcPr>
            <w:tcW w:w="1931" w:type="dxa"/>
            <w:tcBorders>
              <w:top w:val="nil"/>
              <w:left w:val="nil"/>
              <w:bottom w:val="nil"/>
              <w:right w:val="nil"/>
            </w:tcBorders>
            <w:shd w:val="clear" w:color="000000" w:fill="D0CECE"/>
            <w:noWrap/>
            <w:vAlign w:val="bottom"/>
            <w:hideMark/>
          </w:tcPr>
          <w:p w14:paraId="79A16213"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5" w:type="dxa"/>
            <w:tcBorders>
              <w:top w:val="nil"/>
              <w:left w:val="nil"/>
              <w:bottom w:val="nil"/>
              <w:right w:val="nil"/>
            </w:tcBorders>
            <w:shd w:val="clear" w:color="000000" w:fill="D0CECE"/>
            <w:noWrap/>
            <w:vAlign w:val="bottom"/>
            <w:hideMark/>
          </w:tcPr>
          <w:p w14:paraId="3F3C5A3B"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9" w:type="dxa"/>
            <w:tcBorders>
              <w:top w:val="nil"/>
              <w:left w:val="nil"/>
              <w:bottom w:val="nil"/>
              <w:right w:val="nil"/>
            </w:tcBorders>
            <w:shd w:val="clear" w:color="000000" w:fill="D0CECE"/>
            <w:noWrap/>
            <w:vAlign w:val="bottom"/>
            <w:hideMark/>
          </w:tcPr>
          <w:p w14:paraId="095E4F7F"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r>
      <w:tr w:rsidR="00F60113" w:rsidRPr="002D1F36" w14:paraId="73222D7A" w14:textId="77777777" w:rsidTr="00CF480A">
        <w:trPr>
          <w:trHeight w:val="300"/>
        </w:trPr>
        <w:tc>
          <w:tcPr>
            <w:tcW w:w="3261" w:type="dxa"/>
            <w:tcBorders>
              <w:top w:val="nil"/>
              <w:left w:val="nil"/>
              <w:bottom w:val="nil"/>
              <w:right w:val="nil"/>
            </w:tcBorders>
            <w:shd w:val="clear" w:color="000000" w:fill="F2F2F2"/>
            <w:noWrap/>
            <w:vAlign w:val="bottom"/>
            <w:hideMark/>
          </w:tcPr>
          <w:p w14:paraId="16D7F9B4"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Shared management</w:t>
            </w:r>
          </w:p>
        </w:tc>
        <w:tc>
          <w:tcPr>
            <w:tcW w:w="1931" w:type="dxa"/>
            <w:tcBorders>
              <w:top w:val="nil"/>
              <w:left w:val="nil"/>
              <w:bottom w:val="nil"/>
              <w:right w:val="nil"/>
            </w:tcBorders>
            <w:shd w:val="clear" w:color="000000" w:fill="C6EFCE"/>
            <w:noWrap/>
            <w:vAlign w:val="bottom"/>
            <w:hideMark/>
          </w:tcPr>
          <w:p w14:paraId="76932670"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06368270"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7436BDF4"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27B2CD91" w14:textId="77777777" w:rsidTr="00CF480A">
        <w:trPr>
          <w:trHeight w:val="300"/>
        </w:trPr>
        <w:tc>
          <w:tcPr>
            <w:tcW w:w="3261" w:type="dxa"/>
            <w:tcBorders>
              <w:top w:val="nil"/>
              <w:left w:val="nil"/>
              <w:bottom w:val="nil"/>
              <w:right w:val="nil"/>
            </w:tcBorders>
            <w:shd w:val="clear" w:color="000000" w:fill="F2F2F2"/>
            <w:noWrap/>
            <w:vAlign w:val="bottom"/>
            <w:hideMark/>
          </w:tcPr>
          <w:p w14:paraId="01379AA2"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Customs fraud (non-VAT)</w:t>
            </w:r>
          </w:p>
        </w:tc>
        <w:tc>
          <w:tcPr>
            <w:tcW w:w="1931" w:type="dxa"/>
            <w:tcBorders>
              <w:top w:val="nil"/>
              <w:left w:val="nil"/>
              <w:bottom w:val="nil"/>
              <w:right w:val="nil"/>
            </w:tcBorders>
            <w:shd w:val="clear" w:color="000000" w:fill="C6EFCE"/>
            <w:noWrap/>
            <w:vAlign w:val="bottom"/>
            <w:hideMark/>
          </w:tcPr>
          <w:p w14:paraId="4D33EF53"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5C711F04"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7ABFB5EA"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04D8DC2C" w14:textId="77777777" w:rsidTr="00CF480A">
        <w:trPr>
          <w:trHeight w:val="300"/>
        </w:trPr>
        <w:tc>
          <w:tcPr>
            <w:tcW w:w="3261" w:type="dxa"/>
            <w:tcBorders>
              <w:top w:val="nil"/>
              <w:left w:val="nil"/>
              <w:bottom w:val="nil"/>
              <w:right w:val="nil"/>
            </w:tcBorders>
            <w:shd w:val="clear" w:color="000000" w:fill="F2F2F2"/>
            <w:noWrap/>
            <w:vAlign w:val="bottom"/>
            <w:hideMark/>
          </w:tcPr>
          <w:p w14:paraId="1184FB63"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Indirect management (pre-accession)</w:t>
            </w:r>
          </w:p>
        </w:tc>
        <w:tc>
          <w:tcPr>
            <w:tcW w:w="1931" w:type="dxa"/>
            <w:tcBorders>
              <w:top w:val="nil"/>
              <w:left w:val="nil"/>
              <w:bottom w:val="nil"/>
              <w:right w:val="nil"/>
            </w:tcBorders>
            <w:shd w:val="clear" w:color="000000" w:fill="C6EFCE"/>
            <w:noWrap/>
            <w:vAlign w:val="bottom"/>
            <w:hideMark/>
          </w:tcPr>
          <w:p w14:paraId="35ACB1EC"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3D3283F9"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55FDCE1C"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r w:rsidRPr="00BD6E00">
              <w:rPr>
                <w:rFonts w:ascii="Calibri" w:hAnsi="Calibri" w:cs="Calibri"/>
                <w:noProof/>
                <w:color w:val="006100"/>
                <w:szCs w:val="22"/>
                <w:vertAlign w:val="superscript"/>
              </w:rPr>
              <w:t xml:space="preserve"> (a</w:t>
            </w:r>
            <w:r>
              <w:rPr>
                <w:rFonts w:ascii="Calibri" w:hAnsi="Calibri" w:cs="Calibri"/>
                <w:noProof/>
                <w:color w:val="006100"/>
                <w:szCs w:val="22"/>
                <w:vertAlign w:val="superscript"/>
              </w:rPr>
              <w:t>)</w:t>
            </w:r>
          </w:p>
        </w:tc>
      </w:tr>
      <w:tr w:rsidR="00F60113" w:rsidRPr="002D1F36" w14:paraId="72010314" w14:textId="77777777" w:rsidTr="00CF480A">
        <w:trPr>
          <w:trHeight w:val="300"/>
        </w:trPr>
        <w:tc>
          <w:tcPr>
            <w:tcW w:w="3261" w:type="dxa"/>
            <w:tcBorders>
              <w:top w:val="nil"/>
              <w:left w:val="nil"/>
              <w:bottom w:val="nil"/>
              <w:right w:val="nil"/>
            </w:tcBorders>
            <w:shd w:val="clear" w:color="000000" w:fill="F2F2F2"/>
            <w:noWrap/>
            <w:vAlign w:val="bottom"/>
            <w:hideMark/>
          </w:tcPr>
          <w:p w14:paraId="0E8328DA"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Direct management (not RRF)</w:t>
            </w:r>
          </w:p>
        </w:tc>
        <w:tc>
          <w:tcPr>
            <w:tcW w:w="1931" w:type="dxa"/>
            <w:tcBorders>
              <w:top w:val="nil"/>
              <w:left w:val="nil"/>
              <w:bottom w:val="nil"/>
              <w:right w:val="nil"/>
            </w:tcBorders>
            <w:shd w:val="clear" w:color="000000" w:fill="C6EFCE"/>
            <w:noWrap/>
            <w:vAlign w:val="bottom"/>
            <w:hideMark/>
          </w:tcPr>
          <w:p w14:paraId="58C2F4C2"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4A348DD8"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5D32695D"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209008DE" w14:textId="77777777" w:rsidTr="00CF480A">
        <w:trPr>
          <w:trHeight w:val="300"/>
        </w:trPr>
        <w:tc>
          <w:tcPr>
            <w:tcW w:w="3261" w:type="dxa"/>
            <w:tcBorders>
              <w:top w:val="nil"/>
              <w:left w:val="nil"/>
              <w:bottom w:val="nil"/>
              <w:right w:val="nil"/>
            </w:tcBorders>
            <w:shd w:val="clear" w:color="000000" w:fill="F2F2F2"/>
            <w:noWrap/>
            <w:vAlign w:val="bottom"/>
            <w:hideMark/>
          </w:tcPr>
          <w:p w14:paraId="2BDFFE7E"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Direct management (RRF)</w:t>
            </w:r>
          </w:p>
        </w:tc>
        <w:tc>
          <w:tcPr>
            <w:tcW w:w="1931" w:type="dxa"/>
            <w:tcBorders>
              <w:top w:val="nil"/>
              <w:left w:val="nil"/>
              <w:bottom w:val="nil"/>
              <w:right w:val="nil"/>
            </w:tcBorders>
            <w:shd w:val="clear" w:color="000000" w:fill="FFC7CE"/>
            <w:noWrap/>
            <w:vAlign w:val="bottom"/>
            <w:hideMark/>
          </w:tcPr>
          <w:p w14:paraId="4B32F4B9" w14:textId="77777777" w:rsidR="00F60113" w:rsidRPr="002D1F36" w:rsidRDefault="00F60113" w:rsidP="00CF480A">
            <w:pPr>
              <w:spacing w:after="0" w:line="240" w:lineRule="auto"/>
              <w:jc w:val="center"/>
              <w:rPr>
                <w:rFonts w:ascii="Calibri" w:hAnsi="Calibri" w:cs="Calibri"/>
                <w:noProof/>
                <w:color w:val="9C0006"/>
                <w:szCs w:val="22"/>
              </w:rPr>
            </w:pPr>
            <w:r w:rsidRPr="002D1F36">
              <w:rPr>
                <w:rFonts w:ascii="Calibri" w:hAnsi="Calibri" w:cs="Calibri"/>
                <w:noProof/>
                <w:color w:val="9C0006"/>
                <w:szCs w:val="22"/>
              </w:rPr>
              <w:t>No</w:t>
            </w:r>
          </w:p>
        </w:tc>
        <w:tc>
          <w:tcPr>
            <w:tcW w:w="1765" w:type="dxa"/>
            <w:tcBorders>
              <w:top w:val="nil"/>
              <w:left w:val="nil"/>
              <w:bottom w:val="nil"/>
              <w:right w:val="nil"/>
            </w:tcBorders>
            <w:shd w:val="clear" w:color="000000" w:fill="C6EFCE"/>
            <w:noWrap/>
            <w:vAlign w:val="bottom"/>
            <w:hideMark/>
          </w:tcPr>
          <w:p w14:paraId="7CE34BF3"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36E594F3"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3F0C1DD8" w14:textId="77777777" w:rsidTr="00CF480A">
        <w:trPr>
          <w:trHeight w:val="300"/>
        </w:trPr>
        <w:tc>
          <w:tcPr>
            <w:tcW w:w="3261" w:type="dxa"/>
            <w:tcBorders>
              <w:top w:val="nil"/>
              <w:left w:val="nil"/>
              <w:bottom w:val="nil"/>
              <w:right w:val="nil"/>
            </w:tcBorders>
            <w:shd w:val="clear" w:color="000000" w:fill="F2F2F2"/>
            <w:noWrap/>
            <w:vAlign w:val="bottom"/>
            <w:hideMark/>
          </w:tcPr>
          <w:p w14:paraId="50B0F747"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VAT</w:t>
            </w:r>
            <w:r>
              <w:rPr>
                <w:rFonts w:ascii="Calibri" w:hAnsi="Calibri" w:cs="Calibri"/>
                <w:noProof/>
                <w:color w:val="000000"/>
                <w:szCs w:val="22"/>
              </w:rPr>
              <w:t xml:space="preserve"> </w:t>
            </w:r>
            <w:r w:rsidRPr="002D1F36">
              <w:rPr>
                <w:rFonts w:ascii="Calibri" w:hAnsi="Calibri" w:cs="Calibri"/>
                <w:noProof/>
                <w:color w:val="000000"/>
                <w:szCs w:val="22"/>
              </w:rPr>
              <w:t>fraud</w:t>
            </w:r>
          </w:p>
        </w:tc>
        <w:tc>
          <w:tcPr>
            <w:tcW w:w="1931" w:type="dxa"/>
            <w:tcBorders>
              <w:top w:val="nil"/>
              <w:left w:val="nil"/>
              <w:bottom w:val="nil"/>
              <w:right w:val="nil"/>
            </w:tcBorders>
            <w:shd w:val="clear" w:color="000000" w:fill="FFC7CE"/>
            <w:noWrap/>
            <w:vAlign w:val="bottom"/>
            <w:hideMark/>
          </w:tcPr>
          <w:p w14:paraId="300B3556" w14:textId="77777777" w:rsidR="00F60113" w:rsidRPr="002D1F36" w:rsidRDefault="00F60113" w:rsidP="00CF480A">
            <w:pPr>
              <w:spacing w:after="0" w:line="240" w:lineRule="auto"/>
              <w:jc w:val="center"/>
              <w:rPr>
                <w:rFonts w:ascii="Calibri" w:hAnsi="Calibri" w:cs="Calibri"/>
                <w:noProof/>
                <w:color w:val="9C0006"/>
                <w:szCs w:val="22"/>
              </w:rPr>
            </w:pPr>
            <w:r w:rsidRPr="002D1F36">
              <w:rPr>
                <w:rFonts w:ascii="Calibri" w:hAnsi="Calibri" w:cs="Calibri"/>
                <w:noProof/>
                <w:color w:val="9C0006"/>
                <w:szCs w:val="22"/>
              </w:rPr>
              <w:t>No</w:t>
            </w:r>
          </w:p>
        </w:tc>
        <w:tc>
          <w:tcPr>
            <w:tcW w:w="1765" w:type="dxa"/>
            <w:tcBorders>
              <w:top w:val="nil"/>
              <w:left w:val="nil"/>
              <w:bottom w:val="nil"/>
              <w:right w:val="nil"/>
            </w:tcBorders>
            <w:shd w:val="clear" w:color="000000" w:fill="C6EFCE"/>
            <w:noWrap/>
            <w:vAlign w:val="bottom"/>
            <w:hideMark/>
          </w:tcPr>
          <w:p w14:paraId="3909F637"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4E376AE1"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3B3C9334" w14:textId="77777777" w:rsidTr="00CF480A">
        <w:trPr>
          <w:trHeight w:val="300"/>
        </w:trPr>
        <w:tc>
          <w:tcPr>
            <w:tcW w:w="3261" w:type="dxa"/>
            <w:tcBorders>
              <w:top w:val="nil"/>
              <w:left w:val="nil"/>
              <w:bottom w:val="nil"/>
              <w:right w:val="nil"/>
            </w:tcBorders>
            <w:shd w:val="clear" w:color="000000" w:fill="D0CECE"/>
            <w:noWrap/>
            <w:vAlign w:val="bottom"/>
            <w:hideMark/>
          </w:tcPr>
          <w:p w14:paraId="4EE1B4B8" w14:textId="77777777" w:rsidR="00F60113" w:rsidRPr="002D1F36" w:rsidRDefault="00F60113" w:rsidP="00CF480A">
            <w:pPr>
              <w:spacing w:after="0" w:line="240" w:lineRule="auto"/>
              <w:jc w:val="left"/>
              <w:rPr>
                <w:rFonts w:ascii="Calibri" w:hAnsi="Calibri" w:cs="Calibri"/>
                <w:b/>
                <w:bCs/>
                <w:noProof/>
                <w:color w:val="000000"/>
                <w:szCs w:val="22"/>
              </w:rPr>
            </w:pPr>
            <w:r w:rsidRPr="002D1F36">
              <w:rPr>
                <w:rFonts w:ascii="Calibri" w:hAnsi="Calibri" w:cs="Calibri"/>
                <w:b/>
                <w:bCs/>
                <w:noProof/>
                <w:color w:val="000000"/>
                <w:szCs w:val="22"/>
              </w:rPr>
              <w:t>Data sources</w:t>
            </w:r>
          </w:p>
        </w:tc>
        <w:tc>
          <w:tcPr>
            <w:tcW w:w="1931" w:type="dxa"/>
            <w:tcBorders>
              <w:top w:val="nil"/>
              <w:left w:val="nil"/>
              <w:bottom w:val="nil"/>
              <w:right w:val="nil"/>
            </w:tcBorders>
            <w:shd w:val="clear" w:color="000000" w:fill="D0CECE"/>
            <w:noWrap/>
            <w:vAlign w:val="bottom"/>
            <w:hideMark/>
          </w:tcPr>
          <w:p w14:paraId="43DEDB19"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5" w:type="dxa"/>
            <w:tcBorders>
              <w:top w:val="nil"/>
              <w:left w:val="nil"/>
              <w:bottom w:val="nil"/>
              <w:right w:val="nil"/>
            </w:tcBorders>
            <w:shd w:val="clear" w:color="000000" w:fill="D0CECE"/>
            <w:noWrap/>
            <w:vAlign w:val="bottom"/>
            <w:hideMark/>
          </w:tcPr>
          <w:p w14:paraId="57882945"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9" w:type="dxa"/>
            <w:tcBorders>
              <w:top w:val="nil"/>
              <w:left w:val="nil"/>
              <w:bottom w:val="nil"/>
              <w:right w:val="nil"/>
            </w:tcBorders>
            <w:shd w:val="clear" w:color="000000" w:fill="D0CECE"/>
            <w:noWrap/>
            <w:vAlign w:val="bottom"/>
            <w:hideMark/>
          </w:tcPr>
          <w:p w14:paraId="1DA41815"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r>
      <w:tr w:rsidR="00F60113" w:rsidRPr="002D1F36" w14:paraId="15877062" w14:textId="77777777" w:rsidTr="00CF480A">
        <w:trPr>
          <w:trHeight w:val="300"/>
        </w:trPr>
        <w:tc>
          <w:tcPr>
            <w:tcW w:w="3261" w:type="dxa"/>
            <w:tcBorders>
              <w:top w:val="nil"/>
              <w:left w:val="nil"/>
              <w:bottom w:val="nil"/>
              <w:right w:val="nil"/>
            </w:tcBorders>
            <w:shd w:val="clear" w:color="000000" w:fill="F2F2F2"/>
            <w:noWrap/>
            <w:vAlign w:val="bottom"/>
            <w:hideMark/>
          </w:tcPr>
          <w:p w14:paraId="1DE806DD"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Direct</w:t>
            </w: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c)</w:t>
            </w:r>
          </w:p>
        </w:tc>
        <w:tc>
          <w:tcPr>
            <w:tcW w:w="1931" w:type="dxa"/>
            <w:tcBorders>
              <w:top w:val="nil"/>
              <w:left w:val="nil"/>
              <w:bottom w:val="nil"/>
              <w:right w:val="nil"/>
            </w:tcBorders>
            <w:shd w:val="clear" w:color="000000" w:fill="FFEB9C"/>
            <w:noWrap/>
            <w:vAlign w:val="bottom"/>
            <w:hideMark/>
          </w:tcPr>
          <w:p w14:paraId="695BFF02" w14:textId="77777777" w:rsidR="00F60113" w:rsidRPr="002D1F36" w:rsidRDefault="00F60113" w:rsidP="00CF480A">
            <w:pPr>
              <w:spacing w:after="0" w:line="240" w:lineRule="auto"/>
              <w:jc w:val="center"/>
              <w:rPr>
                <w:rFonts w:ascii="Calibri" w:hAnsi="Calibri" w:cs="Calibri"/>
                <w:noProof/>
                <w:color w:val="9C6500"/>
                <w:szCs w:val="22"/>
              </w:rPr>
            </w:pPr>
            <w:r w:rsidRPr="002D1F36">
              <w:rPr>
                <w:rFonts w:ascii="Calibri" w:hAnsi="Calibri" w:cs="Calibri"/>
                <w:noProof/>
                <w:color w:val="9C6500"/>
                <w:szCs w:val="22"/>
              </w:rPr>
              <w:t>Partial</w:t>
            </w:r>
          </w:p>
        </w:tc>
        <w:tc>
          <w:tcPr>
            <w:tcW w:w="1765" w:type="dxa"/>
            <w:tcBorders>
              <w:top w:val="nil"/>
              <w:left w:val="nil"/>
              <w:bottom w:val="nil"/>
              <w:right w:val="nil"/>
            </w:tcBorders>
            <w:shd w:val="clear" w:color="000000" w:fill="C6EFCE"/>
            <w:noWrap/>
            <w:vAlign w:val="bottom"/>
            <w:hideMark/>
          </w:tcPr>
          <w:p w14:paraId="0952EECF"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C6EFCE"/>
            <w:noWrap/>
            <w:vAlign w:val="bottom"/>
            <w:hideMark/>
          </w:tcPr>
          <w:p w14:paraId="4DA03112"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64E00BF4" w14:textId="77777777" w:rsidTr="00CF480A">
        <w:trPr>
          <w:trHeight w:val="300"/>
        </w:trPr>
        <w:tc>
          <w:tcPr>
            <w:tcW w:w="3261" w:type="dxa"/>
            <w:tcBorders>
              <w:top w:val="nil"/>
              <w:left w:val="nil"/>
              <w:bottom w:val="nil"/>
              <w:right w:val="nil"/>
            </w:tcBorders>
            <w:shd w:val="clear" w:color="000000" w:fill="F2F2F2"/>
            <w:noWrap/>
            <w:vAlign w:val="bottom"/>
            <w:hideMark/>
          </w:tcPr>
          <w:p w14:paraId="07EF2836"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Indirect</w:t>
            </w: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d)</w:t>
            </w:r>
          </w:p>
        </w:tc>
        <w:tc>
          <w:tcPr>
            <w:tcW w:w="1931" w:type="dxa"/>
            <w:tcBorders>
              <w:top w:val="nil"/>
              <w:left w:val="nil"/>
              <w:bottom w:val="nil"/>
              <w:right w:val="nil"/>
            </w:tcBorders>
            <w:shd w:val="clear" w:color="000000" w:fill="C6EFCE"/>
            <w:noWrap/>
            <w:vAlign w:val="bottom"/>
            <w:hideMark/>
          </w:tcPr>
          <w:p w14:paraId="7CE65377"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FFC7CE"/>
            <w:noWrap/>
            <w:vAlign w:val="bottom"/>
            <w:hideMark/>
          </w:tcPr>
          <w:p w14:paraId="2B1CF0BF" w14:textId="77777777" w:rsidR="00F60113" w:rsidRPr="002D1F36" w:rsidRDefault="00F60113" w:rsidP="00CF480A">
            <w:pPr>
              <w:spacing w:after="0" w:line="240" w:lineRule="auto"/>
              <w:jc w:val="center"/>
              <w:rPr>
                <w:rFonts w:ascii="Calibri" w:hAnsi="Calibri" w:cs="Calibri"/>
                <w:noProof/>
                <w:color w:val="9C0006"/>
                <w:szCs w:val="22"/>
              </w:rPr>
            </w:pPr>
            <w:r w:rsidRPr="002D1F36">
              <w:rPr>
                <w:rFonts w:ascii="Calibri" w:hAnsi="Calibri" w:cs="Calibri"/>
                <w:noProof/>
                <w:color w:val="9C0006"/>
                <w:szCs w:val="22"/>
              </w:rPr>
              <w:t>No</w:t>
            </w:r>
          </w:p>
        </w:tc>
        <w:tc>
          <w:tcPr>
            <w:tcW w:w="1769" w:type="dxa"/>
            <w:tcBorders>
              <w:top w:val="nil"/>
              <w:left w:val="nil"/>
              <w:bottom w:val="nil"/>
              <w:right w:val="nil"/>
            </w:tcBorders>
            <w:shd w:val="clear" w:color="000000" w:fill="FFC7CE"/>
            <w:noWrap/>
            <w:vAlign w:val="bottom"/>
            <w:hideMark/>
          </w:tcPr>
          <w:p w14:paraId="104C9440" w14:textId="77777777" w:rsidR="00F60113" w:rsidRPr="002D1F36" w:rsidRDefault="00F60113" w:rsidP="00CF480A">
            <w:pPr>
              <w:spacing w:after="0" w:line="240" w:lineRule="auto"/>
              <w:jc w:val="center"/>
              <w:rPr>
                <w:rFonts w:ascii="Calibri" w:hAnsi="Calibri" w:cs="Calibri"/>
                <w:noProof/>
                <w:color w:val="9C0006"/>
                <w:szCs w:val="22"/>
              </w:rPr>
            </w:pPr>
            <w:r w:rsidRPr="002D1F36">
              <w:rPr>
                <w:rFonts w:ascii="Calibri" w:hAnsi="Calibri" w:cs="Calibri"/>
                <w:noProof/>
                <w:color w:val="9C0006"/>
                <w:szCs w:val="22"/>
              </w:rPr>
              <w:t>No</w:t>
            </w:r>
          </w:p>
        </w:tc>
      </w:tr>
      <w:tr w:rsidR="00F60113" w:rsidRPr="002D1F36" w14:paraId="14B0FBF6" w14:textId="77777777" w:rsidTr="00CF480A">
        <w:trPr>
          <w:trHeight w:val="300"/>
        </w:trPr>
        <w:tc>
          <w:tcPr>
            <w:tcW w:w="3261" w:type="dxa"/>
            <w:tcBorders>
              <w:top w:val="nil"/>
              <w:left w:val="nil"/>
              <w:bottom w:val="nil"/>
              <w:right w:val="nil"/>
            </w:tcBorders>
            <w:shd w:val="clear" w:color="000000" w:fill="D0CECE"/>
            <w:noWrap/>
            <w:vAlign w:val="bottom"/>
            <w:hideMark/>
          </w:tcPr>
          <w:p w14:paraId="02376C08" w14:textId="77777777" w:rsidR="00F60113" w:rsidRPr="002D1F36" w:rsidRDefault="00F60113" w:rsidP="00CF480A">
            <w:pPr>
              <w:spacing w:after="0" w:line="240" w:lineRule="auto"/>
              <w:jc w:val="left"/>
              <w:rPr>
                <w:rFonts w:ascii="Calibri" w:hAnsi="Calibri" w:cs="Calibri"/>
                <w:b/>
                <w:bCs/>
                <w:noProof/>
                <w:color w:val="000000"/>
                <w:szCs w:val="22"/>
              </w:rPr>
            </w:pPr>
            <w:r w:rsidRPr="002D1F36">
              <w:rPr>
                <w:rFonts w:ascii="Calibri" w:hAnsi="Calibri" w:cs="Calibri"/>
                <w:b/>
                <w:bCs/>
                <w:noProof/>
                <w:color w:val="000000"/>
                <w:szCs w:val="22"/>
              </w:rPr>
              <w:t>Timeline</w:t>
            </w:r>
          </w:p>
        </w:tc>
        <w:tc>
          <w:tcPr>
            <w:tcW w:w="1931" w:type="dxa"/>
            <w:tcBorders>
              <w:top w:val="nil"/>
              <w:left w:val="nil"/>
              <w:bottom w:val="nil"/>
              <w:right w:val="nil"/>
            </w:tcBorders>
            <w:shd w:val="clear" w:color="000000" w:fill="D0CECE"/>
            <w:noWrap/>
            <w:vAlign w:val="bottom"/>
            <w:hideMark/>
          </w:tcPr>
          <w:p w14:paraId="233820F6"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5" w:type="dxa"/>
            <w:tcBorders>
              <w:top w:val="nil"/>
              <w:left w:val="nil"/>
              <w:bottom w:val="nil"/>
              <w:right w:val="nil"/>
            </w:tcBorders>
            <w:shd w:val="clear" w:color="000000" w:fill="D0CECE"/>
            <w:noWrap/>
            <w:vAlign w:val="bottom"/>
            <w:hideMark/>
          </w:tcPr>
          <w:p w14:paraId="3B553DBC"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c>
          <w:tcPr>
            <w:tcW w:w="1769" w:type="dxa"/>
            <w:tcBorders>
              <w:top w:val="nil"/>
              <w:left w:val="nil"/>
              <w:bottom w:val="nil"/>
              <w:right w:val="nil"/>
            </w:tcBorders>
            <w:shd w:val="clear" w:color="000000" w:fill="D0CECE"/>
            <w:noWrap/>
            <w:vAlign w:val="bottom"/>
            <w:hideMark/>
          </w:tcPr>
          <w:p w14:paraId="502E20E6" w14:textId="77777777" w:rsidR="00F60113" w:rsidRPr="002D1F36" w:rsidRDefault="00F60113" w:rsidP="00CF480A">
            <w:pPr>
              <w:spacing w:after="0" w:line="240" w:lineRule="auto"/>
              <w:jc w:val="center"/>
              <w:rPr>
                <w:rFonts w:ascii="Calibri" w:hAnsi="Calibri" w:cs="Calibri"/>
                <w:b/>
                <w:bCs/>
                <w:noProof/>
                <w:color w:val="000000"/>
                <w:szCs w:val="22"/>
              </w:rPr>
            </w:pPr>
            <w:r w:rsidRPr="002D1F36">
              <w:rPr>
                <w:rFonts w:ascii="Calibri" w:hAnsi="Calibri" w:cs="Calibri"/>
                <w:b/>
                <w:bCs/>
                <w:noProof/>
                <w:color w:val="000000"/>
                <w:szCs w:val="22"/>
              </w:rPr>
              <w:t> </w:t>
            </w:r>
          </w:p>
        </w:tc>
      </w:tr>
      <w:tr w:rsidR="00F60113" w:rsidRPr="002D1F36" w14:paraId="0E6A7552" w14:textId="77777777" w:rsidTr="00CF480A">
        <w:trPr>
          <w:trHeight w:val="300"/>
        </w:trPr>
        <w:tc>
          <w:tcPr>
            <w:tcW w:w="3261" w:type="dxa"/>
            <w:tcBorders>
              <w:top w:val="nil"/>
              <w:left w:val="nil"/>
              <w:bottom w:val="nil"/>
              <w:right w:val="nil"/>
            </w:tcBorders>
            <w:shd w:val="clear" w:color="000000" w:fill="F2F2F2"/>
            <w:noWrap/>
            <w:vAlign w:val="bottom"/>
            <w:hideMark/>
          </w:tcPr>
          <w:p w14:paraId="64BECF20" w14:textId="77777777" w:rsidR="00F60113" w:rsidRPr="002D1F36" w:rsidRDefault="00F60113" w:rsidP="00CF480A">
            <w:pPr>
              <w:spacing w:after="0" w:line="240" w:lineRule="auto"/>
              <w:jc w:val="left"/>
              <w:rPr>
                <w:rFonts w:ascii="Calibri" w:hAnsi="Calibri" w:cs="Calibri"/>
                <w:noProof/>
                <w:color w:val="000000"/>
                <w:szCs w:val="22"/>
              </w:rPr>
            </w:pPr>
            <w:r w:rsidRPr="002D1F36">
              <w:rPr>
                <w:rFonts w:ascii="Calibri" w:hAnsi="Calibri" w:cs="Calibri"/>
                <w:noProof/>
                <w:color w:val="000000"/>
                <w:szCs w:val="22"/>
              </w:rPr>
              <w:t>Year-to-year</w:t>
            </w: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e)</w:t>
            </w:r>
          </w:p>
        </w:tc>
        <w:tc>
          <w:tcPr>
            <w:tcW w:w="1931" w:type="dxa"/>
            <w:tcBorders>
              <w:top w:val="nil"/>
              <w:left w:val="nil"/>
              <w:bottom w:val="nil"/>
              <w:right w:val="nil"/>
            </w:tcBorders>
            <w:shd w:val="clear" w:color="000000" w:fill="C6EFCE"/>
            <w:noWrap/>
            <w:vAlign w:val="bottom"/>
            <w:hideMark/>
          </w:tcPr>
          <w:p w14:paraId="071CF8C3"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5" w:type="dxa"/>
            <w:tcBorders>
              <w:top w:val="nil"/>
              <w:left w:val="nil"/>
              <w:bottom w:val="nil"/>
              <w:right w:val="nil"/>
            </w:tcBorders>
            <w:shd w:val="clear" w:color="000000" w:fill="C6EFCE"/>
            <w:noWrap/>
            <w:vAlign w:val="bottom"/>
            <w:hideMark/>
          </w:tcPr>
          <w:p w14:paraId="7D800729"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c>
          <w:tcPr>
            <w:tcW w:w="1769" w:type="dxa"/>
            <w:tcBorders>
              <w:top w:val="nil"/>
              <w:left w:val="nil"/>
              <w:bottom w:val="nil"/>
              <w:right w:val="nil"/>
            </w:tcBorders>
            <w:shd w:val="clear" w:color="000000" w:fill="FFEB9C"/>
            <w:noWrap/>
            <w:vAlign w:val="bottom"/>
            <w:hideMark/>
          </w:tcPr>
          <w:p w14:paraId="339FA42F" w14:textId="77777777" w:rsidR="00F60113" w:rsidRPr="002D1F36" w:rsidRDefault="00F60113" w:rsidP="00CF480A">
            <w:pPr>
              <w:spacing w:after="0" w:line="240" w:lineRule="auto"/>
              <w:jc w:val="center"/>
              <w:rPr>
                <w:rFonts w:ascii="Calibri" w:hAnsi="Calibri" w:cs="Calibri"/>
                <w:noProof/>
                <w:color w:val="9C6500"/>
                <w:szCs w:val="22"/>
              </w:rPr>
            </w:pPr>
            <w:r w:rsidRPr="002D1F36">
              <w:rPr>
                <w:rFonts w:ascii="Calibri" w:hAnsi="Calibri" w:cs="Calibri"/>
                <w:noProof/>
                <w:color w:val="9C6500"/>
                <w:szCs w:val="22"/>
              </w:rPr>
              <w:t>Partial</w:t>
            </w:r>
          </w:p>
        </w:tc>
      </w:tr>
      <w:tr w:rsidR="00F60113" w:rsidRPr="002D1F36" w14:paraId="6C993220" w14:textId="77777777" w:rsidTr="00CF480A">
        <w:trPr>
          <w:trHeight w:val="300"/>
        </w:trPr>
        <w:tc>
          <w:tcPr>
            <w:tcW w:w="3261" w:type="dxa"/>
            <w:tcBorders>
              <w:top w:val="nil"/>
              <w:left w:val="nil"/>
              <w:bottom w:val="nil"/>
              <w:right w:val="nil"/>
            </w:tcBorders>
            <w:shd w:val="clear" w:color="000000" w:fill="F2F2F2"/>
            <w:noWrap/>
            <w:vAlign w:val="bottom"/>
            <w:hideMark/>
          </w:tcPr>
          <w:p w14:paraId="252380E4" w14:textId="77777777" w:rsidR="00F60113" w:rsidRPr="002D1F36" w:rsidRDefault="00F60113" w:rsidP="00CF480A">
            <w:pPr>
              <w:spacing w:after="0" w:line="240" w:lineRule="auto"/>
              <w:jc w:val="left"/>
              <w:rPr>
                <w:rFonts w:ascii="Calibri" w:hAnsi="Calibri" w:cs="Calibri"/>
                <w:noProof/>
                <w:color w:val="000000"/>
                <w:szCs w:val="22"/>
              </w:rPr>
            </w:pPr>
            <w:r>
              <w:rPr>
                <w:rFonts w:ascii="Calibri" w:hAnsi="Calibri" w:cs="Calibri"/>
                <w:noProof/>
                <w:color w:val="000000"/>
                <w:szCs w:val="22"/>
              </w:rPr>
              <w:t>Aggregated</w:t>
            </w: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f)</w:t>
            </w:r>
          </w:p>
        </w:tc>
        <w:tc>
          <w:tcPr>
            <w:tcW w:w="1931" w:type="dxa"/>
            <w:tcBorders>
              <w:top w:val="nil"/>
              <w:left w:val="nil"/>
              <w:bottom w:val="nil"/>
              <w:right w:val="nil"/>
            </w:tcBorders>
            <w:shd w:val="clear" w:color="000000" w:fill="FFEB9C"/>
            <w:noWrap/>
            <w:vAlign w:val="bottom"/>
            <w:hideMark/>
          </w:tcPr>
          <w:p w14:paraId="5E1463D9" w14:textId="77777777" w:rsidR="00F60113" w:rsidRPr="002D1F36" w:rsidRDefault="00F60113" w:rsidP="00CF480A">
            <w:pPr>
              <w:spacing w:after="0" w:line="240" w:lineRule="auto"/>
              <w:jc w:val="center"/>
              <w:rPr>
                <w:rFonts w:ascii="Calibri" w:hAnsi="Calibri" w:cs="Calibri"/>
                <w:noProof/>
                <w:color w:val="9C6500"/>
                <w:szCs w:val="22"/>
              </w:rPr>
            </w:pPr>
            <w:r w:rsidRPr="002D1F36">
              <w:rPr>
                <w:rFonts w:ascii="Calibri" w:hAnsi="Calibri" w:cs="Calibri"/>
                <w:noProof/>
                <w:color w:val="9C6500"/>
                <w:szCs w:val="22"/>
              </w:rPr>
              <w:t>Partial</w:t>
            </w:r>
          </w:p>
        </w:tc>
        <w:tc>
          <w:tcPr>
            <w:tcW w:w="1765" w:type="dxa"/>
            <w:tcBorders>
              <w:top w:val="nil"/>
              <w:left w:val="nil"/>
              <w:bottom w:val="nil"/>
              <w:right w:val="nil"/>
            </w:tcBorders>
            <w:shd w:val="clear" w:color="000000" w:fill="FFEB9C"/>
            <w:noWrap/>
            <w:vAlign w:val="bottom"/>
            <w:hideMark/>
          </w:tcPr>
          <w:p w14:paraId="4F475E70" w14:textId="77777777" w:rsidR="00F60113" w:rsidRPr="002D1F36" w:rsidRDefault="00F60113" w:rsidP="00CF480A">
            <w:pPr>
              <w:spacing w:after="0" w:line="240" w:lineRule="auto"/>
              <w:jc w:val="center"/>
              <w:rPr>
                <w:rFonts w:ascii="Calibri" w:hAnsi="Calibri" w:cs="Calibri"/>
                <w:noProof/>
                <w:color w:val="9C6500"/>
                <w:szCs w:val="22"/>
              </w:rPr>
            </w:pPr>
            <w:r w:rsidRPr="002D1F36">
              <w:rPr>
                <w:rFonts w:ascii="Calibri" w:hAnsi="Calibri" w:cs="Calibri"/>
                <w:noProof/>
                <w:color w:val="9C6500"/>
                <w:szCs w:val="22"/>
              </w:rPr>
              <w:t>Partial</w:t>
            </w:r>
          </w:p>
        </w:tc>
        <w:tc>
          <w:tcPr>
            <w:tcW w:w="1769" w:type="dxa"/>
            <w:tcBorders>
              <w:top w:val="nil"/>
              <w:left w:val="nil"/>
              <w:bottom w:val="nil"/>
              <w:right w:val="nil"/>
            </w:tcBorders>
            <w:shd w:val="clear" w:color="000000" w:fill="C6EFCE"/>
            <w:noWrap/>
            <w:vAlign w:val="bottom"/>
            <w:hideMark/>
          </w:tcPr>
          <w:p w14:paraId="7FFECA06" w14:textId="77777777" w:rsidR="00F60113" w:rsidRPr="002D1F36" w:rsidRDefault="00F60113" w:rsidP="00CF480A">
            <w:pPr>
              <w:spacing w:after="0" w:line="240" w:lineRule="auto"/>
              <w:jc w:val="center"/>
              <w:rPr>
                <w:rFonts w:ascii="Calibri" w:hAnsi="Calibri" w:cs="Calibri"/>
                <w:noProof/>
                <w:color w:val="006100"/>
                <w:szCs w:val="22"/>
              </w:rPr>
            </w:pPr>
            <w:r w:rsidRPr="002D1F36">
              <w:rPr>
                <w:rFonts w:ascii="Calibri" w:hAnsi="Calibri" w:cs="Calibri"/>
                <w:noProof/>
                <w:color w:val="006100"/>
                <w:szCs w:val="22"/>
              </w:rPr>
              <w:t>Yes</w:t>
            </w:r>
          </w:p>
        </w:tc>
      </w:tr>
      <w:tr w:rsidR="00F60113" w:rsidRPr="002D1F36" w14:paraId="4011A21C" w14:textId="77777777" w:rsidTr="00CF480A">
        <w:trPr>
          <w:trHeight w:val="300"/>
        </w:trPr>
        <w:tc>
          <w:tcPr>
            <w:tcW w:w="8726" w:type="dxa"/>
            <w:gridSpan w:val="4"/>
            <w:tcBorders>
              <w:top w:val="nil"/>
              <w:left w:val="nil"/>
              <w:bottom w:val="nil"/>
              <w:right w:val="nil"/>
            </w:tcBorders>
            <w:shd w:val="clear" w:color="000000" w:fill="BDD7EE"/>
            <w:vAlign w:val="bottom"/>
            <w:hideMark/>
          </w:tcPr>
          <w:p w14:paraId="4C24EFD5" w14:textId="77777777" w:rsidR="00F60113" w:rsidRPr="002D1F36" w:rsidRDefault="00F60113" w:rsidP="00CF480A">
            <w:pPr>
              <w:spacing w:after="0" w:line="240" w:lineRule="auto"/>
              <w:jc w:val="left"/>
              <w:rPr>
                <w:rFonts w:ascii="Calibri" w:hAnsi="Calibri" w:cs="Calibri"/>
                <w:noProof/>
                <w:color w:val="000000"/>
                <w:szCs w:val="22"/>
              </w:rPr>
            </w:pPr>
            <w:r w:rsidRPr="00BD6E00">
              <w:rPr>
                <w:rFonts w:ascii="Calibri" w:hAnsi="Calibri" w:cs="Calibri"/>
                <w:noProof/>
                <w:color w:val="006100"/>
                <w:szCs w:val="22"/>
                <w:vertAlign w:val="superscript"/>
              </w:rPr>
              <w:t>(a</w:t>
            </w:r>
            <w:r>
              <w:rPr>
                <w:rFonts w:ascii="Calibri" w:hAnsi="Calibri" w:cs="Calibri"/>
                <w:noProof/>
                <w:color w:val="006100"/>
                <w:szCs w:val="22"/>
                <w:vertAlign w:val="superscript"/>
              </w:rPr>
              <w:t>)</w:t>
            </w:r>
            <w:r w:rsidRPr="00EF7400">
              <w:rPr>
                <w:rFonts w:ascii="Calibri" w:hAnsi="Calibri" w:cs="Calibri"/>
                <w:noProof/>
                <w:color w:val="000000"/>
                <w:sz w:val="18"/>
                <w:szCs w:val="22"/>
              </w:rPr>
              <w:t>Within the limits of its mandate</w:t>
            </w:r>
            <w:r>
              <w:rPr>
                <w:rFonts w:ascii="Calibri" w:hAnsi="Calibri" w:cs="Calibri"/>
                <w:noProof/>
                <w:color w:val="000000"/>
                <w:sz w:val="18"/>
                <w:szCs w:val="22"/>
              </w:rPr>
              <w:t>.</w:t>
            </w:r>
          </w:p>
        </w:tc>
      </w:tr>
      <w:tr w:rsidR="00F60113" w:rsidRPr="002D1F36" w14:paraId="271D0269" w14:textId="77777777" w:rsidTr="00CF480A">
        <w:trPr>
          <w:trHeight w:val="300"/>
        </w:trPr>
        <w:tc>
          <w:tcPr>
            <w:tcW w:w="8726" w:type="dxa"/>
            <w:gridSpan w:val="4"/>
            <w:tcBorders>
              <w:top w:val="nil"/>
              <w:left w:val="nil"/>
              <w:bottom w:val="nil"/>
              <w:right w:val="nil"/>
            </w:tcBorders>
            <w:shd w:val="clear" w:color="000000" w:fill="DDEBF7"/>
            <w:vAlign w:val="bottom"/>
            <w:hideMark/>
          </w:tcPr>
          <w:p w14:paraId="7F84DCF1" w14:textId="7EB09578" w:rsidR="00F60113" w:rsidRPr="002D1F36" w:rsidRDefault="00F60113" w:rsidP="00CF480A">
            <w:pPr>
              <w:spacing w:after="0" w:line="240" w:lineRule="auto"/>
              <w:jc w:val="left"/>
              <w:rPr>
                <w:rFonts w:ascii="Calibri" w:hAnsi="Calibri" w:cs="Calibri"/>
                <w:noProof/>
                <w:color w:val="000000"/>
                <w:szCs w:val="22"/>
              </w:rPr>
            </w:pP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b)</w:t>
            </w:r>
            <w:r w:rsidRPr="00EF7400">
              <w:rPr>
                <w:rFonts w:ascii="Calibri" w:hAnsi="Calibri" w:cs="Calibri"/>
                <w:noProof/>
                <w:color w:val="000000"/>
                <w:sz w:val="18"/>
                <w:szCs w:val="22"/>
              </w:rPr>
              <w:t xml:space="preserve">Limited to countries benefiting from </w:t>
            </w:r>
            <w:r>
              <w:rPr>
                <w:rFonts w:ascii="Calibri" w:hAnsi="Calibri" w:cs="Calibri"/>
                <w:noProof/>
                <w:color w:val="000000"/>
                <w:sz w:val="18"/>
                <w:szCs w:val="22"/>
              </w:rPr>
              <w:t>p</w:t>
            </w:r>
            <w:r w:rsidRPr="00EF7400">
              <w:rPr>
                <w:rFonts w:ascii="Calibri" w:hAnsi="Calibri" w:cs="Calibri"/>
                <w:noProof/>
                <w:color w:val="000000"/>
                <w:sz w:val="18"/>
                <w:szCs w:val="22"/>
              </w:rPr>
              <w:t>re-</w:t>
            </w:r>
            <w:r>
              <w:rPr>
                <w:rFonts w:ascii="Calibri" w:hAnsi="Calibri" w:cs="Calibri"/>
                <w:noProof/>
                <w:color w:val="000000"/>
                <w:sz w:val="18"/>
                <w:szCs w:val="22"/>
              </w:rPr>
              <w:t>a</w:t>
            </w:r>
            <w:r w:rsidRPr="00EF7400">
              <w:rPr>
                <w:rFonts w:ascii="Calibri" w:hAnsi="Calibri" w:cs="Calibri"/>
                <w:noProof/>
                <w:color w:val="000000"/>
                <w:sz w:val="18"/>
                <w:szCs w:val="22"/>
              </w:rPr>
              <w:t xml:space="preserve">ccession </w:t>
            </w:r>
            <w:r>
              <w:rPr>
                <w:rFonts w:ascii="Calibri" w:hAnsi="Calibri" w:cs="Calibri"/>
                <w:noProof/>
                <w:color w:val="000000"/>
                <w:sz w:val="18"/>
                <w:szCs w:val="22"/>
              </w:rPr>
              <w:t>a</w:t>
            </w:r>
            <w:r w:rsidRPr="00EF7400">
              <w:rPr>
                <w:rFonts w:ascii="Calibri" w:hAnsi="Calibri" w:cs="Calibri"/>
                <w:noProof/>
                <w:color w:val="000000"/>
                <w:sz w:val="18"/>
                <w:szCs w:val="22"/>
              </w:rPr>
              <w:t>ssistance</w:t>
            </w:r>
          </w:p>
        </w:tc>
      </w:tr>
      <w:tr w:rsidR="00F60113" w:rsidRPr="002D1F36" w14:paraId="50E208FE" w14:textId="77777777" w:rsidTr="00CF480A">
        <w:trPr>
          <w:trHeight w:val="535"/>
        </w:trPr>
        <w:tc>
          <w:tcPr>
            <w:tcW w:w="8726" w:type="dxa"/>
            <w:gridSpan w:val="4"/>
            <w:tcBorders>
              <w:top w:val="nil"/>
              <w:left w:val="nil"/>
              <w:bottom w:val="nil"/>
              <w:right w:val="nil"/>
            </w:tcBorders>
            <w:shd w:val="clear" w:color="000000" w:fill="BDD7EE"/>
            <w:vAlign w:val="bottom"/>
            <w:hideMark/>
          </w:tcPr>
          <w:p w14:paraId="1EF24F89" w14:textId="57631EAB" w:rsidR="00F60113" w:rsidRPr="002D1F36" w:rsidRDefault="00F60113" w:rsidP="00CF480A">
            <w:pPr>
              <w:spacing w:after="0" w:line="240" w:lineRule="auto"/>
              <w:jc w:val="left"/>
              <w:rPr>
                <w:rFonts w:ascii="Calibri" w:hAnsi="Calibri" w:cs="Calibri"/>
                <w:noProof/>
                <w:color w:val="000000"/>
                <w:szCs w:val="22"/>
              </w:rPr>
            </w:pP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c)</w:t>
            </w:r>
            <w:r w:rsidRPr="00EF7400">
              <w:rPr>
                <w:rFonts w:ascii="Calibri" w:hAnsi="Calibri" w:cs="Calibri"/>
                <w:noProof/>
                <w:color w:val="000000"/>
                <w:sz w:val="18"/>
                <w:szCs w:val="22"/>
              </w:rPr>
              <w:t xml:space="preserve">Direct data source means that the report refers to cases directly investigated by the reporting body. Data </w:t>
            </w:r>
            <w:r>
              <w:rPr>
                <w:rFonts w:ascii="Calibri" w:hAnsi="Calibri" w:cs="Calibri"/>
                <w:noProof/>
                <w:color w:val="000000"/>
                <w:sz w:val="18"/>
                <w:szCs w:val="22"/>
              </w:rPr>
              <w:t>on</w:t>
            </w:r>
            <w:r w:rsidRPr="00EF7400">
              <w:rPr>
                <w:rFonts w:ascii="Calibri" w:hAnsi="Calibri" w:cs="Calibri"/>
                <w:noProof/>
                <w:color w:val="000000"/>
                <w:sz w:val="18"/>
                <w:szCs w:val="22"/>
              </w:rPr>
              <w:t xml:space="preserve"> cases detected by the Commission </w:t>
            </w:r>
            <w:r w:rsidR="00DB29D3">
              <w:rPr>
                <w:rFonts w:ascii="Calibri" w:hAnsi="Calibri" w:cs="Calibri"/>
                <w:noProof/>
                <w:color w:val="000000"/>
                <w:sz w:val="18"/>
                <w:szCs w:val="22"/>
              </w:rPr>
              <w:t xml:space="preserve">are only </w:t>
            </w:r>
            <w:r w:rsidRPr="00EF7400">
              <w:rPr>
                <w:rFonts w:ascii="Calibri" w:hAnsi="Calibri" w:cs="Calibri"/>
                <w:noProof/>
                <w:color w:val="000000"/>
                <w:sz w:val="18"/>
                <w:szCs w:val="22"/>
              </w:rPr>
              <w:t>a limited part of the data set used in the PIF Report</w:t>
            </w:r>
            <w:r>
              <w:rPr>
                <w:rFonts w:ascii="Calibri" w:hAnsi="Calibri" w:cs="Calibri"/>
                <w:noProof/>
                <w:color w:val="000000"/>
                <w:sz w:val="18"/>
                <w:szCs w:val="22"/>
              </w:rPr>
              <w:t>.</w:t>
            </w:r>
          </w:p>
        </w:tc>
      </w:tr>
      <w:tr w:rsidR="00F60113" w:rsidRPr="002D1F36" w14:paraId="684FCA4E" w14:textId="77777777" w:rsidTr="00CF480A">
        <w:trPr>
          <w:trHeight w:val="713"/>
        </w:trPr>
        <w:tc>
          <w:tcPr>
            <w:tcW w:w="8726" w:type="dxa"/>
            <w:gridSpan w:val="4"/>
            <w:tcBorders>
              <w:top w:val="nil"/>
              <w:left w:val="nil"/>
              <w:bottom w:val="nil"/>
              <w:right w:val="nil"/>
            </w:tcBorders>
            <w:shd w:val="clear" w:color="000000" w:fill="DDEBF7"/>
            <w:vAlign w:val="bottom"/>
            <w:hideMark/>
          </w:tcPr>
          <w:p w14:paraId="0A7FEA65" w14:textId="183400A8" w:rsidR="00F60113" w:rsidRPr="002D1F36" w:rsidRDefault="00F60113" w:rsidP="00CF480A">
            <w:pPr>
              <w:spacing w:after="0" w:line="240" w:lineRule="auto"/>
              <w:jc w:val="left"/>
              <w:rPr>
                <w:rFonts w:ascii="Calibri" w:hAnsi="Calibri" w:cs="Calibri"/>
                <w:noProof/>
                <w:color w:val="000000"/>
                <w:szCs w:val="22"/>
              </w:rPr>
            </w:pP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d)</w:t>
            </w:r>
            <w:r w:rsidRPr="00EF7400">
              <w:rPr>
                <w:rFonts w:ascii="Calibri" w:hAnsi="Calibri" w:cs="Calibri"/>
                <w:noProof/>
                <w:color w:val="000000"/>
                <w:sz w:val="18"/>
                <w:szCs w:val="22"/>
              </w:rPr>
              <w:t xml:space="preserve">Indirect data source implies that data reported come from a different data source. </w:t>
            </w:r>
            <w:r w:rsidR="00DB29D3">
              <w:rPr>
                <w:rFonts w:ascii="Calibri" w:hAnsi="Calibri" w:cs="Calibri"/>
                <w:noProof/>
                <w:color w:val="000000"/>
                <w:sz w:val="18"/>
                <w:szCs w:val="22"/>
              </w:rPr>
              <w:t xml:space="preserve">For </w:t>
            </w:r>
            <w:r w:rsidRPr="00EF7400">
              <w:rPr>
                <w:rFonts w:ascii="Calibri" w:hAnsi="Calibri" w:cs="Calibri"/>
                <w:noProof/>
                <w:color w:val="000000"/>
                <w:sz w:val="18"/>
                <w:szCs w:val="22"/>
              </w:rPr>
              <w:t>the PIF Report</w:t>
            </w:r>
            <w:r>
              <w:rPr>
                <w:rFonts w:ascii="Calibri" w:hAnsi="Calibri" w:cs="Calibri"/>
                <w:noProof/>
                <w:color w:val="000000"/>
                <w:sz w:val="18"/>
                <w:szCs w:val="22"/>
              </w:rPr>
              <w:t>,</w:t>
            </w:r>
            <w:r w:rsidRPr="00EF7400">
              <w:rPr>
                <w:rFonts w:ascii="Calibri" w:hAnsi="Calibri" w:cs="Calibri"/>
                <w:noProof/>
                <w:color w:val="000000"/>
                <w:sz w:val="18"/>
                <w:szCs w:val="22"/>
              </w:rPr>
              <w:t xml:space="preserve"> the Commission uses data about irregularities (fraudulent and non-fraudulent) reported by national authorities of Member States and </w:t>
            </w:r>
            <w:r w:rsidR="00DB29D3">
              <w:rPr>
                <w:rFonts w:ascii="Calibri" w:hAnsi="Calibri" w:cs="Calibri"/>
                <w:noProof/>
                <w:color w:val="000000"/>
                <w:sz w:val="18"/>
                <w:szCs w:val="22"/>
              </w:rPr>
              <w:t>c</w:t>
            </w:r>
            <w:r w:rsidRPr="00EF7400">
              <w:rPr>
                <w:rFonts w:ascii="Calibri" w:hAnsi="Calibri" w:cs="Calibri"/>
                <w:noProof/>
                <w:color w:val="000000"/>
                <w:sz w:val="18"/>
                <w:szCs w:val="22"/>
              </w:rPr>
              <w:t xml:space="preserve">andidate </w:t>
            </w:r>
            <w:r w:rsidR="00DB29D3">
              <w:rPr>
                <w:rFonts w:ascii="Calibri" w:hAnsi="Calibri" w:cs="Calibri"/>
                <w:noProof/>
                <w:color w:val="000000"/>
                <w:sz w:val="18"/>
                <w:szCs w:val="22"/>
              </w:rPr>
              <w:t>c</w:t>
            </w:r>
            <w:r w:rsidRPr="00EF7400">
              <w:rPr>
                <w:rFonts w:ascii="Calibri" w:hAnsi="Calibri" w:cs="Calibri"/>
                <w:noProof/>
                <w:color w:val="000000"/>
                <w:sz w:val="18"/>
                <w:szCs w:val="22"/>
              </w:rPr>
              <w:t>ountries</w:t>
            </w:r>
            <w:r>
              <w:rPr>
                <w:rFonts w:ascii="Calibri" w:hAnsi="Calibri" w:cs="Calibri"/>
                <w:noProof/>
                <w:color w:val="000000"/>
                <w:sz w:val="18"/>
                <w:szCs w:val="22"/>
              </w:rPr>
              <w:t>.</w:t>
            </w:r>
          </w:p>
        </w:tc>
      </w:tr>
      <w:tr w:rsidR="00F60113" w:rsidRPr="002D1F36" w14:paraId="1D4F7FDE" w14:textId="77777777" w:rsidTr="00CF480A">
        <w:trPr>
          <w:trHeight w:val="425"/>
        </w:trPr>
        <w:tc>
          <w:tcPr>
            <w:tcW w:w="8726" w:type="dxa"/>
            <w:gridSpan w:val="4"/>
            <w:tcBorders>
              <w:top w:val="nil"/>
              <w:left w:val="nil"/>
              <w:bottom w:val="nil"/>
              <w:right w:val="nil"/>
            </w:tcBorders>
            <w:shd w:val="clear" w:color="000000" w:fill="BDD7EE"/>
            <w:vAlign w:val="bottom"/>
            <w:hideMark/>
          </w:tcPr>
          <w:p w14:paraId="5810F338" w14:textId="77777777" w:rsidR="00F60113" w:rsidRPr="002D1F36" w:rsidRDefault="00F60113" w:rsidP="00CF480A">
            <w:pPr>
              <w:spacing w:after="0" w:line="240" w:lineRule="auto"/>
              <w:jc w:val="left"/>
              <w:rPr>
                <w:rFonts w:ascii="Calibri" w:hAnsi="Calibri" w:cs="Calibri"/>
                <w:noProof/>
                <w:color w:val="000000"/>
                <w:szCs w:val="22"/>
              </w:rPr>
            </w:pP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e)</w:t>
            </w:r>
            <w:r w:rsidRPr="00EF7400">
              <w:rPr>
                <w:rFonts w:ascii="Calibri" w:hAnsi="Calibri" w:cs="Calibri"/>
                <w:noProof/>
                <w:color w:val="000000"/>
                <w:sz w:val="18"/>
                <w:szCs w:val="22"/>
              </w:rPr>
              <w:t xml:space="preserve">The EPPO report shows information </w:t>
            </w:r>
            <w:r>
              <w:rPr>
                <w:rFonts w:ascii="Calibri" w:hAnsi="Calibri" w:cs="Calibri"/>
                <w:noProof/>
                <w:color w:val="000000"/>
                <w:sz w:val="18"/>
                <w:szCs w:val="22"/>
              </w:rPr>
              <w:t>on</w:t>
            </w:r>
            <w:r w:rsidRPr="00EF7400">
              <w:rPr>
                <w:rFonts w:ascii="Calibri" w:hAnsi="Calibri" w:cs="Calibri"/>
                <w:noProof/>
                <w:color w:val="000000"/>
                <w:sz w:val="18"/>
                <w:szCs w:val="22"/>
              </w:rPr>
              <w:t xml:space="preserve"> the data referred to </w:t>
            </w:r>
            <w:r>
              <w:rPr>
                <w:rFonts w:ascii="Calibri" w:hAnsi="Calibri" w:cs="Calibri"/>
                <w:noProof/>
                <w:color w:val="000000"/>
                <w:sz w:val="18"/>
                <w:szCs w:val="22"/>
              </w:rPr>
              <w:t xml:space="preserve">in </w:t>
            </w:r>
            <w:r w:rsidRPr="00EF7400">
              <w:rPr>
                <w:rFonts w:ascii="Calibri" w:hAnsi="Calibri" w:cs="Calibri"/>
                <w:noProof/>
                <w:color w:val="000000"/>
                <w:sz w:val="18"/>
                <w:szCs w:val="22"/>
              </w:rPr>
              <w:t xml:space="preserve">the reporting year </w:t>
            </w:r>
            <w:r>
              <w:rPr>
                <w:rFonts w:ascii="Calibri" w:hAnsi="Calibri" w:cs="Calibri"/>
                <w:noProof/>
                <w:color w:val="000000"/>
                <w:sz w:val="18"/>
                <w:szCs w:val="22"/>
              </w:rPr>
              <w:t xml:space="preserve">(opened investigations, freezing orders granted) as well as aggregated </w:t>
            </w:r>
            <w:r w:rsidRPr="00EF7400">
              <w:rPr>
                <w:rFonts w:ascii="Calibri" w:hAnsi="Calibri" w:cs="Calibri"/>
                <w:noProof/>
                <w:color w:val="000000"/>
                <w:sz w:val="18"/>
                <w:szCs w:val="22"/>
              </w:rPr>
              <w:t>data (</w:t>
            </w:r>
            <w:r>
              <w:rPr>
                <w:rFonts w:ascii="Calibri" w:hAnsi="Calibri" w:cs="Calibri"/>
                <w:noProof/>
                <w:color w:val="000000"/>
                <w:sz w:val="18"/>
                <w:szCs w:val="22"/>
              </w:rPr>
              <w:t>active</w:t>
            </w:r>
            <w:r w:rsidRPr="00EF7400">
              <w:rPr>
                <w:rFonts w:ascii="Calibri" w:hAnsi="Calibri" w:cs="Calibri"/>
                <w:noProof/>
                <w:color w:val="000000"/>
                <w:sz w:val="18"/>
                <w:szCs w:val="22"/>
              </w:rPr>
              <w:t xml:space="preserve"> investigations)</w:t>
            </w:r>
            <w:r>
              <w:rPr>
                <w:rFonts w:ascii="Calibri" w:hAnsi="Calibri" w:cs="Calibri"/>
                <w:noProof/>
                <w:color w:val="000000"/>
                <w:sz w:val="18"/>
                <w:szCs w:val="22"/>
              </w:rPr>
              <w:t>.</w:t>
            </w:r>
          </w:p>
        </w:tc>
      </w:tr>
      <w:tr w:rsidR="00F60113" w:rsidRPr="002D1F36" w14:paraId="4221738A" w14:textId="77777777" w:rsidTr="00CF480A">
        <w:trPr>
          <w:trHeight w:val="851"/>
        </w:trPr>
        <w:tc>
          <w:tcPr>
            <w:tcW w:w="8726" w:type="dxa"/>
            <w:gridSpan w:val="4"/>
            <w:tcBorders>
              <w:top w:val="nil"/>
              <w:left w:val="nil"/>
              <w:bottom w:val="nil"/>
              <w:right w:val="nil"/>
            </w:tcBorders>
            <w:shd w:val="clear" w:color="000000" w:fill="DDEBF7"/>
            <w:vAlign w:val="bottom"/>
            <w:hideMark/>
          </w:tcPr>
          <w:p w14:paraId="0DE916EE" w14:textId="7DE7F686" w:rsidR="00F60113" w:rsidRPr="002D1F36" w:rsidRDefault="00F60113" w:rsidP="00CF480A">
            <w:pPr>
              <w:spacing w:after="0" w:line="240" w:lineRule="auto"/>
              <w:jc w:val="left"/>
              <w:rPr>
                <w:rFonts w:ascii="Calibri" w:hAnsi="Calibri" w:cs="Calibri"/>
                <w:noProof/>
                <w:color w:val="000000"/>
                <w:szCs w:val="22"/>
              </w:rPr>
            </w:pPr>
            <w:r w:rsidRPr="00BD6E00">
              <w:rPr>
                <w:rFonts w:ascii="Calibri" w:hAnsi="Calibri" w:cs="Calibri"/>
                <w:noProof/>
                <w:color w:val="006100"/>
                <w:szCs w:val="22"/>
                <w:vertAlign w:val="superscript"/>
              </w:rPr>
              <w:t>(</w:t>
            </w:r>
            <w:r>
              <w:rPr>
                <w:rFonts w:ascii="Calibri" w:hAnsi="Calibri" w:cs="Calibri"/>
                <w:noProof/>
                <w:color w:val="006100"/>
                <w:szCs w:val="22"/>
                <w:vertAlign w:val="superscript"/>
              </w:rPr>
              <w:t>f)</w:t>
            </w:r>
            <w:r>
              <w:rPr>
                <w:rFonts w:ascii="Calibri" w:hAnsi="Calibri" w:cs="Calibri"/>
                <w:noProof/>
                <w:color w:val="000000"/>
                <w:sz w:val="18"/>
                <w:szCs w:val="22"/>
              </w:rPr>
              <w:t>Aggregated</w:t>
            </w:r>
            <w:r w:rsidRPr="00EF7400">
              <w:rPr>
                <w:rFonts w:ascii="Calibri" w:hAnsi="Calibri" w:cs="Calibri"/>
                <w:noProof/>
                <w:color w:val="000000"/>
                <w:sz w:val="18"/>
                <w:szCs w:val="22"/>
              </w:rPr>
              <w:t xml:space="preserve"> data (usually the last </w:t>
            </w:r>
            <w:r w:rsidR="00DB29D3">
              <w:rPr>
                <w:rFonts w:ascii="Calibri" w:hAnsi="Calibri" w:cs="Calibri"/>
                <w:noProof/>
                <w:color w:val="000000"/>
                <w:sz w:val="18"/>
                <w:szCs w:val="22"/>
              </w:rPr>
              <w:t>five</w:t>
            </w:r>
            <w:r w:rsidRPr="00EF7400">
              <w:rPr>
                <w:rFonts w:ascii="Calibri" w:hAnsi="Calibri" w:cs="Calibri"/>
                <w:noProof/>
                <w:color w:val="000000"/>
                <w:sz w:val="18"/>
                <w:szCs w:val="22"/>
              </w:rPr>
              <w:t xml:space="preserve"> years) for the PIF Report are available in the </w:t>
            </w:r>
            <w:r>
              <w:rPr>
                <w:rFonts w:ascii="Calibri" w:hAnsi="Calibri" w:cs="Calibri"/>
                <w:noProof/>
                <w:color w:val="000000"/>
                <w:sz w:val="18"/>
                <w:szCs w:val="22"/>
              </w:rPr>
              <w:t>staff working document ‘</w:t>
            </w:r>
            <w:r w:rsidRPr="00EF7400">
              <w:rPr>
                <w:rFonts w:ascii="Calibri" w:hAnsi="Calibri" w:cs="Calibri"/>
                <w:noProof/>
                <w:color w:val="000000"/>
                <w:sz w:val="18"/>
                <w:szCs w:val="22"/>
              </w:rPr>
              <w:t>Statistical evaluation of reported irregularities</w:t>
            </w:r>
            <w:r>
              <w:rPr>
                <w:rFonts w:ascii="Calibri" w:hAnsi="Calibri" w:cs="Calibri"/>
                <w:noProof/>
                <w:color w:val="000000"/>
                <w:sz w:val="18"/>
                <w:szCs w:val="22"/>
              </w:rPr>
              <w:t>’</w:t>
            </w:r>
            <w:r w:rsidRPr="00EF7400">
              <w:rPr>
                <w:rFonts w:ascii="Calibri" w:hAnsi="Calibri" w:cs="Calibri"/>
                <w:noProof/>
                <w:color w:val="000000"/>
                <w:sz w:val="18"/>
                <w:szCs w:val="22"/>
              </w:rPr>
              <w:t xml:space="preserve">, but not in the </w:t>
            </w:r>
            <w:r>
              <w:rPr>
                <w:rFonts w:ascii="Calibri" w:hAnsi="Calibri" w:cs="Calibri"/>
                <w:noProof/>
                <w:color w:val="000000"/>
                <w:sz w:val="18"/>
                <w:szCs w:val="22"/>
              </w:rPr>
              <w:t>r</w:t>
            </w:r>
            <w:r w:rsidRPr="00EF7400">
              <w:rPr>
                <w:rFonts w:ascii="Calibri" w:hAnsi="Calibri" w:cs="Calibri"/>
                <w:noProof/>
                <w:color w:val="000000"/>
                <w:sz w:val="18"/>
                <w:szCs w:val="22"/>
              </w:rPr>
              <w:t>eport itself.</w:t>
            </w:r>
            <w:r w:rsidRPr="00EF7400">
              <w:rPr>
                <w:rFonts w:ascii="Calibri" w:hAnsi="Calibri" w:cs="Calibri"/>
                <w:noProof/>
                <w:color w:val="000000"/>
                <w:sz w:val="18"/>
                <w:szCs w:val="22"/>
              </w:rPr>
              <w:br/>
              <w:t xml:space="preserve">- The OLAF report provides </w:t>
            </w:r>
            <w:r>
              <w:rPr>
                <w:rFonts w:ascii="Calibri" w:hAnsi="Calibri" w:cs="Calibri"/>
                <w:noProof/>
                <w:color w:val="000000"/>
                <w:sz w:val="18"/>
                <w:szCs w:val="22"/>
              </w:rPr>
              <w:t>aggregated</w:t>
            </w:r>
            <w:r w:rsidRPr="00EF7400">
              <w:rPr>
                <w:rFonts w:ascii="Calibri" w:hAnsi="Calibri" w:cs="Calibri"/>
                <w:noProof/>
                <w:color w:val="000000"/>
                <w:sz w:val="18"/>
                <w:szCs w:val="22"/>
              </w:rPr>
              <w:t xml:space="preserve"> data on some type</w:t>
            </w:r>
            <w:r>
              <w:rPr>
                <w:rFonts w:ascii="Calibri" w:hAnsi="Calibri" w:cs="Calibri"/>
                <w:noProof/>
                <w:color w:val="000000"/>
                <w:sz w:val="18"/>
                <w:szCs w:val="22"/>
              </w:rPr>
              <w:t>s</w:t>
            </w:r>
            <w:r w:rsidRPr="00EF7400">
              <w:rPr>
                <w:rFonts w:ascii="Calibri" w:hAnsi="Calibri" w:cs="Calibri"/>
                <w:noProof/>
                <w:color w:val="000000"/>
                <w:sz w:val="18"/>
                <w:szCs w:val="22"/>
              </w:rPr>
              <w:t xml:space="preserve"> of information, mainly referr</w:t>
            </w:r>
            <w:r>
              <w:rPr>
                <w:rFonts w:ascii="Calibri" w:hAnsi="Calibri" w:cs="Calibri"/>
                <w:noProof/>
                <w:color w:val="000000"/>
                <w:sz w:val="18"/>
                <w:szCs w:val="22"/>
              </w:rPr>
              <w:t>ing</w:t>
            </w:r>
            <w:r w:rsidRPr="00EF7400">
              <w:rPr>
                <w:rFonts w:ascii="Calibri" w:hAnsi="Calibri" w:cs="Calibri"/>
                <w:noProof/>
                <w:color w:val="000000"/>
                <w:sz w:val="18"/>
                <w:szCs w:val="22"/>
              </w:rPr>
              <w:t xml:space="preserve"> to the last </w:t>
            </w:r>
            <w:r w:rsidR="00DB29D3">
              <w:rPr>
                <w:rFonts w:ascii="Calibri" w:hAnsi="Calibri" w:cs="Calibri"/>
                <w:noProof/>
                <w:color w:val="000000"/>
                <w:sz w:val="18"/>
                <w:szCs w:val="22"/>
              </w:rPr>
              <w:t>five</w:t>
            </w:r>
            <w:r w:rsidRPr="00EF7400">
              <w:rPr>
                <w:rFonts w:ascii="Calibri" w:hAnsi="Calibri" w:cs="Calibri"/>
                <w:noProof/>
                <w:color w:val="000000"/>
                <w:sz w:val="18"/>
                <w:szCs w:val="22"/>
              </w:rPr>
              <w:t xml:space="preserve"> years.</w:t>
            </w:r>
            <w:r w:rsidRPr="00EF7400">
              <w:rPr>
                <w:rFonts w:ascii="Calibri" w:hAnsi="Calibri" w:cs="Calibri"/>
                <w:noProof/>
                <w:color w:val="000000"/>
                <w:sz w:val="18"/>
                <w:szCs w:val="22"/>
              </w:rPr>
              <w:br/>
              <w:t xml:space="preserve">- The EPPO report provides </w:t>
            </w:r>
            <w:r>
              <w:rPr>
                <w:rFonts w:ascii="Calibri" w:hAnsi="Calibri" w:cs="Calibri"/>
                <w:noProof/>
                <w:color w:val="000000"/>
                <w:sz w:val="18"/>
                <w:szCs w:val="22"/>
              </w:rPr>
              <w:t>aggregated</w:t>
            </w:r>
            <w:r w:rsidRPr="00EF7400">
              <w:rPr>
                <w:rFonts w:ascii="Calibri" w:hAnsi="Calibri" w:cs="Calibri"/>
                <w:noProof/>
                <w:color w:val="000000"/>
                <w:sz w:val="18"/>
                <w:szCs w:val="22"/>
              </w:rPr>
              <w:t xml:space="preserve"> data</w:t>
            </w:r>
            <w:r>
              <w:rPr>
                <w:rFonts w:ascii="Calibri" w:hAnsi="Calibri" w:cs="Calibri"/>
                <w:noProof/>
                <w:color w:val="000000"/>
                <w:sz w:val="18"/>
                <w:szCs w:val="22"/>
              </w:rPr>
              <w:t xml:space="preserve"> when referring to active </w:t>
            </w:r>
            <w:r w:rsidRPr="00EF7400">
              <w:rPr>
                <w:rFonts w:ascii="Calibri" w:hAnsi="Calibri" w:cs="Calibri"/>
                <w:noProof/>
                <w:color w:val="000000"/>
                <w:sz w:val="18"/>
                <w:szCs w:val="22"/>
              </w:rPr>
              <w:t>investigations</w:t>
            </w:r>
            <w:r>
              <w:rPr>
                <w:rFonts w:ascii="Calibri" w:hAnsi="Calibri" w:cs="Calibri"/>
                <w:noProof/>
                <w:color w:val="000000"/>
                <w:sz w:val="18"/>
                <w:szCs w:val="22"/>
              </w:rPr>
              <w:t>.</w:t>
            </w:r>
          </w:p>
        </w:tc>
      </w:tr>
    </w:tbl>
    <w:p w14:paraId="185A4F20" w14:textId="77777777" w:rsidR="00F60113" w:rsidRDefault="00F60113" w:rsidP="005D5C87">
      <w:pPr>
        <w:rPr>
          <w:noProof/>
        </w:rPr>
      </w:pPr>
    </w:p>
    <w:p w14:paraId="5B9A37DE" w14:textId="2D31925A" w:rsidR="0048430C" w:rsidRPr="00814B72" w:rsidRDefault="001A64E8" w:rsidP="00B147F9">
      <w:pPr>
        <w:pStyle w:val="Heading1"/>
        <w:rPr>
          <w:noProof/>
        </w:rPr>
      </w:pPr>
      <w:bookmarkStart w:id="12" w:name="_The_EU_anti-fraud"/>
      <w:bookmarkStart w:id="13" w:name="_Toc203477652"/>
      <w:bookmarkStart w:id="14" w:name="_Toc134557973"/>
      <w:bookmarkStart w:id="15" w:name="_Ref197680988"/>
      <w:bookmarkEnd w:id="12"/>
      <w:r>
        <w:rPr>
          <w:noProof/>
        </w:rPr>
        <w:t>Key measures</w:t>
      </w:r>
      <w:bookmarkEnd w:id="13"/>
      <w:r>
        <w:rPr>
          <w:noProof/>
        </w:rPr>
        <w:t xml:space="preserve"> </w:t>
      </w:r>
      <w:bookmarkEnd w:id="14"/>
      <w:bookmarkEnd w:id="15"/>
    </w:p>
    <w:p w14:paraId="465E3729" w14:textId="757F7321" w:rsidR="005F66F3" w:rsidRDefault="005F66F3" w:rsidP="00DC489A">
      <w:pPr>
        <w:rPr>
          <w:noProof/>
        </w:rPr>
      </w:pPr>
      <w:r>
        <w:rPr>
          <w:noProof/>
        </w:rPr>
        <w:t xml:space="preserve">The EU </w:t>
      </w:r>
      <w:r w:rsidR="006C6590">
        <w:rPr>
          <w:noProof/>
        </w:rPr>
        <w:t>anti-fraud architecture (</w:t>
      </w:r>
      <w:r>
        <w:rPr>
          <w:noProof/>
        </w:rPr>
        <w:t>AFA</w:t>
      </w:r>
      <w:r w:rsidR="006C6590">
        <w:rPr>
          <w:noProof/>
        </w:rPr>
        <w:t xml:space="preserve">) is made of a variety of </w:t>
      </w:r>
      <w:r>
        <w:rPr>
          <w:noProof/>
        </w:rPr>
        <w:t xml:space="preserve">components with specific tasks </w:t>
      </w:r>
      <w:r w:rsidR="003E629E">
        <w:rPr>
          <w:noProof/>
        </w:rPr>
        <w:t>and</w:t>
      </w:r>
      <w:r>
        <w:rPr>
          <w:noProof/>
        </w:rPr>
        <w:t xml:space="preserve"> role</w:t>
      </w:r>
      <w:r w:rsidR="003E629E">
        <w:rPr>
          <w:noProof/>
        </w:rPr>
        <w:t>s</w:t>
      </w:r>
      <w:r>
        <w:rPr>
          <w:noProof/>
        </w:rPr>
        <w:t xml:space="preserve"> in </w:t>
      </w:r>
      <w:r w:rsidR="006C6590">
        <w:rPr>
          <w:noProof/>
        </w:rPr>
        <w:t xml:space="preserve">preventing, </w:t>
      </w:r>
      <w:r>
        <w:rPr>
          <w:noProof/>
        </w:rPr>
        <w:t>detecting and countering fraudulent activities against the EU’s financial interests</w:t>
      </w:r>
      <w:r w:rsidR="006C6590">
        <w:rPr>
          <w:noProof/>
        </w:rPr>
        <w:t>. These</w:t>
      </w:r>
      <w:r>
        <w:rPr>
          <w:noProof/>
        </w:rPr>
        <w:t xml:space="preserve"> primarily include: (</w:t>
      </w:r>
      <w:r w:rsidR="006C6590">
        <w:rPr>
          <w:noProof/>
        </w:rPr>
        <w:t>i</w:t>
      </w:r>
      <w:r>
        <w:rPr>
          <w:noProof/>
        </w:rPr>
        <w:t xml:space="preserve">) </w:t>
      </w:r>
      <w:r w:rsidR="00943CB2">
        <w:rPr>
          <w:noProof/>
        </w:rPr>
        <w:t xml:space="preserve">In the </w:t>
      </w:r>
      <w:r w:rsidR="00A57A8E">
        <w:rPr>
          <w:noProof/>
        </w:rPr>
        <w:t>EU Institutions, Bodies, Offices and Agencies (IBOAs)</w:t>
      </w:r>
      <w:r w:rsidR="00943CB2">
        <w:rPr>
          <w:noProof/>
        </w:rPr>
        <w:t>, the Authorising Officers by Delegation</w:t>
      </w:r>
      <w:r>
        <w:rPr>
          <w:noProof/>
        </w:rPr>
        <w:t xml:space="preserve">; </w:t>
      </w:r>
      <w:r w:rsidR="00D575C7">
        <w:rPr>
          <w:noProof/>
        </w:rPr>
        <w:t>(</w:t>
      </w:r>
      <w:r w:rsidR="006C6590">
        <w:rPr>
          <w:noProof/>
        </w:rPr>
        <w:t>ii</w:t>
      </w:r>
      <w:r w:rsidR="00D575C7">
        <w:rPr>
          <w:noProof/>
        </w:rPr>
        <w:t xml:space="preserve">) OLAF; </w:t>
      </w:r>
      <w:r>
        <w:rPr>
          <w:noProof/>
        </w:rPr>
        <w:t>(</w:t>
      </w:r>
      <w:r w:rsidR="006C6590">
        <w:rPr>
          <w:noProof/>
        </w:rPr>
        <w:t>ii</w:t>
      </w:r>
      <w:r w:rsidR="00A57A8E">
        <w:rPr>
          <w:noProof/>
        </w:rPr>
        <w:t>i</w:t>
      </w:r>
      <w:r>
        <w:rPr>
          <w:noProof/>
        </w:rPr>
        <w:t xml:space="preserve">) </w:t>
      </w:r>
      <w:r w:rsidR="00D575C7">
        <w:rPr>
          <w:noProof/>
        </w:rPr>
        <w:t xml:space="preserve">the EPPO; </w:t>
      </w:r>
      <w:r>
        <w:rPr>
          <w:noProof/>
        </w:rPr>
        <w:t>(</w:t>
      </w:r>
      <w:r w:rsidR="00A57A8E">
        <w:rPr>
          <w:noProof/>
        </w:rPr>
        <w:t>i</w:t>
      </w:r>
      <w:r w:rsidR="006C6590">
        <w:rPr>
          <w:noProof/>
        </w:rPr>
        <w:t>v</w:t>
      </w:r>
      <w:r>
        <w:rPr>
          <w:noProof/>
        </w:rPr>
        <w:t>)</w:t>
      </w:r>
      <w:r w:rsidR="00D575C7" w:rsidRPr="00D575C7">
        <w:rPr>
          <w:noProof/>
        </w:rPr>
        <w:t xml:space="preserve"> </w:t>
      </w:r>
      <w:r w:rsidR="00E62947">
        <w:rPr>
          <w:noProof/>
        </w:rPr>
        <w:t>Eurojust</w:t>
      </w:r>
      <w:r w:rsidR="00A57A8E">
        <w:rPr>
          <w:noProof/>
        </w:rPr>
        <w:t>; (v) Europol; (vi</w:t>
      </w:r>
      <w:r w:rsidR="006A17D1">
        <w:rPr>
          <w:noProof/>
        </w:rPr>
        <w:t>) the</w:t>
      </w:r>
      <w:r>
        <w:rPr>
          <w:noProof/>
        </w:rPr>
        <w:t xml:space="preserve"> European Court of Auditors (ECA); and (</w:t>
      </w:r>
      <w:r w:rsidR="00A57A8E">
        <w:rPr>
          <w:noProof/>
        </w:rPr>
        <w:t>vii</w:t>
      </w:r>
      <w:r>
        <w:rPr>
          <w:noProof/>
        </w:rPr>
        <w:t>) the newly established Anti-Money Laundering Authority (AMLA).</w:t>
      </w:r>
      <w:r w:rsidR="006C6590">
        <w:rPr>
          <w:noProof/>
        </w:rPr>
        <w:t xml:space="preserve"> </w:t>
      </w:r>
    </w:p>
    <w:p w14:paraId="6676277C" w14:textId="02B854F8" w:rsidR="00FC2BF0" w:rsidRPr="00FC2BF0" w:rsidRDefault="00FC2BF0" w:rsidP="00DC489A">
      <w:pPr>
        <w:rPr>
          <w:noProof/>
        </w:rPr>
      </w:pPr>
      <w:r w:rsidRPr="00FC2BF0">
        <w:rPr>
          <w:noProof/>
          <w:szCs w:val="22"/>
        </w:rPr>
        <w:t>On 17 May 2023, the Commission proposed</w:t>
      </w:r>
      <w:r w:rsidRPr="00FC2BF0">
        <w:rPr>
          <w:noProof/>
          <w:szCs w:val="22"/>
          <w:vertAlign w:val="superscript"/>
        </w:rPr>
        <w:t xml:space="preserve"> </w:t>
      </w:r>
      <w:r w:rsidRPr="00FC2BF0">
        <w:rPr>
          <w:noProof/>
          <w:szCs w:val="22"/>
        </w:rPr>
        <w:t>the establishment of an EU Customs Authority as part of the customs reform package</w:t>
      </w:r>
      <w:r w:rsidR="00D06331" w:rsidRPr="00D06331">
        <w:rPr>
          <w:noProof/>
          <w:szCs w:val="22"/>
        </w:rPr>
        <w:t> (</w:t>
      </w:r>
      <w:r w:rsidR="00D06331">
        <w:rPr>
          <w:rStyle w:val="FootnoteReference"/>
          <w:noProof/>
          <w:szCs w:val="22"/>
        </w:rPr>
        <w:footnoteReference w:id="16"/>
      </w:r>
      <w:r w:rsidR="00D06331">
        <w:rPr>
          <w:noProof/>
          <w:szCs w:val="22"/>
        </w:rPr>
        <w:t>)</w:t>
      </w:r>
      <w:r w:rsidRPr="00FC2BF0">
        <w:rPr>
          <w:noProof/>
          <w:szCs w:val="22"/>
        </w:rPr>
        <w:t xml:space="preserve">. </w:t>
      </w:r>
    </w:p>
    <w:p w14:paraId="453A6062" w14:textId="0E3283FE" w:rsidR="00D575C7" w:rsidRDefault="00D575C7" w:rsidP="00DC489A">
      <w:pPr>
        <w:rPr>
          <w:noProof/>
        </w:rPr>
      </w:pPr>
      <w:r>
        <w:rPr>
          <w:noProof/>
        </w:rPr>
        <w:t>At Member States’ level, a great variety of authorities and bodies play a significant role in the protection of the EU’s financial interests, collecting revenue, managing and controlling the funds, investigating and prosecuting fraud and recovering funds unduly paid.</w:t>
      </w:r>
      <w:r w:rsidR="00D06331">
        <w:rPr>
          <w:noProof/>
        </w:rPr>
        <w:t xml:space="preserve"> </w:t>
      </w:r>
      <w:r w:rsidR="00D06331" w:rsidRPr="003D59C9">
        <w:rPr>
          <w:noProof/>
          <w:szCs w:val="22"/>
        </w:rPr>
        <w:t>For instance, in the field of taxation, the Eurofisc Member States’ network</w:t>
      </w:r>
      <w:r w:rsidR="00D06331" w:rsidRPr="00A57A8E">
        <w:rPr>
          <w:noProof/>
          <w:sz w:val="24"/>
          <w:szCs w:val="22"/>
        </w:rPr>
        <w:t> </w:t>
      </w:r>
      <w:r w:rsidR="00D06331" w:rsidRPr="00BA6BBE">
        <w:rPr>
          <w:noProof/>
          <w:szCs w:val="22"/>
        </w:rPr>
        <w:t>(</w:t>
      </w:r>
      <w:r w:rsidR="00D06331" w:rsidRPr="00BA6BBE">
        <w:rPr>
          <w:rStyle w:val="FootnoteReference"/>
          <w:noProof/>
          <w:szCs w:val="22"/>
        </w:rPr>
        <w:footnoteReference w:id="17"/>
      </w:r>
      <w:r w:rsidR="00D06331" w:rsidRPr="00BA6BBE">
        <w:rPr>
          <w:noProof/>
          <w:szCs w:val="22"/>
        </w:rPr>
        <w:t>)</w:t>
      </w:r>
      <w:r w:rsidR="00D06331" w:rsidRPr="003D59C9">
        <w:rPr>
          <w:noProof/>
          <w:szCs w:val="22"/>
        </w:rPr>
        <w:t xml:space="preserve"> was set up in 2010 to combat cross-border VAT fraud. Its mandate covers joint processing and data analysis, coordination of follow-up actions, and access to customs data on VAT exempt importations</w:t>
      </w:r>
      <w:r w:rsidR="00D06331" w:rsidRPr="00D06331">
        <w:rPr>
          <w:noProof/>
          <w:szCs w:val="22"/>
        </w:rPr>
        <w:t> (</w:t>
      </w:r>
      <w:r w:rsidR="00D06331" w:rsidRPr="003D59C9">
        <w:rPr>
          <w:rStyle w:val="FootnoteReference"/>
          <w:noProof/>
          <w:szCs w:val="22"/>
        </w:rPr>
        <w:footnoteReference w:id="18"/>
      </w:r>
      <w:r w:rsidR="00D06331">
        <w:rPr>
          <w:noProof/>
          <w:szCs w:val="22"/>
        </w:rPr>
        <w:t>)</w:t>
      </w:r>
      <w:r w:rsidR="00D06331" w:rsidRPr="003D59C9">
        <w:rPr>
          <w:noProof/>
          <w:szCs w:val="22"/>
        </w:rPr>
        <w:t>.</w:t>
      </w:r>
    </w:p>
    <w:p w14:paraId="40A0454F" w14:textId="6077DB85" w:rsidR="001A64E8" w:rsidRPr="00814B72" w:rsidRDefault="00BC3C4F" w:rsidP="001A64E8">
      <w:pPr>
        <w:rPr>
          <w:noProof/>
        </w:rPr>
      </w:pPr>
      <w:r>
        <w:rPr>
          <w:noProof/>
        </w:rPr>
        <w:t>The complex legislative and organisational architecture put in place to protect the EU’s financial interests is the result of a continuous process spanning more than three decades.</w:t>
      </w:r>
      <w:r w:rsidR="001A64E8" w:rsidRPr="001A64E8">
        <w:rPr>
          <w:noProof/>
        </w:rPr>
        <w:t xml:space="preserve"> </w:t>
      </w:r>
      <w:r w:rsidR="001A64E8">
        <w:rPr>
          <w:noProof/>
        </w:rPr>
        <w:t xml:space="preserve">On 16 July 2025, Commission has launched a reflection process for the review of the </w:t>
      </w:r>
      <w:r w:rsidR="00A57A8E">
        <w:rPr>
          <w:noProof/>
        </w:rPr>
        <w:t>a</w:t>
      </w:r>
      <w:r w:rsidR="001A64E8">
        <w:rPr>
          <w:noProof/>
        </w:rPr>
        <w:t>nti-</w:t>
      </w:r>
      <w:r w:rsidR="00A57A8E">
        <w:rPr>
          <w:noProof/>
        </w:rPr>
        <w:t>fraud architecture</w:t>
      </w:r>
      <w:r w:rsidR="00A57A8E" w:rsidRPr="00A57A8E">
        <w:rPr>
          <w:noProof/>
        </w:rPr>
        <w:t> (</w:t>
      </w:r>
      <w:r w:rsidR="00A57A8E">
        <w:rPr>
          <w:rStyle w:val="FootnoteReference"/>
          <w:noProof/>
        </w:rPr>
        <w:footnoteReference w:id="19"/>
      </w:r>
      <w:r w:rsidR="00A57A8E">
        <w:rPr>
          <w:noProof/>
        </w:rPr>
        <w:t>)</w:t>
      </w:r>
      <w:r w:rsidR="001A64E8">
        <w:rPr>
          <w:noProof/>
        </w:rPr>
        <w:t xml:space="preserve">. </w:t>
      </w:r>
    </w:p>
    <w:p w14:paraId="57E6C4C6" w14:textId="6E1D4B44" w:rsidR="00F504E9" w:rsidRPr="00814B72" w:rsidRDefault="005F66F3" w:rsidP="00DC489A">
      <w:pPr>
        <w:rPr>
          <w:noProof/>
        </w:rPr>
      </w:pPr>
      <w:r w:rsidRPr="00B069AD">
        <w:rPr>
          <w:noProof/>
        </w:rPr>
        <w:t>This section of the report</w:t>
      </w:r>
      <w:r>
        <w:rPr>
          <w:noProof/>
        </w:rPr>
        <w:t xml:space="preserve"> </w:t>
      </w:r>
      <w:r w:rsidR="00B069AD">
        <w:rPr>
          <w:noProof/>
        </w:rPr>
        <w:t xml:space="preserve">focuses on </w:t>
      </w:r>
      <w:r w:rsidR="001A64E8">
        <w:rPr>
          <w:noProof/>
        </w:rPr>
        <w:t>key aspects of the</w:t>
      </w:r>
      <w:r w:rsidR="00B069AD">
        <w:rPr>
          <w:noProof/>
        </w:rPr>
        <w:t xml:space="preserve"> cooperation among the most prominent </w:t>
      </w:r>
      <w:r w:rsidR="00C76F14">
        <w:rPr>
          <w:noProof/>
        </w:rPr>
        <w:t xml:space="preserve">actors </w:t>
      </w:r>
      <w:r w:rsidR="00B069AD">
        <w:rPr>
          <w:noProof/>
        </w:rPr>
        <w:t xml:space="preserve">of both the </w:t>
      </w:r>
      <w:r w:rsidR="0052274C">
        <w:rPr>
          <w:noProof/>
        </w:rPr>
        <w:t xml:space="preserve">EU’s and Member States’ level </w:t>
      </w:r>
      <w:r w:rsidR="00B069AD">
        <w:rPr>
          <w:noProof/>
        </w:rPr>
        <w:t xml:space="preserve">of the AFA and the measures taken to further strengthen their governance and the protection of the EU’s financial interests in </w:t>
      </w:r>
      <w:r w:rsidR="001A64E8">
        <w:rPr>
          <w:noProof/>
        </w:rPr>
        <w:t>202</w:t>
      </w:r>
      <w:r w:rsidR="00C76F14">
        <w:rPr>
          <w:noProof/>
        </w:rPr>
        <w:t>4</w:t>
      </w:r>
      <w:r w:rsidR="00B069AD">
        <w:rPr>
          <w:noProof/>
        </w:rPr>
        <w:t>.</w:t>
      </w:r>
      <w:r w:rsidR="00455988">
        <w:rPr>
          <w:noProof/>
        </w:rPr>
        <w:t xml:space="preserve"> </w:t>
      </w:r>
    </w:p>
    <w:p w14:paraId="32007357" w14:textId="5E37A96A" w:rsidR="003B5612" w:rsidRDefault="00EC4293" w:rsidP="00FA377B">
      <w:pPr>
        <w:pStyle w:val="Heading2"/>
        <w:rPr>
          <w:noProof/>
        </w:rPr>
      </w:pPr>
      <w:bookmarkStart w:id="16" w:name="_The_internal_layer"/>
      <w:bookmarkStart w:id="17" w:name="_Toc203477653"/>
      <w:bookmarkEnd w:id="16"/>
      <w:r>
        <w:rPr>
          <w:noProof/>
        </w:rPr>
        <w:t>Measures taken at EU level</w:t>
      </w:r>
      <w:bookmarkEnd w:id="17"/>
    </w:p>
    <w:p w14:paraId="56558EDF" w14:textId="77777777" w:rsidR="00F20EAB" w:rsidRPr="00814B72" w:rsidRDefault="00F20EAB" w:rsidP="008C7C14">
      <w:pPr>
        <w:pStyle w:val="Heading3"/>
        <w:rPr>
          <w:noProof/>
        </w:rPr>
      </w:pPr>
      <w:bookmarkStart w:id="18" w:name="_Toc134557979"/>
      <w:bookmarkStart w:id="19" w:name="_Toc202011317"/>
      <w:bookmarkStart w:id="20" w:name="_Toc203477654"/>
      <w:r w:rsidRPr="00814B72">
        <w:rPr>
          <w:noProof/>
        </w:rPr>
        <w:t>The European Parliament’s resolution on the 202</w:t>
      </w:r>
      <w:r w:rsidR="00E75543">
        <w:rPr>
          <w:noProof/>
        </w:rPr>
        <w:t>3</w:t>
      </w:r>
      <w:r w:rsidRPr="00814B72">
        <w:rPr>
          <w:noProof/>
        </w:rPr>
        <w:t xml:space="preserve"> PIF Report</w:t>
      </w:r>
      <w:bookmarkEnd w:id="18"/>
      <w:bookmarkEnd w:id="19"/>
      <w:bookmarkEnd w:id="20"/>
    </w:p>
    <w:p w14:paraId="2B56D8AE" w14:textId="2F64FA51" w:rsidR="00E75543" w:rsidRDefault="00B725AD" w:rsidP="00E75543">
      <w:pPr>
        <w:rPr>
          <w:noProof/>
        </w:rPr>
      </w:pPr>
      <w:r>
        <w:rPr>
          <w:noProof/>
        </w:rPr>
        <w:t xml:space="preserve">Each year, the European Parliament adopts a motion for </w:t>
      </w:r>
      <w:r w:rsidR="006C6590">
        <w:rPr>
          <w:noProof/>
        </w:rPr>
        <w:t xml:space="preserve">a </w:t>
      </w:r>
      <w:r>
        <w:rPr>
          <w:noProof/>
        </w:rPr>
        <w:t xml:space="preserve">resolution </w:t>
      </w:r>
      <w:r w:rsidR="00851473">
        <w:rPr>
          <w:noProof/>
        </w:rPr>
        <w:t xml:space="preserve">on the protection of the EU’s financial interests and the fight against fraud, </w:t>
      </w:r>
      <w:r w:rsidR="006C6590">
        <w:rPr>
          <w:noProof/>
        </w:rPr>
        <w:t xml:space="preserve">drawing </w:t>
      </w:r>
      <w:r>
        <w:rPr>
          <w:noProof/>
        </w:rPr>
        <w:t xml:space="preserve">on </w:t>
      </w:r>
      <w:r w:rsidR="0019185C">
        <w:rPr>
          <w:noProof/>
        </w:rPr>
        <w:t xml:space="preserve">the analysis </w:t>
      </w:r>
      <w:r w:rsidR="006C6590">
        <w:rPr>
          <w:noProof/>
        </w:rPr>
        <w:t xml:space="preserve">in </w:t>
      </w:r>
      <w:r>
        <w:rPr>
          <w:noProof/>
        </w:rPr>
        <w:t xml:space="preserve">the most recent PIF report. </w:t>
      </w:r>
      <w:r w:rsidR="006C6590">
        <w:rPr>
          <w:noProof/>
        </w:rPr>
        <w:t xml:space="preserve">The most recent </w:t>
      </w:r>
      <w:r>
        <w:rPr>
          <w:noProof/>
        </w:rPr>
        <w:t>resolution</w:t>
      </w:r>
      <w:r w:rsidR="00851473">
        <w:rPr>
          <w:noProof/>
        </w:rPr>
        <w:t xml:space="preserve">, </w:t>
      </w:r>
      <w:r>
        <w:rPr>
          <w:noProof/>
        </w:rPr>
        <w:t>b</w:t>
      </w:r>
      <w:r w:rsidR="00730C8E">
        <w:rPr>
          <w:noProof/>
        </w:rPr>
        <w:t>ased on a report</w:t>
      </w:r>
      <w:r w:rsidR="00851473">
        <w:rPr>
          <w:noProof/>
        </w:rPr>
        <w:t xml:space="preserve"> </w:t>
      </w:r>
      <w:r w:rsidR="00730C8E">
        <w:rPr>
          <w:noProof/>
        </w:rPr>
        <w:t>adopted by the Committee on Budgetary Control (CONT)</w:t>
      </w:r>
      <w:r w:rsidR="00851473" w:rsidRPr="00B725AD">
        <w:rPr>
          <w:noProof/>
        </w:rPr>
        <w:t> (</w:t>
      </w:r>
      <w:r w:rsidR="00851473">
        <w:rPr>
          <w:rStyle w:val="FootnoteReference"/>
          <w:noProof/>
        </w:rPr>
        <w:footnoteReference w:id="20"/>
      </w:r>
      <w:r w:rsidR="00851473">
        <w:rPr>
          <w:noProof/>
        </w:rPr>
        <w:t>)</w:t>
      </w:r>
      <w:r w:rsidR="00730C8E">
        <w:rPr>
          <w:noProof/>
        </w:rPr>
        <w:t>,</w:t>
      </w:r>
      <w:r w:rsidR="00851473">
        <w:rPr>
          <w:noProof/>
        </w:rPr>
        <w:t xml:space="preserve"> </w:t>
      </w:r>
      <w:r w:rsidR="00730C8E">
        <w:rPr>
          <w:noProof/>
        </w:rPr>
        <w:t xml:space="preserve">was </w:t>
      </w:r>
      <w:r w:rsidR="006C6590">
        <w:rPr>
          <w:noProof/>
        </w:rPr>
        <w:t xml:space="preserve">passed </w:t>
      </w:r>
      <w:r w:rsidR="00730C8E">
        <w:rPr>
          <w:noProof/>
        </w:rPr>
        <w:t xml:space="preserve">by the Parliament’s plenary on </w:t>
      </w:r>
      <w:r w:rsidR="006C6590">
        <w:rPr>
          <w:noProof/>
        </w:rPr>
        <w:t>6 </w:t>
      </w:r>
      <w:r w:rsidR="00730C8E">
        <w:rPr>
          <w:noProof/>
        </w:rPr>
        <w:t>May 2025</w:t>
      </w:r>
      <w:r w:rsidR="006C6590">
        <w:rPr>
          <w:noProof/>
        </w:rPr>
        <w:t>. It is</w:t>
      </w:r>
      <w:r w:rsidR="0019185C">
        <w:rPr>
          <w:noProof/>
        </w:rPr>
        <w:t xml:space="preserve"> a key document (anchored in the budgetary discharge procedure) through which the budgetary authority provides its main political address in relation to the fight against fraud</w:t>
      </w:r>
      <w:r w:rsidR="00730C8E">
        <w:rPr>
          <w:noProof/>
        </w:rPr>
        <w:t xml:space="preserve">. </w:t>
      </w:r>
      <w:r w:rsidR="0019185C">
        <w:rPr>
          <w:noProof/>
        </w:rPr>
        <w:t xml:space="preserve">This year’s resolution, beyond the three main areas </w:t>
      </w:r>
      <w:r w:rsidR="00B57697">
        <w:rPr>
          <w:noProof/>
        </w:rPr>
        <w:t xml:space="preserve">indicated in </w:t>
      </w:r>
      <w:hyperlink w:anchor="_The_EU’s_financial" w:history="1">
        <w:r w:rsidR="00B57697" w:rsidRPr="00B57697">
          <w:rPr>
            <w:rStyle w:val="Hyperlink"/>
            <w:noProof/>
          </w:rPr>
          <w:t>Section 1.1</w:t>
        </w:r>
      </w:hyperlink>
      <w:r w:rsidR="00B57697">
        <w:rPr>
          <w:noProof/>
        </w:rPr>
        <w:t xml:space="preserve">, </w:t>
      </w:r>
      <w:r w:rsidR="00E75543">
        <w:rPr>
          <w:noProof/>
        </w:rPr>
        <w:t xml:space="preserve">points to the challenges </w:t>
      </w:r>
      <w:r w:rsidR="006C6590">
        <w:rPr>
          <w:noProof/>
        </w:rPr>
        <w:t xml:space="preserve">facing </w:t>
      </w:r>
      <w:r w:rsidR="00B57697">
        <w:rPr>
          <w:noProof/>
        </w:rPr>
        <w:t xml:space="preserve">the AFA, </w:t>
      </w:r>
      <w:r w:rsidR="00E75543">
        <w:rPr>
          <w:noProof/>
        </w:rPr>
        <w:t>in particular the threats posed by organised crime and the need to adapt to new technologies</w:t>
      </w:r>
      <w:r w:rsidR="006C6590">
        <w:rPr>
          <w:noProof/>
        </w:rPr>
        <w:t xml:space="preserve">. The issue of adapting to new technologies concerns </w:t>
      </w:r>
      <w:r w:rsidR="00E75543">
        <w:rPr>
          <w:noProof/>
        </w:rPr>
        <w:t xml:space="preserve">both </w:t>
      </w:r>
      <w:r w:rsidR="00942963">
        <w:rPr>
          <w:noProof/>
        </w:rPr>
        <w:t xml:space="preserve">(i) the EU’s ability </w:t>
      </w:r>
      <w:r w:rsidR="00E75543">
        <w:rPr>
          <w:noProof/>
        </w:rPr>
        <w:t xml:space="preserve">to exploit the opportunities </w:t>
      </w:r>
      <w:r w:rsidR="00942963">
        <w:rPr>
          <w:noProof/>
        </w:rPr>
        <w:t xml:space="preserve">such technologies </w:t>
      </w:r>
      <w:r w:rsidR="00E75543">
        <w:rPr>
          <w:noProof/>
        </w:rPr>
        <w:t xml:space="preserve">offer to increase efficiency and effectiveness in fighting fraud, </w:t>
      </w:r>
      <w:r w:rsidR="00942963">
        <w:rPr>
          <w:noProof/>
        </w:rPr>
        <w:t xml:space="preserve">and (ii) its </w:t>
      </w:r>
      <w:r w:rsidR="00E75543">
        <w:rPr>
          <w:noProof/>
        </w:rPr>
        <w:t xml:space="preserve">readiness to </w:t>
      </w:r>
      <w:r w:rsidR="00942963">
        <w:rPr>
          <w:noProof/>
        </w:rPr>
        <w:t xml:space="preserve">deal with </w:t>
      </w:r>
      <w:r w:rsidR="00E75543">
        <w:rPr>
          <w:noProof/>
        </w:rPr>
        <w:t>their increased use by fraudsters</w:t>
      </w:r>
      <w:r w:rsidR="00D87506">
        <w:rPr>
          <w:noProof/>
        </w:rPr>
        <w:t>.</w:t>
      </w:r>
    </w:p>
    <w:p w14:paraId="3DC3529E" w14:textId="1F258199" w:rsidR="00E75543" w:rsidRDefault="00942963" w:rsidP="00E75543">
      <w:pPr>
        <w:rPr>
          <w:noProof/>
        </w:rPr>
      </w:pPr>
      <w:r>
        <w:rPr>
          <w:noProof/>
        </w:rPr>
        <w:t>In its resolution, t</w:t>
      </w:r>
      <w:r w:rsidR="00E75543">
        <w:rPr>
          <w:noProof/>
        </w:rPr>
        <w:t>he Parliament highlights some problem</w:t>
      </w:r>
      <w:r>
        <w:rPr>
          <w:noProof/>
        </w:rPr>
        <w:t>s with</w:t>
      </w:r>
      <w:r w:rsidR="00E75543">
        <w:rPr>
          <w:noProof/>
        </w:rPr>
        <w:t xml:space="preserve"> the implementation of the R</w:t>
      </w:r>
      <w:r>
        <w:rPr>
          <w:noProof/>
        </w:rPr>
        <w:t xml:space="preserve">ecovery and </w:t>
      </w:r>
      <w:r w:rsidR="00E75543">
        <w:rPr>
          <w:noProof/>
        </w:rPr>
        <w:t>R</w:t>
      </w:r>
      <w:r>
        <w:rPr>
          <w:noProof/>
        </w:rPr>
        <w:t xml:space="preserve">esilience </w:t>
      </w:r>
      <w:r w:rsidR="00E75543">
        <w:rPr>
          <w:noProof/>
        </w:rPr>
        <w:t>F</w:t>
      </w:r>
      <w:r>
        <w:rPr>
          <w:noProof/>
        </w:rPr>
        <w:t>acility</w:t>
      </w:r>
      <w:r w:rsidR="007D7850">
        <w:rPr>
          <w:noProof/>
        </w:rPr>
        <w:t xml:space="preserve"> (RRF)</w:t>
      </w:r>
      <w:r w:rsidR="00E75543">
        <w:rPr>
          <w:noProof/>
        </w:rPr>
        <w:t xml:space="preserve"> and N</w:t>
      </w:r>
      <w:r>
        <w:rPr>
          <w:noProof/>
        </w:rPr>
        <w:t>ext</w:t>
      </w:r>
      <w:r w:rsidR="00E75543">
        <w:rPr>
          <w:noProof/>
        </w:rPr>
        <w:t>G</w:t>
      </w:r>
      <w:r>
        <w:rPr>
          <w:noProof/>
        </w:rPr>
        <w:t xml:space="preserve">eneration </w:t>
      </w:r>
      <w:r w:rsidR="00E75543">
        <w:rPr>
          <w:noProof/>
        </w:rPr>
        <w:t>EU</w:t>
      </w:r>
      <w:r>
        <w:rPr>
          <w:noProof/>
        </w:rPr>
        <w:t>. It</w:t>
      </w:r>
      <w:r w:rsidR="00E75543">
        <w:rPr>
          <w:noProof/>
        </w:rPr>
        <w:t xml:space="preserve"> calls on the Commission and Member States to address the</w:t>
      </w:r>
      <w:r>
        <w:rPr>
          <w:noProof/>
        </w:rPr>
        <w:t>se problems</w:t>
      </w:r>
      <w:r w:rsidR="00E75543">
        <w:rPr>
          <w:noProof/>
        </w:rPr>
        <w:t xml:space="preserve"> and take account </w:t>
      </w:r>
      <w:r>
        <w:rPr>
          <w:noProof/>
        </w:rPr>
        <w:t xml:space="preserve">of </w:t>
      </w:r>
      <w:r w:rsidR="00E75543">
        <w:rPr>
          <w:noProof/>
        </w:rPr>
        <w:t xml:space="preserve">the lessons learnt when designing the next </w:t>
      </w:r>
      <w:r>
        <w:rPr>
          <w:noProof/>
        </w:rPr>
        <w:t xml:space="preserve">multiannual financial framework </w:t>
      </w:r>
      <w:r w:rsidR="00E75543">
        <w:rPr>
          <w:noProof/>
        </w:rPr>
        <w:t xml:space="preserve">spending programmes. </w:t>
      </w:r>
    </w:p>
    <w:p w14:paraId="09455536" w14:textId="0F64A7CB" w:rsidR="00E75543" w:rsidRDefault="00E75543" w:rsidP="00E75543">
      <w:pPr>
        <w:rPr>
          <w:noProof/>
        </w:rPr>
      </w:pPr>
      <w:r>
        <w:rPr>
          <w:noProof/>
        </w:rPr>
        <w:t xml:space="preserve">The </w:t>
      </w:r>
      <w:r w:rsidR="00942963">
        <w:rPr>
          <w:noProof/>
        </w:rPr>
        <w:t xml:space="preserve">resolution also reiterates </w:t>
      </w:r>
      <w:r>
        <w:rPr>
          <w:noProof/>
        </w:rPr>
        <w:t xml:space="preserve">the importance of </w:t>
      </w:r>
      <w:r w:rsidR="00942963">
        <w:rPr>
          <w:noProof/>
        </w:rPr>
        <w:t xml:space="preserve">greater </w:t>
      </w:r>
      <w:r>
        <w:rPr>
          <w:noProof/>
        </w:rPr>
        <w:t xml:space="preserve">transparency. It </w:t>
      </w:r>
      <w:r w:rsidR="00455988">
        <w:rPr>
          <w:noProof/>
        </w:rPr>
        <w:t xml:space="preserve">calls on </w:t>
      </w:r>
      <w:r>
        <w:rPr>
          <w:noProof/>
        </w:rPr>
        <w:t xml:space="preserve">the Commission to make full use of all the tools at its disposal to safeguard the rule of law. </w:t>
      </w:r>
      <w:r w:rsidR="00455988">
        <w:rPr>
          <w:noProof/>
        </w:rPr>
        <w:t>I</w:t>
      </w:r>
      <w:r>
        <w:rPr>
          <w:noProof/>
        </w:rPr>
        <w:t xml:space="preserve">t stresses </w:t>
      </w:r>
      <w:r w:rsidR="00455988">
        <w:rPr>
          <w:noProof/>
        </w:rPr>
        <w:t>the need to put more</w:t>
      </w:r>
      <w:r>
        <w:rPr>
          <w:noProof/>
        </w:rPr>
        <w:t xml:space="preserve"> emphasis on funds spent in non-EU countries and </w:t>
      </w:r>
      <w:r w:rsidR="00455988">
        <w:rPr>
          <w:noProof/>
        </w:rPr>
        <w:t>deems that</w:t>
      </w:r>
      <w:r>
        <w:rPr>
          <w:noProof/>
        </w:rPr>
        <w:t xml:space="preserve"> priority </w:t>
      </w:r>
      <w:r w:rsidR="00455988">
        <w:rPr>
          <w:noProof/>
        </w:rPr>
        <w:t xml:space="preserve">should </w:t>
      </w:r>
      <w:r>
        <w:rPr>
          <w:noProof/>
        </w:rPr>
        <w:t>be given to the fight against corruption in pre-accession negotiations</w:t>
      </w:r>
      <w:r w:rsidR="00942963">
        <w:rPr>
          <w:noProof/>
        </w:rPr>
        <w:t xml:space="preserve">. In addition, it </w:t>
      </w:r>
      <w:r>
        <w:rPr>
          <w:noProof/>
        </w:rPr>
        <w:t>calls for the EU and the Member States to join forces in tackling missing trader intra-community VAT fraud.</w:t>
      </w:r>
    </w:p>
    <w:p w14:paraId="43E2BBFA" w14:textId="7FDE16FE" w:rsidR="00F20EAB" w:rsidRDefault="00E75543" w:rsidP="00E75543">
      <w:pPr>
        <w:rPr>
          <w:noProof/>
        </w:rPr>
      </w:pPr>
      <w:r>
        <w:rPr>
          <w:noProof/>
        </w:rPr>
        <w:t xml:space="preserve">The </w:t>
      </w:r>
      <w:r w:rsidR="00D87506">
        <w:rPr>
          <w:noProof/>
        </w:rPr>
        <w:t>P</w:t>
      </w:r>
      <w:r w:rsidR="00942963">
        <w:rPr>
          <w:noProof/>
        </w:rPr>
        <w:t>arliament</w:t>
      </w:r>
      <w:r w:rsidR="00D87506">
        <w:rPr>
          <w:noProof/>
        </w:rPr>
        <w:t xml:space="preserve"> </w:t>
      </w:r>
      <w:r>
        <w:rPr>
          <w:noProof/>
        </w:rPr>
        <w:t>welcomes the operational results achieved by OLAF and the EPPO</w:t>
      </w:r>
      <w:r w:rsidR="0021104D">
        <w:rPr>
          <w:noProof/>
        </w:rPr>
        <w:t xml:space="preserve"> and </w:t>
      </w:r>
      <w:r>
        <w:rPr>
          <w:noProof/>
        </w:rPr>
        <w:t xml:space="preserve">considers that the </w:t>
      </w:r>
      <w:r w:rsidR="0021104D">
        <w:rPr>
          <w:noProof/>
        </w:rPr>
        <w:t xml:space="preserve">two bodies </w:t>
      </w:r>
      <w:r>
        <w:rPr>
          <w:noProof/>
        </w:rPr>
        <w:t>must increase their cooperation. It also emphasises the importance of measuring the results of OLAF and EPPO investigations in terms of recoveries of unduly paid amounts</w:t>
      </w:r>
      <w:r w:rsidR="003E629E">
        <w:rPr>
          <w:noProof/>
        </w:rPr>
        <w:t xml:space="preserve"> and the quantification of amounts being prevented from being unduly spent</w:t>
      </w:r>
      <w:r>
        <w:rPr>
          <w:noProof/>
        </w:rPr>
        <w:t xml:space="preserve">. </w:t>
      </w:r>
    </w:p>
    <w:p w14:paraId="6C524AF9" w14:textId="2281F1BB" w:rsidR="00D87506" w:rsidRPr="00814B72" w:rsidRDefault="00D87506" w:rsidP="00E75543">
      <w:pPr>
        <w:rPr>
          <w:noProof/>
        </w:rPr>
      </w:pPr>
      <w:r>
        <w:rPr>
          <w:noProof/>
        </w:rPr>
        <w:t>This PIF report provides information concerning the main developments in most of the areas highlighted by the P</w:t>
      </w:r>
      <w:r w:rsidR="00942963">
        <w:rPr>
          <w:noProof/>
        </w:rPr>
        <w:t>arliament</w:t>
      </w:r>
      <w:r>
        <w:rPr>
          <w:noProof/>
        </w:rPr>
        <w:t>.</w:t>
      </w:r>
    </w:p>
    <w:p w14:paraId="2C13148A" w14:textId="5F2D188F" w:rsidR="00F20EAB" w:rsidRPr="0021104D" w:rsidRDefault="00165D91" w:rsidP="008C7C14">
      <w:pPr>
        <w:pStyle w:val="Heading3"/>
        <w:rPr>
          <w:noProof/>
        </w:rPr>
      </w:pPr>
      <w:bookmarkStart w:id="21" w:name="_Toc202011318"/>
      <w:bookmarkStart w:id="22" w:name="_Toc203477655"/>
      <w:r w:rsidRPr="0021104D">
        <w:rPr>
          <w:noProof/>
        </w:rPr>
        <w:t xml:space="preserve">Cooperation between the main </w:t>
      </w:r>
      <w:bookmarkEnd w:id="21"/>
      <w:r w:rsidR="00C76F14">
        <w:rPr>
          <w:noProof/>
        </w:rPr>
        <w:t>EU-level actors</w:t>
      </w:r>
      <w:bookmarkEnd w:id="22"/>
      <w:r w:rsidR="00C76F14" w:rsidRPr="0021104D">
        <w:rPr>
          <w:noProof/>
        </w:rPr>
        <w:t xml:space="preserve"> </w:t>
      </w:r>
    </w:p>
    <w:p w14:paraId="7307C321" w14:textId="428BB55B" w:rsidR="004756FE" w:rsidRDefault="004756FE" w:rsidP="001D4F2E">
      <w:pPr>
        <w:rPr>
          <w:noProof/>
        </w:rPr>
      </w:pPr>
      <w:r>
        <w:rPr>
          <w:noProof/>
        </w:rPr>
        <w:t xml:space="preserve">Cooperation between the main </w:t>
      </w:r>
      <w:r w:rsidR="006A17D1">
        <w:rPr>
          <w:noProof/>
        </w:rPr>
        <w:t>actors of</w:t>
      </w:r>
      <w:r w:rsidR="00942963">
        <w:rPr>
          <w:noProof/>
        </w:rPr>
        <w:t xml:space="preserve"> the EU AFA </w:t>
      </w:r>
      <w:r>
        <w:rPr>
          <w:noProof/>
        </w:rPr>
        <w:t>can take different forms</w:t>
      </w:r>
      <w:r w:rsidR="00942963">
        <w:rPr>
          <w:noProof/>
        </w:rPr>
        <w:t xml:space="preserve">. These vary based on </w:t>
      </w:r>
      <w:r>
        <w:rPr>
          <w:noProof/>
        </w:rPr>
        <w:t>the different nature of the institutions and bodies involved</w:t>
      </w:r>
      <w:r w:rsidR="00942963">
        <w:rPr>
          <w:noProof/>
        </w:rPr>
        <w:t xml:space="preserve">. The main forms of cooperation </w:t>
      </w:r>
      <w:r w:rsidR="00C019E8">
        <w:rPr>
          <w:noProof/>
        </w:rPr>
        <w:t>are</w:t>
      </w:r>
      <w:r>
        <w:rPr>
          <w:noProof/>
        </w:rPr>
        <w:t xml:space="preserve"> a) exchange of knowledge and expertise; b) coordination; c) </w:t>
      </w:r>
      <w:r w:rsidR="00942963">
        <w:rPr>
          <w:noProof/>
        </w:rPr>
        <w:t>operational coordination and support between investigative bodies</w:t>
      </w:r>
      <w:r>
        <w:rPr>
          <w:noProof/>
        </w:rPr>
        <w:t xml:space="preserve">. </w:t>
      </w:r>
    </w:p>
    <w:p w14:paraId="7114525A" w14:textId="5019DB3A" w:rsidR="00EE4177" w:rsidRDefault="00EE4177" w:rsidP="001D4F2E">
      <w:pPr>
        <w:rPr>
          <w:noProof/>
        </w:rPr>
      </w:pPr>
      <w:r w:rsidRPr="00EE4177">
        <w:rPr>
          <w:noProof/>
        </w:rPr>
        <w:t xml:space="preserve">Throughout </w:t>
      </w:r>
      <w:r w:rsidR="00942963">
        <w:rPr>
          <w:noProof/>
        </w:rPr>
        <w:t>2024</w:t>
      </w:r>
      <w:r w:rsidRPr="00EE4177">
        <w:rPr>
          <w:noProof/>
        </w:rPr>
        <w:t xml:space="preserve">, inter-institutional dialogues were facilitated by the European Commission, allowing for dynamic exchanges of views. Alongside traditional dialogue partners such as the European Parliament, the Council, and the European Commission, the </w:t>
      </w:r>
      <w:r w:rsidR="00837FD3">
        <w:rPr>
          <w:noProof/>
        </w:rPr>
        <w:t xml:space="preserve">annual exchange of view held under </w:t>
      </w:r>
      <w:r w:rsidR="00520961" w:rsidRPr="00520961">
        <w:rPr>
          <w:noProof/>
        </w:rPr>
        <w:t>article 16 of Regulation (EU, Euratom) No 883/2013 (</w:t>
      </w:r>
      <w:r w:rsidR="00520961">
        <w:rPr>
          <w:rStyle w:val="FootnoteReference"/>
          <w:noProof/>
        </w:rPr>
        <w:footnoteReference w:id="21"/>
      </w:r>
      <w:r w:rsidR="00520961" w:rsidRPr="00520961">
        <w:rPr>
          <w:noProof/>
        </w:rPr>
        <w:t>)</w:t>
      </w:r>
      <w:r w:rsidR="00D56BCB">
        <w:rPr>
          <w:noProof/>
        </w:rPr>
        <w:t xml:space="preserve"> </w:t>
      </w:r>
      <w:r w:rsidRPr="00EE4177">
        <w:rPr>
          <w:noProof/>
        </w:rPr>
        <w:t xml:space="preserve">saw the inclusion, for the second time, of all key anti-fraud players at the EU level: the European Court of Auditors, the EPPO, Eurojust and Europol. </w:t>
      </w:r>
      <w:r w:rsidR="003E629E">
        <w:rPr>
          <w:noProof/>
        </w:rPr>
        <w:t>The</w:t>
      </w:r>
      <w:r w:rsidR="003E629E" w:rsidRPr="00EE4177">
        <w:rPr>
          <w:noProof/>
        </w:rPr>
        <w:t xml:space="preserve"> </w:t>
      </w:r>
      <w:r w:rsidRPr="00EE4177">
        <w:rPr>
          <w:noProof/>
        </w:rPr>
        <w:t>focal point of the discussions between these actors was how artificial intelligence could be used to enhance the protection of the EU’s financial interests.</w:t>
      </w:r>
    </w:p>
    <w:p w14:paraId="0BD5B065" w14:textId="2FFAA1E0" w:rsidR="001D4F2E" w:rsidRDefault="00EE4177" w:rsidP="001D4F2E">
      <w:pPr>
        <w:rPr>
          <w:noProof/>
        </w:rPr>
      </w:pPr>
      <w:r>
        <w:rPr>
          <w:noProof/>
        </w:rPr>
        <w:t xml:space="preserve">Exchange of information, knowledge and expertise </w:t>
      </w:r>
      <w:r w:rsidR="00217FCB">
        <w:rPr>
          <w:noProof/>
        </w:rPr>
        <w:t>take</w:t>
      </w:r>
      <w:r>
        <w:rPr>
          <w:noProof/>
        </w:rPr>
        <w:t>s</w:t>
      </w:r>
      <w:r w:rsidR="00217FCB">
        <w:rPr>
          <w:noProof/>
        </w:rPr>
        <w:t xml:space="preserve"> place </w:t>
      </w:r>
      <w:r>
        <w:rPr>
          <w:noProof/>
        </w:rPr>
        <w:t>on a continuous basis in the framework of different for</w:t>
      </w:r>
      <w:r w:rsidR="00203106">
        <w:rPr>
          <w:noProof/>
        </w:rPr>
        <w:t>ums</w:t>
      </w:r>
      <w:r>
        <w:rPr>
          <w:noProof/>
        </w:rPr>
        <w:t xml:space="preserve">, for instance </w:t>
      </w:r>
      <w:r w:rsidR="00217FCB">
        <w:rPr>
          <w:noProof/>
        </w:rPr>
        <w:t xml:space="preserve">in the course of </w:t>
      </w:r>
      <w:r w:rsidR="00203106">
        <w:rPr>
          <w:noProof/>
        </w:rPr>
        <w:t xml:space="preserve">the </w:t>
      </w:r>
      <w:r w:rsidR="00217FCB">
        <w:rPr>
          <w:noProof/>
        </w:rPr>
        <w:t>P</w:t>
      </w:r>
      <w:r w:rsidR="00203106">
        <w:rPr>
          <w:noProof/>
        </w:rPr>
        <w:t>arliament</w:t>
      </w:r>
      <w:r w:rsidR="00217FCB">
        <w:rPr>
          <w:noProof/>
        </w:rPr>
        <w:t>’s hearings</w:t>
      </w:r>
      <w:r>
        <w:rPr>
          <w:noProof/>
        </w:rPr>
        <w:t xml:space="preserve"> </w:t>
      </w:r>
      <w:r w:rsidR="00217FCB">
        <w:rPr>
          <w:noProof/>
        </w:rPr>
        <w:t>or through participation to conferences and seminars (</w:t>
      </w:r>
      <w:r w:rsidR="003E629E">
        <w:rPr>
          <w:noProof/>
        </w:rPr>
        <w:t>reference</w:t>
      </w:r>
      <w:r w:rsidR="00217FCB">
        <w:rPr>
          <w:noProof/>
        </w:rPr>
        <w:t xml:space="preserve"> Section </w:t>
      </w:r>
      <w:hyperlink w:anchor="_The_Commission:_implementation" w:history="1">
        <w:r w:rsidR="00306548" w:rsidRPr="00EE4177">
          <w:rPr>
            <w:rStyle w:val="Hyperlink"/>
            <w:noProof/>
          </w:rPr>
          <w:t>2</w:t>
        </w:r>
        <w:r w:rsidR="00217FCB" w:rsidRPr="00EE4177">
          <w:rPr>
            <w:rStyle w:val="Hyperlink"/>
            <w:noProof/>
          </w:rPr>
          <w:t>.</w:t>
        </w:r>
        <w:r w:rsidR="00306548" w:rsidRPr="00EE4177">
          <w:rPr>
            <w:rStyle w:val="Hyperlink"/>
            <w:noProof/>
          </w:rPr>
          <w:t>1.3</w:t>
        </w:r>
      </w:hyperlink>
      <w:r w:rsidR="00217FCB">
        <w:rPr>
          <w:noProof/>
        </w:rPr>
        <w:t>).</w:t>
      </w:r>
    </w:p>
    <w:p w14:paraId="35816FFB" w14:textId="32203BAA" w:rsidR="00390539" w:rsidRDefault="00D56BCB" w:rsidP="001D4F2E">
      <w:pPr>
        <w:rPr>
          <w:noProof/>
        </w:rPr>
      </w:pPr>
      <w:r>
        <w:rPr>
          <w:noProof/>
        </w:rPr>
        <w:t>Coordination and c</w:t>
      </w:r>
      <w:r w:rsidR="00DF5EDD">
        <w:rPr>
          <w:noProof/>
        </w:rPr>
        <w:t xml:space="preserve">ooperation </w:t>
      </w:r>
      <w:r w:rsidR="008364AB">
        <w:rPr>
          <w:noProof/>
        </w:rPr>
        <w:t xml:space="preserve">on investigations </w:t>
      </w:r>
      <w:r w:rsidR="00DF5EDD">
        <w:rPr>
          <w:noProof/>
        </w:rPr>
        <w:t xml:space="preserve">happen </w:t>
      </w:r>
      <w:r w:rsidR="003E629E">
        <w:rPr>
          <w:noProof/>
        </w:rPr>
        <w:t xml:space="preserve">through </w:t>
      </w:r>
      <w:r w:rsidR="00DF5EDD">
        <w:rPr>
          <w:noProof/>
        </w:rPr>
        <w:t xml:space="preserve">the </w:t>
      </w:r>
      <w:r>
        <w:rPr>
          <w:noProof/>
        </w:rPr>
        <w:t xml:space="preserve">AFA’s </w:t>
      </w:r>
      <w:r w:rsidR="00DF5EDD">
        <w:rPr>
          <w:noProof/>
        </w:rPr>
        <w:t>operational bodies</w:t>
      </w:r>
      <w:r>
        <w:rPr>
          <w:noProof/>
        </w:rPr>
        <w:t>. The EPPO, for example, reported that Europol provided support (information exchange, analytical support, expertise)</w:t>
      </w:r>
      <w:r w:rsidR="00DF5EDD">
        <w:rPr>
          <w:noProof/>
        </w:rPr>
        <w:t xml:space="preserve"> </w:t>
      </w:r>
      <w:r>
        <w:rPr>
          <w:noProof/>
        </w:rPr>
        <w:t>upon 83 requests and that at the end of 2024 there were 25 ongoing cases supported by the Eurojust National Desks</w:t>
      </w:r>
      <w:r w:rsidR="00390539" w:rsidRPr="00390539">
        <w:rPr>
          <w:noProof/>
        </w:rPr>
        <w:t> (</w:t>
      </w:r>
      <w:r w:rsidR="00390539">
        <w:rPr>
          <w:rStyle w:val="FootnoteReference"/>
          <w:noProof/>
        </w:rPr>
        <w:footnoteReference w:id="22"/>
      </w:r>
      <w:r w:rsidR="00390539">
        <w:rPr>
          <w:noProof/>
        </w:rPr>
        <w:t>)</w:t>
      </w:r>
      <w:r>
        <w:rPr>
          <w:noProof/>
        </w:rPr>
        <w:t xml:space="preserve">. </w:t>
      </w:r>
    </w:p>
    <w:p w14:paraId="1279CFA4" w14:textId="7F41B86D" w:rsidR="00306548" w:rsidRPr="00306548" w:rsidRDefault="00390539" w:rsidP="00306548">
      <w:pPr>
        <w:rPr>
          <w:noProof/>
        </w:rPr>
      </w:pPr>
      <w:r>
        <w:rPr>
          <w:noProof/>
        </w:rPr>
        <w:t>In 2024 OLAF sent 74 cases to the EPPO for the opening of a criminal investigation, and EPPO opened 69 based on OLAF’s input. In the same year, OLAF concluded 26 complementary investigations and initiated 17</w:t>
      </w:r>
      <w:r w:rsidRPr="00390539">
        <w:rPr>
          <w:noProof/>
        </w:rPr>
        <w:t> (</w:t>
      </w:r>
      <w:r>
        <w:rPr>
          <w:rStyle w:val="FootnoteReference"/>
          <w:noProof/>
        </w:rPr>
        <w:footnoteReference w:id="23"/>
      </w:r>
      <w:r>
        <w:rPr>
          <w:noProof/>
        </w:rPr>
        <w:t xml:space="preserve">). </w:t>
      </w:r>
    </w:p>
    <w:p w14:paraId="661F9148" w14:textId="77777777" w:rsidR="00165D91" w:rsidRDefault="00165D91" w:rsidP="008C7C14">
      <w:pPr>
        <w:pStyle w:val="Heading3"/>
        <w:rPr>
          <w:noProof/>
        </w:rPr>
      </w:pPr>
      <w:bookmarkStart w:id="23" w:name="_The_Commission:_implementation"/>
      <w:bookmarkStart w:id="24" w:name="_Toc202011319"/>
      <w:bookmarkStart w:id="25" w:name="_Toc203477656"/>
      <w:bookmarkEnd w:id="23"/>
      <w:r>
        <w:rPr>
          <w:noProof/>
        </w:rPr>
        <w:t>The Commission: implementation of the action plan accompanying the CAFS</w:t>
      </w:r>
      <w:bookmarkEnd w:id="24"/>
      <w:bookmarkEnd w:id="25"/>
    </w:p>
    <w:p w14:paraId="641554AA" w14:textId="3F686F86" w:rsidR="00055D47" w:rsidRPr="00502169" w:rsidRDefault="00055D47" w:rsidP="00055D47">
      <w:pPr>
        <w:spacing w:before="100" w:beforeAutospacing="1" w:after="100" w:afterAutospacing="1" w:line="240" w:lineRule="auto"/>
        <w:rPr>
          <w:noProof/>
          <w:szCs w:val="24"/>
        </w:rPr>
      </w:pPr>
      <w:r w:rsidRPr="00502169">
        <w:rPr>
          <w:noProof/>
          <w:szCs w:val="24"/>
        </w:rPr>
        <w:t xml:space="preserve">Throughout 2024, the Commission </w:t>
      </w:r>
      <w:r w:rsidR="00390539">
        <w:rPr>
          <w:noProof/>
          <w:szCs w:val="24"/>
        </w:rPr>
        <w:t>took</w:t>
      </w:r>
      <w:r w:rsidRPr="00502169">
        <w:rPr>
          <w:noProof/>
          <w:szCs w:val="24"/>
        </w:rPr>
        <w:t xml:space="preserve"> further steps to </w:t>
      </w:r>
      <w:r w:rsidR="00390539">
        <w:rPr>
          <w:noProof/>
          <w:szCs w:val="24"/>
        </w:rPr>
        <w:t xml:space="preserve">strengthen </w:t>
      </w:r>
      <w:r w:rsidRPr="00502169">
        <w:rPr>
          <w:noProof/>
          <w:szCs w:val="24"/>
        </w:rPr>
        <w:t xml:space="preserve">its </w:t>
      </w:r>
      <w:r w:rsidR="003E629E">
        <w:rPr>
          <w:noProof/>
          <w:szCs w:val="24"/>
        </w:rPr>
        <w:t xml:space="preserve">internal </w:t>
      </w:r>
      <w:r w:rsidRPr="00502169">
        <w:rPr>
          <w:noProof/>
          <w:szCs w:val="24"/>
        </w:rPr>
        <w:t xml:space="preserve">anti-fraud governance. </w:t>
      </w:r>
      <w:r w:rsidR="00915381" w:rsidRPr="00502169">
        <w:rPr>
          <w:noProof/>
          <w:szCs w:val="24"/>
        </w:rPr>
        <w:t xml:space="preserve">The Commission anti-fraud strategy (CAFS) and its accompanying action plan </w:t>
      </w:r>
      <w:r w:rsidR="003E629E">
        <w:rPr>
          <w:noProof/>
          <w:szCs w:val="24"/>
        </w:rPr>
        <w:t xml:space="preserve">is the basis for </w:t>
      </w:r>
      <w:r w:rsidR="00915381" w:rsidRPr="00502169">
        <w:rPr>
          <w:noProof/>
          <w:szCs w:val="24"/>
        </w:rPr>
        <w:t xml:space="preserve">close cooperation and coordination </w:t>
      </w:r>
      <w:r w:rsidR="003E629E">
        <w:rPr>
          <w:noProof/>
          <w:szCs w:val="24"/>
        </w:rPr>
        <w:t xml:space="preserve">in the Commission and </w:t>
      </w:r>
      <w:r w:rsidR="008F09B0">
        <w:rPr>
          <w:noProof/>
          <w:szCs w:val="24"/>
        </w:rPr>
        <w:t>OLAF, a</w:t>
      </w:r>
      <w:r w:rsidR="00390539">
        <w:rPr>
          <w:noProof/>
          <w:szCs w:val="24"/>
        </w:rPr>
        <w:t xml:space="preserve">s the lead service, </w:t>
      </w:r>
      <w:r w:rsidR="00637D5E" w:rsidRPr="00502169">
        <w:rPr>
          <w:noProof/>
          <w:szCs w:val="24"/>
        </w:rPr>
        <w:t xml:space="preserve">monitors and coordinates </w:t>
      </w:r>
      <w:r w:rsidR="008F09B0">
        <w:rPr>
          <w:noProof/>
          <w:szCs w:val="24"/>
        </w:rPr>
        <w:t>its</w:t>
      </w:r>
      <w:r w:rsidR="008F09B0" w:rsidRPr="00502169">
        <w:rPr>
          <w:noProof/>
          <w:szCs w:val="24"/>
        </w:rPr>
        <w:t xml:space="preserve"> </w:t>
      </w:r>
      <w:r w:rsidR="00637D5E" w:rsidRPr="00502169">
        <w:rPr>
          <w:noProof/>
          <w:szCs w:val="24"/>
        </w:rPr>
        <w:t>implementation</w:t>
      </w:r>
      <w:r w:rsidR="00965BD4" w:rsidRPr="00965BD4">
        <w:rPr>
          <w:noProof/>
          <w:szCs w:val="24"/>
        </w:rPr>
        <w:t> (</w:t>
      </w:r>
      <w:r w:rsidR="00965BD4">
        <w:rPr>
          <w:rStyle w:val="FootnoteReference"/>
          <w:noProof/>
          <w:szCs w:val="24"/>
        </w:rPr>
        <w:footnoteReference w:id="24"/>
      </w:r>
      <w:r w:rsidR="00965BD4">
        <w:rPr>
          <w:noProof/>
          <w:szCs w:val="24"/>
        </w:rPr>
        <w:t>)</w:t>
      </w:r>
      <w:r w:rsidR="009C60CD" w:rsidRPr="00502169">
        <w:rPr>
          <w:noProof/>
          <w:szCs w:val="24"/>
        </w:rPr>
        <w:t>.</w:t>
      </w:r>
    </w:p>
    <w:p w14:paraId="215DF1F9" w14:textId="6DA3674B" w:rsidR="00540A1F" w:rsidRPr="00502169" w:rsidRDefault="00540A1F" w:rsidP="00055D47">
      <w:pPr>
        <w:spacing w:before="100" w:beforeAutospacing="1" w:after="100" w:afterAutospacing="1" w:line="240" w:lineRule="auto"/>
        <w:rPr>
          <w:noProof/>
          <w:szCs w:val="24"/>
        </w:rPr>
      </w:pPr>
      <w:r w:rsidRPr="00502169">
        <w:rPr>
          <w:noProof/>
          <w:szCs w:val="24"/>
        </w:rPr>
        <w:t>A dedicated network of OLAF anti-fraud correspondents</w:t>
      </w:r>
      <w:r w:rsidR="008F09B0">
        <w:rPr>
          <w:noProof/>
          <w:szCs w:val="24"/>
        </w:rPr>
        <w:t xml:space="preserve"> from the Commission services</w:t>
      </w:r>
      <w:r w:rsidRPr="00502169">
        <w:rPr>
          <w:noProof/>
          <w:szCs w:val="24"/>
        </w:rPr>
        <w:t xml:space="preserve"> </w:t>
      </w:r>
      <w:r w:rsidR="00390539">
        <w:rPr>
          <w:noProof/>
          <w:szCs w:val="24"/>
        </w:rPr>
        <w:t>–</w:t>
      </w:r>
      <w:r w:rsidR="00390539" w:rsidRPr="003D10FC">
        <w:rPr>
          <w:noProof/>
          <w:szCs w:val="24"/>
        </w:rPr>
        <w:t xml:space="preserve"> </w:t>
      </w:r>
      <w:r w:rsidRPr="00502169">
        <w:rPr>
          <w:noProof/>
          <w:szCs w:val="24"/>
        </w:rPr>
        <w:t xml:space="preserve">the Fraud Prevention and Detection Network (FPDNet) </w:t>
      </w:r>
      <w:r w:rsidR="00390539">
        <w:rPr>
          <w:noProof/>
          <w:szCs w:val="24"/>
        </w:rPr>
        <w:t>–</w:t>
      </w:r>
      <w:r w:rsidR="00390539" w:rsidRPr="003D10FC">
        <w:rPr>
          <w:noProof/>
          <w:szCs w:val="24"/>
        </w:rPr>
        <w:t xml:space="preserve"> </w:t>
      </w:r>
      <w:r w:rsidRPr="00502169">
        <w:rPr>
          <w:noProof/>
          <w:szCs w:val="24"/>
        </w:rPr>
        <w:t xml:space="preserve">met regularly in plenary and subgroup format to exchange best practices and coordinate the implementation of CAFS actions. </w:t>
      </w:r>
    </w:p>
    <w:p w14:paraId="2C18ACBC" w14:textId="356B8596" w:rsidR="009C60CD" w:rsidRPr="00502169" w:rsidRDefault="009C60CD" w:rsidP="00055D47">
      <w:pPr>
        <w:spacing w:before="100" w:beforeAutospacing="1" w:after="100" w:afterAutospacing="1" w:line="240" w:lineRule="auto"/>
        <w:rPr>
          <w:noProof/>
          <w:szCs w:val="24"/>
        </w:rPr>
      </w:pPr>
      <w:r w:rsidRPr="00502169">
        <w:rPr>
          <w:noProof/>
          <w:szCs w:val="24"/>
        </w:rPr>
        <w:t xml:space="preserve">Three of the seven themes of the action plan directly concern the EU anti-fraud governance in respect to both the </w:t>
      </w:r>
      <w:r w:rsidR="0052274C">
        <w:rPr>
          <w:noProof/>
          <w:szCs w:val="24"/>
        </w:rPr>
        <w:t>EU and national level</w:t>
      </w:r>
      <w:r w:rsidR="007D7850">
        <w:rPr>
          <w:noProof/>
          <w:szCs w:val="24"/>
        </w:rPr>
        <w:t xml:space="preserve"> of the AFA</w:t>
      </w:r>
      <w:r w:rsidRPr="00502169">
        <w:rPr>
          <w:noProof/>
          <w:szCs w:val="24"/>
        </w:rPr>
        <w:t xml:space="preserve">: </w:t>
      </w:r>
      <w:r w:rsidR="007D7850">
        <w:rPr>
          <w:noProof/>
          <w:szCs w:val="24"/>
        </w:rPr>
        <w:t>(</w:t>
      </w:r>
      <w:r w:rsidRPr="00502169">
        <w:rPr>
          <w:noProof/>
          <w:szCs w:val="24"/>
        </w:rPr>
        <w:t xml:space="preserve">i) </w:t>
      </w:r>
      <w:r w:rsidR="00015D00">
        <w:rPr>
          <w:noProof/>
          <w:szCs w:val="24"/>
        </w:rPr>
        <w:t>support</w:t>
      </w:r>
      <w:r w:rsidR="007D7850">
        <w:rPr>
          <w:noProof/>
          <w:szCs w:val="24"/>
        </w:rPr>
        <w:t>ing</w:t>
      </w:r>
      <w:r w:rsidR="007D7850" w:rsidRPr="00502169">
        <w:rPr>
          <w:noProof/>
          <w:szCs w:val="24"/>
        </w:rPr>
        <w:t xml:space="preserve"> </w:t>
      </w:r>
      <w:r w:rsidRPr="00502169">
        <w:rPr>
          <w:noProof/>
          <w:szCs w:val="24"/>
        </w:rPr>
        <w:t xml:space="preserve">Member States to reinforce the protection of the RRF, cohesion, agriculture and fisheries funds; </w:t>
      </w:r>
      <w:r w:rsidR="007D7850">
        <w:rPr>
          <w:noProof/>
          <w:szCs w:val="24"/>
        </w:rPr>
        <w:t>(</w:t>
      </w:r>
      <w:r w:rsidRPr="00502169">
        <w:rPr>
          <w:noProof/>
          <w:szCs w:val="24"/>
        </w:rPr>
        <w:t xml:space="preserve">ii) </w:t>
      </w:r>
      <w:r w:rsidR="007D7850">
        <w:rPr>
          <w:noProof/>
          <w:szCs w:val="24"/>
        </w:rPr>
        <w:t>strengthening</w:t>
      </w:r>
      <w:r w:rsidR="007D7850" w:rsidRPr="00502169">
        <w:rPr>
          <w:noProof/>
          <w:szCs w:val="24"/>
        </w:rPr>
        <w:t xml:space="preserve"> </w:t>
      </w:r>
      <w:r w:rsidRPr="00502169">
        <w:rPr>
          <w:noProof/>
          <w:szCs w:val="24"/>
        </w:rPr>
        <w:t xml:space="preserve">the EU anti-fraud architecture; and </w:t>
      </w:r>
      <w:r w:rsidR="007D7850">
        <w:rPr>
          <w:noProof/>
          <w:szCs w:val="24"/>
        </w:rPr>
        <w:t>(</w:t>
      </w:r>
      <w:r w:rsidRPr="00502169">
        <w:rPr>
          <w:noProof/>
          <w:szCs w:val="24"/>
        </w:rPr>
        <w:t xml:space="preserve">iii) </w:t>
      </w:r>
      <w:r w:rsidR="007D7850">
        <w:rPr>
          <w:noProof/>
          <w:szCs w:val="24"/>
        </w:rPr>
        <w:t>enhancing</w:t>
      </w:r>
      <w:r w:rsidR="007D7850" w:rsidRPr="00502169">
        <w:rPr>
          <w:noProof/>
          <w:szCs w:val="24"/>
        </w:rPr>
        <w:t xml:space="preserve"> </w:t>
      </w:r>
      <w:r w:rsidRPr="00502169">
        <w:rPr>
          <w:noProof/>
          <w:szCs w:val="24"/>
        </w:rPr>
        <w:t>the Commission’s anti-fraud governance.</w:t>
      </w:r>
    </w:p>
    <w:p w14:paraId="49A76284" w14:textId="77777777" w:rsidR="0009468A" w:rsidRDefault="009C60CD" w:rsidP="00055D47">
      <w:pPr>
        <w:spacing w:before="100" w:beforeAutospacing="1" w:after="100" w:afterAutospacing="1" w:line="240" w:lineRule="auto"/>
        <w:rPr>
          <w:noProof/>
          <w:szCs w:val="24"/>
        </w:rPr>
      </w:pPr>
      <w:r w:rsidRPr="00502169">
        <w:rPr>
          <w:noProof/>
          <w:szCs w:val="24"/>
        </w:rPr>
        <w:t>Under the first theme, most actions concern the exchange of data between Member States and the Commission (</w:t>
      </w:r>
      <w:r w:rsidRPr="00502169">
        <w:rPr>
          <w:rStyle w:val="FootnoteReference"/>
          <w:noProof/>
          <w:szCs w:val="24"/>
        </w:rPr>
        <w:footnoteReference w:id="25"/>
      </w:r>
      <w:r w:rsidRPr="00502169">
        <w:rPr>
          <w:noProof/>
          <w:szCs w:val="24"/>
        </w:rPr>
        <w:t>)</w:t>
      </w:r>
      <w:r w:rsidR="00EC1A6B" w:rsidRPr="00502169">
        <w:rPr>
          <w:noProof/>
          <w:szCs w:val="24"/>
        </w:rPr>
        <w:t xml:space="preserve">. </w:t>
      </w:r>
    </w:p>
    <w:p w14:paraId="357B40F7" w14:textId="54CF559D" w:rsidR="00055D47" w:rsidRPr="00502169" w:rsidRDefault="00EC1A6B" w:rsidP="00055D47">
      <w:pPr>
        <w:spacing w:before="100" w:beforeAutospacing="1" w:after="100" w:afterAutospacing="1" w:line="240" w:lineRule="auto"/>
        <w:rPr>
          <w:noProof/>
          <w:szCs w:val="24"/>
        </w:rPr>
      </w:pPr>
      <w:r w:rsidRPr="00502169">
        <w:rPr>
          <w:noProof/>
          <w:szCs w:val="24"/>
        </w:rPr>
        <w:t xml:space="preserve">Under the second theme, the focus is on cooperation between the Commission and the EPPO, the support to </w:t>
      </w:r>
      <w:r w:rsidR="007D7850">
        <w:rPr>
          <w:noProof/>
          <w:szCs w:val="24"/>
        </w:rPr>
        <w:t>d</w:t>
      </w:r>
      <w:r w:rsidR="007D7850" w:rsidRPr="00502169">
        <w:rPr>
          <w:noProof/>
          <w:szCs w:val="24"/>
        </w:rPr>
        <w:t xml:space="preserve">ecentralised </w:t>
      </w:r>
      <w:r w:rsidRPr="00502169">
        <w:rPr>
          <w:noProof/>
          <w:szCs w:val="24"/>
        </w:rPr>
        <w:t xml:space="preserve">agencies and </w:t>
      </w:r>
      <w:r w:rsidR="007D7850">
        <w:rPr>
          <w:noProof/>
          <w:szCs w:val="24"/>
        </w:rPr>
        <w:t>j</w:t>
      </w:r>
      <w:r w:rsidR="007D7850" w:rsidRPr="00502169">
        <w:rPr>
          <w:noProof/>
          <w:szCs w:val="24"/>
        </w:rPr>
        <w:t xml:space="preserve">oint </w:t>
      </w:r>
      <w:r w:rsidR="007D7850">
        <w:rPr>
          <w:noProof/>
          <w:szCs w:val="24"/>
        </w:rPr>
        <w:t>u</w:t>
      </w:r>
      <w:r w:rsidR="007D7850" w:rsidRPr="00502169">
        <w:rPr>
          <w:noProof/>
          <w:szCs w:val="24"/>
        </w:rPr>
        <w:t>ndertakings</w:t>
      </w:r>
      <w:r w:rsidRPr="00502169">
        <w:rPr>
          <w:noProof/>
          <w:szCs w:val="24"/>
        </w:rPr>
        <w:t xml:space="preserve">, the protection of investigative journalists and the involvement of </w:t>
      </w:r>
      <w:r w:rsidR="007D7850" w:rsidRPr="00502169">
        <w:rPr>
          <w:noProof/>
          <w:szCs w:val="24"/>
        </w:rPr>
        <w:t>civi</w:t>
      </w:r>
      <w:r w:rsidR="007D7850">
        <w:rPr>
          <w:noProof/>
          <w:szCs w:val="24"/>
        </w:rPr>
        <w:t>l</w:t>
      </w:r>
      <w:r w:rsidR="007D7850" w:rsidRPr="00502169">
        <w:rPr>
          <w:noProof/>
          <w:szCs w:val="24"/>
        </w:rPr>
        <w:t xml:space="preserve"> </w:t>
      </w:r>
      <w:r w:rsidRPr="00502169">
        <w:rPr>
          <w:noProof/>
          <w:szCs w:val="24"/>
        </w:rPr>
        <w:t>society</w:t>
      </w:r>
      <w:r w:rsidR="008A5C15" w:rsidRPr="008A5C15">
        <w:rPr>
          <w:noProof/>
          <w:szCs w:val="24"/>
        </w:rPr>
        <w:t> (</w:t>
      </w:r>
      <w:r w:rsidR="008A5C15">
        <w:rPr>
          <w:rStyle w:val="FootnoteReference"/>
          <w:noProof/>
          <w:szCs w:val="24"/>
        </w:rPr>
        <w:footnoteReference w:id="26"/>
      </w:r>
      <w:r w:rsidR="008A5C15">
        <w:rPr>
          <w:noProof/>
          <w:szCs w:val="24"/>
        </w:rPr>
        <w:t>)</w:t>
      </w:r>
      <w:r w:rsidR="00540A1F" w:rsidRPr="00502169">
        <w:rPr>
          <w:noProof/>
          <w:szCs w:val="24"/>
        </w:rPr>
        <w:t>.</w:t>
      </w:r>
      <w:r w:rsidRPr="00502169">
        <w:rPr>
          <w:noProof/>
          <w:szCs w:val="24"/>
        </w:rPr>
        <w:t xml:space="preserve"> </w:t>
      </w:r>
    </w:p>
    <w:p w14:paraId="5478037E" w14:textId="5723D711" w:rsidR="00055D47" w:rsidRPr="00502169" w:rsidRDefault="00540A1F" w:rsidP="00055D47">
      <w:pPr>
        <w:spacing w:before="100" w:beforeAutospacing="1" w:after="100" w:afterAutospacing="1" w:line="240" w:lineRule="auto"/>
        <w:rPr>
          <w:noProof/>
          <w:szCs w:val="24"/>
        </w:rPr>
      </w:pPr>
      <w:r w:rsidRPr="00502169">
        <w:rPr>
          <w:noProof/>
          <w:szCs w:val="24"/>
        </w:rPr>
        <w:t xml:space="preserve">Under the third theme, </w:t>
      </w:r>
      <w:r w:rsidR="00055D47" w:rsidRPr="00502169">
        <w:rPr>
          <w:noProof/>
          <w:szCs w:val="24"/>
        </w:rPr>
        <w:t xml:space="preserve">Commission </w:t>
      </w:r>
      <w:r w:rsidR="008F09B0">
        <w:rPr>
          <w:noProof/>
          <w:szCs w:val="24"/>
        </w:rPr>
        <w:t xml:space="preserve">services </w:t>
      </w:r>
      <w:r w:rsidR="00055D47" w:rsidRPr="00502169">
        <w:rPr>
          <w:noProof/>
          <w:szCs w:val="24"/>
        </w:rPr>
        <w:t xml:space="preserve">and </w:t>
      </w:r>
      <w:r w:rsidR="007D7850">
        <w:rPr>
          <w:noProof/>
          <w:szCs w:val="24"/>
        </w:rPr>
        <w:t>e</w:t>
      </w:r>
      <w:r w:rsidR="007D7850" w:rsidRPr="00502169">
        <w:rPr>
          <w:noProof/>
          <w:szCs w:val="24"/>
        </w:rPr>
        <w:t xml:space="preserve">xecutive </w:t>
      </w:r>
      <w:r w:rsidR="00055D47" w:rsidRPr="00502169">
        <w:rPr>
          <w:noProof/>
          <w:szCs w:val="24"/>
        </w:rPr>
        <w:t>agencies continued updating their own anti-fraud strategies and risk assessments every three years in line with OLAF’s methodology. OLAF provided methodological guidance and peer reviews of each submission</w:t>
      </w:r>
      <w:r w:rsidR="00965BD4" w:rsidRPr="00965BD4">
        <w:rPr>
          <w:noProof/>
          <w:szCs w:val="24"/>
        </w:rPr>
        <w:t> (</w:t>
      </w:r>
      <w:r w:rsidR="00965BD4">
        <w:rPr>
          <w:rStyle w:val="FootnoteReference"/>
          <w:noProof/>
          <w:szCs w:val="24"/>
        </w:rPr>
        <w:footnoteReference w:id="27"/>
      </w:r>
      <w:r w:rsidR="00965BD4">
        <w:rPr>
          <w:noProof/>
          <w:szCs w:val="24"/>
        </w:rPr>
        <w:t>)</w:t>
      </w:r>
      <w:r w:rsidR="004B65D2">
        <w:rPr>
          <w:noProof/>
          <w:szCs w:val="24"/>
        </w:rPr>
        <w:t>.</w:t>
      </w:r>
    </w:p>
    <w:p w14:paraId="1B2AE8B8" w14:textId="77777777" w:rsidR="00055D47" w:rsidRPr="00502169" w:rsidRDefault="00055D47" w:rsidP="00055D47">
      <w:pPr>
        <w:spacing w:before="100" w:beforeAutospacing="1" w:after="100" w:afterAutospacing="1" w:line="240" w:lineRule="auto"/>
        <w:rPr>
          <w:noProof/>
          <w:szCs w:val="24"/>
        </w:rPr>
      </w:pPr>
      <w:r w:rsidRPr="00502169">
        <w:rPr>
          <w:noProof/>
          <w:szCs w:val="24"/>
        </w:rPr>
        <w:t xml:space="preserve">Drawing on its mandate and expertise, OLAF </w:t>
      </w:r>
      <w:r w:rsidR="00965BD4">
        <w:rPr>
          <w:noProof/>
          <w:szCs w:val="24"/>
        </w:rPr>
        <w:t xml:space="preserve">and the EPPO </w:t>
      </w:r>
      <w:r w:rsidR="00841431">
        <w:rPr>
          <w:noProof/>
          <w:szCs w:val="24"/>
        </w:rPr>
        <w:t xml:space="preserve">also gave inputs to </w:t>
      </w:r>
      <w:r w:rsidRPr="00502169">
        <w:rPr>
          <w:noProof/>
          <w:szCs w:val="24"/>
        </w:rPr>
        <w:t xml:space="preserve">the Commission Rule of Law Report and the Rule of Law conditionality mechanism. </w:t>
      </w:r>
    </w:p>
    <w:p w14:paraId="582E9C8E" w14:textId="7BDB9F35" w:rsidR="00540A1F" w:rsidRPr="00502169" w:rsidRDefault="00055D47" w:rsidP="00055D47">
      <w:pPr>
        <w:rPr>
          <w:noProof/>
          <w:szCs w:val="24"/>
        </w:rPr>
      </w:pPr>
      <w:r w:rsidRPr="00502169">
        <w:rPr>
          <w:noProof/>
          <w:szCs w:val="24"/>
        </w:rPr>
        <w:t>Last</w:t>
      </w:r>
      <w:r w:rsidR="007D7850">
        <w:rPr>
          <w:noProof/>
          <w:szCs w:val="24"/>
        </w:rPr>
        <w:t>ly</w:t>
      </w:r>
      <w:r w:rsidRPr="00502169">
        <w:rPr>
          <w:noProof/>
          <w:szCs w:val="24"/>
        </w:rPr>
        <w:t xml:space="preserve">, the Commission exploited synergies between fraud and corruption prevention. Following the May 2023 anti-corruption package, </w:t>
      </w:r>
      <w:r w:rsidR="00306548" w:rsidRPr="00502169">
        <w:rPr>
          <w:noProof/>
          <w:szCs w:val="24"/>
        </w:rPr>
        <w:t>the Commission</w:t>
      </w:r>
      <w:r w:rsidRPr="00502169">
        <w:rPr>
          <w:noProof/>
          <w:szCs w:val="24"/>
        </w:rPr>
        <w:t xml:space="preserve"> </w:t>
      </w:r>
      <w:r w:rsidR="00B35D50" w:rsidRPr="00502169">
        <w:rPr>
          <w:noProof/>
          <w:szCs w:val="24"/>
        </w:rPr>
        <w:t xml:space="preserve">published on </w:t>
      </w:r>
      <w:r w:rsidR="007D7850" w:rsidRPr="00502169">
        <w:rPr>
          <w:noProof/>
          <w:szCs w:val="24"/>
        </w:rPr>
        <w:t>4</w:t>
      </w:r>
      <w:r w:rsidR="007D7850">
        <w:rPr>
          <w:noProof/>
          <w:szCs w:val="24"/>
        </w:rPr>
        <w:t> </w:t>
      </w:r>
      <w:r w:rsidR="00B35D50" w:rsidRPr="00502169">
        <w:rPr>
          <w:noProof/>
          <w:szCs w:val="24"/>
        </w:rPr>
        <w:t xml:space="preserve">November 2024 </w:t>
      </w:r>
      <w:r w:rsidRPr="00502169">
        <w:rPr>
          <w:noProof/>
          <w:szCs w:val="24"/>
        </w:rPr>
        <w:t xml:space="preserve">a study on high-risk corruption areas with a dedicated section on </w:t>
      </w:r>
      <w:r w:rsidR="007D7850">
        <w:rPr>
          <w:noProof/>
          <w:szCs w:val="24"/>
        </w:rPr>
        <w:t xml:space="preserve">overlaps between </w:t>
      </w:r>
      <w:r w:rsidRPr="00502169">
        <w:rPr>
          <w:noProof/>
          <w:szCs w:val="24"/>
        </w:rPr>
        <w:t>fraud</w:t>
      </w:r>
      <w:r w:rsidR="007D7850">
        <w:rPr>
          <w:noProof/>
          <w:szCs w:val="24"/>
        </w:rPr>
        <w:t xml:space="preserve"> and </w:t>
      </w:r>
      <w:r w:rsidRPr="00502169">
        <w:rPr>
          <w:noProof/>
          <w:szCs w:val="24"/>
        </w:rPr>
        <w:t xml:space="preserve">corruption </w:t>
      </w:r>
      <w:r w:rsidR="00B35D50" w:rsidRPr="00502169">
        <w:rPr>
          <w:noProof/>
          <w:szCs w:val="24"/>
        </w:rPr>
        <w:t>(</w:t>
      </w:r>
      <w:r w:rsidR="00B35D50" w:rsidRPr="00502169">
        <w:rPr>
          <w:rStyle w:val="FootnoteReference"/>
          <w:noProof/>
          <w:szCs w:val="24"/>
        </w:rPr>
        <w:footnoteReference w:id="28"/>
      </w:r>
      <w:r w:rsidR="00B35D50" w:rsidRPr="00502169">
        <w:rPr>
          <w:noProof/>
          <w:szCs w:val="24"/>
        </w:rPr>
        <w:t>)</w:t>
      </w:r>
      <w:r w:rsidRPr="00502169">
        <w:rPr>
          <w:noProof/>
          <w:szCs w:val="24"/>
        </w:rPr>
        <w:t xml:space="preserve">. </w:t>
      </w:r>
    </w:p>
    <w:p w14:paraId="12E56C7C" w14:textId="78F0ABEC" w:rsidR="00165D91" w:rsidRPr="00C135E0" w:rsidRDefault="00D3575F" w:rsidP="008C7C14">
      <w:pPr>
        <w:pStyle w:val="Heading3"/>
        <w:rPr>
          <w:noProof/>
        </w:rPr>
      </w:pPr>
      <w:bookmarkStart w:id="26" w:name="_Toc202011320"/>
      <w:bookmarkStart w:id="27" w:name="_Toc203477657"/>
      <w:r>
        <w:rPr>
          <w:noProof/>
        </w:rPr>
        <w:t>AMLA, t</w:t>
      </w:r>
      <w:r w:rsidR="00165D91" w:rsidRPr="00C135E0">
        <w:rPr>
          <w:noProof/>
        </w:rPr>
        <w:t xml:space="preserve">he newest </w:t>
      </w:r>
      <w:r w:rsidR="00EC4293">
        <w:rPr>
          <w:noProof/>
        </w:rPr>
        <w:t>actor in</w:t>
      </w:r>
      <w:r w:rsidR="00165D91" w:rsidRPr="00C135E0">
        <w:rPr>
          <w:noProof/>
        </w:rPr>
        <w:t xml:space="preserve"> the </w:t>
      </w:r>
      <w:r>
        <w:rPr>
          <w:noProof/>
        </w:rPr>
        <w:t xml:space="preserve">EU </w:t>
      </w:r>
      <w:r w:rsidR="007D7850">
        <w:rPr>
          <w:noProof/>
        </w:rPr>
        <w:t>anti-fraud architecture</w:t>
      </w:r>
      <w:bookmarkEnd w:id="26"/>
      <w:bookmarkEnd w:id="27"/>
    </w:p>
    <w:p w14:paraId="067F99BB" w14:textId="689CCAA0" w:rsidR="00165D91" w:rsidRDefault="00D97A58" w:rsidP="00D97A58">
      <w:pPr>
        <w:rPr>
          <w:noProof/>
        </w:rPr>
      </w:pPr>
      <w:r>
        <w:rPr>
          <w:noProof/>
        </w:rPr>
        <w:t xml:space="preserve">The Authority for Anti-Money Laundering and Countering the Financing of Terrorism (AMLA) is a decentralised EU agency that will coordinate national authorities to ensure the correct and consistent application of EU rules. </w:t>
      </w:r>
      <w:r w:rsidR="007D7850">
        <w:rPr>
          <w:noProof/>
        </w:rPr>
        <w:t xml:space="preserve">AMLA </w:t>
      </w:r>
      <w:r>
        <w:rPr>
          <w:noProof/>
        </w:rPr>
        <w:t>aim</w:t>
      </w:r>
      <w:r w:rsidR="007D7850">
        <w:rPr>
          <w:noProof/>
        </w:rPr>
        <w:t>s</w:t>
      </w:r>
      <w:r>
        <w:rPr>
          <w:noProof/>
        </w:rPr>
        <w:t xml:space="preserve"> </w:t>
      </w:r>
      <w:r w:rsidR="007D7850">
        <w:rPr>
          <w:noProof/>
        </w:rPr>
        <w:t xml:space="preserve">to </w:t>
      </w:r>
      <w:r>
        <w:rPr>
          <w:noProof/>
        </w:rPr>
        <w:t xml:space="preserve">transform anti-money laundering and countering the financing of terrorism supervision in the EU </w:t>
      </w:r>
      <w:r w:rsidR="00EB7D73">
        <w:rPr>
          <w:noProof/>
        </w:rPr>
        <w:t xml:space="preserve">while boosting </w:t>
      </w:r>
      <w:r>
        <w:rPr>
          <w:noProof/>
        </w:rPr>
        <w:t>cooperation among financial intelligence units</w:t>
      </w:r>
      <w:r w:rsidR="00EB7D73">
        <w:rPr>
          <w:noProof/>
        </w:rPr>
        <w:t>.</w:t>
      </w:r>
      <w:r>
        <w:rPr>
          <w:noProof/>
        </w:rPr>
        <w:t xml:space="preserve"> </w:t>
      </w:r>
    </w:p>
    <w:p w14:paraId="5626C0FF" w14:textId="39BEFF52" w:rsidR="003602ED" w:rsidRDefault="003E2F7E" w:rsidP="00D97A58">
      <w:pPr>
        <w:pStyle w:val="ListBullet"/>
        <w:numPr>
          <w:ilvl w:val="0"/>
          <w:numId w:val="0"/>
        </w:numPr>
        <w:rPr>
          <w:noProof/>
        </w:rPr>
      </w:pPr>
      <w:r>
        <w:rPr>
          <w:noProof/>
        </w:rPr>
        <w:t xml:space="preserve">Following the adoption of </w:t>
      </w:r>
      <w:r w:rsidR="00EB7D73">
        <w:rPr>
          <w:noProof/>
        </w:rPr>
        <w:t xml:space="preserve">the </w:t>
      </w:r>
      <w:r>
        <w:rPr>
          <w:noProof/>
        </w:rPr>
        <w:t>AMLA’s regulation</w:t>
      </w:r>
      <w:r w:rsidR="00D3575F" w:rsidRPr="00D3575F">
        <w:rPr>
          <w:noProof/>
        </w:rPr>
        <w:t> (</w:t>
      </w:r>
      <w:r w:rsidR="00D3575F">
        <w:rPr>
          <w:rStyle w:val="FootnoteReference"/>
          <w:noProof/>
        </w:rPr>
        <w:footnoteReference w:id="29"/>
      </w:r>
      <w:r w:rsidR="00D3575F">
        <w:rPr>
          <w:noProof/>
        </w:rPr>
        <w:t>)</w:t>
      </w:r>
      <w:r>
        <w:rPr>
          <w:noProof/>
        </w:rPr>
        <w:t xml:space="preserve"> on </w:t>
      </w:r>
      <w:r w:rsidR="00EB7D73">
        <w:rPr>
          <w:noProof/>
        </w:rPr>
        <w:t>31 </w:t>
      </w:r>
      <w:r w:rsidR="00E21B5B">
        <w:rPr>
          <w:noProof/>
        </w:rPr>
        <w:t>May</w:t>
      </w:r>
      <w:r>
        <w:rPr>
          <w:noProof/>
        </w:rPr>
        <w:t xml:space="preserve"> 2024, the </w:t>
      </w:r>
      <w:r w:rsidR="00EB7D73">
        <w:rPr>
          <w:noProof/>
        </w:rPr>
        <w:t xml:space="preserve">authority </w:t>
      </w:r>
      <w:r w:rsidR="00841431">
        <w:rPr>
          <w:noProof/>
        </w:rPr>
        <w:t xml:space="preserve">was </w:t>
      </w:r>
      <w:r>
        <w:rPr>
          <w:noProof/>
        </w:rPr>
        <w:t xml:space="preserve">legally established on </w:t>
      </w:r>
      <w:r w:rsidR="00EB7D73">
        <w:rPr>
          <w:noProof/>
        </w:rPr>
        <w:t>26 </w:t>
      </w:r>
      <w:r>
        <w:rPr>
          <w:noProof/>
        </w:rPr>
        <w:t xml:space="preserve">June 2024 and will be fully operational as of </w:t>
      </w:r>
      <w:r w:rsidR="00EB7D73">
        <w:rPr>
          <w:noProof/>
        </w:rPr>
        <w:t>1 </w:t>
      </w:r>
      <w:r>
        <w:rPr>
          <w:noProof/>
        </w:rPr>
        <w:t>January 2028.</w:t>
      </w:r>
    </w:p>
    <w:p w14:paraId="77C95244" w14:textId="6F55C73A" w:rsidR="003602ED" w:rsidRDefault="00F74B37" w:rsidP="00F74B37">
      <w:pPr>
        <w:pStyle w:val="Heading3"/>
        <w:rPr>
          <w:noProof/>
        </w:rPr>
      </w:pPr>
      <w:bookmarkStart w:id="28" w:name="_Toc203477658"/>
      <w:r>
        <w:rPr>
          <w:noProof/>
        </w:rPr>
        <w:t xml:space="preserve">The future actor: the </w:t>
      </w:r>
      <w:r w:rsidR="003602ED">
        <w:rPr>
          <w:noProof/>
        </w:rPr>
        <w:t>EU Customs Authority</w:t>
      </w:r>
      <w:bookmarkEnd w:id="28"/>
      <w:r w:rsidR="003602ED">
        <w:rPr>
          <w:noProof/>
        </w:rPr>
        <w:t xml:space="preserve">  </w:t>
      </w:r>
    </w:p>
    <w:p w14:paraId="018585F6" w14:textId="326E5B58" w:rsidR="00F74B37" w:rsidRPr="00F74B37" w:rsidRDefault="00F74B37" w:rsidP="00F74B37">
      <w:pPr>
        <w:rPr>
          <w:noProof/>
        </w:rPr>
      </w:pPr>
      <w:r w:rsidRPr="00FC2BF0">
        <w:rPr>
          <w:noProof/>
          <w:szCs w:val="22"/>
        </w:rPr>
        <w:t>The</w:t>
      </w:r>
      <w:r>
        <w:rPr>
          <w:noProof/>
          <w:szCs w:val="22"/>
        </w:rPr>
        <w:t xml:space="preserve"> current proposal to establish the EU Customs Authority</w:t>
      </w:r>
      <w:r w:rsidRPr="00FC2BF0">
        <w:rPr>
          <w:noProof/>
          <w:szCs w:val="22"/>
        </w:rPr>
        <w:t xml:space="preserve"> aim</w:t>
      </w:r>
      <w:r>
        <w:rPr>
          <w:noProof/>
          <w:szCs w:val="22"/>
        </w:rPr>
        <w:t>s</w:t>
      </w:r>
      <w:r w:rsidRPr="00FC2BF0">
        <w:rPr>
          <w:noProof/>
          <w:szCs w:val="22"/>
        </w:rPr>
        <w:t xml:space="preserve"> to adopt a more centralised digital approach, especially with respect to customs risk management and controls, to ensure a more efficient, strengthened and fraud-proof customs union and play a key role in fighting fraud at the EU external borders.</w:t>
      </w:r>
      <w:r>
        <w:rPr>
          <w:noProof/>
          <w:szCs w:val="22"/>
        </w:rPr>
        <w:t xml:space="preserve"> The Authority </w:t>
      </w:r>
      <w:r w:rsidRPr="00F74B37">
        <w:rPr>
          <w:noProof/>
          <w:szCs w:val="22"/>
        </w:rPr>
        <w:t>will operate the EU Customs Data Hub, providing a pool of real-time data on customs flows and enhanced data analytics capacity that will allow for a better risk management and customs controls at the external borders, with the view to enhancing the protection of the EU’s financial interests.</w:t>
      </w:r>
    </w:p>
    <w:p w14:paraId="7A9B9724" w14:textId="72F9F92D" w:rsidR="003B5612" w:rsidRPr="00C135E0" w:rsidRDefault="00C76F14" w:rsidP="00FA377B">
      <w:pPr>
        <w:pStyle w:val="Heading2"/>
        <w:rPr>
          <w:noProof/>
        </w:rPr>
      </w:pPr>
      <w:bookmarkStart w:id="29" w:name="_The_external_layer"/>
      <w:bookmarkStart w:id="30" w:name="_Toc203477659"/>
      <w:bookmarkEnd w:id="29"/>
      <w:r>
        <w:rPr>
          <w:noProof/>
        </w:rPr>
        <w:t>Measures taken at national level</w:t>
      </w:r>
      <w:bookmarkEnd w:id="30"/>
    </w:p>
    <w:p w14:paraId="3E022B9A" w14:textId="77777777" w:rsidR="003B5612" w:rsidRPr="00C135E0" w:rsidRDefault="003B5612" w:rsidP="008C7C14">
      <w:pPr>
        <w:pStyle w:val="Heading3"/>
        <w:rPr>
          <w:noProof/>
        </w:rPr>
      </w:pPr>
      <w:bookmarkStart w:id="31" w:name="_Strengthening_the_governance"/>
      <w:bookmarkStart w:id="32" w:name="_Toc202011322"/>
      <w:bookmarkStart w:id="33" w:name="_Toc203477660"/>
      <w:bookmarkEnd w:id="31"/>
      <w:r w:rsidRPr="00C135E0">
        <w:rPr>
          <w:noProof/>
        </w:rPr>
        <w:t>Strengthening the governance of Member States’ anti-fraud networks</w:t>
      </w:r>
      <w:bookmarkEnd w:id="32"/>
      <w:bookmarkEnd w:id="33"/>
    </w:p>
    <w:p w14:paraId="744F7F98" w14:textId="12F643CD" w:rsidR="003B5612" w:rsidRDefault="002652D8" w:rsidP="003B5612">
      <w:pPr>
        <w:rPr>
          <w:noProof/>
        </w:rPr>
      </w:pPr>
      <w:r>
        <w:rPr>
          <w:noProof/>
        </w:rPr>
        <w:t xml:space="preserve">In its </w:t>
      </w:r>
      <w:hyperlink r:id="rId25" w:anchor="subchapter5-3" w:history="1">
        <w:r w:rsidRPr="002652D8">
          <w:rPr>
            <w:rStyle w:val="Hyperlink"/>
            <w:noProof/>
          </w:rPr>
          <w:t>2022</w:t>
        </w:r>
      </w:hyperlink>
      <w:r>
        <w:rPr>
          <w:noProof/>
        </w:rPr>
        <w:t xml:space="preserve"> and </w:t>
      </w:r>
      <w:hyperlink r:id="rId26" w:anchor="subchapter5-3" w:history="1">
        <w:r w:rsidRPr="002652D8">
          <w:rPr>
            <w:rStyle w:val="Hyperlink"/>
            <w:noProof/>
          </w:rPr>
          <w:t>2023</w:t>
        </w:r>
      </w:hyperlink>
      <w:r w:rsidR="00DD44EC" w:rsidRPr="00DD44EC">
        <w:rPr>
          <w:noProof/>
        </w:rPr>
        <w:t xml:space="preserve"> </w:t>
      </w:r>
      <w:r w:rsidR="00DD44EC">
        <w:rPr>
          <w:noProof/>
        </w:rPr>
        <w:t>PIF reports</w:t>
      </w:r>
      <w:r>
        <w:rPr>
          <w:noProof/>
        </w:rPr>
        <w:t>, t</w:t>
      </w:r>
      <w:r w:rsidR="00B103D8">
        <w:rPr>
          <w:noProof/>
        </w:rPr>
        <w:t xml:space="preserve">he Commission recommended </w:t>
      </w:r>
      <w:r>
        <w:rPr>
          <w:noProof/>
        </w:rPr>
        <w:t>that</w:t>
      </w:r>
      <w:r w:rsidR="00B103D8">
        <w:rPr>
          <w:noProof/>
        </w:rPr>
        <w:t xml:space="preserve"> Member States strengthen their anti-fraud governance by setting up o</w:t>
      </w:r>
      <w:r>
        <w:rPr>
          <w:noProof/>
        </w:rPr>
        <w:t>r</w:t>
      </w:r>
      <w:r w:rsidR="00B103D8">
        <w:rPr>
          <w:noProof/>
        </w:rPr>
        <w:t xml:space="preserve"> </w:t>
      </w:r>
      <w:r w:rsidR="00DD44EC">
        <w:rPr>
          <w:noProof/>
        </w:rPr>
        <w:t xml:space="preserve">improving </w:t>
      </w:r>
      <w:r w:rsidR="00B103D8">
        <w:rPr>
          <w:noProof/>
        </w:rPr>
        <w:t xml:space="preserve">dedicated networks </w:t>
      </w:r>
      <w:r>
        <w:rPr>
          <w:noProof/>
        </w:rPr>
        <w:t xml:space="preserve">involving all national </w:t>
      </w:r>
      <w:r w:rsidR="00DD44EC">
        <w:rPr>
          <w:noProof/>
        </w:rPr>
        <w:t>bodies wit</w:t>
      </w:r>
      <w:r w:rsidR="00015D00">
        <w:rPr>
          <w:noProof/>
        </w:rPr>
        <w:t>h</w:t>
      </w:r>
      <w:r w:rsidR="00DD44EC">
        <w:rPr>
          <w:noProof/>
        </w:rPr>
        <w:t xml:space="preserve"> a </w:t>
      </w:r>
      <w:r>
        <w:rPr>
          <w:noProof/>
        </w:rPr>
        <w:t xml:space="preserve">mandate </w:t>
      </w:r>
      <w:r w:rsidR="00DD44EC">
        <w:rPr>
          <w:noProof/>
        </w:rPr>
        <w:t>involving</w:t>
      </w:r>
      <w:r>
        <w:rPr>
          <w:noProof/>
        </w:rPr>
        <w:t xml:space="preserve"> the protection of the EU’s financial interests</w:t>
      </w:r>
      <w:r w:rsidRPr="002652D8">
        <w:rPr>
          <w:noProof/>
        </w:rPr>
        <w:t> (</w:t>
      </w:r>
      <w:r>
        <w:rPr>
          <w:rStyle w:val="FootnoteReference"/>
          <w:noProof/>
        </w:rPr>
        <w:footnoteReference w:id="30"/>
      </w:r>
      <w:r>
        <w:rPr>
          <w:noProof/>
        </w:rPr>
        <w:t>)</w:t>
      </w:r>
      <w:r w:rsidR="007E0A05">
        <w:rPr>
          <w:noProof/>
        </w:rPr>
        <w:t>.</w:t>
      </w:r>
    </w:p>
    <w:p w14:paraId="28DEE374" w14:textId="53792D36" w:rsidR="007E0A05" w:rsidRDefault="007E0A05" w:rsidP="003B5612">
      <w:pPr>
        <w:rPr>
          <w:noProof/>
        </w:rPr>
      </w:pPr>
      <w:r>
        <w:rPr>
          <w:noProof/>
        </w:rPr>
        <w:t xml:space="preserve">From the </w:t>
      </w:r>
      <w:r w:rsidR="008F09B0">
        <w:rPr>
          <w:noProof/>
        </w:rPr>
        <w:t xml:space="preserve">information </w:t>
      </w:r>
      <w:r>
        <w:rPr>
          <w:noProof/>
        </w:rPr>
        <w:t>collected</w:t>
      </w:r>
      <w:r w:rsidR="008F09B0">
        <w:rPr>
          <w:noProof/>
        </w:rPr>
        <w:t xml:space="preserve"> from the Member States</w:t>
      </w:r>
      <w:r>
        <w:rPr>
          <w:noProof/>
        </w:rPr>
        <w:t xml:space="preserve">, the situation has remained relatively </w:t>
      </w:r>
      <w:r w:rsidR="008F09B0">
        <w:rPr>
          <w:noProof/>
        </w:rPr>
        <w:t xml:space="preserve">unchanged from that </w:t>
      </w:r>
      <w:r>
        <w:rPr>
          <w:noProof/>
        </w:rPr>
        <w:t xml:space="preserve">reported in the </w:t>
      </w:r>
      <w:hyperlink r:id="rId27" w:anchor="subchapter3-3-3" w:history="1">
        <w:r w:rsidRPr="007E0A05">
          <w:rPr>
            <w:rStyle w:val="Hyperlink"/>
            <w:noProof/>
          </w:rPr>
          <w:t>2023 PIF report</w:t>
        </w:r>
      </w:hyperlink>
      <w:r>
        <w:rPr>
          <w:noProof/>
        </w:rPr>
        <w:t xml:space="preserve">, </w:t>
      </w:r>
      <w:r w:rsidR="008F09B0">
        <w:rPr>
          <w:noProof/>
        </w:rPr>
        <w:t xml:space="preserve">with most </w:t>
      </w:r>
      <w:r>
        <w:rPr>
          <w:noProof/>
        </w:rPr>
        <w:t xml:space="preserve">Member States </w:t>
      </w:r>
      <w:r w:rsidR="008F09B0">
        <w:rPr>
          <w:noProof/>
        </w:rPr>
        <w:t xml:space="preserve">reporting </w:t>
      </w:r>
      <w:r>
        <w:rPr>
          <w:noProof/>
        </w:rPr>
        <w:t>no significant developments.</w:t>
      </w:r>
      <w:r w:rsidR="002F1F7B">
        <w:rPr>
          <w:noProof/>
        </w:rPr>
        <w:t xml:space="preserve"> </w:t>
      </w:r>
      <w:r>
        <w:rPr>
          <w:noProof/>
        </w:rPr>
        <w:t>Among those that have introduced changes</w:t>
      </w:r>
      <w:r w:rsidR="002F1F7B" w:rsidRPr="007E0A05">
        <w:rPr>
          <w:noProof/>
        </w:rPr>
        <w:t> (</w:t>
      </w:r>
      <w:r w:rsidR="002F1F7B">
        <w:rPr>
          <w:rStyle w:val="FootnoteReference"/>
          <w:noProof/>
        </w:rPr>
        <w:footnoteReference w:id="31"/>
      </w:r>
      <w:r w:rsidR="002F1F7B">
        <w:rPr>
          <w:noProof/>
        </w:rPr>
        <w:t>)</w:t>
      </w:r>
      <w:r>
        <w:rPr>
          <w:noProof/>
        </w:rPr>
        <w:t xml:space="preserve">, the </w:t>
      </w:r>
      <w:r w:rsidR="00C019E8">
        <w:rPr>
          <w:noProof/>
        </w:rPr>
        <w:t>focus</w:t>
      </w:r>
      <w:r>
        <w:rPr>
          <w:noProof/>
        </w:rPr>
        <w:t xml:space="preserve"> has been on strengthening the role and capabilities of </w:t>
      </w:r>
      <w:r w:rsidR="00DD44EC">
        <w:rPr>
          <w:noProof/>
        </w:rPr>
        <w:t>Member States’ anti</w:t>
      </w:r>
      <w:r>
        <w:rPr>
          <w:noProof/>
        </w:rPr>
        <w:t>-</w:t>
      </w:r>
      <w:r w:rsidR="00DD44EC">
        <w:rPr>
          <w:noProof/>
        </w:rPr>
        <w:t xml:space="preserve">fraud coordination services </w:t>
      </w:r>
      <w:r>
        <w:rPr>
          <w:noProof/>
        </w:rPr>
        <w:t>(AFCOS).</w:t>
      </w:r>
    </w:p>
    <w:p w14:paraId="09C8AF16" w14:textId="093C2F9C" w:rsidR="003B5612" w:rsidRPr="00C135E0" w:rsidRDefault="003B5612" w:rsidP="00947EF7">
      <w:pPr>
        <w:pStyle w:val="Heading3"/>
        <w:spacing w:before="240"/>
        <w:rPr>
          <w:noProof/>
        </w:rPr>
      </w:pPr>
      <w:bookmarkStart w:id="34" w:name="_Toc202011323"/>
      <w:bookmarkStart w:id="35" w:name="_Toc203477661"/>
      <w:r w:rsidRPr="00C135E0">
        <w:rPr>
          <w:noProof/>
        </w:rPr>
        <w:t>National anti-fraud strategies</w:t>
      </w:r>
      <w:bookmarkEnd w:id="34"/>
      <w:bookmarkEnd w:id="35"/>
      <w:r w:rsidRPr="00C135E0">
        <w:rPr>
          <w:noProof/>
        </w:rPr>
        <w:t xml:space="preserve"> </w:t>
      </w:r>
    </w:p>
    <w:p w14:paraId="72F19F94" w14:textId="7708BBB9" w:rsidR="007C472E" w:rsidRDefault="007C472E" w:rsidP="003B5612">
      <w:pPr>
        <w:rPr>
          <w:noProof/>
        </w:rPr>
      </w:pPr>
      <w:r>
        <w:rPr>
          <w:noProof/>
        </w:rPr>
        <w:t xml:space="preserve">Another key element of this governance is the adoption of dedicated strategies to counter fraud affecting the EU’s financial interests. </w:t>
      </w:r>
      <w:r w:rsidR="00DD44EC">
        <w:rPr>
          <w:noProof/>
        </w:rPr>
        <w:t>Over the years, t</w:t>
      </w:r>
      <w:r>
        <w:rPr>
          <w:noProof/>
        </w:rPr>
        <w:t xml:space="preserve">he Commission has supported the adoption of </w:t>
      </w:r>
      <w:r w:rsidR="00DD44EC">
        <w:rPr>
          <w:noProof/>
        </w:rPr>
        <w:t>national anti</w:t>
      </w:r>
      <w:r>
        <w:rPr>
          <w:noProof/>
        </w:rPr>
        <w:t>-</w:t>
      </w:r>
      <w:r w:rsidR="00DD44EC">
        <w:rPr>
          <w:noProof/>
        </w:rPr>
        <w:t xml:space="preserve">fraud strategies </w:t>
      </w:r>
      <w:r>
        <w:rPr>
          <w:noProof/>
        </w:rPr>
        <w:t xml:space="preserve">(NAFS), to be developed by the key national </w:t>
      </w:r>
      <w:r w:rsidR="0052274C">
        <w:rPr>
          <w:noProof/>
        </w:rPr>
        <w:t xml:space="preserve">level </w:t>
      </w:r>
      <w:r>
        <w:rPr>
          <w:noProof/>
        </w:rPr>
        <w:t>of the AFA.</w:t>
      </w:r>
    </w:p>
    <w:p w14:paraId="704D8808" w14:textId="742C1D8C" w:rsidR="003B5612" w:rsidRDefault="003B5612" w:rsidP="003B5612">
      <w:pPr>
        <w:rPr>
          <w:noProof/>
        </w:rPr>
      </w:pPr>
      <w:r w:rsidRPr="003B5612">
        <w:rPr>
          <w:noProof/>
        </w:rPr>
        <w:t xml:space="preserve">In 2024, all 27 Member States reported having anti-fraud strategies in place to protect the </w:t>
      </w:r>
      <w:r w:rsidR="00DD44EC" w:rsidRPr="003B5612">
        <w:rPr>
          <w:noProof/>
        </w:rPr>
        <w:t>EU</w:t>
      </w:r>
      <w:r w:rsidR="00DD44EC">
        <w:rPr>
          <w:noProof/>
        </w:rPr>
        <w:t>’</w:t>
      </w:r>
      <w:r w:rsidR="00DD44EC" w:rsidRPr="003B5612">
        <w:rPr>
          <w:noProof/>
        </w:rPr>
        <w:t xml:space="preserve">s </w:t>
      </w:r>
      <w:r w:rsidRPr="003B5612">
        <w:rPr>
          <w:noProof/>
        </w:rPr>
        <w:t xml:space="preserve">financial interests, though their approaches varied significantly. Specifically, </w:t>
      </w:r>
      <w:r w:rsidR="00DD44EC">
        <w:rPr>
          <w:noProof/>
        </w:rPr>
        <w:t>10</w:t>
      </w:r>
      <w:r w:rsidR="00DD44EC" w:rsidRPr="003B5612">
        <w:rPr>
          <w:noProof/>
        </w:rPr>
        <w:t xml:space="preserve"> </w:t>
      </w:r>
      <w:r w:rsidRPr="003B5612">
        <w:rPr>
          <w:noProof/>
        </w:rPr>
        <w:t xml:space="preserve">Member States indicated </w:t>
      </w:r>
      <w:r w:rsidR="00015D00">
        <w:rPr>
          <w:noProof/>
        </w:rPr>
        <w:t>having</w:t>
      </w:r>
      <w:r w:rsidRPr="003B5612">
        <w:rPr>
          <w:noProof/>
        </w:rPr>
        <w:t xml:space="preserve"> a NAFS, with </w:t>
      </w:r>
      <w:r w:rsidR="00DD44EC">
        <w:rPr>
          <w:noProof/>
        </w:rPr>
        <w:t>2</w:t>
      </w:r>
      <w:r w:rsidR="00DD44EC" w:rsidRPr="003B5612">
        <w:rPr>
          <w:noProof/>
        </w:rPr>
        <w:t xml:space="preserve"> </w:t>
      </w:r>
      <w:r w:rsidRPr="003B5612">
        <w:rPr>
          <w:noProof/>
        </w:rPr>
        <w:t>of them updating their NAFS in 2024</w:t>
      </w:r>
      <w:r w:rsidR="00DD44EC">
        <w:rPr>
          <w:noProof/>
        </w:rPr>
        <w:t>, while</w:t>
      </w:r>
      <w:r w:rsidRPr="003B5612">
        <w:rPr>
          <w:noProof/>
        </w:rPr>
        <w:t xml:space="preserve"> </w:t>
      </w:r>
      <w:r w:rsidR="00DD44EC">
        <w:rPr>
          <w:noProof/>
        </w:rPr>
        <w:t>7</w:t>
      </w:r>
      <w:r w:rsidR="00DD44EC" w:rsidRPr="003B5612">
        <w:rPr>
          <w:noProof/>
        </w:rPr>
        <w:t xml:space="preserve"> </w:t>
      </w:r>
      <w:r w:rsidRPr="003B5612">
        <w:rPr>
          <w:noProof/>
        </w:rPr>
        <w:t xml:space="preserve">Member States </w:t>
      </w:r>
      <w:r w:rsidR="00015D00">
        <w:rPr>
          <w:noProof/>
        </w:rPr>
        <w:t>we</w:t>
      </w:r>
      <w:r w:rsidRPr="003B5612">
        <w:rPr>
          <w:noProof/>
        </w:rPr>
        <w:t xml:space="preserve">re in the process of adopting </w:t>
      </w:r>
      <w:r w:rsidR="00DD44EC">
        <w:rPr>
          <w:noProof/>
        </w:rPr>
        <w:t>one</w:t>
      </w:r>
      <w:r w:rsidRPr="003B5612">
        <w:rPr>
          <w:noProof/>
        </w:rPr>
        <w:t>.</w:t>
      </w:r>
      <w:r w:rsidR="004D5ABC">
        <w:rPr>
          <w:noProof/>
        </w:rPr>
        <w:t xml:space="preserve"> The 17 Member States who currently have</w:t>
      </w:r>
      <w:r w:rsidR="00015D00" w:rsidRPr="00015D00">
        <w:rPr>
          <w:noProof/>
        </w:rPr>
        <w:t xml:space="preserve"> </w:t>
      </w:r>
      <w:r w:rsidR="00015D00">
        <w:rPr>
          <w:noProof/>
        </w:rPr>
        <w:t xml:space="preserve">no </w:t>
      </w:r>
      <w:r w:rsidR="008F09B0">
        <w:rPr>
          <w:noProof/>
        </w:rPr>
        <w:t xml:space="preserve">nation-wide </w:t>
      </w:r>
      <w:r w:rsidR="00015D00">
        <w:rPr>
          <w:noProof/>
        </w:rPr>
        <w:t>NAFS</w:t>
      </w:r>
      <w:r w:rsidR="004D5ABC">
        <w:rPr>
          <w:noProof/>
        </w:rPr>
        <w:t xml:space="preserve">, </w:t>
      </w:r>
      <w:r w:rsidR="00015D00">
        <w:rPr>
          <w:noProof/>
        </w:rPr>
        <w:t xml:space="preserve">have </w:t>
      </w:r>
      <w:r w:rsidR="004D5ABC">
        <w:rPr>
          <w:noProof/>
        </w:rPr>
        <w:t xml:space="preserve">nonetheless other types of anti-fraud strategies in place to protect the EU’s financial interests, as </w:t>
      </w:r>
      <w:r w:rsidR="00DE4548">
        <w:rPr>
          <w:noProof/>
        </w:rPr>
        <w:t xml:space="preserve">presented </w:t>
      </w:r>
      <w:r w:rsidR="004D5ABC">
        <w:rPr>
          <w:noProof/>
        </w:rPr>
        <w:t xml:space="preserve">in </w:t>
      </w:r>
      <w:r w:rsidR="004D5ABC">
        <w:rPr>
          <w:noProof/>
        </w:rPr>
        <w:fldChar w:fldCharType="begin"/>
      </w:r>
      <w:r w:rsidR="004D5ABC">
        <w:rPr>
          <w:noProof/>
        </w:rPr>
        <w:instrText xml:space="preserve"> REF _Ref199248117 \h </w:instrText>
      </w:r>
      <w:r w:rsidR="004D5ABC">
        <w:rPr>
          <w:noProof/>
        </w:rPr>
      </w:r>
      <w:r w:rsidR="004D5ABC">
        <w:rPr>
          <w:noProof/>
        </w:rPr>
        <w:fldChar w:fldCharType="separate"/>
      </w:r>
      <w:r w:rsidR="00A040E8">
        <w:rPr>
          <w:noProof/>
        </w:rPr>
        <w:t>Figure 3</w:t>
      </w:r>
      <w:r w:rsidR="004D5ABC">
        <w:rPr>
          <w:noProof/>
        </w:rPr>
        <w:fldChar w:fldCharType="end"/>
      </w:r>
      <w:r w:rsidR="00A040E8">
        <w:rPr>
          <w:noProof/>
        </w:rPr>
        <w:t>.</w:t>
      </w:r>
    </w:p>
    <w:p w14:paraId="69688B4C" w14:textId="5B767659" w:rsidR="003B5612" w:rsidRDefault="003B5612" w:rsidP="003B5612">
      <w:pPr>
        <w:pStyle w:val="Caption"/>
        <w:rPr>
          <w:noProof/>
        </w:rPr>
      </w:pPr>
      <w:bookmarkStart w:id="36" w:name="_Ref199248117"/>
      <w:r>
        <w:rPr>
          <w:noProof/>
        </w:rPr>
        <w:t xml:space="preserve">Figure </w:t>
      </w:r>
      <w:r w:rsidR="00472123">
        <w:rPr>
          <w:noProof/>
        </w:rPr>
        <w:fldChar w:fldCharType="begin"/>
      </w:r>
      <w:r w:rsidR="00472123">
        <w:rPr>
          <w:noProof/>
        </w:rPr>
        <w:instrText xml:space="preserve"> SEQ Figure \* ARABIC </w:instrText>
      </w:r>
      <w:r w:rsidR="00472123">
        <w:rPr>
          <w:noProof/>
        </w:rPr>
        <w:fldChar w:fldCharType="separate"/>
      </w:r>
      <w:r w:rsidR="000060D9">
        <w:rPr>
          <w:noProof/>
        </w:rPr>
        <w:t>2</w:t>
      </w:r>
      <w:r w:rsidR="00472123">
        <w:rPr>
          <w:noProof/>
        </w:rPr>
        <w:fldChar w:fldCharType="end"/>
      </w:r>
      <w:bookmarkEnd w:id="36"/>
      <w:r>
        <w:rPr>
          <w:noProof/>
        </w:rPr>
        <w:t xml:space="preserve"> </w:t>
      </w:r>
      <w:r w:rsidR="00DE4548">
        <w:rPr>
          <w:noProof/>
        </w:rPr>
        <w:t xml:space="preserve">– Overview </w:t>
      </w:r>
      <w:r>
        <w:rPr>
          <w:noProof/>
        </w:rPr>
        <w:t xml:space="preserve">of </w:t>
      </w:r>
      <w:r w:rsidRPr="003B5612">
        <w:rPr>
          <w:noProof/>
        </w:rPr>
        <w:t xml:space="preserve">anti-fraud strategies reported by </w:t>
      </w:r>
      <w:r>
        <w:rPr>
          <w:noProof/>
        </w:rPr>
        <w:t>M</w:t>
      </w:r>
      <w:r w:rsidRPr="003B5612">
        <w:rPr>
          <w:noProof/>
        </w:rPr>
        <w:t xml:space="preserve">ember </w:t>
      </w:r>
      <w:r>
        <w:rPr>
          <w:noProof/>
        </w:rPr>
        <w:t>S</w:t>
      </w:r>
      <w:r w:rsidRPr="003B5612">
        <w:rPr>
          <w:noProof/>
        </w:rPr>
        <w:t>tates</w:t>
      </w:r>
    </w:p>
    <w:tbl>
      <w:tblPr>
        <w:tblW w:w="5000" w:type="pct"/>
        <w:tblCellMar>
          <w:top w:w="15" w:type="dxa"/>
          <w:bottom w:w="15" w:type="dxa"/>
        </w:tblCellMar>
        <w:tblLook w:val="04A0" w:firstRow="1" w:lastRow="0" w:firstColumn="1" w:lastColumn="0" w:noHBand="0" w:noVBand="1"/>
      </w:tblPr>
      <w:tblGrid>
        <w:gridCol w:w="1413"/>
        <w:gridCol w:w="267"/>
        <w:gridCol w:w="270"/>
        <w:gridCol w:w="274"/>
        <w:gridCol w:w="270"/>
        <w:gridCol w:w="268"/>
        <w:gridCol w:w="270"/>
        <w:gridCol w:w="272"/>
        <w:gridCol w:w="268"/>
        <w:gridCol w:w="266"/>
        <w:gridCol w:w="268"/>
        <w:gridCol w:w="251"/>
        <w:gridCol w:w="268"/>
        <w:gridCol w:w="272"/>
        <w:gridCol w:w="272"/>
        <w:gridCol w:w="253"/>
        <w:gridCol w:w="251"/>
        <w:gridCol w:w="264"/>
        <w:gridCol w:w="268"/>
        <w:gridCol w:w="266"/>
        <w:gridCol w:w="272"/>
        <w:gridCol w:w="268"/>
        <w:gridCol w:w="266"/>
        <w:gridCol w:w="266"/>
        <w:gridCol w:w="274"/>
        <w:gridCol w:w="268"/>
        <w:gridCol w:w="253"/>
        <w:gridCol w:w="270"/>
      </w:tblGrid>
      <w:tr w:rsidR="009D4FF6" w:rsidRPr="0027485E" w14:paraId="0EFA8916" w14:textId="77777777" w:rsidTr="0027485E">
        <w:trPr>
          <w:trHeight w:val="300"/>
          <w:tblHeader/>
        </w:trPr>
        <w:tc>
          <w:tcPr>
            <w:tcW w:w="676"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AB4CE21" w14:textId="77777777" w:rsidR="003B5612" w:rsidRPr="0027485E" w:rsidRDefault="003B5612" w:rsidP="003B5612">
            <w:pPr>
              <w:spacing w:after="0" w:line="240" w:lineRule="auto"/>
              <w:rPr>
                <w:rFonts w:ascii="Arial Narrow" w:hAnsi="Arial Narrow"/>
                <w:b/>
                <w:bCs/>
                <w:noProof/>
                <w:color w:val="000000"/>
                <w:sz w:val="14"/>
              </w:rPr>
            </w:pPr>
            <w:r w:rsidRPr="0027485E">
              <w:rPr>
                <w:rFonts w:ascii="Arial Narrow" w:hAnsi="Arial Narrow"/>
                <w:b/>
                <w:bCs/>
                <w:noProof/>
                <w:color w:val="000000"/>
                <w:sz w:val="14"/>
              </w:rPr>
              <w:t>MS</w:t>
            </w:r>
          </w:p>
        </w:tc>
        <w:tc>
          <w:tcPr>
            <w:tcW w:w="594"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554BAEE" w14:textId="77777777" w:rsidR="003B5612" w:rsidRPr="0027485E" w:rsidRDefault="003B5612" w:rsidP="0027485E">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AT</w:t>
            </w:r>
          </w:p>
        </w:tc>
        <w:tc>
          <w:tcPr>
            <w:tcW w:w="145"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E94085E"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BE</w:t>
            </w:r>
          </w:p>
        </w:tc>
        <w:tc>
          <w:tcPr>
            <w:tcW w:w="14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011B1B3"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BG</w:t>
            </w:r>
          </w:p>
        </w:tc>
        <w:tc>
          <w:tcPr>
            <w:tcW w:w="147"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1DAF8AB"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CY</w:t>
            </w:r>
          </w:p>
        </w:tc>
        <w:tc>
          <w:tcPr>
            <w:tcW w:w="145"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8828D63"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CZ</w:t>
            </w:r>
          </w:p>
        </w:tc>
        <w:tc>
          <w:tcPr>
            <w:tcW w:w="147"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37703ED"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DE</w:t>
            </w:r>
          </w:p>
        </w:tc>
        <w:tc>
          <w:tcPr>
            <w:tcW w:w="147"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7DE89B1"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DK</w:t>
            </w:r>
          </w:p>
        </w:tc>
        <w:tc>
          <w:tcPr>
            <w:tcW w:w="145"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F552909"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EE</w:t>
            </w:r>
          </w:p>
        </w:tc>
        <w:tc>
          <w:tcPr>
            <w:tcW w:w="142" w:type="pct"/>
            <w:tcBorders>
              <w:top w:val="single" w:sz="4" w:space="0" w:color="auto"/>
              <w:left w:val="single" w:sz="4" w:space="0" w:color="auto"/>
              <w:bottom w:val="single" w:sz="4" w:space="0" w:color="auto"/>
              <w:right w:val="single" w:sz="4" w:space="0" w:color="auto"/>
            </w:tcBorders>
            <w:shd w:val="clear" w:color="000000" w:fill="DDEBF7"/>
            <w:vAlign w:val="center"/>
          </w:tcPr>
          <w:p w14:paraId="31142107"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EL</w:t>
            </w:r>
          </w:p>
        </w:tc>
        <w:tc>
          <w:tcPr>
            <w:tcW w:w="145"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C43CC9A"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ES</w:t>
            </w:r>
          </w:p>
        </w:tc>
        <w:tc>
          <w:tcPr>
            <w:tcW w:w="132"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0D1F98"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FI</w:t>
            </w:r>
          </w:p>
        </w:tc>
        <w:tc>
          <w:tcPr>
            <w:tcW w:w="145"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281B036"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FR</w:t>
            </w:r>
          </w:p>
        </w:tc>
        <w:tc>
          <w:tcPr>
            <w:tcW w:w="14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451BE9E"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HR</w:t>
            </w:r>
          </w:p>
        </w:tc>
        <w:tc>
          <w:tcPr>
            <w:tcW w:w="14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F0A80F8"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HU</w:t>
            </w:r>
          </w:p>
        </w:tc>
        <w:tc>
          <w:tcPr>
            <w:tcW w:w="133"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1027C02"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IE</w:t>
            </w:r>
          </w:p>
        </w:tc>
        <w:tc>
          <w:tcPr>
            <w:tcW w:w="132"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75C3F28"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IT</w:t>
            </w:r>
          </w:p>
        </w:tc>
        <w:tc>
          <w:tcPr>
            <w:tcW w:w="140"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8EFA0B1"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LT</w:t>
            </w:r>
          </w:p>
        </w:tc>
        <w:tc>
          <w:tcPr>
            <w:tcW w:w="14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BF4AB3A"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LU</w:t>
            </w:r>
          </w:p>
        </w:tc>
        <w:tc>
          <w:tcPr>
            <w:tcW w:w="142"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4598C8A"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LV</w:t>
            </w:r>
          </w:p>
        </w:tc>
        <w:tc>
          <w:tcPr>
            <w:tcW w:w="14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A715403"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MT</w:t>
            </w:r>
          </w:p>
        </w:tc>
        <w:tc>
          <w:tcPr>
            <w:tcW w:w="143"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8B0D4AC"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NL</w:t>
            </w:r>
          </w:p>
        </w:tc>
        <w:tc>
          <w:tcPr>
            <w:tcW w:w="142"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2DBC5AB"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PL</w:t>
            </w:r>
          </w:p>
        </w:tc>
        <w:tc>
          <w:tcPr>
            <w:tcW w:w="143"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43AFC46"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PT</w:t>
            </w:r>
          </w:p>
        </w:tc>
        <w:tc>
          <w:tcPr>
            <w:tcW w:w="151"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ECEA63"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RO</w:t>
            </w:r>
          </w:p>
        </w:tc>
        <w:tc>
          <w:tcPr>
            <w:tcW w:w="145"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CE8B373"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SE</w:t>
            </w:r>
          </w:p>
        </w:tc>
        <w:tc>
          <w:tcPr>
            <w:tcW w:w="133"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6393AAB"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SI</w:t>
            </w:r>
          </w:p>
        </w:tc>
        <w:tc>
          <w:tcPr>
            <w:tcW w:w="145"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C8C5736" w14:textId="77777777" w:rsidR="003B5612" w:rsidRPr="0027485E" w:rsidRDefault="003B5612" w:rsidP="003B5612">
            <w:pPr>
              <w:spacing w:after="0" w:line="240" w:lineRule="auto"/>
              <w:jc w:val="center"/>
              <w:rPr>
                <w:rFonts w:ascii="Arial Narrow" w:hAnsi="Arial Narrow"/>
                <w:b/>
                <w:noProof/>
                <w:color w:val="000000"/>
                <w:sz w:val="14"/>
              </w:rPr>
            </w:pPr>
            <w:r w:rsidRPr="0027485E">
              <w:rPr>
                <w:rFonts w:ascii="Arial Narrow" w:hAnsi="Arial Narrow"/>
                <w:b/>
                <w:noProof/>
                <w:color w:val="000000"/>
                <w:sz w:val="14"/>
              </w:rPr>
              <w:t>SK</w:t>
            </w:r>
          </w:p>
        </w:tc>
      </w:tr>
      <w:tr w:rsidR="009D4FF6" w:rsidRPr="00CC3CFD" w14:paraId="4965F5B4"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69DBFF" w14:textId="77777777" w:rsidR="003B5612" w:rsidRPr="00552396" w:rsidRDefault="003B5612" w:rsidP="003B5612">
            <w:pPr>
              <w:spacing w:after="0" w:line="240" w:lineRule="auto"/>
              <w:rPr>
                <w:rFonts w:ascii="Arial Narrow" w:hAnsi="Arial Narrow"/>
                <w:b/>
                <w:bCs/>
                <w:noProof/>
                <w:color w:val="000000"/>
                <w:sz w:val="14"/>
              </w:rPr>
            </w:pPr>
            <w:r w:rsidRPr="00552396">
              <w:rPr>
                <w:rFonts w:ascii="Arial Narrow" w:hAnsi="Arial Narrow"/>
                <w:b/>
                <w:bCs/>
                <w:noProof/>
                <w:color w:val="000000"/>
                <w:sz w:val="14"/>
              </w:rPr>
              <w:t xml:space="preserve">NAFS </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2998A8" w14:textId="77777777" w:rsidR="003B5612" w:rsidRPr="00552396" w:rsidRDefault="003B5612" w:rsidP="003B5612">
            <w:pPr>
              <w:spacing w:after="0" w:line="240" w:lineRule="auto"/>
              <w:rPr>
                <w:rFonts w:ascii="Arial Narrow" w:hAnsi="Arial Narrow"/>
                <w:b/>
                <w:bCs/>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D248C4"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03E319D" w14:textId="77777777" w:rsidR="003B5612" w:rsidRPr="00552396" w:rsidRDefault="003B5612" w:rsidP="003B5612">
            <w:pPr>
              <w:spacing w:after="0" w:line="240" w:lineRule="auto"/>
              <w:jc w:val="center"/>
              <w:rPr>
                <w:rFonts w:ascii="Arial Narrow" w:hAnsi="Arial Narrow"/>
                <w:noProof/>
                <w:sz w:val="14"/>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022688" w14:textId="77777777" w:rsidR="003B5612" w:rsidRPr="00552396" w:rsidRDefault="003B5612" w:rsidP="003B5612">
            <w:pPr>
              <w:spacing w:after="0" w:line="240" w:lineRule="auto"/>
              <w:jc w:val="center"/>
              <w:rPr>
                <w:rFonts w:ascii="Arial Narrow" w:hAnsi="Arial Narrow"/>
                <w:noProof/>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68D08B8" w14:textId="77777777" w:rsidR="003B5612" w:rsidRPr="00552396" w:rsidRDefault="003B5612" w:rsidP="003B5612">
            <w:pPr>
              <w:spacing w:after="0" w:line="240" w:lineRule="auto"/>
              <w:jc w:val="center"/>
              <w:rPr>
                <w:rFonts w:ascii="Arial Narrow" w:hAnsi="Arial Narrow"/>
                <w:noProof/>
                <w:sz w:val="14"/>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46877" w14:textId="77777777" w:rsidR="003B5612" w:rsidRPr="00552396" w:rsidRDefault="003B5612" w:rsidP="003B5612">
            <w:pPr>
              <w:spacing w:after="0" w:line="240" w:lineRule="auto"/>
              <w:jc w:val="center"/>
              <w:rPr>
                <w:rFonts w:ascii="Arial Narrow" w:hAnsi="Arial Narrow"/>
                <w:noProof/>
                <w:sz w:val="14"/>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786D1A" w14:textId="77777777" w:rsidR="003B5612" w:rsidRPr="00552396" w:rsidRDefault="003B5612" w:rsidP="003B5612">
            <w:pPr>
              <w:spacing w:after="0" w:line="240" w:lineRule="auto"/>
              <w:jc w:val="center"/>
              <w:rPr>
                <w:rFonts w:ascii="Arial Narrow" w:hAnsi="Arial Narrow"/>
                <w:noProof/>
                <w:sz w:val="14"/>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FE7069" w14:textId="77777777" w:rsidR="003B5612" w:rsidRPr="00552396" w:rsidRDefault="003B5612" w:rsidP="003B5612">
            <w:pPr>
              <w:spacing w:after="0" w:line="240" w:lineRule="auto"/>
              <w:jc w:val="center"/>
              <w:rPr>
                <w:rFonts w:ascii="Arial Narrow" w:hAnsi="Arial Narrow"/>
                <w:noProof/>
                <w:sz w:val="14"/>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2B509F" w14:textId="77777777" w:rsidR="003B5612" w:rsidRPr="00552396" w:rsidRDefault="003B5612" w:rsidP="003B5612">
            <w:pPr>
              <w:spacing w:after="0" w:line="240" w:lineRule="auto"/>
              <w:jc w:val="center"/>
              <w:rPr>
                <w:rFonts w:ascii="Arial Narrow" w:hAnsi="Arial Narrow"/>
                <w:noProof/>
                <w:sz w:val="14"/>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C0D3DC" w14:textId="77777777" w:rsidR="003B5612" w:rsidRPr="00552396" w:rsidRDefault="003B5612" w:rsidP="003B5612">
            <w:pPr>
              <w:spacing w:after="0" w:line="240" w:lineRule="auto"/>
              <w:jc w:val="center"/>
              <w:rPr>
                <w:rFonts w:ascii="Arial Narrow" w:hAnsi="Arial Narrow"/>
                <w:noProof/>
                <w:sz w:val="14"/>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8C4835" w14:textId="77777777" w:rsidR="003B5612" w:rsidRPr="00552396" w:rsidRDefault="003B5612" w:rsidP="003B5612">
            <w:pPr>
              <w:spacing w:after="0" w:line="240" w:lineRule="auto"/>
              <w:jc w:val="center"/>
              <w:rPr>
                <w:rFonts w:ascii="Arial Narrow" w:hAnsi="Arial Narrow"/>
                <w:noProof/>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55BAF650"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884BD5"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7D1EC05" w14:textId="77777777" w:rsidR="003B5612" w:rsidRPr="00552396" w:rsidRDefault="003B5612" w:rsidP="003B5612">
            <w:pPr>
              <w:spacing w:after="0" w:line="240" w:lineRule="auto"/>
              <w:jc w:val="center"/>
              <w:rPr>
                <w:rFonts w:ascii="Arial Narrow" w:hAnsi="Arial Narrow"/>
                <w:noProof/>
                <w:sz w:val="14"/>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5833CB" w14:textId="77777777" w:rsidR="003B5612" w:rsidRPr="00552396" w:rsidRDefault="003B5612" w:rsidP="003B5612">
            <w:pPr>
              <w:spacing w:after="0" w:line="240" w:lineRule="auto"/>
              <w:jc w:val="center"/>
              <w:rPr>
                <w:rFonts w:ascii="Arial Narrow" w:hAnsi="Arial Narrow"/>
                <w:noProof/>
                <w:sz w:val="14"/>
              </w:rPr>
            </w:pPr>
          </w:p>
        </w:tc>
        <w:tc>
          <w:tcPr>
            <w:tcW w:w="13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1C7A5A9" w14:textId="77777777" w:rsidR="003B5612" w:rsidRPr="00552396" w:rsidRDefault="003B5612" w:rsidP="003B5612">
            <w:pPr>
              <w:spacing w:after="0" w:line="240" w:lineRule="auto"/>
              <w:jc w:val="center"/>
              <w:rPr>
                <w:rFonts w:ascii="Arial Narrow" w:hAnsi="Arial Narrow"/>
                <w:noProof/>
                <w:sz w:val="14"/>
              </w:rPr>
            </w:pP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B1B5A" w14:textId="77777777" w:rsidR="003B5612" w:rsidRPr="00552396" w:rsidRDefault="003B5612" w:rsidP="003B5612">
            <w:pPr>
              <w:spacing w:after="0" w:line="240" w:lineRule="auto"/>
              <w:jc w:val="center"/>
              <w:rPr>
                <w:rFonts w:ascii="Arial Narrow" w:hAnsi="Arial Narrow"/>
                <w:noProof/>
                <w:sz w:val="14"/>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C50A73" w14:textId="77777777" w:rsidR="003B5612" w:rsidRPr="00552396" w:rsidRDefault="003B5612" w:rsidP="003B5612">
            <w:pPr>
              <w:spacing w:after="0" w:line="240" w:lineRule="auto"/>
              <w:jc w:val="center"/>
              <w:rPr>
                <w:rFonts w:ascii="Arial Narrow" w:hAnsi="Arial Narrow"/>
                <w:noProof/>
                <w:sz w:val="14"/>
              </w:rPr>
            </w:pPr>
          </w:p>
        </w:tc>
        <w:tc>
          <w:tcPr>
            <w:tcW w:w="14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D2EA932"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21DB9F9" w14:textId="77777777" w:rsidR="003B5612" w:rsidRPr="00552396" w:rsidRDefault="003B5612" w:rsidP="003B5612">
            <w:pPr>
              <w:spacing w:after="0" w:line="240" w:lineRule="auto"/>
              <w:jc w:val="center"/>
              <w:rPr>
                <w:rFonts w:ascii="Arial Narrow" w:hAnsi="Arial Narrow"/>
                <w:noProof/>
                <w:sz w:val="14"/>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743650" w14:textId="77777777" w:rsidR="003B5612" w:rsidRPr="00552396" w:rsidRDefault="003B5612" w:rsidP="003B5612">
            <w:pPr>
              <w:spacing w:after="0" w:line="240" w:lineRule="auto"/>
              <w:jc w:val="center"/>
              <w:rPr>
                <w:rFonts w:ascii="Arial Narrow" w:hAnsi="Arial Narrow"/>
                <w:noProof/>
                <w:sz w:val="14"/>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545F06" w14:textId="77777777" w:rsidR="003B5612" w:rsidRPr="00552396" w:rsidRDefault="003B5612" w:rsidP="003B5612">
            <w:pPr>
              <w:spacing w:after="0" w:line="240" w:lineRule="auto"/>
              <w:jc w:val="center"/>
              <w:rPr>
                <w:rFonts w:ascii="Arial Narrow" w:hAnsi="Arial Narrow"/>
                <w:noProof/>
                <w:sz w:val="14"/>
              </w:rPr>
            </w:pPr>
          </w:p>
        </w:tc>
        <w:tc>
          <w:tcPr>
            <w:tcW w:w="14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1CE395B" w14:textId="77777777" w:rsidR="003B5612" w:rsidRPr="00552396" w:rsidRDefault="003B5612" w:rsidP="003B5612">
            <w:pPr>
              <w:spacing w:after="0" w:line="240" w:lineRule="auto"/>
              <w:jc w:val="center"/>
              <w:rPr>
                <w:rFonts w:ascii="Arial Narrow" w:hAnsi="Arial Narrow"/>
                <w:noProof/>
                <w:sz w:val="14"/>
              </w:rPr>
            </w:pPr>
          </w:p>
        </w:tc>
        <w:tc>
          <w:tcPr>
            <w:tcW w:w="151"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F7B192C" w14:textId="77777777" w:rsidR="003B5612" w:rsidRPr="00552396" w:rsidRDefault="003B5612" w:rsidP="003B5612">
            <w:pPr>
              <w:spacing w:after="0" w:line="240" w:lineRule="auto"/>
              <w:jc w:val="center"/>
              <w:rPr>
                <w:rFonts w:ascii="Arial Narrow" w:hAnsi="Arial Narrow"/>
                <w:noProof/>
                <w:sz w:val="14"/>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180E8" w14:textId="77777777" w:rsidR="003B5612" w:rsidRPr="00552396" w:rsidRDefault="003B5612" w:rsidP="003B5612">
            <w:pPr>
              <w:spacing w:after="0" w:line="240" w:lineRule="auto"/>
              <w:jc w:val="center"/>
              <w:rPr>
                <w:rFonts w:ascii="Arial Narrow" w:hAnsi="Arial Narrow"/>
                <w:noProof/>
                <w:sz w:val="14"/>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B088B" w14:textId="77777777" w:rsidR="003B5612" w:rsidRPr="00552396" w:rsidRDefault="003B5612" w:rsidP="003B5612">
            <w:pPr>
              <w:spacing w:after="0" w:line="240" w:lineRule="auto"/>
              <w:jc w:val="center"/>
              <w:rPr>
                <w:rFonts w:ascii="Arial Narrow" w:hAnsi="Arial Narrow"/>
                <w:noProof/>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AC3822E" w14:textId="77777777" w:rsidR="003B5612" w:rsidRPr="00552396" w:rsidRDefault="003B5612" w:rsidP="003B5612">
            <w:pPr>
              <w:spacing w:after="0" w:line="240" w:lineRule="auto"/>
              <w:jc w:val="center"/>
              <w:rPr>
                <w:rFonts w:ascii="Arial Narrow" w:hAnsi="Arial Narrow"/>
                <w:noProof/>
                <w:sz w:val="14"/>
              </w:rPr>
            </w:pPr>
          </w:p>
        </w:tc>
      </w:tr>
      <w:tr w:rsidR="009D4FF6" w:rsidRPr="00CC3CFD" w14:paraId="6EACB0C5"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8FCFCF" w14:textId="77777777" w:rsidR="003B5612" w:rsidRPr="00552396" w:rsidRDefault="003B5612" w:rsidP="003B5612">
            <w:pPr>
              <w:spacing w:after="0" w:line="240" w:lineRule="auto"/>
              <w:rPr>
                <w:rFonts w:ascii="Arial Narrow" w:hAnsi="Arial Narrow"/>
                <w:b/>
                <w:noProof/>
                <w:color w:val="000000"/>
                <w:sz w:val="14"/>
              </w:rPr>
            </w:pPr>
            <w:r w:rsidRPr="00552396">
              <w:rPr>
                <w:rFonts w:ascii="Arial Narrow" w:hAnsi="Arial Narrow"/>
                <w:b/>
                <w:noProof/>
                <w:color w:val="000000"/>
                <w:sz w:val="14"/>
              </w:rPr>
              <w:t>Planned adoption</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2414BD"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6A3C56A6"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D4FCCB"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0F2AD19"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E75825"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2D68E6"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F1DF0C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AB0F75"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tcPr>
          <w:p w14:paraId="4F7CDD6F"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447D4AD"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6B329"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03FC38"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EFBF65"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8E515F"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D46E85"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0C952"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5A5822EF"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24103FE"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42E099"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FF57"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5F866819"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54697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5EC0AA"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1209B5"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0B3752"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564B6F"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98CAE6" w14:textId="77777777" w:rsidR="003B5612" w:rsidRPr="00552396" w:rsidRDefault="003B5612" w:rsidP="003B5612">
            <w:pPr>
              <w:spacing w:after="0" w:line="240" w:lineRule="auto"/>
              <w:jc w:val="center"/>
              <w:rPr>
                <w:rFonts w:ascii="Arial Narrow" w:hAnsi="Arial Narrow"/>
                <w:noProof/>
                <w:color w:val="000000"/>
                <w:sz w:val="14"/>
                <w:szCs w:val="16"/>
              </w:rPr>
            </w:pPr>
          </w:p>
        </w:tc>
      </w:tr>
      <w:tr w:rsidR="003B5612" w:rsidRPr="00552396" w14:paraId="79997E13" w14:textId="77777777" w:rsidTr="003B5612">
        <w:trPr>
          <w:trHeight w:val="300"/>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065FE3" w14:textId="77777777" w:rsidR="003B5612" w:rsidRPr="00552396" w:rsidRDefault="003B5612" w:rsidP="003B5612">
            <w:pPr>
              <w:spacing w:after="0" w:line="240" w:lineRule="auto"/>
              <w:rPr>
                <w:rFonts w:ascii="Arial Narrow" w:hAnsi="Arial Narrow"/>
                <w:noProof/>
                <w:color w:val="000000"/>
                <w:sz w:val="14"/>
                <w:szCs w:val="16"/>
              </w:rPr>
            </w:pPr>
            <w:r w:rsidRPr="00552396">
              <w:rPr>
                <w:rFonts w:ascii="Arial Narrow" w:hAnsi="Arial Narrow"/>
                <w:b/>
                <w:noProof/>
                <w:color w:val="000000"/>
                <w:sz w:val="14"/>
              </w:rPr>
              <w:t>Other AFS</w:t>
            </w:r>
          </w:p>
        </w:tc>
      </w:tr>
      <w:tr w:rsidR="009D4FF6" w:rsidRPr="00CC3CFD" w14:paraId="1A66BED5"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868D6D" w14:textId="053F9A67" w:rsidR="003B5612" w:rsidRPr="00552396" w:rsidRDefault="003B5612" w:rsidP="003B5612">
            <w:pPr>
              <w:spacing w:after="0" w:line="240" w:lineRule="auto"/>
              <w:rPr>
                <w:rFonts w:ascii="Arial Narrow" w:hAnsi="Arial Narrow"/>
                <w:noProof/>
                <w:color w:val="000000"/>
                <w:sz w:val="14"/>
              </w:rPr>
            </w:pPr>
            <w:r w:rsidRPr="00552396">
              <w:rPr>
                <w:rFonts w:ascii="Arial Narrow" w:hAnsi="Arial Narrow"/>
                <w:noProof/>
                <w:color w:val="000000"/>
                <w:sz w:val="14"/>
              </w:rPr>
              <w:t xml:space="preserve">Regional AFS (cross-cutting </w:t>
            </w:r>
            <w:r w:rsidR="00DE4548">
              <w:rPr>
                <w:rFonts w:ascii="Arial Narrow" w:hAnsi="Arial Narrow"/>
                <w:noProof/>
                <w:color w:val="000000"/>
                <w:sz w:val="14"/>
              </w:rPr>
              <w:t xml:space="preserve">and </w:t>
            </w:r>
            <w:r w:rsidRPr="00552396">
              <w:rPr>
                <w:rFonts w:ascii="Arial Narrow" w:hAnsi="Arial Narrow"/>
                <w:noProof/>
                <w:color w:val="000000"/>
                <w:sz w:val="14"/>
              </w:rPr>
              <w:t xml:space="preserve">covering the </w:t>
            </w:r>
            <w:r w:rsidR="00DE4548" w:rsidRPr="00552396">
              <w:rPr>
                <w:rFonts w:ascii="Arial Narrow" w:hAnsi="Arial Narrow"/>
                <w:noProof/>
                <w:color w:val="000000"/>
                <w:sz w:val="14"/>
              </w:rPr>
              <w:t>EU</w:t>
            </w:r>
            <w:r w:rsidR="00DE4548">
              <w:rPr>
                <w:rFonts w:ascii="Arial Narrow" w:hAnsi="Arial Narrow"/>
                <w:noProof/>
                <w:color w:val="000000"/>
                <w:sz w:val="14"/>
              </w:rPr>
              <w:t>’</w:t>
            </w:r>
            <w:r w:rsidR="00DE4548" w:rsidRPr="00552396">
              <w:rPr>
                <w:rFonts w:ascii="Arial Narrow" w:hAnsi="Arial Narrow"/>
                <w:noProof/>
                <w:color w:val="000000"/>
                <w:sz w:val="14"/>
              </w:rPr>
              <w:t xml:space="preserve">s </w:t>
            </w:r>
            <w:r w:rsidRPr="00552396">
              <w:rPr>
                <w:rFonts w:ascii="Arial Narrow" w:hAnsi="Arial Narrow"/>
                <w:noProof/>
                <w:color w:val="000000"/>
                <w:sz w:val="14"/>
              </w:rPr>
              <w:t>financial interests)</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EC3F14"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63CA9BF"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48E92B"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25D5DD"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8A3E73"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88AA057"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35E5EC"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C2710A"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5777275"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26EECF0"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848562"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FDE468"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30418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E800F"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9372C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A70008"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8EE2C"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9601D3"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D0CE9A"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2A059"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1E24DC"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79046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AE69F"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E1756"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B21336"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97D7B4"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3B1378" w14:textId="77777777" w:rsidR="003B5612" w:rsidRPr="00552396" w:rsidRDefault="003B5612" w:rsidP="003B5612">
            <w:pPr>
              <w:spacing w:after="0" w:line="240" w:lineRule="auto"/>
              <w:jc w:val="center"/>
              <w:rPr>
                <w:rFonts w:ascii="Arial Narrow" w:hAnsi="Arial Narrow"/>
                <w:noProof/>
                <w:color w:val="000000"/>
                <w:sz w:val="14"/>
                <w:szCs w:val="16"/>
              </w:rPr>
            </w:pPr>
          </w:p>
        </w:tc>
      </w:tr>
      <w:tr w:rsidR="009D4FF6" w:rsidRPr="00CC3CFD" w14:paraId="69DEA0F1"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B3BBDB" w14:textId="77777777" w:rsidR="003B5612" w:rsidRPr="00552396" w:rsidRDefault="003B5612" w:rsidP="003B5612">
            <w:pPr>
              <w:spacing w:after="0" w:line="240" w:lineRule="auto"/>
              <w:rPr>
                <w:rFonts w:ascii="Arial Narrow" w:hAnsi="Arial Narrow"/>
                <w:noProof/>
                <w:color w:val="000000"/>
                <w:sz w:val="14"/>
              </w:rPr>
            </w:pPr>
            <w:r w:rsidRPr="00552396">
              <w:rPr>
                <w:rFonts w:ascii="Arial Narrow" w:hAnsi="Arial Narrow"/>
                <w:noProof/>
                <w:color w:val="000000"/>
                <w:sz w:val="14"/>
              </w:rPr>
              <w:t>Sectoral national strategy (covering the whole national territory)</w:t>
            </w:r>
          </w:p>
        </w:tc>
        <w:tc>
          <w:tcPr>
            <w:tcW w:w="594"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43AAF86"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A6CA856"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829A14"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5D9288"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CB5E1F"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E6A8B3"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5E2A1EA"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626A3B0A"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067CED8"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976F0A3"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2FA7195"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E44F34"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DBF2AE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DE7FF2"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DF2316"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1B100"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014B5"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273713"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78AD25"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724BB"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6168EDE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C8EB1"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27ADDDC"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9E3EA6"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7D65EB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FC686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3EDE30" w14:textId="77777777" w:rsidR="003B5612" w:rsidRPr="00552396" w:rsidRDefault="003B5612" w:rsidP="003B5612">
            <w:pPr>
              <w:spacing w:after="0" w:line="240" w:lineRule="auto"/>
              <w:jc w:val="center"/>
              <w:rPr>
                <w:rFonts w:ascii="Arial Narrow" w:hAnsi="Arial Narrow"/>
                <w:noProof/>
                <w:color w:val="000000"/>
                <w:sz w:val="14"/>
                <w:szCs w:val="16"/>
              </w:rPr>
            </w:pPr>
          </w:p>
        </w:tc>
      </w:tr>
      <w:tr w:rsidR="009D4FF6" w:rsidRPr="00CC3CFD" w14:paraId="269C1C4D"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D11EA9" w14:textId="77777777" w:rsidR="003B5612" w:rsidRPr="00552396" w:rsidRDefault="003B5612" w:rsidP="003B5612">
            <w:pPr>
              <w:spacing w:after="0" w:line="240" w:lineRule="auto"/>
              <w:rPr>
                <w:rFonts w:ascii="Arial Narrow" w:hAnsi="Arial Narrow"/>
                <w:noProof/>
                <w:color w:val="000000"/>
                <w:sz w:val="14"/>
              </w:rPr>
            </w:pPr>
            <w:r w:rsidRPr="00552396">
              <w:rPr>
                <w:rFonts w:ascii="Arial Narrow" w:hAnsi="Arial Narrow"/>
                <w:noProof/>
                <w:color w:val="000000"/>
                <w:sz w:val="14"/>
              </w:rPr>
              <w:t>Sectoral regional AFS</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91FC75"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48EDDCA"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DF3438"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E33E21"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36682"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59105FFE"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3F7A26"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3DECB4"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tcPr>
          <w:p w14:paraId="4CAE9A9E"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6E8885"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785073"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B32876"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242B2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9873C6"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E4F7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5B6E96"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AE289E"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58EABF"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3287D1"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1C04"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EC9D0B"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5195C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EC950B"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1E89FB"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A04ADC"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64C140"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567A3D" w14:textId="77777777" w:rsidR="003B5612" w:rsidRPr="00552396" w:rsidRDefault="003B5612" w:rsidP="003B5612">
            <w:pPr>
              <w:spacing w:after="0" w:line="240" w:lineRule="auto"/>
              <w:jc w:val="center"/>
              <w:rPr>
                <w:rFonts w:ascii="Arial Narrow" w:hAnsi="Arial Narrow"/>
                <w:noProof/>
                <w:color w:val="000000"/>
                <w:sz w:val="14"/>
                <w:szCs w:val="16"/>
              </w:rPr>
            </w:pPr>
          </w:p>
        </w:tc>
      </w:tr>
      <w:tr w:rsidR="009D4FF6" w:rsidRPr="00CC3CFD" w14:paraId="32258A88"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F67AE8" w14:textId="1AE48910" w:rsidR="003B5612" w:rsidRPr="00552396" w:rsidRDefault="003B5612" w:rsidP="003B5612">
            <w:pPr>
              <w:spacing w:after="0" w:line="240" w:lineRule="auto"/>
              <w:rPr>
                <w:rFonts w:ascii="Arial Narrow" w:hAnsi="Arial Narrow"/>
                <w:noProof/>
                <w:color w:val="000000"/>
                <w:sz w:val="14"/>
              </w:rPr>
            </w:pPr>
            <w:r w:rsidRPr="00552396">
              <w:rPr>
                <w:rFonts w:ascii="Arial Narrow" w:hAnsi="Arial Narrow"/>
                <w:noProof/>
                <w:color w:val="000000"/>
                <w:sz w:val="14"/>
              </w:rPr>
              <w:t>Anti-corruption strategy (</w:t>
            </w:r>
            <w:r w:rsidR="00DE4548">
              <w:rPr>
                <w:rFonts w:ascii="Arial Narrow" w:hAnsi="Arial Narrow"/>
                <w:noProof/>
                <w:color w:val="000000"/>
                <w:sz w:val="14"/>
              </w:rPr>
              <w:t xml:space="preserve">also </w:t>
            </w:r>
            <w:r w:rsidRPr="00552396">
              <w:rPr>
                <w:rFonts w:ascii="Arial Narrow" w:hAnsi="Arial Narrow"/>
                <w:noProof/>
                <w:color w:val="000000"/>
                <w:sz w:val="14"/>
              </w:rPr>
              <w:t xml:space="preserve">covering the </w:t>
            </w:r>
            <w:r w:rsidR="00DE4548" w:rsidRPr="00552396">
              <w:rPr>
                <w:rFonts w:ascii="Arial Narrow" w:hAnsi="Arial Narrow"/>
                <w:noProof/>
                <w:color w:val="000000"/>
                <w:sz w:val="14"/>
              </w:rPr>
              <w:t>EU</w:t>
            </w:r>
            <w:r w:rsidR="00DE4548">
              <w:rPr>
                <w:rFonts w:ascii="Arial Narrow" w:hAnsi="Arial Narrow"/>
                <w:noProof/>
                <w:color w:val="000000"/>
                <w:sz w:val="14"/>
              </w:rPr>
              <w:t>’</w:t>
            </w:r>
            <w:r w:rsidR="00DE4548" w:rsidRPr="00552396">
              <w:rPr>
                <w:rFonts w:ascii="Arial Narrow" w:hAnsi="Arial Narrow"/>
                <w:noProof/>
                <w:color w:val="000000"/>
                <w:sz w:val="14"/>
              </w:rPr>
              <w:t xml:space="preserve">s </w:t>
            </w:r>
            <w:r w:rsidRPr="00552396">
              <w:rPr>
                <w:rFonts w:ascii="Arial Narrow" w:hAnsi="Arial Narrow"/>
                <w:noProof/>
                <w:color w:val="000000"/>
                <w:sz w:val="14"/>
              </w:rPr>
              <w:t>financial interests)</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5F452"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0A9FB1"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9D2218"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31AF90"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8EDAC"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132A876"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75B3EC"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18444B8"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A4D1478"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A172054"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543FFD19"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DD85F8"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E69456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7992143"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9E1029"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DEC271"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66D6692D"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8DD490"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E2083C3"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9574"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512CC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08E03"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4F0B6"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537E57"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228BC5"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8FF4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46F4AD" w14:textId="77777777" w:rsidR="003B5612" w:rsidRPr="00552396" w:rsidRDefault="003B5612" w:rsidP="003B5612">
            <w:pPr>
              <w:spacing w:after="0" w:line="240" w:lineRule="auto"/>
              <w:jc w:val="center"/>
              <w:rPr>
                <w:rFonts w:ascii="Arial Narrow" w:hAnsi="Arial Narrow"/>
                <w:noProof/>
                <w:color w:val="000000"/>
                <w:sz w:val="14"/>
                <w:szCs w:val="16"/>
              </w:rPr>
            </w:pPr>
          </w:p>
        </w:tc>
      </w:tr>
      <w:tr w:rsidR="009D4FF6" w:rsidRPr="00CC3CFD" w14:paraId="31525240"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405CA5" w14:textId="77777777" w:rsidR="003B5612" w:rsidRPr="00552396" w:rsidRDefault="003B5612" w:rsidP="003B5612">
            <w:pPr>
              <w:spacing w:after="0" w:line="240" w:lineRule="auto"/>
              <w:rPr>
                <w:rFonts w:ascii="Arial Narrow" w:hAnsi="Arial Narrow"/>
                <w:noProof/>
                <w:color w:val="000000"/>
                <w:sz w:val="14"/>
              </w:rPr>
            </w:pPr>
            <w:r w:rsidRPr="00552396">
              <w:rPr>
                <w:rFonts w:ascii="Arial Narrow" w:hAnsi="Arial Narrow"/>
                <w:noProof/>
                <w:color w:val="000000"/>
                <w:sz w:val="14"/>
              </w:rPr>
              <w:t>Authority level AFS</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F0C97"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502F737"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D2C448"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C0ED0D"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52DEF7"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B40A25E"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69A1B48E"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B98A591"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tcPr>
          <w:p w14:paraId="2A14A0CA"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4693B9F"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214597"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776B07"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F51B5B8"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B54D4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636DBF"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760C15"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BA575A"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9B5C361"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D15361B"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89CA"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B7FE5F"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A6633F"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3A2E78"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11158F7B"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E2C04"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1D5B5020"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1D97B8" w14:textId="77777777" w:rsidR="003B5612" w:rsidRPr="00552396" w:rsidRDefault="003B5612" w:rsidP="003B5612">
            <w:pPr>
              <w:spacing w:after="0" w:line="240" w:lineRule="auto"/>
              <w:jc w:val="center"/>
              <w:rPr>
                <w:rFonts w:ascii="Arial Narrow" w:hAnsi="Arial Narrow"/>
                <w:noProof/>
                <w:color w:val="000000"/>
                <w:sz w:val="14"/>
                <w:szCs w:val="16"/>
              </w:rPr>
            </w:pPr>
          </w:p>
        </w:tc>
      </w:tr>
      <w:tr w:rsidR="009D4FF6" w:rsidRPr="00CC3CFD" w14:paraId="14D4C6FD"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A2403" w14:textId="77777777" w:rsidR="003B5612" w:rsidRPr="00552396" w:rsidRDefault="003B5612" w:rsidP="003B5612">
            <w:pPr>
              <w:spacing w:after="0" w:line="240" w:lineRule="auto"/>
              <w:rPr>
                <w:rFonts w:ascii="Arial Narrow" w:hAnsi="Arial Narrow"/>
                <w:noProof/>
                <w:color w:val="000000"/>
                <w:sz w:val="14"/>
              </w:rPr>
            </w:pPr>
            <w:r w:rsidRPr="00552396">
              <w:rPr>
                <w:rFonts w:ascii="Arial Narrow" w:hAnsi="Arial Narrow"/>
                <w:noProof/>
                <w:color w:val="000000"/>
                <w:sz w:val="14"/>
              </w:rPr>
              <w:t>Programme level AFS</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B45ADB"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F0E869C"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DCAC"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7B748FB1"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B97801"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33D9E33"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6DEACA3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5C88F5"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tcPr>
          <w:p w14:paraId="6FFEFBD6"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1042F8"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E5F23F"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B1FAB"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524AD995"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A09B7"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A36A20"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2B33C0"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D3CC4"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C11A52"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BA405"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FFA54"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E3504B"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468C2DAE"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C13D49"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258E187"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D0C0E0"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41A21"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EB4C24" w14:textId="77777777" w:rsidR="003B5612" w:rsidRPr="00552396" w:rsidRDefault="003B5612" w:rsidP="003B5612">
            <w:pPr>
              <w:spacing w:after="0" w:line="240" w:lineRule="auto"/>
              <w:jc w:val="center"/>
              <w:rPr>
                <w:rFonts w:ascii="Arial Narrow" w:hAnsi="Arial Narrow"/>
                <w:noProof/>
                <w:color w:val="000000"/>
                <w:sz w:val="14"/>
                <w:szCs w:val="16"/>
              </w:rPr>
            </w:pPr>
          </w:p>
        </w:tc>
      </w:tr>
      <w:tr w:rsidR="009D4FF6" w:rsidRPr="00CC3CFD" w14:paraId="03C1CB26" w14:textId="77777777" w:rsidTr="003B5612">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E29D72" w14:textId="77777777" w:rsidR="003B5612" w:rsidRPr="00552396" w:rsidRDefault="003B5612" w:rsidP="003B5612">
            <w:pPr>
              <w:spacing w:after="0" w:line="240" w:lineRule="auto"/>
              <w:rPr>
                <w:rFonts w:ascii="Arial Narrow" w:hAnsi="Arial Narrow"/>
                <w:noProof/>
                <w:color w:val="000000"/>
                <w:sz w:val="14"/>
              </w:rPr>
            </w:pPr>
            <w:r w:rsidRPr="00552396">
              <w:rPr>
                <w:rFonts w:ascii="Arial Narrow" w:hAnsi="Arial Narrow"/>
                <w:noProof/>
                <w:color w:val="000000"/>
                <w:sz w:val="14"/>
              </w:rPr>
              <w:t xml:space="preserve">Other </w:t>
            </w:r>
          </w:p>
        </w:tc>
        <w:tc>
          <w:tcPr>
            <w:tcW w:w="594"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DBEE778" w14:textId="77777777" w:rsidR="003B5612" w:rsidRPr="00552396" w:rsidRDefault="003B5612" w:rsidP="003B5612">
            <w:pPr>
              <w:spacing w:after="0" w:line="240" w:lineRule="auto"/>
              <w:rPr>
                <w:rFonts w:ascii="Arial Narrow" w:hAnsi="Arial Narrow"/>
                <w:noProof/>
                <w:color w:val="000000"/>
                <w:sz w:val="14"/>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0FC2C442" w14:textId="77777777" w:rsidR="003B5612" w:rsidRPr="00552396" w:rsidRDefault="003B5612" w:rsidP="003B5612">
            <w:pPr>
              <w:spacing w:after="0" w:line="240" w:lineRule="auto"/>
              <w:jc w:val="center"/>
              <w:rPr>
                <w:rFonts w:ascii="Arial Narrow" w:hAnsi="Arial Narrow"/>
                <w:noProof/>
                <w:sz w:val="1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EFCD67"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7AF73"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02B01C"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2AFA23" w14:textId="77777777" w:rsidR="003B5612" w:rsidRPr="00552396" w:rsidRDefault="003B5612" w:rsidP="003B5612">
            <w:pPr>
              <w:spacing w:after="0" w:line="240" w:lineRule="auto"/>
              <w:jc w:val="center"/>
              <w:rPr>
                <w:rFonts w:ascii="Arial Narrow" w:hAnsi="Arial Narrow"/>
                <w:noProof/>
                <w:sz w:val="14"/>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CAF3FE"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64FF4AF6"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tcPr>
          <w:p w14:paraId="30EBAA97"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FC39EC" w14:textId="77777777" w:rsidR="003B5612" w:rsidRPr="00552396" w:rsidRDefault="003B5612" w:rsidP="003B5612">
            <w:pPr>
              <w:spacing w:after="0" w:line="240" w:lineRule="auto"/>
              <w:jc w:val="center"/>
              <w:rPr>
                <w:rFonts w:ascii="Arial Narrow" w:hAnsi="Arial Narrow"/>
                <w:noProof/>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6EF1E"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050AE"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1633E394"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AE595D"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3EA73241"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2F3FCFEA"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1817DA"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7E9DA" w14:textId="77777777" w:rsidR="003B5612" w:rsidRPr="00552396" w:rsidRDefault="003B5612" w:rsidP="003B5612">
            <w:pPr>
              <w:spacing w:after="0" w:line="240" w:lineRule="auto"/>
              <w:jc w:val="center"/>
              <w:rPr>
                <w:rFonts w:ascii="Arial Narrow" w:hAnsi="Arial Narrow"/>
                <w:noProof/>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B319FF" w14:textId="77777777" w:rsidR="003B5612" w:rsidRPr="00552396" w:rsidRDefault="003B5612" w:rsidP="003B5612">
            <w:pPr>
              <w:spacing w:after="0" w:line="240" w:lineRule="auto"/>
              <w:jc w:val="center"/>
              <w:rPr>
                <w:rFonts w:ascii="Arial Narrow" w:hAnsi="Arial Narrow"/>
                <w:noProof/>
                <w:sz w:val="14"/>
                <w:szCs w:val="16"/>
              </w:rPr>
            </w:pPr>
          </w:p>
        </w:tc>
        <w:tc>
          <w:tcPr>
            <w:tcW w:w="149"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1F9489F" w14:textId="77777777" w:rsidR="003B5612" w:rsidRPr="00552396" w:rsidRDefault="003B5612" w:rsidP="003B5612">
            <w:pPr>
              <w:spacing w:after="0" w:line="240" w:lineRule="auto"/>
              <w:jc w:val="center"/>
              <w:rPr>
                <w:rFonts w:ascii="Arial Narrow" w:hAnsi="Arial Narrow"/>
                <w:noProof/>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3AE56"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2"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52240A62"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AF363B" w14:textId="77777777" w:rsidR="003B5612" w:rsidRPr="00552396" w:rsidRDefault="003B5612" w:rsidP="003B5612">
            <w:pPr>
              <w:spacing w:after="0" w:line="240" w:lineRule="auto"/>
              <w:jc w:val="center"/>
              <w:rPr>
                <w:rFonts w:ascii="Arial Narrow" w:hAnsi="Arial Narrow"/>
                <w:noProof/>
                <w:sz w:val="14"/>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1BC04D1A" w14:textId="77777777" w:rsidR="003B5612" w:rsidRPr="00552396" w:rsidRDefault="003B5612" w:rsidP="003B5612">
            <w:pPr>
              <w:spacing w:after="0" w:line="240" w:lineRule="auto"/>
              <w:jc w:val="center"/>
              <w:rPr>
                <w:rFonts w:ascii="Arial Narrow" w:hAnsi="Arial Narrow"/>
                <w:noProof/>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5AA5DA"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14:paraId="1F997A02" w14:textId="77777777" w:rsidR="003B5612" w:rsidRPr="00552396" w:rsidRDefault="003B5612" w:rsidP="003B5612">
            <w:pPr>
              <w:spacing w:after="0" w:line="240" w:lineRule="auto"/>
              <w:jc w:val="center"/>
              <w:rPr>
                <w:rFonts w:ascii="Arial Narrow" w:hAnsi="Arial Narrow"/>
                <w:noProof/>
                <w:color w:val="000000"/>
                <w:sz w:val="14"/>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6216" w14:textId="77777777" w:rsidR="003B5612" w:rsidRPr="00552396" w:rsidRDefault="003B5612" w:rsidP="003B5612">
            <w:pPr>
              <w:spacing w:after="0" w:line="240" w:lineRule="auto"/>
              <w:jc w:val="center"/>
              <w:rPr>
                <w:rFonts w:ascii="Arial Narrow" w:hAnsi="Arial Narrow"/>
                <w:noProof/>
                <w:color w:val="000000"/>
                <w:sz w:val="14"/>
                <w:szCs w:val="16"/>
              </w:rPr>
            </w:pPr>
          </w:p>
        </w:tc>
      </w:tr>
    </w:tbl>
    <w:tbl>
      <w:tblPr>
        <w:tblpPr w:leftFromText="180" w:rightFromText="180" w:vertAnchor="text" w:horzAnchor="margin" w:tblpY="143"/>
        <w:tblW w:w="373" w:type="pct"/>
        <w:tblCellMar>
          <w:top w:w="15" w:type="dxa"/>
          <w:bottom w:w="15" w:type="dxa"/>
        </w:tblCellMar>
        <w:tblLook w:val="04A0" w:firstRow="1" w:lastRow="0" w:firstColumn="1" w:lastColumn="0" w:noHBand="0" w:noVBand="1"/>
      </w:tblPr>
      <w:tblGrid>
        <w:gridCol w:w="228"/>
        <w:gridCol w:w="414"/>
      </w:tblGrid>
      <w:tr w:rsidR="00186CF7" w:rsidRPr="000A73AA" w14:paraId="5166B161" w14:textId="77777777" w:rsidTr="00186CF7">
        <w:trPr>
          <w:trHeight w:val="226"/>
        </w:trPr>
        <w:tc>
          <w:tcPr>
            <w:tcW w:w="1859" w:type="pct"/>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3C9B2C86" w14:textId="77777777" w:rsidR="00186CF7" w:rsidRPr="00CC3CFD" w:rsidRDefault="00186CF7" w:rsidP="003E2F7E">
            <w:pPr>
              <w:spacing w:after="0" w:line="240" w:lineRule="auto"/>
              <w:rPr>
                <w:noProof/>
                <w:sz w:val="18"/>
              </w:rPr>
            </w:pPr>
          </w:p>
        </w:tc>
        <w:tc>
          <w:tcPr>
            <w:tcW w:w="3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7E19B" w14:textId="77777777" w:rsidR="00186CF7" w:rsidRPr="00CC3CFD" w:rsidRDefault="00186CF7" w:rsidP="003E2F7E">
            <w:pPr>
              <w:spacing w:after="0" w:line="240" w:lineRule="auto"/>
              <w:rPr>
                <w:rFonts w:ascii="Arial Narrow" w:hAnsi="Arial Narrow"/>
                <w:noProof/>
                <w:color w:val="000000"/>
                <w:sz w:val="14"/>
              </w:rPr>
            </w:pPr>
            <w:r w:rsidRPr="00CC3CFD">
              <w:rPr>
                <w:rFonts w:ascii="Arial Narrow" w:hAnsi="Arial Narrow"/>
                <w:noProof/>
                <w:color w:val="000000"/>
                <w:sz w:val="14"/>
              </w:rPr>
              <w:t>Yes</w:t>
            </w:r>
          </w:p>
        </w:tc>
      </w:tr>
      <w:tr w:rsidR="00186CF7" w:rsidRPr="000A73AA" w14:paraId="74822B71" w14:textId="77777777" w:rsidTr="00186CF7">
        <w:trPr>
          <w:trHeight w:val="226"/>
        </w:trPr>
        <w:tc>
          <w:tcPr>
            <w:tcW w:w="18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AFA74F" w14:textId="77777777" w:rsidR="00186CF7" w:rsidRPr="00CC3CFD" w:rsidRDefault="00186CF7" w:rsidP="003E2F7E">
            <w:pPr>
              <w:spacing w:after="0" w:line="240" w:lineRule="auto"/>
              <w:rPr>
                <w:noProof/>
                <w:sz w:val="18"/>
              </w:rPr>
            </w:pPr>
          </w:p>
        </w:tc>
        <w:tc>
          <w:tcPr>
            <w:tcW w:w="3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7011" w14:textId="77777777" w:rsidR="00186CF7" w:rsidRPr="00CC3CFD" w:rsidRDefault="00186CF7" w:rsidP="003E2F7E">
            <w:pPr>
              <w:spacing w:after="0" w:line="240" w:lineRule="auto"/>
              <w:rPr>
                <w:rFonts w:ascii="Arial Narrow" w:hAnsi="Arial Narrow"/>
                <w:noProof/>
                <w:color w:val="000000"/>
                <w:sz w:val="14"/>
              </w:rPr>
            </w:pPr>
            <w:r w:rsidRPr="00CC3CFD">
              <w:rPr>
                <w:rFonts w:ascii="Arial Narrow" w:hAnsi="Arial Narrow"/>
                <w:noProof/>
                <w:color w:val="000000"/>
                <w:sz w:val="14"/>
              </w:rPr>
              <w:t xml:space="preserve">No </w:t>
            </w:r>
          </w:p>
        </w:tc>
      </w:tr>
    </w:tbl>
    <w:p w14:paraId="40C98423" w14:textId="77777777" w:rsidR="003B5612" w:rsidRDefault="003B5612" w:rsidP="003B5612">
      <w:pPr>
        <w:rPr>
          <w:noProof/>
        </w:rPr>
      </w:pPr>
    </w:p>
    <w:p w14:paraId="427863AB" w14:textId="0CCDE7E8" w:rsidR="00165D91" w:rsidRPr="00926D16" w:rsidRDefault="00DE4548" w:rsidP="008C7C14">
      <w:pPr>
        <w:pStyle w:val="Heading3"/>
        <w:rPr>
          <w:noProof/>
        </w:rPr>
      </w:pPr>
      <w:bookmarkStart w:id="37" w:name="_Toc202011324"/>
      <w:bookmarkStart w:id="38" w:name="_Toc203477662"/>
      <w:r>
        <w:rPr>
          <w:noProof/>
        </w:rPr>
        <w:t>National m</w:t>
      </w:r>
      <w:r w:rsidR="00165D91" w:rsidRPr="00926D16">
        <w:rPr>
          <w:noProof/>
        </w:rPr>
        <w:t xml:space="preserve">easures adopted to strengthen the protection of </w:t>
      </w:r>
      <w:r w:rsidR="00015D00">
        <w:rPr>
          <w:noProof/>
        </w:rPr>
        <w:t xml:space="preserve">the EU’s </w:t>
      </w:r>
      <w:r w:rsidR="00165D91" w:rsidRPr="00926D16">
        <w:rPr>
          <w:noProof/>
        </w:rPr>
        <w:t>financial interests</w:t>
      </w:r>
      <w:bookmarkEnd w:id="37"/>
      <w:bookmarkEnd w:id="38"/>
    </w:p>
    <w:p w14:paraId="1F947F80" w14:textId="14756093" w:rsidR="00C135E0" w:rsidRDefault="00094F84" w:rsidP="00C135E0">
      <w:pPr>
        <w:rPr>
          <w:noProof/>
        </w:rPr>
      </w:pPr>
      <w:r>
        <w:rPr>
          <w:noProof/>
        </w:rPr>
        <w:t>EU Member States manage the largest share of EU expenditure and collect traditional own resources (TOR – mainly customs duties)</w:t>
      </w:r>
      <w:r w:rsidR="00A10D89">
        <w:rPr>
          <w:noProof/>
        </w:rPr>
        <w:t xml:space="preserve"> and VAT</w:t>
      </w:r>
      <w:r>
        <w:rPr>
          <w:noProof/>
        </w:rPr>
        <w:t>.</w:t>
      </w:r>
      <w:r w:rsidR="00FB6510">
        <w:rPr>
          <w:noProof/>
        </w:rPr>
        <w:t xml:space="preserve"> They continuously review and fine</w:t>
      </w:r>
      <w:r w:rsidR="00015D00">
        <w:rPr>
          <w:noProof/>
        </w:rPr>
        <w:t>-</w:t>
      </w:r>
      <w:r w:rsidR="00FB6510">
        <w:rPr>
          <w:noProof/>
        </w:rPr>
        <w:t xml:space="preserve">tune their approaches, based on EU legal acts </w:t>
      </w:r>
      <w:r w:rsidR="00EA7CDE">
        <w:rPr>
          <w:noProof/>
        </w:rPr>
        <w:t>and policy measures</w:t>
      </w:r>
      <w:r w:rsidR="00FB6510">
        <w:rPr>
          <w:noProof/>
        </w:rPr>
        <w:t xml:space="preserve"> (such as the recommendations in the PIF reports) or on th</w:t>
      </w:r>
      <w:r w:rsidR="00EA7CDE">
        <w:rPr>
          <w:noProof/>
        </w:rPr>
        <w:t>eir own initiative</w:t>
      </w:r>
      <w:r w:rsidR="00FB6510">
        <w:rPr>
          <w:noProof/>
        </w:rPr>
        <w:t xml:space="preserve">. The Commission </w:t>
      </w:r>
      <w:r w:rsidR="00DE4548">
        <w:rPr>
          <w:noProof/>
        </w:rPr>
        <w:t>sent Member States</w:t>
      </w:r>
      <w:r w:rsidR="00FB6510">
        <w:rPr>
          <w:noProof/>
        </w:rPr>
        <w:t xml:space="preserve"> a dedicated questionnaire </w:t>
      </w:r>
      <w:r w:rsidR="00DE4548">
        <w:rPr>
          <w:noProof/>
        </w:rPr>
        <w:t xml:space="preserve">to collect information on </w:t>
      </w:r>
      <w:r w:rsidR="00FB6510">
        <w:rPr>
          <w:noProof/>
        </w:rPr>
        <w:t xml:space="preserve">the </w:t>
      </w:r>
      <w:r w:rsidR="00DE4548">
        <w:rPr>
          <w:noProof/>
        </w:rPr>
        <w:t xml:space="preserve">national </w:t>
      </w:r>
      <w:r w:rsidR="00FB6510">
        <w:rPr>
          <w:noProof/>
        </w:rPr>
        <w:t>measures Member States consider the most important for strengthening the protection of the EU’s financial interests.</w:t>
      </w:r>
    </w:p>
    <w:p w14:paraId="1EEC05F4" w14:textId="56B70D88" w:rsidR="00FB6510" w:rsidRDefault="00FB6510" w:rsidP="00C135E0">
      <w:pPr>
        <w:rPr>
          <w:noProof/>
        </w:rPr>
      </w:pPr>
      <w:r w:rsidRPr="00FB6510">
        <w:rPr>
          <w:noProof/>
        </w:rPr>
        <w:t>Member States reported a total of 69 measures</w:t>
      </w:r>
      <w:r>
        <w:rPr>
          <w:noProof/>
        </w:rPr>
        <w:t xml:space="preserve"> (50 single measure</w:t>
      </w:r>
      <w:r w:rsidR="00DE4548">
        <w:rPr>
          <w:noProof/>
        </w:rPr>
        <w:t>s</w:t>
      </w:r>
      <w:r>
        <w:rPr>
          <w:noProof/>
        </w:rPr>
        <w:t xml:space="preserve"> and 19 described as a </w:t>
      </w:r>
      <w:r w:rsidR="00DE4548">
        <w:rPr>
          <w:noProof/>
        </w:rPr>
        <w:t>‘</w:t>
      </w:r>
      <w:r>
        <w:rPr>
          <w:noProof/>
        </w:rPr>
        <w:t>package of measures</w:t>
      </w:r>
      <w:r w:rsidR="00DE4548">
        <w:rPr>
          <w:noProof/>
        </w:rPr>
        <w:t>’</w:t>
      </w:r>
      <w:r>
        <w:rPr>
          <w:noProof/>
        </w:rPr>
        <w:t>)</w:t>
      </w:r>
      <w:r w:rsidR="004D5ABC" w:rsidRPr="004D5ABC">
        <w:rPr>
          <w:noProof/>
        </w:rPr>
        <w:t> (</w:t>
      </w:r>
      <w:r w:rsidR="004D5ABC">
        <w:rPr>
          <w:rStyle w:val="FootnoteReference"/>
          <w:noProof/>
        </w:rPr>
        <w:footnoteReference w:id="32"/>
      </w:r>
      <w:r w:rsidR="004D5ABC">
        <w:rPr>
          <w:noProof/>
        </w:rPr>
        <w:t>)</w:t>
      </w:r>
      <w:r>
        <w:rPr>
          <w:noProof/>
        </w:rPr>
        <w:t>, almost evenly divided between legislative, administrative, organisational and operational measures.</w:t>
      </w:r>
      <w:r w:rsidR="00117F6D">
        <w:rPr>
          <w:noProof/>
        </w:rPr>
        <w:t xml:space="preserve"> Most</w:t>
      </w:r>
      <w:r w:rsidR="00DE4548">
        <w:rPr>
          <w:noProof/>
        </w:rPr>
        <w:t> </w:t>
      </w:r>
      <w:r w:rsidR="00117F6D" w:rsidRPr="00117F6D">
        <w:rPr>
          <w:noProof/>
        </w:rPr>
        <w:t>(</w:t>
      </w:r>
      <w:r w:rsidR="00117F6D">
        <w:rPr>
          <w:rStyle w:val="FootnoteReference"/>
          <w:noProof/>
        </w:rPr>
        <w:footnoteReference w:id="33"/>
      </w:r>
      <w:r w:rsidR="00117F6D">
        <w:rPr>
          <w:noProof/>
        </w:rPr>
        <w:t>) cover in particular fraud prevention or detection (91% and 86% respectively)</w:t>
      </w:r>
      <w:r w:rsidR="00DE4548">
        <w:rPr>
          <w:noProof/>
        </w:rPr>
        <w:t>, while</w:t>
      </w:r>
      <w:r w:rsidR="00117F6D">
        <w:rPr>
          <w:noProof/>
        </w:rPr>
        <w:t xml:space="preserve"> </w:t>
      </w:r>
      <w:r w:rsidR="00DE4548">
        <w:rPr>
          <w:noProof/>
        </w:rPr>
        <w:t>a</w:t>
      </w:r>
      <w:r w:rsidR="00117F6D">
        <w:rPr>
          <w:noProof/>
        </w:rPr>
        <w:t>lmost half aim at strengthening investigation and prosecution and recovery and sanctioning (46% and 45% respectively)</w:t>
      </w:r>
      <w:r w:rsidR="008F09B0">
        <w:rPr>
          <w:noProof/>
        </w:rPr>
        <w:t xml:space="preserve"> as showed in </w:t>
      </w:r>
      <w:r w:rsidR="00947EF7">
        <w:rPr>
          <w:noProof/>
        </w:rPr>
        <w:t>Chart</w:t>
      </w:r>
      <w:r w:rsidR="008F09B0">
        <w:rPr>
          <w:noProof/>
        </w:rPr>
        <w:t xml:space="preserve"> 1 in Annex 3</w:t>
      </w:r>
      <w:r w:rsidR="00117F6D">
        <w:rPr>
          <w:noProof/>
        </w:rPr>
        <w:t xml:space="preserve">. </w:t>
      </w:r>
      <w:r w:rsidR="008F09B0">
        <w:rPr>
          <w:noProof/>
        </w:rPr>
        <w:t>A</w:t>
      </w:r>
      <w:r w:rsidR="00DE4548">
        <w:rPr>
          <w:noProof/>
        </w:rPr>
        <w:t xml:space="preserve"> </w:t>
      </w:r>
      <w:r w:rsidR="00117F6D">
        <w:rPr>
          <w:noProof/>
        </w:rPr>
        <w:t xml:space="preserve">large majority of </w:t>
      </w:r>
      <w:r w:rsidR="00B95CD0">
        <w:rPr>
          <w:noProof/>
        </w:rPr>
        <w:t xml:space="preserve">measures </w:t>
      </w:r>
      <w:r w:rsidR="00117F6D">
        <w:rPr>
          <w:noProof/>
        </w:rPr>
        <w:t>target expenditure, in particular the cohesion policy and the RRF (15 and 12 measures respectively)</w:t>
      </w:r>
      <w:r w:rsidR="00EA7CDE">
        <w:rPr>
          <w:noProof/>
        </w:rPr>
        <w:t xml:space="preserve">, </w:t>
      </w:r>
      <w:r w:rsidR="00B95CD0">
        <w:rPr>
          <w:noProof/>
        </w:rPr>
        <w:t xml:space="preserve">while </w:t>
      </w:r>
      <w:r w:rsidR="00DE4548">
        <w:rPr>
          <w:noProof/>
        </w:rPr>
        <w:t xml:space="preserve">some </w:t>
      </w:r>
      <w:r w:rsidR="00B95CD0">
        <w:rPr>
          <w:noProof/>
        </w:rPr>
        <w:t>10 measures address revenue fraud (tax and customs)</w:t>
      </w:r>
      <w:r w:rsidR="00117F6D">
        <w:rPr>
          <w:noProof/>
        </w:rPr>
        <w:t>.</w:t>
      </w:r>
    </w:p>
    <w:p w14:paraId="376FE499" w14:textId="2216DBE4" w:rsidR="00E733D9" w:rsidRDefault="00E733D9" w:rsidP="00C135E0">
      <w:pPr>
        <w:rPr>
          <w:noProof/>
        </w:rPr>
      </w:pPr>
      <w:r>
        <w:rPr>
          <w:noProof/>
        </w:rPr>
        <w:t xml:space="preserve">Beyond ‘shared management and the control of EU funds’ (32 measures reported by </w:t>
      </w:r>
      <w:r w:rsidR="00D06F12">
        <w:rPr>
          <w:noProof/>
        </w:rPr>
        <w:t>18</w:t>
      </w:r>
      <w:r>
        <w:rPr>
          <w:noProof/>
        </w:rPr>
        <w:t xml:space="preserve"> Member States</w:t>
      </w:r>
      <w:r w:rsidRPr="00E733D9">
        <w:rPr>
          <w:noProof/>
        </w:rPr>
        <w:t> (</w:t>
      </w:r>
      <w:r>
        <w:rPr>
          <w:rStyle w:val="FootnoteReference"/>
          <w:noProof/>
        </w:rPr>
        <w:footnoteReference w:id="34"/>
      </w:r>
      <w:r>
        <w:rPr>
          <w:noProof/>
        </w:rPr>
        <w:t xml:space="preserve">)), </w:t>
      </w:r>
      <w:r w:rsidR="00053EF7">
        <w:rPr>
          <w:noProof/>
        </w:rPr>
        <w:t xml:space="preserve">there was </w:t>
      </w:r>
      <w:r w:rsidR="00015D00">
        <w:rPr>
          <w:noProof/>
        </w:rPr>
        <w:t>a</w:t>
      </w:r>
      <w:r w:rsidR="00053EF7">
        <w:rPr>
          <w:noProof/>
        </w:rPr>
        <w:t xml:space="preserve"> </w:t>
      </w:r>
      <w:r>
        <w:rPr>
          <w:noProof/>
        </w:rPr>
        <w:t>significant focus on</w:t>
      </w:r>
      <w:r w:rsidR="00AD6ECA">
        <w:rPr>
          <w:noProof/>
        </w:rPr>
        <w:t xml:space="preserve"> preventing</w:t>
      </w:r>
      <w:r>
        <w:rPr>
          <w:noProof/>
        </w:rPr>
        <w:t xml:space="preserve"> ‘conflict of interest’ (30 measures reported by </w:t>
      </w:r>
      <w:r w:rsidR="00D06F12">
        <w:rPr>
          <w:noProof/>
        </w:rPr>
        <w:t>16</w:t>
      </w:r>
      <w:r>
        <w:rPr>
          <w:noProof/>
        </w:rPr>
        <w:t xml:space="preserve"> Member States</w:t>
      </w:r>
      <w:r w:rsidR="00053EF7">
        <w:rPr>
          <w:noProof/>
        </w:rPr>
        <w:t>)</w:t>
      </w:r>
      <w:r w:rsidRPr="00E733D9">
        <w:rPr>
          <w:noProof/>
        </w:rPr>
        <w:t> (</w:t>
      </w:r>
      <w:r>
        <w:rPr>
          <w:rStyle w:val="FootnoteReference"/>
          <w:noProof/>
        </w:rPr>
        <w:footnoteReference w:id="35"/>
      </w:r>
      <w:r>
        <w:rPr>
          <w:noProof/>
        </w:rPr>
        <w:t xml:space="preserve">), </w:t>
      </w:r>
      <w:r w:rsidR="00053EF7">
        <w:rPr>
          <w:noProof/>
        </w:rPr>
        <w:t>‘</w:t>
      </w:r>
      <w:r>
        <w:rPr>
          <w:noProof/>
        </w:rPr>
        <w:t>public procurement</w:t>
      </w:r>
      <w:r w:rsidR="00053EF7">
        <w:rPr>
          <w:noProof/>
        </w:rPr>
        <w:t>’</w:t>
      </w:r>
      <w:r>
        <w:rPr>
          <w:noProof/>
        </w:rPr>
        <w:t xml:space="preserve"> (21 measures reported by </w:t>
      </w:r>
      <w:r w:rsidR="00D06F12">
        <w:rPr>
          <w:noProof/>
        </w:rPr>
        <w:t>13</w:t>
      </w:r>
      <w:r>
        <w:rPr>
          <w:noProof/>
        </w:rPr>
        <w:t xml:space="preserve"> Member States</w:t>
      </w:r>
      <w:r w:rsidR="00053EF7">
        <w:rPr>
          <w:noProof/>
        </w:rPr>
        <w:t>)</w:t>
      </w:r>
      <w:r w:rsidRPr="00E733D9">
        <w:rPr>
          <w:noProof/>
        </w:rPr>
        <w:t> (</w:t>
      </w:r>
      <w:r>
        <w:rPr>
          <w:rStyle w:val="FootnoteReference"/>
          <w:noProof/>
        </w:rPr>
        <w:footnoteReference w:id="36"/>
      </w:r>
      <w:r>
        <w:rPr>
          <w:noProof/>
        </w:rPr>
        <w:t>) and ‘anti</w:t>
      </w:r>
      <w:r w:rsidR="00053EF7">
        <w:rPr>
          <w:noProof/>
        </w:rPr>
        <w:t>-</w:t>
      </w:r>
      <w:r>
        <w:rPr>
          <w:noProof/>
        </w:rPr>
        <w:t>fraud or anti</w:t>
      </w:r>
      <w:r w:rsidR="00053EF7">
        <w:rPr>
          <w:noProof/>
        </w:rPr>
        <w:t>-</w:t>
      </w:r>
      <w:r>
        <w:rPr>
          <w:noProof/>
        </w:rPr>
        <w:t>corruption strategy’ (</w:t>
      </w:r>
      <w:r w:rsidR="00502169">
        <w:rPr>
          <w:noProof/>
        </w:rPr>
        <w:t>20</w:t>
      </w:r>
      <w:r>
        <w:rPr>
          <w:noProof/>
        </w:rPr>
        <w:t xml:space="preserve"> measures reported by </w:t>
      </w:r>
      <w:r w:rsidR="00D06F12">
        <w:rPr>
          <w:noProof/>
        </w:rPr>
        <w:t>13</w:t>
      </w:r>
      <w:r>
        <w:rPr>
          <w:noProof/>
        </w:rPr>
        <w:t xml:space="preserve"> Member States</w:t>
      </w:r>
      <w:r w:rsidR="00053EF7">
        <w:rPr>
          <w:noProof/>
        </w:rPr>
        <w:t>)</w:t>
      </w:r>
      <w:r w:rsidRPr="00E733D9">
        <w:rPr>
          <w:noProof/>
        </w:rPr>
        <w:t> (</w:t>
      </w:r>
      <w:r>
        <w:rPr>
          <w:rStyle w:val="FootnoteReference"/>
          <w:noProof/>
        </w:rPr>
        <w:footnoteReference w:id="37"/>
      </w:r>
      <w:r>
        <w:rPr>
          <w:noProof/>
        </w:rPr>
        <w:t>).</w:t>
      </w:r>
    </w:p>
    <w:p w14:paraId="02DA66AC" w14:textId="496A89A7" w:rsidR="00035C35" w:rsidRPr="00814B72" w:rsidRDefault="00035C35" w:rsidP="008B1852">
      <w:pPr>
        <w:pStyle w:val="Caption"/>
        <w:keepNext/>
        <w:pBdr>
          <w:top w:val="single" w:sz="4" w:space="1" w:color="auto"/>
          <w:left w:val="single" w:sz="4" w:space="4" w:color="auto"/>
          <w:bottom w:val="single" w:sz="4" w:space="1" w:color="auto"/>
          <w:right w:val="single" w:sz="4" w:space="4" w:color="auto"/>
        </w:pBdr>
        <w:shd w:val="clear" w:color="auto" w:fill="DEEAF6" w:themeFill="accent1" w:themeFillTint="33"/>
        <w:rPr>
          <w:noProof/>
        </w:rPr>
      </w:pPr>
      <w:bookmarkStart w:id="39" w:name="_Ref197687390"/>
      <w:bookmarkStart w:id="40" w:name="_Ref197687287"/>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6A17D1">
        <w:rPr>
          <w:noProof/>
        </w:rPr>
        <w:t>1</w:t>
      </w:r>
      <w:r w:rsidR="00472123">
        <w:rPr>
          <w:noProof/>
        </w:rPr>
        <w:fldChar w:fldCharType="end"/>
      </w:r>
      <w:bookmarkEnd w:id="39"/>
      <w:r w:rsidRPr="00814B72">
        <w:rPr>
          <w:noProof/>
        </w:rPr>
        <w:t xml:space="preserve">: </w:t>
      </w:r>
      <w:bookmarkEnd w:id="40"/>
      <w:r>
        <w:rPr>
          <w:noProof/>
        </w:rPr>
        <w:t>Measures addressing conflict of interests</w:t>
      </w:r>
    </w:p>
    <w:p w14:paraId="0FA183EB" w14:textId="5E579C3F" w:rsidR="00035C35" w:rsidRDefault="0042561B" w:rsidP="00035C35">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The 30 measures reported by the Member States targeting conflict of interest revolve around three main sub-areas: </w:t>
      </w:r>
      <w:r w:rsidR="00053EF7">
        <w:rPr>
          <w:noProof/>
        </w:rPr>
        <w:t>(</w:t>
      </w:r>
      <w:r>
        <w:rPr>
          <w:noProof/>
        </w:rPr>
        <w:t xml:space="preserve">i) training and capacity building; </w:t>
      </w:r>
      <w:r w:rsidR="00053EF7">
        <w:rPr>
          <w:noProof/>
        </w:rPr>
        <w:t>(</w:t>
      </w:r>
      <w:r>
        <w:rPr>
          <w:noProof/>
        </w:rPr>
        <w:t xml:space="preserve">ii) management and deterrence; and </w:t>
      </w:r>
      <w:r w:rsidR="00053EF7">
        <w:rPr>
          <w:noProof/>
        </w:rPr>
        <w:t>(</w:t>
      </w:r>
      <w:r>
        <w:rPr>
          <w:noProof/>
        </w:rPr>
        <w:t xml:space="preserve">iii) transparency and </w:t>
      </w:r>
      <w:r w:rsidR="00053EF7">
        <w:rPr>
          <w:noProof/>
        </w:rPr>
        <w:t xml:space="preserve">better </w:t>
      </w:r>
      <w:r>
        <w:rPr>
          <w:noProof/>
        </w:rPr>
        <w:t>governance</w:t>
      </w:r>
      <w:r w:rsidR="00053EF7">
        <w:rPr>
          <w:noProof/>
        </w:rPr>
        <w:t> </w:t>
      </w:r>
      <w:r w:rsidR="009F4E52" w:rsidRPr="009F4E52">
        <w:rPr>
          <w:noProof/>
        </w:rPr>
        <w:t>(</w:t>
      </w:r>
      <w:r w:rsidR="009F4E52">
        <w:rPr>
          <w:rStyle w:val="FootnoteReference"/>
          <w:noProof/>
        </w:rPr>
        <w:footnoteReference w:id="38"/>
      </w:r>
      <w:r w:rsidR="009F4E52">
        <w:rPr>
          <w:noProof/>
        </w:rPr>
        <w:t>)</w:t>
      </w:r>
      <w:r>
        <w:rPr>
          <w:noProof/>
        </w:rPr>
        <w:t>. These measures put strong emphasis on prevention</w:t>
      </w:r>
      <w:r w:rsidR="00B351D2">
        <w:rPr>
          <w:noProof/>
        </w:rPr>
        <w:t>.</w:t>
      </w:r>
      <w:r>
        <w:rPr>
          <w:noProof/>
        </w:rPr>
        <w:t xml:space="preserve"> </w:t>
      </w:r>
      <w:r w:rsidR="00B351D2">
        <w:rPr>
          <w:noProof/>
        </w:rPr>
        <w:t>However</w:t>
      </w:r>
      <w:r>
        <w:rPr>
          <w:noProof/>
        </w:rPr>
        <w:t xml:space="preserve">, as new technologies </w:t>
      </w:r>
      <w:r w:rsidR="00B351D2">
        <w:rPr>
          <w:noProof/>
        </w:rPr>
        <w:t>emerge</w:t>
      </w:r>
      <w:r>
        <w:rPr>
          <w:noProof/>
        </w:rPr>
        <w:t>, several measures also incorporate new sophisticated detection mechanisms.</w:t>
      </w:r>
    </w:p>
    <w:p w14:paraId="424E8106" w14:textId="6211FAB2" w:rsidR="0042561B" w:rsidRDefault="0042561B" w:rsidP="00035C35">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42561B">
        <w:rPr>
          <w:noProof/>
        </w:rPr>
        <w:t xml:space="preserve">This blend of prevention and detection strategies highlights a shift towards comprehensive conflict of interest management systems that </w:t>
      </w:r>
      <w:r w:rsidR="00B351D2">
        <w:rPr>
          <w:noProof/>
        </w:rPr>
        <w:t>make use of</w:t>
      </w:r>
      <w:r w:rsidR="00B351D2" w:rsidRPr="0042561B">
        <w:rPr>
          <w:noProof/>
        </w:rPr>
        <w:t xml:space="preserve"> </w:t>
      </w:r>
      <w:r w:rsidRPr="0042561B">
        <w:rPr>
          <w:noProof/>
        </w:rPr>
        <w:t>both human oversight and technological innovation to reduce fraud risks.</w:t>
      </w:r>
    </w:p>
    <w:p w14:paraId="58B8ABEE" w14:textId="7353464C" w:rsidR="0042561B" w:rsidRDefault="00B351D2" w:rsidP="004F109F">
      <w:pPr>
        <w:keepNext/>
        <w:pBdr>
          <w:top w:val="single" w:sz="4" w:space="1" w:color="auto"/>
          <w:left w:val="single" w:sz="4" w:space="4" w:color="auto"/>
          <w:bottom w:val="single" w:sz="4" w:space="1" w:color="auto"/>
          <w:right w:val="single" w:sz="4" w:space="4" w:color="auto"/>
        </w:pBdr>
        <w:shd w:val="clear" w:color="auto" w:fill="DEEAF6" w:themeFill="accent1" w:themeFillTint="33"/>
        <w:rPr>
          <w:b/>
          <w:i/>
          <w:noProof/>
        </w:rPr>
      </w:pPr>
      <w:r>
        <w:rPr>
          <w:b/>
          <w:i/>
          <w:noProof/>
        </w:rPr>
        <w:t>(</w:t>
      </w:r>
      <w:r w:rsidR="0077317D">
        <w:rPr>
          <w:b/>
          <w:i/>
          <w:noProof/>
        </w:rPr>
        <w:t>i) Training and capacity building</w:t>
      </w:r>
    </w:p>
    <w:p w14:paraId="3FA8A0C1" w14:textId="0B62F7FC" w:rsidR="0077317D" w:rsidRDefault="0077317D" w:rsidP="00035C35">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77317D">
        <w:rPr>
          <w:noProof/>
        </w:rPr>
        <w:t xml:space="preserve">A significant focus on training reflects an understanding of the human element in </w:t>
      </w:r>
      <w:r w:rsidR="00B351D2">
        <w:rPr>
          <w:noProof/>
        </w:rPr>
        <w:t xml:space="preserve">managing </w:t>
      </w:r>
      <w:r w:rsidRPr="0077317D">
        <w:rPr>
          <w:noProof/>
        </w:rPr>
        <w:t xml:space="preserve">conflict of interest. </w:t>
      </w:r>
      <w:r>
        <w:rPr>
          <w:noProof/>
        </w:rPr>
        <w:t>Four Member States</w:t>
      </w:r>
      <w:r w:rsidRPr="0077317D">
        <w:rPr>
          <w:noProof/>
        </w:rPr>
        <w:t> (</w:t>
      </w:r>
      <w:r>
        <w:rPr>
          <w:rStyle w:val="FootnoteReference"/>
          <w:noProof/>
        </w:rPr>
        <w:footnoteReference w:id="39"/>
      </w:r>
      <w:r>
        <w:rPr>
          <w:noProof/>
        </w:rPr>
        <w:t>)</w:t>
      </w:r>
      <w:r w:rsidRPr="0077317D">
        <w:rPr>
          <w:noProof/>
        </w:rPr>
        <w:t xml:space="preserve"> have initiated comprehensive training program</w:t>
      </w:r>
      <w:r w:rsidR="00B351D2">
        <w:rPr>
          <w:noProof/>
        </w:rPr>
        <w:t>me</w:t>
      </w:r>
      <w:r w:rsidRPr="0077317D">
        <w:rPr>
          <w:noProof/>
        </w:rPr>
        <w:t xml:space="preserve">s designed to </w:t>
      </w:r>
      <w:r w:rsidR="00B95CD0">
        <w:rPr>
          <w:noProof/>
        </w:rPr>
        <w:t>equip</w:t>
      </w:r>
      <w:r w:rsidR="00B95CD0" w:rsidRPr="0077317D">
        <w:rPr>
          <w:noProof/>
        </w:rPr>
        <w:t xml:space="preserve"> </w:t>
      </w:r>
      <w:r w:rsidRPr="0077317D">
        <w:rPr>
          <w:noProof/>
        </w:rPr>
        <w:t>public officials with the skills necessary to identify and address conflict of interest effectively.</w:t>
      </w:r>
    </w:p>
    <w:p w14:paraId="432BD70B" w14:textId="3826493D" w:rsidR="0077317D" w:rsidRDefault="00B351D2" w:rsidP="0077317D">
      <w:pPr>
        <w:pBdr>
          <w:top w:val="single" w:sz="4" w:space="1" w:color="auto"/>
          <w:left w:val="single" w:sz="4" w:space="4" w:color="auto"/>
          <w:bottom w:val="single" w:sz="4" w:space="1" w:color="auto"/>
          <w:right w:val="single" w:sz="4" w:space="4" w:color="auto"/>
        </w:pBdr>
        <w:shd w:val="clear" w:color="auto" w:fill="DEEAF6" w:themeFill="accent1" w:themeFillTint="33"/>
        <w:rPr>
          <w:b/>
          <w:i/>
          <w:noProof/>
        </w:rPr>
      </w:pPr>
      <w:r>
        <w:rPr>
          <w:b/>
          <w:i/>
          <w:noProof/>
        </w:rPr>
        <w:t>(</w:t>
      </w:r>
      <w:r w:rsidR="0077317D">
        <w:rPr>
          <w:b/>
          <w:i/>
          <w:noProof/>
        </w:rPr>
        <w:t xml:space="preserve">ii) </w:t>
      </w:r>
      <w:r w:rsidR="00AA157A">
        <w:rPr>
          <w:b/>
          <w:i/>
          <w:noProof/>
        </w:rPr>
        <w:t>M</w:t>
      </w:r>
      <w:r w:rsidR="0077317D">
        <w:rPr>
          <w:b/>
          <w:i/>
          <w:noProof/>
        </w:rPr>
        <w:t>anagement and deterrence</w:t>
      </w:r>
    </w:p>
    <w:p w14:paraId="03E58D0D" w14:textId="3AADE2E5" w:rsidR="0077317D" w:rsidRDefault="0077317D" w:rsidP="00035C35">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77317D">
        <w:rPr>
          <w:noProof/>
        </w:rPr>
        <w:t>The goal of these measures is to prevent conflicts of interest from arising, to deter them effectively, and to detect and address them quickly if they do occur</w:t>
      </w:r>
      <w:r w:rsidR="00B351D2">
        <w:rPr>
          <w:noProof/>
        </w:rPr>
        <w:t>. This is achieved</w:t>
      </w:r>
      <w:r>
        <w:rPr>
          <w:noProof/>
        </w:rPr>
        <w:t xml:space="preserve"> through:</w:t>
      </w:r>
      <w:r w:rsidRPr="0077317D">
        <w:rPr>
          <w:noProof/>
        </w:rPr>
        <w:t xml:space="preserve"> </w:t>
      </w:r>
      <w:r>
        <w:rPr>
          <w:noProof/>
        </w:rPr>
        <w:t>enforc</w:t>
      </w:r>
      <w:r w:rsidR="00B351D2">
        <w:rPr>
          <w:noProof/>
        </w:rPr>
        <w:t>ing</w:t>
      </w:r>
      <w:r>
        <w:rPr>
          <w:noProof/>
        </w:rPr>
        <w:t xml:space="preserve"> </w:t>
      </w:r>
      <w:r w:rsidRPr="0077317D">
        <w:rPr>
          <w:noProof/>
        </w:rPr>
        <w:t>mandatory declarations for public procurement to maintain legal compliance (</w:t>
      </w:r>
      <w:r>
        <w:rPr>
          <w:rStyle w:val="FootnoteReference"/>
          <w:noProof/>
        </w:rPr>
        <w:footnoteReference w:id="40"/>
      </w:r>
      <w:r>
        <w:rPr>
          <w:noProof/>
        </w:rPr>
        <w:t xml:space="preserve">); </w:t>
      </w:r>
      <w:r w:rsidR="009F4E52" w:rsidRPr="0077317D">
        <w:rPr>
          <w:noProof/>
        </w:rPr>
        <w:t>focus</w:t>
      </w:r>
      <w:r w:rsidR="00B351D2">
        <w:rPr>
          <w:noProof/>
        </w:rPr>
        <w:t>ing</w:t>
      </w:r>
      <w:r w:rsidR="009F4E52" w:rsidRPr="0077317D">
        <w:rPr>
          <w:noProof/>
        </w:rPr>
        <w:t xml:space="preserve"> on transparency through required declarations</w:t>
      </w:r>
      <w:r w:rsidR="009F4E52" w:rsidRPr="009F4E52">
        <w:rPr>
          <w:noProof/>
        </w:rPr>
        <w:t> (</w:t>
      </w:r>
      <w:r w:rsidR="009F4E52">
        <w:rPr>
          <w:rStyle w:val="FootnoteReference"/>
          <w:noProof/>
        </w:rPr>
        <w:footnoteReference w:id="41"/>
      </w:r>
      <w:r w:rsidR="009F4E52">
        <w:rPr>
          <w:noProof/>
        </w:rPr>
        <w:t>);</w:t>
      </w:r>
      <w:r w:rsidR="009F4E52" w:rsidRPr="0077317D">
        <w:rPr>
          <w:noProof/>
        </w:rPr>
        <w:t xml:space="preserve"> </w:t>
      </w:r>
      <w:r w:rsidR="00B351D2">
        <w:rPr>
          <w:noProof/>
        </w:rPr>
        <w:t>improving</w:t>
      </w:r>
      <w:r w:rsidRPr="0077317D">
        <w:rPr>
          <w:noProof/>
        </w:rPr>
        <w:t xml:space="preserve"> detection using </w:t>
      </w:r>
      <w:r w:rsidR="000E2826">
        <w:rPr>
          <w:noProof/>
        </w:rPr>
        <w:t>dedicated tools</w:t>
      </w:r>
      <w:r w:rsidRPr="0077317D">
        <w:rPr>
          <w:noProof/>
        </w:rPr>
        <w:t>, revealing complex connections (</w:t>
      </w:r>
      <w:r>
        <w:rPr>
          <w:rStyle w:val="FootnoteReference"/>
          <w:noProof/>
        </w:rPr>
        <w:footnoteReference w:id="42"/>
      </w:r>
      <w:r>
        <w:rPr>
          <w:noProof/>
        </w:rPr>
        <w:t>);</w:t>
      </w:r>
      <w:r w:rsidR="009F4E52">
        <w:rPr>
          <w:noProof/>
        </w:rPr>
        <w:t xml:space="preserve"> and</w:t>
      </w:r>
      <w:r w:rsidRPr="0077317D">
        <w:rPr>
          <w:noProof/>
        </w:rPr>
        <w:t xml:space="preserve"> a preventive control mechanism for EU-funded procurements</w:t>
      </w:r>
      <w:r w:rsidR="009F4E52" w:rsidRPr="009F4E52">
        <w:rPr>
          <w:noProof/>
        </w:rPr>
        <w:t> (</w:t>
      </w:r>
      <w:r w:rsidR="009F4E52">
        <w:rPr>
          <w:rStyle w:val="FootnoteReference"/>
          <w:noProof/>
        </w:rPr>
        <w:footnoteReference w:id="43"/>
      </w:r>
      <w:r w:rsidR="009F4E52">
        <w:rPr>
          <w:noProof/>
        </w:rPr>
        <w:t>)</w:t>
      </w:r>
      <w:r w:rsidRPr="0077317D">
        <w:rPr>
          <w:noProof/>
        </w:rPr>
        <w:t>.</w:t>
      </w:r>
    </w:p>
    <w:p w14:paraId="1860ED36" w14:textId="6E4834E2" w:rsidR="009F4E52" w:rsidRDefault="00B351D2" w:rsidP="00B351D2">
      <w:pPr>
        <w:keepNext/>
        <w:pBdr>
          <w:top w:val="single" w:sz="4" w:space="1" w:color="auto"/>
          <w:left w:val="single" w:sz="4" w:space="4" w:color="auto"/>
          <w:bottom w:val="single" w:sz="4" w:space="1" w:color="auto"/>
          <w:right w:val="single" w:sz="4" w:space="4" w:color="auto"/>
        </w:pBdr>
        <w:shd w:val="clear" w:color="auto" w:fill="DEEAF6" w:themeFill="accent1" w:themeFillTint="33"/>
        <w:rPr>
          <w:b/>
          <w:i/>
          <w:noProof/>
        </w:rPr>
      </w:pPr>
      <w:r>
        <w:rPr>
          <w:b/>
          <w:i/>
          <w:noProof/>
        </w:rPr>
        <w:t>(</w:t>
      </w:r>
      <w:r w:rsidR="009F4E52">
        <w:rPr>
          <w:b/>
          <w:i/>
          <w:noProof/>
        </w:rPr>
        <w:t>i</w:t>
      </w:r>
      <w:r w:rsidR="00502169">
        <w:rPr>
          <w:b/>
          <w:i/>
          <w:noProof/>
        </w:rPr>
        <w:t>i</w:t>
      </w:r>
      <w:r w:rsidR="009F4E52">
        <w:rPr>
          <w:b/>
          <w:i/>
          <w:noProof/>
        </w:rPr>
        <w:t>i) Enhancement of transparency and governance</w:t>
      </w:r>
    </w:p>
    <w:p w14:paraId="59790104" w14:textId="28ABA757" w:rsidR="009F4E52" w:rsidRPr="0077317D" w:rsidRDefault="009F4E52" w:rsidP="00035C35">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9F4E52">
        <w:rPr>
          <w:noProof/>
        </w:rPr>
        <w:t>Member States (</w:t>
      </w:r>
      <w:r>
        <w:rPr>
          <w:rStyle w:val="FootnoteReference"/>
          <w:noProof/>
        </w:rPr>
        <w:footnoteReference w:id="44"/>
      </w:r>
      <w:r>
        <w:rPr>
          <w:noProof/>
        </w:rPr>
        <w:t>)</w:t>
      </w:r>
      <w:r w:rsidRPr="009F4E52">
        <w:rPr>
          <w:noProof/>
        </w:rPr>
        <w:t xml:space="preserve"> are prioritising these areas to strengthen regulatory compliance and mitigate conflict of interest. The measures taken involve </w:t>
      </w:r>
      <w:r w:rsidR="00B351D2">
        <w:rPr>
          <w:noProof/>
        </w:rPr>
        <w:t>increasing</w:t>
      </w:r>
      <w:r w:rsidR="00B351D2" w:rsidRPr="009F4E52">
        <w:rPr>
          <w:noProof/>
        </w:rPr>
        <w:t xml:space="preserve"> </w:t>
      </w:r>
      <w:r w:rsidRPr="009F4E52">
        <w:rPr>
          <w:noProof/>
        </w:rPr>
        <w:t xml:space="preserve">compliance in procurement </w:t>
      </w:r>
      <w:r w:rsidR="00B351D2" w:rsidRPr="009F4E52">
        <w:rPr>
          <w:noProof/>
        </w:rPr>
        <w:t>proce</w:t>
      </w:r>
      <w:r w:rsidR="00B351D2">
        <w:rPr>
          <w:noProof/>
        </w:rPr>
        <w:t>dures</w:t>
      </w:r>
      <w:r w:rsidR="00B351D2" w:rsidRPr="009F4E52">
        <w:rPr>
          <w:noProof/>
        </w:rPr>
        <w:t xml:space="preserve"> </w:t>
      </w:r>
      <w:r w:rsidRPr="009F4E52">
        <w:rPr>
          <w:noProof/>
        </w:rPr>
        <w:t>and offering clear guidance and instructions to officials</w:t>
      </w:r>
      <w:r w:rsidR="00B351D2">
        <w:rPr>
          <w:noProof/>
        </w:rPr>
        <w:t xml:space="preserve">. This, in </w:t>
      </w:r>
      <w:r w:rsidR="00015D00">
        <w:rPr>
          <w:noProof/>
        </w:rPr>
        <w:t>turn, strengthens</w:t>
      </w:r>
      <w:r w:rsidRPr="009F4E52">
        <w:rPr>
          <w:noProof/>
        </w:rPr>
        <w:t xml:space="preserve"> ethical standards and accountability in public administration.</w:t>
      </w:r>
    </w:p>
    <w:p w14:paraId="1228CC79" w14:textId="77777777" w:rsidR="00EB68A2" w:rsidRPr="00C135E0" w:rsidRDefault="00EB68A2" w:rsidP="00AF60F8">
      <w:pPr>
        <w:pStyle w:val="Heading3"/>
        <w:rPr>
          <w:noProof/>
        </w:rPr>
      </w:pPr>
      <w:bookmarkStart w:id="41" w:name="_Enhanced_cooperation_and"/>
      <w:bookmarkStart w:id="42" w:name="_Toc202011325"/>
      <w:bookmarkStart w:id="43" w:name="_Toc203477663"/>
      <w:bookmarkEnd w:id="41"/>
      <w:r w:rsidRPr="00C135E0">
        <w:rPr>
          <w:noProof/>
        </w:rPr>
        <w:t>Enhanced cooperation and information exchange</w:t>
      </w:r>
      <w:bookmarkEnd w:id="42"/>
      <w:bookmarkEnd w:id="43"/>
    </w:p>
    <w:p w14:paraId="42390584" w14:textId="2516A603" w:rsidR="00EB68A2" w:rsidRDefault="00B351D2" w:rsidP="00EB68A2">
      <w:pPr>
        <w:rPr>
          <w:noProof/>
        </w:rPr>
      </w:pPr>
      <w:r>
        <w:rPr>
          <w:noProof/>
        </w:rPr>
        <w:t>Improving</w:t>
      </w:r>
      <w:r w:rsidR="00EB68A2">
        <w:rPr>
          <w:noProof/>
        </w:rPr>
        <w:t xml:space="preserve"> </w:t>
      </w:r>
      <w:r w:rsidR="001B43B7">
        <w:rPr>
          <w:noProof/>
        </w:rPr>
        <w:t xml:space="preserve">EU and national </w:t>
      </w:r>
      <w:r w:rsidR="00EB68A2">
        <w:rPr>
          <w:noProof/>
        </w:rPr>
        <w:t xml:space="preserve">cooperation and information exchange is another key focus area of this year’s reported measures, aligning with </w:t>
      </w:r>
      <w:hyperlink r:id="rId28" w:anchor="subchapter5-3" w:history="1">
        <w:r w:rsidR="00EB68A2" w:rsidRPr="009D71BD">
          <w:rPr>
            <w:rStyle w:val="Hyperlink"/>
            <w:noProof/>
          </w:rPr>
          <w:t>Recommendation 3</w:t>
        </w:r>
      </w:hyperlink>
      <w:r w:rsidR="00EB68A2">
        <w:rPr>
          <w:noProof/>
        </w:rPr>
        <w:t xml:space="preserve"> of the </w:t>
      </w:r>
      <w:r w:rsidR="00AF60F8">
        <w:rPr>
          <w:noProof/>
        </w:rPr>
        <w:t xml:space="preserve">2023 </w:t>
      </w:r>
      <w:r w:rsidR="00EB68A2">
        <w:rPr>
          <w:noProof/>
        </w:rPr>
        <w:t xml:space="preserve">PIF </w:t>
      </w:r>
      <w:r w:rsidR="00AF60F8">
        <w:rPr>
          <w:noProof/>
        </w:rPr>
        <w:t>report</w:t>
      </w:r>
      <w:r w:rsidR="00EB68A2">
        <w:rPr>
          <w:noProof/>
        </w:rPr>
        <w:t xml:space="preserve"> to develop the governance of the anti-fraud architecture</w:t>
      </w:r>
      <w:r w:rsidR="00955073" w:rsidRPr="00955073">
        <w:rPr>
          <w:noProof/>
        </w:rPr>
        <w:t> (</w:t>
      </w:r>
      <w:r w:rsidR="00955073">
        <w:rPr>
          <w:rStyle w:val="FootnoteReference"/>
          <w:noProof/>
        </w:rPr>
        <w:footnoteReference w:id="45"/>
      </w:r>
      <w:r w:rsidR="00955073">
        <w:rPr>
          <w:noProof/>
        </w:rPr>
        <w:t>)</w:t>
      </w:r>
      <w:r w:rsidR="00EB68A2">
        <w:rPr>
          <w:noProof/>
        </w:rPr>
        <w:t xml:space="preserve">. </w:t>
      </w:r>
      <w:r w:rsidR="00975845">
        <w:rPr>
          <w:noProof/>
        </w:rPr>
        <w:t xml:space="preserve">Some </w:t>
      </w:r>
      <w:r w:rsidR="00EB68A2">
        <w:rPr>
          <w:noProof/>
        </w:rPr>
        <w:t xml:space="preserve">11 measures were </w:t>
      </w:r>
      <w:r w:rsidR="00975845">
        <w:rPr>
          <w:noProof/>
        </w:rPr>
        <w:t>adopted by Member States to improve cooperation and information exchange</w:t>
      </w:r>
      <w:r w:rsidR="00EB68A2">
        <w:rPr>
          <w:noProof/>
        </w:rPr>
        <w:t>.</w:t>
      </w:r>
    </w:p>
    <w:p w14:paraId="20955E57" w14:textId="1B1BBD78" w:rsidR="00EB68A2" w:rsidRDefault="00EB68A2" w:rsidP="00EB68A2">
      <w:pPr>
        <w:rPr>
          <w:noProof/>
        </w:rPr>
      </w:pPr>
      <w:r>
        <w:rPr>
          <w:noProof/>
        </w:rPr>
        <w:t xml:space="preserve">Seven of these measures </w:t>
      </w:r>
      <w:r w:rsidR="004D76BA">
        <w:rPr>
          <w:noProof/>
        </w:rPr>
        <w:t xml:space="preserve">(listed in </w:t>
      </w:r>
      <w:r w:rsidR="00255A67">
        <w:rPr>
          <w:noProof/>
        </w:rPr>
        <w:t>Table 1</w:t>
      </w:r>
      <w:r w:rsidR="00AD6ECA">
        <w:rPr>
          <w:noProof/>
        </w:rPr>
        <w:t xml:space="preserve"> in Annex 3</w:t>
      </w:r>
      <w:r w:rsidR="004D76BA">
        <w:rPr>
          <w:noProof/>
        </w:rPr>
        <w:t xml:space="preserve">) </w:t>
      </w:r>
      <w:r>
        <w:rPr>
          <w:noProof/>
        </w:rPr>
        <w:t xml:space="preserve">address cooperation at national level by establishing dedicated anti-fraud bodies, departments or sections. These initiatives also include setting up contact points and network meetings to </w:t>
      </w:r>
      <w:r w:rsidR="00B351D2">
        <w:rPr>
          <w:noProof/>
        </w:rPr>
        <w:t xml:space="preserve">improving </w:t>
      </w:r>
      <w:r>
        <w:rPr>
          <w:noProof/>
        </w:rPr>
        <w:t>coordination, along with a job-shadowing program</w:t>
      </w:r>
      <w:r w:rsidR="00B351D2">
        <w:rPr>
          <w:noProof/>
        </w:rPr>
        <w:t>me</w:t>
      </w:r>
      <w:r>
        <w:rPr>
          <w:noProof/>
        </w:rPr>
        <w:t xml:space="preserve"> within the AFCOS network to facilitate the exchange of best practices.</w:t>
      </w:r>
    </w:p>
    <w:p w14:paraId="00717064" w14:textId="4E6D2F8E" w:rsidR="0048430C" w:rsidRDefault="007C472E" w:rsidP="00FA377B">
      <w:pPr>
        <w:pStyle w:val="Heading2"/>
        <w:rPr>
          <w:noProof/>
        </w:rPr>
      </w:pPr>
      <w:bookmarkStart w:id="44" w:name="_Toc202011326"/>
      <w:bookmarkStart w:id="45" w:name="_Toc203477664"/>
      <w:r>
        <w:rPr>
          <w:noProof/>
        </w:rPr>
        <w:t xml:space="preserve">Cooperation between the </w:t>
      </w:r>
      <w:bookmarkEnd w:id="44"/>
      <w:r w:rsidR="00C76F14">
        <w:rPr>
          <w:noProof/>
        </w:rPr>
        <w:t>EU and national level</w:t>
      </w:r>
      <w:bookmarkEnd w:id="45"/>
    </w:p>
    <w:p w14:paraId="1AF1517F" w14:textId="1D79D3FF" w:rsidR="00186CF7" w:rsidRPr="00C135E0" w:rsidRDefault="00186CF7" w:rsidP="008C7C14">
      <w:pPr>
        <w:pStyle w:val="Heading3"/>
        <w:rPr>
          <w:noProof/>
        </w:rPr>
      </w:pPr>
      <w:bookmarkStart w:id="46" w:name="_Dedicated_fora:_COCOLAF"/>
      <w:bookmarkStart w:id="47" w:name="_Toc202011327"/>
      <w:bookmarkStart w:id="48" w:name="_Toc203477665"/>
      <w:bookmarkEnd w:id="46"/>
      <w:r w:rsidRPr="00C135E0">
        <w:rPr>
          <w:noProof/>
        </w:rPr>
        <w:t xml:space="preserve">Dedicated </w:t>
      </w:r>
      <w:r w:rsidR="00A56EA8" w:rsidRPr="00955073">
        <w:rPr>
          <w:i/>
          <w:noProof/>
        </w:rPr>
        <w:t>for</w:t>
      </w:r>
      <w:r w:rsidR="00A56EA8">
        <w:rPr>
          <w:i/>
          <w:noProof/>
        </w:rPr>
        <w:t>ums</w:t>
      </w:r>
      <w:r w:rsidRPr="00C135E0">
        <w:rPr>
          <w:noProof/>
        </w:rPr>
        <w:t>: COCOLAF and its subgroups</w:t>
      </w:r>
      <w:bookmarkEnd w:id="47"/>
      <w:bookmarkEnd w:id="48"/>
    </w:p>
    <w:p w14:paraId="36D02C36" w14:textId="4980B9FD" w:rsidR="004D0A64" w:rsidRDefault="004D0A64" w:rsidP="004D0A64">
      <w:pPr>
        <w:rPr>
          <w:noProof/>
        </w:rPr>
      </w:pPr>
      <w:r>
        <w:rPr>
          <w:noProof/>
        </w:rPr>
        <w:t>The Commission cooperates directly with Member State</w:t>
      </w:r>
      <w:r w:rsidR="00015D00">
        <w:rPr>
          <w:noProof/>
        </w:rPr>
        <w:t>s’</w:t>
      </w:r>
      <w:r>
        <w:rPr>
          <w:noProof/>
        </w:rPr>
        <w:t xml:space="preserve"> authorities to </w:t>
      </w:r>
      <w:r w:rsidR="00A56EA8">
        <w:rPr>
          <w:noProof/>
        </w:rPr>
        <w:t xml:space="preserve">improve </w:t>
      </w:r>
      <w:r>
        <w:rPr>
          <w:noProof/>
        </w:rPr>
        <w:t>fraud prevention through the Advisory Committee for the Coordination of Fraud Prevention (COCOLAF), a Commission expert group set up in 1994</w:t>
      </w:r>
      <w:r w:rsidRPr="004D0A64">
        <w:rPr>
          <w:noProof/>
        </w:rPr>
        <w:t> (</w:t>
      </w:r>
      <w:r>
        <w:rPr>
          <w:rStyle w:val="FootnoteReference"/>
          <w:noProof/>
        </w:rPr>
        <w:footnoteReference w:id="46"/>
      </w:r>
      <w:r>
        <w:rPr>
          <w:noProof/>
        </w:rPr>
        <w:t xml:space="preserve">) and managed by OLAF. Composed of representatives from the competent national services of the Member States and from Commission </w:t>
      </w:r>
      <w:r w:rsidR="00A56EA8">
        <w:rPr>
          <w:noProof/>
        </w:rPr>
        <w:t>departments</w:t>
      </w:r>
      <w:r>
        <w:rPr>
          <w:noProof/>
        </w:rPr>
        <w:t xml:space="preserve">, COCOLAF serves as a forum to facilitate cooperation and the exchange of information and good practices on protecting the EU’s financial interests. </w:t>
      </w:r>
    </w:p>
    <w:p w14:paraId="6B3CE600" w14:textId="52371A9B" w:rsidR="004D0A64" w:rsidRDefault="004D0A64" w:rsidP="004D0A64">
      <w:pPr>
        <w:rPr>
          <w:noProof/>
        </w:rPr>
      </w:pPr>
      <w:r>
        <w:rPr>
          <w:noProof/>
        </w:rPr>
        <w:t xml:space="preserve">COCOLAF meets twice per year in </w:t>
      </w:r>
      <w:r w:rsidR="00015D00">
        <w:rPr>
          <w:noProof/>
        </w:rPr>
        <w:t xml:space="preserve">a </w:t>
      </w:r>
      <w:r>
        <w:rPr>
          <w:noProof/>
        </w:rPr>
        <w:t xml:space="preserve">plenary </w:t>
      </w:r>
      <w:r w:rsidR="00C148B1">
        <w:rPr>
          <w:noProof/>
        </w:rPr>
        <w:t xml:space="preserve">session </w:t>
      </w:r>
      <w:r>
        <w:rPr>
          <w:noProof/>
        </w:rPr>
        <w:t xml:space="preserve">and several times in specialised sub- and </w:t>
      </w:r>
      <w:r w:rsidR="00502169">
        <w:rPr>
          <w:noProof/>
        </w:rPr>
        <w:t>working</w:t>
      </w:r>
      <w:r>
        <w:rPr>
          <w:noProof/>
        </w:rPr>
        <w:t xml:space="preserve"> groups, addressing key topics such as fraud prevention policies and actions, anti-fraud strategies, irregularity reporting and analysis, operational cooperation and coordination between AFCOS and OLAF. The annual PIF Report is prepared </w:t>
      </w:r>
      <w:r w:rsidR="00A56EA8">
        <w:rPr>
          <w:noProof/>
        </w:rPr>
        <w:t>under the aegis</w:t>
      </w:r>
      <w:r>
        <w:rPr>
          <w:noProof/>
        </w:rPr>
        <w:t xml:space="preserve"> of COCOLAF. </w:t>
      </w:r>
      <w:r w:rsidR="000E2826">
        <w:rPr>
          <w:noProof/>
        </w:rPr>
        <w:t>D</w:t>
      </w:r>
      <w:r>
        <w:rPr>
          <w:noProof/>
        </w:rPr>
        <w:t xml:space="preserve">edicated </w:t>
      </w:r>
      <w:r w:rsidR="00502169">
        <w:rPr>
          <w:noProof/>
        </w:rPr>
        <w:t>working</w:t>
      </w:r>
      <w:r>
        <w:rPr>
          <w:noProof/>
        </w:rPr>
        <w:t xml:space="preserve"> group</w:t>
      </w:r>
      <w:r w:rsidR="000E2826">
        <w:rPr>
          <w:noProof/>
        </w:rPr>
        <w:t>s</w:t>
      </w:r>
      <w:r>
        <w:rPr>
          <w:noProof/>
        </w:rPr>
        <w:t xml:space="preserve"> w</w:t>
      </w:r>
      <w:r w:rsidR="000E2826">
        <w:rPr>
          <w:noProof/>
        </w:rPr>
        <w:t>ere</w:t>
      </w:r>
      <w:r>
        <w:rPr>
          <w:noProof/>
        </w:rPr>
        <w:t xml:space="preserve"> set up in 2024 </w:t>
      </w:r>
      <w:r w:rsidR="00A56EA8">
        <w:rPr>
          <w:noProof/>
        </w:rPr>
        <w:t xml:space="preserve">to </w:t>
      </w:r>
      <w:r>
        <w:rPr>
          <w:noProof/>
        </w:rPr>
        <w:t>revis</w:t>
      </w:r>
      <w:r w:rsidR="00A56EA8">
        <w:rPr>
          <w:noProof/>
        </w:rPr>
        <w:t xml:space="preserve">e </w:t>
      </w:r>
      <w:r>
        <w:rPr>
          <w:noProof/>
        </w:rPr>
        <w:t xml:space="preserve">the </w:t>
      </w:r>
      <w:r w:rsidR="000E2826">
        <w:rPr>
          <w:noProof/>
        </w:rPr>
        <w:t>‘</w:t>
      </w:r>
      <w:r w:rsidRPr="00A56EA8">
        <w:rPr>
          <w:iCs/>
          <w:noProof/>
        </w:rPr>
        <w:t>Handbook on irregularities reporting</w:t>
      </w:r>
      <w:r w:rsidR="000E2826">
        <w:rPr>
          <w:i/>
          <w:noProof/>
        </w:rPr>
        <w:t xml:space="preserve">’ </w:t>
      </w:r>
      <w:r w:rsidR="000E2826">
        <w:rPr>
          <w:noProof/>
        </w:rPr>
        <w:t xml:space="preserve">and draft a document to share </w:t>
      </w:r>
      <w:r w:rsidR="00A56EA8">
        <w:rPr>
          <w:noProof/>
        </w:rPr>
        <w:t xml:space="preserve">Member States’ </w:t>
      </w:r>
      <w:r w:rsidR="000E2826">
        <w:rPr>
          <w:noProof/>
        </w:rPr>
        <w:t>experience</w:t>
      </w:r>
      <w:r w:rsidR="008D00A8">
        <w:rPr>
          <w:noProof/>
        </w:rPr>
        <w:t>s</w:t>
      </w:r>
      <w:r w:rsidR="000E2826">
        <w:rPr>
          <w:noProof/>
        </w:rPr>
        <w:t xml:space="preserve"> </w:t>
      </w:r>
      <w:r w:rsidR="00015D00">
        <w:rPr>
          <w:noProof/>
        </w:rPr>
        <w:t xml:space="preserve">in </w:t>
      </w:r>
      <w:r w:rsidR="000E2826">
        <w:rPr>
          <w:noProof/>
        </w:rPr>
        <w:t>dealing with ‘</w:t>
      </w:r>
      <w:r w:rsidR="000E2826" w:rsidRPr="008D00A8">
        <w:rPr>
          <w:iCs/>
          <w:noProof/>
        </w:rPr>
        <w:t>Double funding in EU funded projects</w:t>
      </w:r>
      <w:r w:rsidR="000E2826" w:rsidRPr="00015D00">
        <w:rPr>
          <w:iCs/>
          <w:noProof/>
        </w:rPr>
        <w:t>’ </w:t>
      </w:r>
      <w:r w:rsidR="000E2826" w:rsidRPr="007D0547">
        <w:rPr>
          <w:iCs/>
          <w:noProof/>
        </w:rPr>
        <w:t>(</w:t>
      </w:r>
      <w:r w:rsidR="000E2826" w:rsidRPr="007D0547">
        <w:rPr>
          <w:rStyle w:val="FootnoteReference"/>
          <w:iCs/>
          <w:noProof/>
        </w:rPr>
        <w:footnoteReference w:id="47"/>
      </w:r>
      <w:r w:rsidR="000E2826" w:rsidRPr="007D0547">
        <w:rPr>
          <w:iCs/>
          <w:noProof/>
        </w:rPr>
        <w:t>)</w:t>
      </w:r>
      <w:r w:rsidR="00E01033">
        <w:rPr>
          <w:noProof/>
        </w:rPr>
        <w:t>.</w:t>
      </w:r>
    </w:p>
    <w:p w14:paraId="6988BED9" w14:textId="1C9C55FF" w:rsidR="00C9231A" w:rsidRPr="00814B72" w:rsidRDefault="00C9231A" w:rsidP="00DC0B57">
      <w:pPr>
        <w:pStyle w:val="Caption"/>
        <w:keepNext/>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Snapshot </w:t>
      </w:r>
      <w:r>
        <w:rPr>
          <w:noProof/>
        </w:rPr>
        <w:fldChar w:fldCharType="begin"/>
      </w:r>
      <w:r>
        <w:rPr>
          <w:noProof/>
        </w:rPr>
        <w:instrText xml:space="preserve"> SEQ Snapshot \* ARABIC </w:instrText>
      </w:r>
      <w:r>
        <w:rPr>
          <w:noProof/>
        </w:rPr>
        <w:fldChar w:fldCharType="separate"/>
      </w:r>
      <w:r w:rsidR="006A17D1">
        <w:rPr>
          <w:noProof/>
        </w:rPr>
        <w:t>2</w:t>
      </w:r>
      <w:r>
        <w:rPr>
          <w:noProof/>
        </w:rPr>
        <w:fldChar w:fldCharType="end"/>
      </w:r>
      <w:r w:rsidRPr="00814B72">
        <w:rPr>
          <w:noProof/>
        </w:rPr>
        <w:t xml:space="preserve">: </w:t>
      </w:r>
      <w:r>
        <w:rPr>
          <w:noProof/>
        </w:rPr>
        <w:t>Measures to strengthen the cooperation between the</w:t>
      </w:r>
      <w:r w:rsidR="001B43B7">
        <w:rPr>
          <w:noProof/>
        </w:rPr>
        <w:t xml:space="preserve"> EU and the </w:t>
      </w:r>
      <w:r w:rsidR="006A17D1">
        <w:rPr>
          <w:noProof/>
        </w:rPr>
        <w:t>national level</w:t>
      </w:r>
      <w:r>
        <w:rPr>
          <w:noProof/>
        </w:rPr>
        <w:t xml:space="preserve"> of the anti-fraud architecture</w:t>
      </w:r>
    </w:p>
    <w:p w14:paraId="60E17B89" w14:textId="3A431AF2" w:rsidR="00C9231A" w:rsidRPr="004D0A64" w:rsidRDefault="00C9231A" w:rsidP="00DC0B57">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Four Member States reported measures (listed in </w:t>
      </w:r>
      <w:r w:rsidR="00255A67">
        <w:rPr>
          <w:noProof/>
        </w:rPr>
        <w:t>Table 2</w:t>
      </w:r>
      <w:r>
        <w:rPr>
          <w:noProof/>
        </w:rPr>
        <w:t xml:space="preserve"> in Annex 3) focusing on strengthening collaboration with EU bodies. These involved organising an EU-wide anti-fraud conference in collaboration with OLAF and implementing efforts to encourage broader, cross-border cooperation.</w:t>
      </w:r>
    </w:p>
    <w:p w14:paraId="1A507002" w14:textId="15C23BCE" w:rsidR="00186CF7" w:rsidRDefault="00186CF7" w:rsidP="008C7C14">
      <w:pPr>
        <w:pStyle w:val="Heading3"/>
        <w:rPr>
          <w:noProof/>
        </w:rPr>
      </w:pPr>
      <w:bookmarkStart w:id="49" w:name="_Toc202011328"/>
      <w:bookmarkStart w:id="50" w:name="_Toc203477666"/>
      <w:r>
        <w:rPr>
          <w:noProof/>
        </w:rPr>
        <w:t xml:space="preserve">Implementation of the </w:t>
      </w:r>
      <w:r w:rsidR="008D00A8">
        <w:rPr>
          <w:noProof/>
        </w:rPr>
        <w:t xml:space="preserve">EU </w:t>
      </w:r>
      <w:r>
        <w:rPr>
          <w:noProof/>
        </w:rPr>
        <w:t>anti-fraud programme</w:t>
      </w:r>
      <w:bookmarkEnd w:id="49"/>
      <w:bookmarkEnd w:id="50"/>
    </w:p>
    <w:p w14:paraId="15CF96FD" w14:textId="246DE7D0" w:rsidR="008D00A8" w:rsidRDefault="00186CF7" w:rsidP="00186CF7">
      <w:pPr>
        <w:rPr>
          <w:noProof/>
        </w:rPr>
      </w:pPr>
      <w:r w:rsidRPr="00814B72">
        <w:rPr>
          <w:noProof/>
        </w:rPr>
        <w:t xml:space="preserve">The </w:t>
      </w:r>
      <w:r>
        <w:rPr>
          <w:noProof/>
        </w:rPr>
        <w:t>EU</w:t>
      </w:r>
      <w:r w:rsidRPr="00814B72">
        <w:rPr>
          <w:noProof/>
        </w:rPr>
        <w:t xml:space="preserve"> </w:t>
      </w:r>
      <w:r>
        <w:rPr>
          <w:noProof/>
        </w:rPr>
        <w:t>a</w:t>
      </w:r>
      <w:r w:rsidRPr="00814B72">
        <w:rPr>
          <w:noProof/>
        </w:rPr>
        <w:t>nti-</w:t>
      </w:r>
      <w:r>
        <w:rPr>
          <w:noProof/>
        </w:rPr>
        <w:t>f</w:t>
      </w:r>
      <w:r w:rsidRPr="00814B72">
        <w:rPr>
          <w:noProof/>
        </w:rPr>
        <w:t xml:space="preserve">raud </w:t>
      </w:r>
      <w:r>
        <w:rPr>
          <w:noProof/>
        </w:rPr>
        <w:t>p</w:t>
      </w:r>
      <w:r w:rsidRPr="00814B72">
        <w:rPr>
          <w:noProof/>
        </w:rPr>
        <w:t xml:space="preserve">rogramme (UAFP), with a budget </w:t>
      </w:r>
      <w:r w:rsidR="008D00A8" w:rsidRPr="00814B72">
        <w:rPr>
          <w:noProof/>
        </w:rPr>
        <w:t>for 2021-2027</w:t>
      </w:r>
      <w:r w:rsidR="008D00A8">
        <w:rPr>
          <w:noProof/>
        </w:rPr>
        <w:t xml:space="preserve"> </w:t>
      </w:r>
      <w:r w:rsidRPr="00814B72">
        <w:rPr>
          <w:noProof/>
        </w:rPr>
        <w:t xml:space="preserve">of </w:t>
      </w:r>
      <w:r w:rsidR="008D00A8" w:rsidRPr="00814B72">
        <w:rPr>
          <w:noProof/>
        </w:rPr>
        <w:t>EUR</w:t>
      </w:r>
      <w:r w:rsidR="008D00A8">
        <w:rPr>
          <w:noProof/>
        </w:rPr>
        <w:t> </w:t>
      </w:r>
      <w:r w:rsidRPr="00814B72">
        <w:rPr>
          <w:noProof/>
        </w:rPr>
        <w:t>181 million, provides financial support for</w:t>
      </w:r>
      <w:r w:rsidR="008D00A8">
        <w:rPr>
          <w:noProof/>
        </w:rPr>
        <w:t>:</w:t>
      </w:r>
    </w:p>
    <w:p w14:paraId="48883994" w14:textId="231BD567" w:rsidR="008D00A8" w:rsidRPr="008E6751" w:rsidRDefault="00186CF7" w:rsidP="002326B8">
      <w:pPr>
        <w:pStyle w:val="ListParagraph"/>
        <w:numPr>
          <w:ilvl w:val="0"/>
          <w:numId w:val="27"/>
        </w:numPr>
        <w:rPr>
          <w:noProof/>
        </w:rPr>
      </w:pPr>
      <w:r w:rsidRPr="002326B8">
        <w:rPr>
          <w:rFonts w:ascii="Times New Roman" w:hAnsi="Times New Roman"/>
          <w:noProof/>
        </w:rPr>
        <w:t xml:space="preserve">the protection of the EU’s financial interests by its Member States; </w:t>
      </w:r>
    </w:p>
    <w:p w14:paraId="01315CF1" w14:textId="2B62D3B2" w:rsidR="008D00A8" w:rsidRPr="002326B8" w:rsidRDefault="00186CF7" w:rsidP="008D00A8">
      <w:pPr>
        <w:pStyle w:val="ListParagraph"/>
        <w:numPr>
          <w:ilvl w:val="0"/>
          <w:numId w:val="27"/>
        </w:numPr>
        <w:rPr>
          <w:rFonts w:ascii="Times New Roman" w:hAnsi="Times New Roman"/>
          <w:noProof/>
        </w:rPr>
      </w:pPr>
      <w:r w:rsidRPr="002326B8">
        <w:rPr>
          <w:rFonts w:ascii="Times New Roman" w:hAnsi="Times New Roman"/>
          <w:noProof/>
        </w:rPr>
        <w:t xml:space="preserve">the organisation of mutual administrative assistance and cooperation in customs and agricultural matters (Anti-Fraud Information System – AFIS); and </w:t>
      </w:r>
    </w:p>
    <w:p w14:paraId="1AE5C6AF" w14:textId="48209228" w:rsidR="00186CF7" w:rsidRPr="008E6751" w:rsidRDefault="00186CF7" w:rsidP="002326B8">
      <w:pPr>
        <w:pStyle w:val="ListParagraph"/>
        <w:numPr>
          <w:ilvl w:val="0"/>
          <w:numId w:val="27"/>
        </w:numPr>
        <w:spacing w:after="120"/>
        <w:ind w:left="782"/>
        <w:rPr>
          <w:noProof/>
        </w:rPr>
      </w:pPr>
      <w:r w:rsidRPr="002326B8">
        <w:rPr>
          <w:rFonts w:ascii="Times New Roman" w:hAnsi="Times New Roman"/>
          <w:noProof/>
        </w:rPr>
        <w:t xml:space="preserve">the development and maintenance of </w:t>
      </w:r>
      <w:r w:rsidR="008D00A8">
        <w:rPr>
          <w:rFonts w:ascii="Times New Roman" w:hAnsi="Times New Roman"/>
          <w:noProof/>
        </w:rPr>
        <w:t xml:space="preserve">the Irregularity </w:t>
      </w:r>
      <w:r w:rsidRPr="002326B8">
        <w:rPr>
          <w:rFonts w:ascii="Times New Roman" w:hAnsi="Times New Roman"/>
          <w:noProof/>
        </w:rPr>
        <w:t>M</w:t>
      </w:r>
      <w:r w:rsidR="008D00A8">
        <w:rPr>
          <w:rFonts w:ascii="Times New Roman" w:hAnsi="Times New Roman"/>
          <w:noProof/>
        </w:rPr>
        <w:t xml:space="preserve">anagement </w:t>
      </w:r>
      <w:r w:rsidRPr="002326B8">
        <w:rPr>
          <w:rFonts w:ascii="Times New Roman" w:hAnsi="Times New Roman"/>
          <w:noProof/>
        </w:rPr>
        <w:t>S</w:t>
      </w:r>
      <w:r w:rsidR="008D00A8">
        <w:rPr>
          <w:rFonts w:ascii="Times New Roman" w:hAnsi="Times New Roman"/>
          <w:noProof/>
        </w:rPr>
        <w:t>ystem</w:t>
      </w:r>
      <w:r w:rsidRPr="002326B8">
        <w:rPr>
          <w:rFonts w:ascii="Times New Roman" w:hAnsi="Times New Roman"/>
          <w:noProof/>
        </w:rPr>
        <w:t xml:space="preserve"> </w:t>
      </w:r>
      <w:r w:rsidR="008D00A8">
        <w:rPr>
          <w:rFonts w:ascii="Times New Roman" w:hAnsi="Times New Roman"/>
          <w:noProof/>
        </w:rPr>
        <w:t xml:space="preserve">(IMS) </w:t>
      </w:r>
      <w:r w:rsidRPr="002326B8">
        <w:rPr>
          <w:rFonts w:ascii="Times New Roman" w:hAnsi="Times New Roman"/>
          <w:noProof/>
        </w:rPr>
        <w:t>for the reporting of irregularities by Member States.</w:t>
      </w:r>
    </w:p>
    <w:p w14:paraId="7C03E5C3" w14:textId="7DD69533" w:rsidR="00186CF7" w:rsidRPr="00814B72" w:rsidRDefault="00186CF7" w:rsidP="00186CF7">
      <w:pPr>
        <w:rPr>
          <w:noProof/>
        </w:rPr>
      </w:pPr>
      <w:r w:rsidRPr="00814B72">
        <w:rPr>
          <w:noProof/>
        </w:rPr>
        <w:t>The 202</w:t>
      </w:r>
      <w:r>
        <w:rPr>
          <w:noProof/>
        </w:rPr>
        <w:t>4</w:t>
      </w:r>
      <w:r w:rsidRPr="00814B72">
        <w:rPr>
          <w:noProof/>
        </w:rPr>
        <w:t xml:space="preserve"> Financing Decision allocated </w:t>
      </w:r>
      <w:r w:rsidR="008D00A8" w:rsidRPr="00814B72">
        <w:rPr>
          <w:noProof/>
        </w:rPr>
        <w:t>EUR</w:t>
      </w:r>
      <w:r w:rsidR="008D00A8">
        <w:rPr>
          <w:noProof/>
        </w:rPr>
        <w:t> </w:t>
      </w:r>
      <w:r w:rsidR="004B138B">
        <w:rPr>
          <w:noProof/>
        </w:rPr>
        <w:t>16</w:t>
      </w:r>
      <w:r w:rsidRPr="00814B72">
        <w:rPr>
          <w:noProof/>
        </w:rPr>
        <w:t>.</w:t>
      </w:r>
      <w:r w:rsidR="004B138B">
        <w:rPr>
          <w:noProof/>
        </w:rPr>
        <w:t>1</w:t>
      </w:r>
      <w:r w:rsidRPr="00814B72">
        <w:rPr>
          <w:noProof/>
        </w:rPr>
        <w:t xml:space="preserve"> million to the </w:t>
      </w:r>
      <w:r w:rsidR="00AD6ECA">
        <w:rPr>
          <w:noProof/>
        </w:rPr>
        <w:t xml:space="preserve">first </w:t>
      </w:r>
      <w:r w:rsidRPr="00814B72">
        <w:rPr>
          <w:noProof/>
        </w:rPr>
        <w:t xml:space="preserve">component, </w:t>
      </w:r>
      <w:r w:rsidR="008D00A8" w:rsidRPr="00814B72">
        <w:rPr>
          <w:noProof/>
        </w:rPr>
        <w:t>EUR</w:t>
      </w:r>
      <w:r w:rsidR="008D00A8">
        <w:rPr>
          <w:noProof/>
        </w:rPr>
        <w:t> </w:t>
      </w:r>
      <w:r w:rsidR="004B138B">
        <w:rPr>
          <w:noProof/>
        </w:rPr>
        <w:t>8</w:t>
      </w:r>
      <w:r w:rsidRPr="00814B72">
        <w:rPr>
          <w:noProof/>
        </w:rPr>
        <w:t>.</w:t>
      </w:r>
      <w:r w:rsidR="004B138B">
        <w:rPr>
          <w:noProof/>
        </w:rPr>
        <w:t>4</w:t>
      </w:r>
      <w:r w:rsidRPr="00814B72">
        <w:rPr>
          <w:noProof/>
        </w:rPr>
        <w:t xml:space="preserve"> million </w:t>
      </w:r>
      <w:r>
        <w:rPr>
          <w:noProof/>
        </w:rPr>
        <w:t>to</w:t>
      </w:r>
      <w:r w:rsidRPr="00814B72">
        <w:rPr>
          <w:noProof/>
        </w:rPr>
        <w:t xml:space="preserve"> the AFIS component and about </w:t>
      </w:r>
      <w:r w:rsidR="008D00A8" w:rsidRPr="00814B72">
        <w:rPr>
          <w:noProof/>
        </w:rPr>
        <w:t>EUR</w:t>
      </w:r>
      <w:r w:rsidR="008D00A8">
        <w:rPr>
          <w:noProof/>
        </w:rPr>
        <w:t> </w:t>
      </w:r>
      <w:r w:rsidRPr="00814B72">
        <w:rPr>
          <w:noProof/>
        </w:rPr>
        <w:t xml:space="preserve">1 million </w:t>
      </w:r>
      <w:r>
        <w:rPr>
          <w:noProof/>
        </w:rPr>
        <w:t>to</w:t>
      </w:r>
      <w:r w:rsidRPr="00814B72">
        <w:rPr>
          <w:noProof/>
        </w:rPr>
        <w:t xml:space="preserve"> the IMS component. The available funds were successfully implemented in 202</w:t>
      </w:r>
      <w:r>
        <w:rPr>
          <w:noProof/>
        </w:rPr>
        <w:t>4</w:t>
      </w:r>
      <w:r w:rsidRPr="00814B72">
        <w:rPr>
          <w:noProof/>
        </w:rPr>
        <w:t xml:space="preserve"> using the various financing instruments available</w:t>
      </w:r>
      <w:r w:rsidR="006860DF" w:rsidRPr="006860DF">
        <w:rPr>
          <w:noProof/>
        </w:rPr>
        <w:t> (</w:t>
      </w:r>
      <w:r w:rsidR="006860DF">
        <w:rPr>
          <w:rStyle w:val="FootnoteReference"/>
          <w:noProof/>
        </w:rPr>
        <w:footnoteReference w:id="48"/>
      </w:r>
      <w:r w:rsidR="006860DF">
        <w:rPr>
          <w:noProof/>
        </w:rPr>
        <w:t>)</w:t>
      </w:r>
      <w:r>
        <w:rPr>
          <w:noProof/>
        </w:rPr>
        <w:t>.</w:t>
      </w:r>
    </w:p>
    <w:p w14:paraId="3C9260E7" w14:textId="56DB804A" w:rsidR="00186CF7" w:rsidRDefault="00186CF7" w:rsidP="00186CF7">
      <w:pPr>
        <w:rPr>
          <w:noProof/>
        </w:rPr>
      </w:pPr>
      <w:r w:rsidRPr="00814B72">
        <w:rPr>
          <w:noProof/>
        </w:rPr>
        <w:t>In 202</w:t>
      </w:r>
      <w:r>
        <w:rPr>
          <w:noProof/>
        </w:rPr>
        <w:t>4</w:t>
      </w:r>
      <w:r w:rsidRPr="00814B72">
        <w:rPr>
          <w:noProof/>
        </w:rPr>
        <w:t xml:space="preserve">, </w:t>
      </w:r>
      <w:r>
        <w:rPr>
          <w:noProof/>
        </w:rPr>
        <w:t>a</w:t>
      </w:r>
      <w:r w:rsidRPr="00814B72">
        <w:rPr>
          <w:noProof/>
        </w:rPr>
        <w:t xml:space="preserve">n association agreement covering </w:t>
      </w:r>
      <w:r w:rsidR="00765431">
        <w:rPr>
          <w:noProof/>
        </w:rPr>
        <w:t xml:space="preserve">Ukraine’s </w:t>
      </w:r>
      <w:r w:rsidRPr="00814B72">
        <w:rPr>
          <w:noProof/>
        </w:rPr>
        <w:t xml:space="preserve">participation in the programme </w:t>
      </w:r>
      <w:r w:rsidR="00765431">
        <w:rPr>
          <w:noProof/>
        </w:rPr>
        <w:t>was</w:t>
      </w:r>
      <w:r w:rsidRPr="00814B72">
        <w:rPr>
          <w:noProof/>
        </w:rPr>
        <w:t xml:space="preserve"> negotiated between the Commission (represented by OLAF) and the </w:t>
      </w:r>
      <w:r>
        <w:rPr>
          <w:noProof/>
        </w:rPr>
        <w:t>relevant</w:t>
      </w:r>
      <w:r w:rsidRPr="00814B72">
        <w:rPr>
          <w:noProof/>
        </w:rPr>
        <w:t xml:space="preserve"> </w:t>
      </w:r>
      <w:r w:rsidR="00765431">
        <w:rPr>
          <w:noProof/>
        </w:rPr>
        <w:t xml:space="preserve">Ukrainian </w:t>
      </w:r>
      <w:r w:rsidR="00015D00" w:rsidRPr="00814B72">
        <w:rPr>
          <w:noProof/>
        </w:rPr>
        <w:t>authorities.</w:t>
      </w:r>
      <w:r w:rsidR="00765431">
        <w:rPr>
          <w:noProof/>
        </w:rPr>
        <w:t xml:space="preserve"> The agreement was </w:t>
      </w:r>
      <w:r w:rsidRPr="00814B72">
        <w:rPr>
          <w:noProof/>
        </w:rPr>
        <w:t xml:space="preserve">adopted in March 2024. </w:t>
      </w:r>
    </w:p>
    <w:p w14:paraId="569C4985" w14:textId="2C26BBFE" w:rsidR="004B138B" w:rsidRDefault="00765431" w:rsidP="00186CF7">
      <w:pPr>
        <w:rPr>
          <w:noProof/>
        </w:rPr>
      </w:pPr>
      <w:r>
        <w:rPr>
          <w:noProof/>
        </w:rPr>
        <w:t xml:space="preserve">For </w:t>
      </w:r>
      <w:r w:rsidR="004B138B">
        <w:rPr>
          <w:noProof/>
        </w:rPr>
        <w:t xml:space="preserve">the </w:t>
      </w:r>
      <w:r w:rsidR="00AD6ECA">
        <w:rPr>
          <w:noProof/>
        </w:rPr>
        <w:t xml:space="preserve">first </w:t>
      </w:r>
      <w:r w:rsidR="004B138B">
        <w:rPr>
          <w:noProof/>
        </w:rPr>
        <w:t xml:space="preserve">component, the focus was on financing projects (in the form of grants) linked to the expenditure side of the EU budget and on digitalisation, IT development and </w:t>
      </w:r>
      <w:r w:rsidR="004B138B" w:rsidRPr="004D76BA">
        <w:rPr>
          <w:noProof/>
        </w:rPr>
        <w:t xml:space="preserve">the integration of </w:t>
      </w:r>
      <w:r>
        <w:rPr>
          <w:noProof/>
        </w:rPr>
        <w:t>AI</w:t>
      </w:r>
      <w:r w:rsidR="004B138B" w:rsidRPr="004D76BA">
        <w:rPr>
          <w:noProof/>
        </w:rPr>
        <w:t xml:space="preserve"> in the fight against fraud.</w:t>
      </w:r>
      <w:r w:rsidR="004B138B">
        <w:rPr>
          <w:noProof/>
        </w:rPr>
        <w:t xml:space="preserve"> The two calls </w:t>
      </w:r>
      <w:r>
        <w:rPr>
          <w:noProof/>
        </w:rPr>
        <w:t xml:space="preserve">that were </w:t>
      </w:r>
      <w:r w:rsidR="00B17897">
        <w:rPr>
          <w:noProof/>
        </w:rPr>
        <w:t>launched</w:t>
      </w:r>
      <w:r>
        <w:rPr>
          <w:noProof/>
        </w:rPr>
        <w:t xml:space="preserve"> in 2024 </w:t>
      </w:r>
      <w:r w:rsidR="004B138B">
        <w:rPr>
          <w:noProof/>
        </w:rPr>
        <w:t xml:space="preserve">(amounting to about </w:t>
      </w:r>
      <w:r>
        <w:rPr>
          <w:noProof/>
        </w:rPr>
        <w:t>EUR </w:t>
      </w:r>
      <w:r w:rsidR="004B138B">
        <w:rPr>
          <w:noProof/>
        </w:rPr>
        <w:t>11</w:t>
      </w:r>
      <w:r w:rsidR="006860DF">
        <w:rPr>
          <w:noProof/>
        </w:rPr>
        <w:t>.4</w:t>
      </w:r>
      <w:r w:rsidR="004B138B">
        <w:rPr>
          <w:noProof/>
        </w:rPr>
        <w:t xml:space="preserve"> million) </w:t>
      </w:r>
      <w:r w:rsidR="00B17897">
        <w:rPr>
          <w:noProof/>
        </w:rPr>
        <w:t xml:space="preserve">saw a </w:t>
      </w:r>
      <w:r w:rsidR="004B138B">
        <w:rPr>
          <w:noProof/>
        </w:rPr>
        <w:t xml:space="preserve">high demand for financing (four times higher than the available budget) and participation by most Member States (123 applications from 19 </w:t>
      </w:r>
      <w:r>
        <w:rPr>
          <w:noProof/>
        </w:rPr>
        <w:t>countries</w:t>
      </w:r>
      <w:r w:rsidR="004B138B">
        <w:rPr>
          <w:noProof/>
        </w:rPr>
        <w:t xml:space="preserve">). More than one </w:t>
      </w:r>
      <w:r>
        <w:rPr>
          <w:noProof/>
        </w:rPr>
        <w:t xml:space="preserve">quarter </w:t>
      </w:r>
      <w:r w:rsidR="004B138B">
        <w:rPr>
          <w:noProof/>
        </w:rPr>
        <w:t xml:space="preserve">of the requests concerned the financing of data analytics </w:t>
      </w:r>
      <w:r>
        <w:rPr>
          <w:noProof/>
        </w:rPr>
        <w:t xml:space="preserve">technology </w:t>
      </w:r>
      <w:r w:rsidR="004B138B">
        <w:rPr>
          <w:noProof/>
        </w:rPr>
        <w:t>and IT tools.</w:t>
      </w:r>
    </w:p>
    <w:p w14:paraId="44BD57B8" w14:textId="6202FE9C" w:rsidR="00186CF7" w:rsidRDefault="004B138B" w:rsidP="00186CF7">
      <w:pPr>
        <w:rPr>
          <w:noProof/>
        </w:rPr>
      </w:pPr>
      <w:r>
        <w:rPr>
          <w:noProof/>
        </w:rPr>
        <w:t xml:space="preserve">The activities </w:t>
      </w:r>
      <w:r w:rsidR="00765431">
        <w:rPr>
          <w:noProof/>
        </w:rPr>
        <w:t xml:space="preserve">covered by procurement </w:t>
      </w:r>
      <w:r>
        <w:rPr>
          <w:noProof/>
        </w:rPr>
        <w:t xml:space="preserve">in 2024 </w:t>
      </w:r>
      <w:r w:rsidR="006860DF">
        <w:rPr>
          <w:noProof/>
        </w:rPr>
        <w:t>(</w:t>
      </w:r>
      <w:r w:rsidR="00765431">
        <w:rPr>
          <w:noProof/>
        </w:rPr>
        <w:t>totalling around</w:t>
      </w:r>
      <w:r w:rsidR="006860DF">
        <w:rPr>
          <w:noProof/>
        </w:rPr>
        <w:t xml:space="preserve"> </w:t>
      </w:r>
      <w:r w:rsidR="00765431">
        <w:rPr>
          <w:noProof/>
        </w:rPr>
        <w:t>EUR </w:t>
      </w:r>
      <w:r w:rsidR="006860DF">
        <w:rPr>
          <w:noProof/>
        </w:rPr>
        <w:t>4.4 million) related to specialised conferences</w:t>
      </w:r>
      <w:r w:rsidR="00765431">
        <w:rPr>
          <w:noProof/>
        </w:rPr>
        <w:t xml:space="preserve">, </w:t>
      </w:r>
      <w:r w:rsidR="006860DF">
        <w:rPr>
          <w:noProof/>
        </w:rPr>
        <w:t>digital forensic and analysts training</w:t>
      </w:r>
      <w:r w:rsidR="00765431">
        <w:rPr>
          <w:noProof/>
        </w:rPr>
        <w:t xml:space="preserve">, </w:t>
      </w:r>
      <w:r w:rsidR="006860DF">
        <w:rPr>
          <w:noProof/>
        </w:rPr>
        <w:t>access to commercial databases</w:t>
      </w:r>
      <w:r w:rsidR="00765431">
        <w:rPr>
          <w:noProof/>
        </w:rPr>
        <w:t xml:space="preserve">, </w:t>
      </w:r>
      <w:r w:rsidR="006860DF">
        <w:rPr>
          <w:noProof/>
        </w:rPr>
        <w:t>and customs analysis tools</w:t>
      </w:r>
      <w:r w:rsidR="006860DF" w:rsidRPr="006860DF">
        <w:rPr>
          <w:noProof/>
        </w:rPr>
        <w:t> (</w:t>
      </w:r>
      <w:r w:rsidR="006860DF">
        <w:rPr>
          <w:rStyle w:val="FootnoteReference"/>
          <w:noProof/>
        </w:rPr>
        <w:footnoteReference w:id="49"/>
      </w:r>
      <w:r w:rsidR="006860DF">
        <w:rPr>
          <w:noProof/>
        </w:rPr>
        <w:t>).</w:t>
      </w:r>
    </w:p>
    <w:p w14:paraId="1F7BD284" w14:textId="22C4F1D4" w:rsidR="003B0E5D" w:rsidRDefault="003B0E5D" w:rsidP="003B0E5D">
      <w:pPr>
        <w:pStyle w:val="Heading3"/>
        <w:rPr>
          <w:noProof/>
        </w:rPr>
      </w:pPr>
      <w:bookmarkStart w:id="51" w:name="_National_measures_to"/>
      <w:bookmarkStart w:id="52" w:name="_Digitalisation_of_the"/>
      <w:bookmarkStart w:id="53" w:name="_Improving_the_reporting"/>
      <w:bookmarkStart w:id="54" w:name="_Toc202011330"/>
      <w:bookmarkStart w:id="55" w:name="_Toc203477667"/>
      <w:bookmarkEnd w:id="51"/>
      <w:bookmarkEnd w:id="52"/>
      <w:bookmarkEnd w:id="53"/>
      <w:r w:rsidRPr="003B0E5D">
        <w:rPr>
          <w:noProof/>
        </w:rPr>
        <w:t>Improving reporting and follow-up of suspected fraud</w:t>
      </w:r>
      <w:bookmarkEnd w:id="54"/>
      <w:bookmarkEnd w:id="55"/>
    </w:p>
    <w:p w14:paraId="6C47D7EF" w14:textId="2E371EEC" w:rsidR="003B0E5D" w:rsidRPr="00F04092" w:rsidRDefault="00883795" w:rsidP="003B0E5D">
      <w:pPr>
        <w:rPr>
          <w:rFonts w:cstheme="minorHAnsi"/>
          <w:noProof/>
          <w:szCs w:val="24"/>
        </w:rPr>
      </w:pPr>
      <w:r>
        <w:rPr>
          <w:rFonts w:cstheme="minorHAnsi"/>
          <w:noProof/>
          <w:szCs w:val="24"/>
        </w:rPr>
        <w:t>T</w:t>
      </w:r>
      <w:r w:rsidR="00F01F05">
        <w:rPr>
          <w:rFonts w:cstheme="minorHAnsi"/>
          <w:noProof/>
          <w:szCs w:val="24"/>
        </w:rPr>
        <w:t xml:space="preserve">o </w:t>
      </w:r>
      <w:r w:rsidRPr="00D64D7C">
        <w:rPr>
          <w:rFonts w:cstheme="minorHAnsi"/>
          <w:noProof/>
          <w:szCs w:val="24"/>
        </w:rPr>
        <w:t>improv</w:t>
      </w:r>
      <w:r>
        <w:rPr>
          <w:rFonts w:cstheme="minorHAnsi"/>
          <w:noProof/>
          <w:szCs w:val="24"/>
        </w:rPr>
        <w:t>e</w:t>
      </w:r>
      <w:r w:rsidRPr="00D64D7C">
        <w:rPr>
          <w:rFonts w:cstheme="minorHAnsi"/>
          <w:noProof/>
          <w:szCs w:val="24"/>
        </w:rPr>
        <w:t xml:space="preserve"> </w:t>
      </w:r>
      <w:r w:rsidR="003B0E5D" w:rsidRPr="00D64D7C">
        <w:rPr>
          <w:rFonts w:cstheme="minorHAnsi"/>
          <w:noProof/>
          <w:szCs w:val="24"/>
        </w:rPr>
        <w:t>the quality and reliability of available data on suspected fraud</w:t>
      </w:r>
      <w:r w:rsidR="00CE0F90">
        <w:rPr>
          <w:rFonts w:cstheme="minorHAnsi"/>
          <w:noProof/>
          <w:szCs w:val="24"/>
        </w:rPr>
        <w:t xml:space="preserve"> </w:t>
      </w:r>
      <w:r>
        <w:rPr>
          <w:rFonts w:cstheme="minorHAnsi"/>
          <w:noProof/>
          <w:szCs w:val="24"/>
        </w:rPr>
        <w:t>(</w:t>
      </w:r>
      <w:r w:rsidR="00CE0F90">
        <w:rPr>
          <w:rFonts w:cstheme="minorHAnsi"/>
          <w:noProof/>
          <w:szCs w:val="24"/>
        </w:rPr>
        <w:t xml:space="preserve">which Member States </w:t>
      </w:r>
      <w:r>
        <w:rPr>
          <w:rFonts w:cstheme="minorHAnsi"/>
          <w:noProof/>
          <w:szCs w:val="24"/>
        </w:rPr>
        <w:t xml:space="preserve">have a legal obligation to </w:t>
      </w:r>
      <w:r w:rsidR="00CE0F90">
        <w:rPr>
          <w:rFonts w:cstheme="minorHAnsi"/>
          <w:noProof/>
          <w:szCs w:val="24"/>
        </w:rPr>
        <w:t>report</w:t>
      </w:r>
      <w:r>
        <w:rPr>
          <w:rFonts w:cstheme="minorHAnsi"/>
          <w:noProof/>
          <w:szCs w:val="24"/>
        </w:rPr>
        <w:t>)</w:t>
      </w:r>
      <w:r w:rsidR="003B0E5D" w:rsidRPr="00D64D7C">
        <w:rPr>
          <w:rFonts w:cstheme="minorHAnsi"/>
          <w:noProof/>
          <w:szCs w:val="24"/>
        </w:rPr>
        <w:t xml:space="preserve">, </w:t>
      </w:r>
      <w:r w:rsidR="00CE0F90">
        <w:rPr>
          <w:rFonts w:cstheme="minorHAnsi"/>
          <w:noProof/>
          <w:szCs w:val="24"/>
        </w:rPr>
        <w:t xml:space="preserve">in 2023 </w:t>
      </w:r>
      <w:r w:rsidR="003B0E5D" w:rsidRPr="00D64D7C">
        <w:rPr>
          <w:rFonts w:cstheme="minorHAnsi"/>
          <w:noProof/>
          <w:szCs w:val="24"/>
        </w:rPr>
        <w:t xml:space="preserve">the Commission </w:t>
      </w:r>
      <w:hyperlink r:id="rId29" w:anchor="subchapter5-1" w:history="1">
        <w:r w:rsidR="003B0E5D" w:rsidRPr="00F06065">
          <w:rPr>
            <w:rStyle w:val="Hyperlink"/>
            <w:rFonts w:cstheme="minorHAnsi"/>
            <w:noProof/>
            <w:szCs w:val="24"/>
          </w:rPr>
          <w:t>recommended Member States</w:t>
        </w:r>
      </w:hyperlink>
      <w:r w:rsidR="003B0E5D" w:rsidRPr="00D64D7C">
        <w:rPr>
          <w:rFonts w:cstheme="minorHAnsi"/>
          <w:noProof/>
          <w:szCs w:val="24"/>
        </w:rPr>
        <w:t xml:space="preserve"> to ensure timely updates of reported cases and complete reporting of the cases, including those investigated by OLAF and </w:t>
      </w:r>
      <w:r>
        <w:rPr>
          <w:rFonts w:cstheme="minorHAnsi"/>
          <w:noProof/>
          <w:szCs w:val="24"/>
        </w:rPr>
        <w:t xml:space="preserve">the </w:t>
      </w:r>
      <w:r w:rsidR="003B0E5D" w:rsidRPr="00D64D7C">
        <w:rPr>
          <w:rFonts w:cstheme="minorHAnsi"/>
          <w:noProof/>
          <w:szCs w:val="24"/>
        </w:rPr>
        <w:t>EPPO</w:t>
      </w:r>
      <w:r w:rsidR="000355BF" w:rsidRPr="000355BF">
        <w:rPr>
          <w:noProof/>
          <w:szCs w:val="24"/>
        </w:rPr>
        <w:t> (</w:t>
      </w:r>
      <w:r w:rsidR="000355BF">
        <w:rPr>
          <w:rStyle w:val="FootnoteReference"/>
          <w:rFonts w:cstheme="minorHAnsi"/>
          <w:noProof/>
          <w:szCs w:val="24"/>
        </w:rPr>
        <w:footnoteReference w:id="50"/>
      </w:r>
      <w:r w:rsidR="000355BF">
        <w:rPr>
          <w:noProof/>
          <w:szCs w:val="24"/>
        </w:rPr>
        <w:t>)</w:t>
      </w:r>
      <w:r w:rsidR="003B0E5D" w:rsidRPr="00D64D7C">
        <w:rPr>
          <w:rFonts w:cstheme="minorHAnsi"/>
          <w:noProof/>
          <w:szCs w:val="24"/>
        </w:rPr>
        <w:t xml:space="preserve">. To this end, Member States were invited to establish appropriate communication channels with law enforcement and prosecution services. </w:t>
      </w:r>
    </w:p>
    <w:p w14:paraId="1B33DEB1" w14:textId="1B324031" w:rsidR="003B0E5D" w:rsidRDefault="003B0E5D" w:rsidP="003B0E5D">
      <w:pPr>
        <w:rPr>
          <w:rFonts w:cstheme="minorHAnsi"/>
          <w:noProof/>
          <w:szCs w:val="24"/>
        </w:rPr>
      </w:pPr>
      <w:r w:rsidRPr="00D64D7C">
        <w:rPr>
          <w:rFonts w:cstheme="minorHAnsi"/>
          <w:noProof/>
          <w:szCs w:val="24"/>
        </w:rPr>
        <w:t xml:space="preserve">A significant majority of Member States have a high degree of confidence in their reporting systems. </w:t>
      </w:r>
      <w:r w:rsidR="00D21E63">
        <w:rPr>
          <w:rFonts w:cstheme="minorHAnsi"/>
          <w:noProof/>
          <w:szCs w:val="24"/>
        </w:rPr>
        <w:t xml:space="preserve">A total of </w:t>
      </w:r>
      <w:r>
        <w:rPr>
          <w:rFonts w:cstheme="minorHAnsi"/>
          <w:noProof/>
          <w:szCs w:val="24"/>
        </w:rPr>
        <w:t>11</w:t>
      </w:r>
      <w:r w:rsidRPr="00D64D7C">
        <w:rPr>
          <w:rFonts w:cstheme="minorHAnsi"/>
          <w:noProof/>
          <w:szCs w:val="24"/>
        </w:rPr>
        <w:t xml:space="preserve"> Member States reported using a well-established reporting system</w:t>
      </w:r>
      <w:r w:rsidR="0023699A" w:rsidRPr="0023699A">
        <w:rPr>
          <w:noProof/>
          <w:szCs w:val="24"/>
        </w:rPr>
        <w:t> (</w:t>
      </w:r>
      <w:r w:rsidR="0023699A">
        <w:rPr>
          <w:rStyle w:val="FootnoteReference"/>
          <w:rFonts w:cstheme="minorHAnsi"/>
          <w:noProof/>
          <w:szCs w:val="24"/>
        </w:rPr>
        <w:footnoteReference w:id="51"/>
      </w:r>
      <w:r w:rsidR="0023699A">
        <w:rPr>
          <w:noProof/>
          <w:szCs w:val="24"/>
        </w:rPr>
        <w:t>)</w:t>
      </w:r>
      <w:r w:rsidRPr="00D64D7C">
        <w:rPr>
          <w:rFonts w:cstheme="minorHAnsi"/>
          <w:noProof/>
          <w:szCs w:val="24"/>
        </w:rPr>
        <w:t xml:space="preserve"> capturing all relevant data on suspected fraud cases and irregularities, </w:t>
      </w:r>
      <w:r w:rsidR="00B17897">
        <w:rPr>
          <w:rFonts w:cstheme="minorHAnsi"/>
          <w:noProof/>
          <w:szCs w:val="24"/>
        </w:rPr>
        <w:t>while</w:t>
      </w:r>
      <w:r w:rsidRPr="00D64D7C">
        <w:rPr>
          <w:rFonts w:cstheme="minorHAnsi"/>
          <w:noProof/>
          <w:szCs w:val="24"/>
        </w:rPr>
        <w:t xml:space="preserve"> </w:t>
      </w:r>
      <w:r>
        <w:rPr>
          <w:rFonts w:cstheme="minorHAnsi"/>
          <w:noProof/>
          <w:szCs w:val="24"/>
        </w:rPr>
        <w:t xml:space="preserve">9 </w:t>
      </w:r>
      <w:r w:rsidRPr="00D64D7C">
        <w:rPr>
          <w:rFonts w:cstheme="minorHAnsi"/>
          <w:noProof/>
          <w:szCs w:val="24"/>
        </w:rPr>
        <w:t>stat</w:t>
      </w:r>
      <w:r w:rsidR="00B17897">
        <w:rPr>
          <w:rFonts w:cstheme="minorHAnsi"/>
          <w:noProof/>
          <w:szCs w:val="24"/>
        </w:rPr>
        <w:t>ed</w:t>
      </w:r>
      <w:r w:rsidRPr="00D64D7C">
        <w:rPr>
          <w:rFonts w:cstheme="minorHAnsi"/>
          <w:noProof/>
          <w:szCs w:val="24"/>
        </w:rPr>
        <w:t xml:space="preserve"> that they have a strong reporting system but with some gaps</w:t>
      </w:r>
      <w:r>
        <w:rPr>
          <w:rFonts w:cstheme="minorHAnsi"/>
          <w:noProof/>
          <w:szCs w:val="24"/>
        </w:rPr>
        <w:t xml:space="preserve"> in capturing all relevant data</w:t>
      </w:r>
      <w:r w:rsidR="0023699A" w:rsidRPr="0023699A">
        <w:rPr>
          <w:noProof/>
          <w:szCs w:val="24"/>
        </w:rPr>
        <w:t> (</w:t>
      </w:r>
      <w:r w:rsidR="0023699A">
        <w:rPr>
          <w:rStyle w:val="FootnoteReference"/>
          <w:rFonts w:cstheme="minorHAnsi"/>
          <w:noProof/>
          <w:szCs w:val="24"/>
        </w:rPr>
        <w:footnoteReference w:id="52"/>
      </w:r>
      <w:r w:rsidR="0023699A">
        <w:rPr>
          <w:noProof/>
          <w:szCs w:val="24"/>
        </w:rPr>
        <w:t>)</w:t>
      </w:r>
      <w:r w:rsidRPr="00D64D7C">
        <w:rPr>
          <w:rFonts w:cstheme="minorHAnsi"/>
          <w:noProof/>
          <w:szCs w:val="24"/>
        </w:rPr>
        <w:t xml:space="preserve">. </w:t>
      </w:r>
      <w:r w:rsidR="00D21E63">
        <w:rPr>
          <w:rFonts w:cstheme="minorHAnsi"/>
          <w:noProof/>
          <w:szCs w:val="24"/>
        </w:rPr>
        <w:t>Notab</w:t>
      </w:r>
      <w:r w:rsidR="00D21E63" w:rsidRPr="00D64D7C">
        <w:rPr>
          <w:rFonts w:cstheme="minorHAnsi"/>
          <w:noProof/>
          <w:szCs w:val="24"/>
        </w:rPr>
        <w:t>ly</w:t>
      </w:r>
      <w:r w:rsidRPr="00D64D7C">
        <w:rPr>
          <w:rFonts w:cstheme="minorHAnsi"/>
          <w:noProof/>
          <w:szCs w:val="24"/>
        </w:rPr>
        <w:t xml:space="preserve">, </w:t>
      </w:r>
      <w:r>
        <w:rPr>
          <w:rFonts w:cstheme="minorHAnsi"/>
          <w:noProof/>
          <w:szCs w:val="24"/>
        </w:rPr>
        <w:t xml:space="preserve">17 </w:t>
      </w:r>
      <w:r w:rsidRPr="00D64D7C">
        <w:rPr>
          <w:rFonts w:cstheme="minorHAnsi"/>
          <w:noProof/>
          <w:szCs w:val="24"/>
        </w:rPr>
        <w:t>Member States regular</w:t>
      </w:r>
      <w:r w:rsidR="00B17897">
        <w:rPr>
          <w:rFonts w:cstheme="minorHAnsi"/>
          <w:noProof/>
          <w:szCs w:val="24"/>
        </w:rPr>
        <w:t>ly</w:t>
      </w:r>
      <w:r w:rsidRPr="00D64D7C">
        <w:rPr>
          <w:rFonts w:cstheme="minorHAnsi"/>
          <w:noProof/>
          <w:szCs w:val="24"/>
        </w:rPr>
        <w:t xml:space="preserve"> review</w:t>
      </w:r>
      <w:r w:rsidR="00B17897">
        <w:rPr>
          <w:rFonts w:cstheme="minorHAnsi"/>
          <w:noProof/>
          <w:szCs w:val="24"/>
        </w:rPr>
        <w:t xml:space="preserve"> and</w:t>
      </w:r>
      <w:r w:rsidRPr="00D64D7C">
        <w:rPr>
          <w:rFonts w:cstheme="minorHAnsi"/>
          <w:noProof/>
          <w:szCs w:val="24"/>
        </w:rPr>
        <w:t xml:space="preserve"> assess the effectiveness of their reporting mechanisms</w:t>
      </w:r>
      <w:r w:rsidR="0023699A" w:rsidRPr="0023699A">
        <w:rPr>
          <w:noProof/>
          <w:szCs w:val="24"/>
        </w:rPr>
        <w:t> (</w:t>
      </w:r>
      <w:r w:rsidR="0023699A">
        <w:rPr>
          <w:rStyle w:val="FootnoteReference"/>
          <w:rFonts w:cstheme="minorHAnsi"/>
          <w:noProof/>
          <w:szCs w:val="24"/>
        </w:rPr>
        <w:footnoteReference w:id="53"/>
      </w:r>
      <w:r w:rsidR="0023699A">
        <w:rPr>
          <w:noProof/>
          <w:szCs w:val="24"/>
        </w:rPr>
        <w:t>)</w:t>
      </w:r>
      <w:r w:rsidRPr="00D64D7C">
        <w:rPr>
          <w:rFonts w:cstheme="minorHAnsi"/>
          <w:noProof/>
          <w:szCs w:val="24"/>
        </w:rPr>
        <w:t>, underscoring a commitment to maintaining and improving system robustness.</w:t>
      </w:r>
    </w:p>
    <w:p w14:paraId="2FF2F150" w14:textId="6BDD612E" w:rsidR="003B0E5D" w:rsidRDefault="00D21E63" w:rsidP="003B0E5D">
      <w:pPr>
        <w:rPr>
          <w:rFonts w:cstheme="minorHAnsi"/>
          <w:noProof/>
          <w:szCs w:val="24"/>
        </w:rPr>
      </w:pPr>
      <w:r>
        <w:rPr>
          <w:rFonts w:cstheme="minorHAnsi"/>
          <w:noProof/>
          <w:szCs w:val="24"/>
        </w:rPr>
        <w:t xml:space="preserve">In contrast, </w:t>
      </w:r>
      <w:r w:rsidR="000355BF">
        <w:rPr>
          <w:rFonts w:cstheme="minorHAnsi"/>
          <w:noProof/>
          <w:szCs w:val="24"/>
        </w:rPr>
        <w:t>13 Member States</w:t>
      </w:r>
      <w:r w:rsidR="003B0E5D" w:rsidRPr="009F6058">
        <w:rPr>
          <w:rFonts w:cstheme="minorHAnsi"/>
          <w:noProof/>
          <w:szCs w:val="24"/>
        </w:rPr>
        <w:t xml:space="preserve"> </w:t>
      </w:r>
      <w:r w:rsidR="000355BF">
        <w:rPr>
          <w:rFonts w:cstheme="minorHAnsi"/>
          <w:noProof/>
          <w:szCs w:val="24"/>
        </w:rPr>
        <w:t xml:space="preserve">indicated persistent challenges concerning the </w:t>
      </w:r>
      <w:r w:rsidR="00F63AB9">
        <w:rPr>
          <w:rFonts w:cstheme="minorHAnsi"/>
          <w:noProof/>
          <w:szCs w:val="24"/>
        </w:rPr>
        <w:t xml:space="preserve">exchange of relevant </w:t>
      </w:r>
      <w:r w:rsidR="003B0E5D" w:rsidRPr="009F6058">
        <w:rPr>
          <w:rFonts w:cstheme="minorHAnsi"/>
          <w:noProof/>
          <w:szCs w:val="24"/>
        </w:rPr>
        <w:t>information</w:t>
      </w:r>
      <w:r w:rsidR="00F341E5" w:rsidRPr="00F341E5">
        <w:rPr>
          <w:noProof/>
          <w:szCs w:val="24"/>
        </w:rPr>
        <w:t> (</w:t>
      </w:r>
      <w:r w:rsidR="00F341E5">
        <w:rPr>
          <w:rStyle w:val="FootnoteReference"/>
          <w:rFonts w:cstheme="minorHAnsi"/>
          <w:noProof/>
          <w:szCs w:val="24"/>
        </w:rPr>
        <w:footnoteReference w:id="54"/>
      </w:r>
      <w:r w:rsidR="00F341E5">
        <w:rPr>
          <w:noProof/>
          <w:szCs w:val="24"/>
        </w:rPr>
        <w:t>)</w:t>
      </w:r>
      <w:r w:rsidR="003B0E5D" w:rsidRPr="009F6058">
        <w:rPr>
          <w:rFonts w:cstheme="minorHAnsi"/>
          <w:noProof/>
          <w:szCs w:val="24"/>
        </w:rPr>
        <w:t>.</w:t>
      </w:r>
      <w:r w:rsidR="00F63AB9">
        <w:rPr>
          <w:rFonts w:cstheme="minorHAnsi"/>
          <w:noProof/>
          <w:szCs w:val="24"/>
        </w:rPr>
        <w:t xml:space="preserve"> </w:t>
      </w:r>
      <w:r w:rsidR="003B0E5D" w:rsidRPr="009F6058">
        <w:rPr>
          <w:rFonts w:cstheme="minorHAnsi"/>
          <w:noProof/>
          <w:szCs w:val="24"/>
        </w:rPr>
        <w:t xml:space="preserve">A common scenario involves reporting challenges between judicial and reporting authorities. Difficulties often emerge when judicial proceedings are drawn out or when </w:t>
      </w:r>
      <w:r w:rsidR="003B0E5D">
        <w:rPr>
          <w:rFonts w:cstheme="minorHAnsi"/>
          <w:noProof/>
          <w:szCs w:val="24"/>
        </w:rPr>
        <w:t>confidentiality</w:t>
      </w:r>
      <w:r w:rsidR="003B0E5D" w:rsidRPr="009F6058">
        <w:rPr>
          <w:rFonts w:cstheme="minorHAnsi"/>
          <w:noProof/>
          <w:szCs w:val="24"/>
        </w:rPr>
        <w:t xml:space="preserve"> of investigations hinders comprehensive reporting. Th</w:t>
      </w:r>
      <w:r w:rsidR="003B0E5D">
        <w:rPr>
          <w:rFonts w:cstheme="minorHAnsi"/>
          <w:noProof/>
          <w:szCs w:val="24"/>
        </w:rPr>
        <w:t>ese</w:t>
      </w:r>
      <w:r w:rsidR="003B0E5D" w:rsidRPr="009F6058">
        <w:rPr>
          <w:rFonts w:cstheme="minorHAnsi"/>
          <w:noProof/>
          <w:szCs w:val="24"/>
        </w:rPr>
        <w:t xml:space="preserve"> </w:t>
      </w:r>
      <w:r w:rsidR="003B0E5D">
        <w:rPr>
          <w:rFonts w:cstheme="minorHAnsi"/>
          <w:noProof/>
          <w:szCs w:val="24"/>
        </w:rPr>
        <w:t xml:space="preserve">issues </w:t>
      </w:r>
      <w:r w:rsidR="003B0E5D" w:rsidRPr="009F6058">
        <w:rPr>
          <w:rFonts w:cstheme="minorHAnsi"/>
          <w:noProof/>
          <w:szCs w:val="24"/>
        </w:rPr>
        <w:t xml:space="preserve">highlight the need for </w:t>
      </w:r>
      <w:r>
        <w:rPr>
          <w:rFonts w:cstheme="minorHAnsi"/>
          <w:noProof/>
          <w:szCs w:val="24"/>
        </w:rPr>
        <w:t xml:space="preserve">better </w:t>
      </w:r>
      <w:r w:rsidR="003B0E5D" w:rsidRPr="009F6058">
        <w:rPr>
          <w:rFonts w:cstheme="minorHAnsi"/>
          <w:noProof/>
          <w:szCs w:val="24"/>
        </w:rPr>
        <w:t xml:space="preserve">collaborative measures and improved procedural clarity to ensure that reporting systems work effectively across all levels of governance. </w:t>
      </w:r>
      <w:r>
        <w:rPr>
          <w:rFonts w:cstheme="minorHAnsi"/>
          <w:noProof/>
          <w:szCs w:val="24"/>
        </w:rPr>
        <w:t xml:space="preserve">A total of </w:t>
      </w:r>
      <w:r w:rsidR="003B0E5D">
        <w:rPr>
          <w:rFonts w:cstheme="minorHAnsi"/>
          <w:noProof/>
          <w:szCs w:val="24"/>
        </w:rPr>
        <w:t>17</w:t>
      </w:r>
      <w:r w:rsidR="003B0E5D" w:rsidRPr="009F6058">
        <w:rPr>
          <w:rFonts w:cstheme="minorHAnsi"/>
          <w:noProof/>
          <w:szCs w:val="24"/>
        </w:rPr>
        <w:t xml:space="preserve"> Member States reported some improvement</w:t>
      </w:r>
      <w:r w:rsidR="003B0E5D">
        <w:rPr>
          <w:rFonts w:cstheme="minorHAnsi"/>
          <w:noProof/>
          <w:szCs w:val="24"/>
        </w:rPr>
        <w:t>s</w:t>
      </w:r>
      <w:r w:rsidR="003B0E5D" w:rsidRPr="009F6058">
        <w:rPr>
          <w:rFonts w:cstheme="minorHAnsi"/>
          <w:noProof/>
          <w:szCs w:val="24"/>
        </w:rPr>
        <w:t xml:space="preserve"> in their follow-up procedures over the past year</w:t>
      </w:r>
      <w:r w:rsidR="00F341E5" w:rsidRPr="00F341E5">
        <w:rPr>
          <w:noProof/>
          <w:szCs w:val="24"/>
        </w:rPr>
        <w:t> (</w:t>
      </w:r>
      <w:r w:rsidR="00F341E5">
        <w:rPr>
          <w:rStyle w:val="FootnoteReference"/>
          <w:rFonts w:cstheme="minorHAnsi"/>
          <w:noProof/>
          <w:szCs w:val="24"/>
        </w:rPr>
        <w:footnoteReference w:id="55"/>
      </w:r>
      <w:r w:rsidR="00F341E5">
        <w:rPr>
          <w:noProof/>
          <w:szCs w:val="24"/>
        </w:rPr>
        <w:t>)</w:t>
      </w:r>
      <w:r w:rsidR="003B0E5D" w:rsidRPr="009F6058">
        <w:rPr>
          <w:rFonts w:cstheme="minorHAnsi"/>
          <w:noProof/>
          <w:szCs w:val="24"/>
        </w:rPr>
        <w:t>.</w:t>
      </w:r>
      <w:r w:rsidR="003B0E5D">
        <w:rPr>
          <w:rFonts w:cstheme="minorHAnsi"/>
          <w:noProof/>
          <w:szCs w:val="24"/>
        </w:rPr>
        <w:t xml:space="preserve"> </w:t>
      </w:r>
      <w:r>
        <w:rPr>
          <w:rFonts w:cstheme="minorHAnsi"/>
          <w:noProof/>
          <w:szCs w:val="24"/>
        </w:rPr>
        <w:t>G</w:t>
      </w:r>
      <w:r w:rsidR="003B0E5D">
        <w:rPr>
          <w:rFonts w:cstheme="minorHAnsi"/>
          <w:noProof/>
          <w:szCs w:val="24"/>
        </w:rPr>
        <w:t xml:space="preserve">ood practices identified to improve the systems </w:t>
      </w:r>
      <w:r>
        <w:rPr>
          <w:rFonts w:cstheme="minorHAnsi"/>
          <w:noProof/>
          <w:szCs w:val="24"/>
        </w:rPr>
        <w:t xml:space="preserve">include </w:t>
      </w:r>
      <w:r w:rsidR="003B0E5D">
        <w:rPr>
          <w:rFonts w:cstheme="minorHAnsi"/>
          <w:noProof/>
          <w:szCs w:val="24"/>
        </w:rPr>
        <w:t>centralised coordination, comprehensive guidelines and systems, clear legal frameworks and obligations</w:t>
      </w:r>
      <w:r>
        <w:rPr>
          <w:rFonts w:cstheme="minorHAnsi"/>
          <w:noProof/>
          <w:szCs w:val="24"/>
        </w:rPr>
        <w:t>,</w:t>
      </w:r>
      <w:r w:rsidR="003B0E5D">
        <w:rPr>
          <w:rFonts w:cstheme="minorHAnsi"/>
          <w:noProof/>
          <w:szCs w:val="24"/>
        </w:rPr>
        <w:t xml:space="preserve"> and routine and direct communication.</w:t>
      </w:r>
    </w:p>
    <w:p w14:paraId="162048B5" w14:textId="2E1B8E37" w:rsidR="005A062F" w:rsidRPr="00F04092" w:rsidRDefault="00D21E63" w:rsidP="003B0E5D">
      <w:pPr>
        <w:rPr>
          <w:rFonts w:cstheme="minorHAnsi"/>
          <w:noProof/>
          <w:szCs w:val="24"/>
          <w:highlight w:val="yellow"/>
        </w:rPr>
      </w:pPr>
      <w:r>
        <w:rPr>
          <w:rFonts w:cstheme="minorHAnsi"/>
          <w:noProof/>
          <w:szCs w:val="24"/>
        </w:rPr>
        <w:t>To</w:t>
      </w:r>
      <w:r w:rsidR="005A062F">
        <w:rPr>
          <w:rFonts w:cstheme="minorHAnsi"/>
          <w:noProof/>
          <w:szCs w:val="24"/>
        </w:rPr>
        <w:t xml:space="preserve"> improv</w:t>
      </w:r>
      <w:r>
        <w:rPr>
          <w:rFonts w:cstheme="minorHAnsi"/>
          <w:noProof/>
          <w:szCs w:val="24"/>
        </w:rPr>
        <w:t>e</w:t>
      </w:r>
      <w:r w:rsidR="005A062F">
        <w:rPr>
          <w:rFonts w:cstheme="minorHAnsi"/>
          <w:noProof/>
          <w:szCs w:val="24"/>
        </w:rPr>
        <w:t xml:space="preserve"> data quality, OLAF has launched an in-depth analysis of irregularities and fraud related to the cohesion policy reported via the IMS</w:t>
      </w:r>
      <w:r>
        <w:rPr>
          <w:rFonts w:cstheme="minorHAnsi"/>
          <w:noProof/>
          <w:szCs w:val="24"/>
        </w:rPr>
        <w:t>. The analysis</w:t>
      </w:r>
      <w:r w:rsidR="005A062F">
        <w:rPr>
          <w:rFonts w:cstheme="minorHAnsi"/>
          <w:noProof/>
          <w:szCs w:val="24"/>
        </w:rPr>
        <w:t xml:space="preserve"> assess</w:t>
      </w:r>
      <w:r>
        <w:rPr>
          <w:rFonts w:cstheme="minorHAnsi"/>
          <w:noProof/>
          <w:szCs w:val="24"/>
        </w:rPr>
        <w:t>ed</w:t>
      </w:r>
      <w:r w:rsidR="005A062F">
        <w:rPr>
          <w:rFonts w:cstheme="minorHAnsi"/>
          <w:noProof/>
          <w:szCs w:val="24"/>
        </w:rPr>
        <w:t xml:space="preserve"> any issues linked to the accuracy and completeness</w:t>
      </w:r>
      <w:r>
        <w:rPr>
          <w:rFonts w:cstheme="minorHAnsi"/>
          <w:noProof/>
          <w:szCs w:val="24"/>
        </w:rPr>
        <w:t xml:space="preserve"> of the reporting</w:t>
      </w:r>
      <w:r w:rsidR="005A062F">
        <w:rPr>
          <w:rFonts w:cstheme="minorHAnsi"/>
          <w:noProof/>
          <w:szCs w:val="24"/>
        </w:rPr>
        <w:t xml:space="preserve">. </w:t>
      </w:r>
      <w:r w:rsidR="00B17897">
        <w:rPr>
          <w:rFonts w:cstheme="minorHAnsi"/>
          <w:noProof/>
          <w:szCs w:val="24"/>
        </w:rPr>
        <w:t>Based on</w:t>
      </w:r>
      <w:r w:rsidR="005A062F">
        <w:rPr>
          <w:rFonts w:cstheme="minorHAnsi"/>
          <w:noProof/>
          <w:szCs w:val="24"/>
        </w:rPr>
        <w:t xml:space="preserve"> this review, </w:t>
      </w:r>
      <w:r>
        <w:rPr>
          <w:rFonts w:cstheme="minorHAnsi"/>
          <w:noProof/>
          <w:szCs w:val="24"/>
        </w:rPr>
        <w:t xml:space="preserve">OLAF </w:t>
      </w:r>
      <w:r w:rsidR="005A062F">
        <w:rPr>
          <w:rFonts w:cstheme="minorHAnsi"/>
          <w:noProof/>
          <w:szCs w:val="24"/>
        </w:rPr>
        <w:t xml:space="preserve">initiated a </w:t>
      </w:r>
      <w:r w:rsidR="005A062F" w:rsidRPr="00DA06C7">
        <w:rPr>
          <w:rFonts w:cstheme="minorHAnsi"/>
          <w:b/>
          <w:noProof/>
          <w:szCs w:val="24"/>
        </w:rPr>
        <w:t>structured dialogue</w:t>
      </w:r>
      <w:r w:rsidR="005A062F">
        <w:rPr>
          <w:rFonts w:cstheme="minorHAnsi"/>
          <w:noProof/>
          <w:szCs w:val="24"/>
        </w:rPr>
        <w:t xml:space="preserve"> with </w:t>
      </w:r>
      <w:r>
        <w:rPr>
          <w:rFonts w:cstheme="minorHAnsi"/>
          <w:noProof/>
          <w:szCs w:val="24"/>
        </w:rPr>
        <w:t xml:space="preserve">10 </w:t>
      </w:r>
      <w:r w:rsidR="005A062F">
        <w:rPr>
          <w:rFonts w:cstheme="minorHAnsi"/>
          <w:noProof/>
          <w:szCs w:val="24"/>
        </w:rPr>
        <w:t xml:space="preserve">Member States to address all the </w:t>
      </w:r>
      <w:r w:rsidR="00DA06C7">
        <w:rPr>
          <w:rFonts w:cstheme="minorHAnsi"/>
          <w:noProof/>
          <w:szCs w:val="24"/>
        </w:rPr>
        <w:t xml:space="preserve">identified </w:t>
      </w:r>
      <w:r w:rsidR="005A062F">
        <w:rPr>
          <w:rFonts w:cstheme="minorHAnsi"/>
          <w:noProof/>
          <w:szCs w:val="24"/>
        </w:rPr>
        <w:t xml:space="preserve">issues. While the process is still ongoing, </w:t>
      </w:r>
      <w:r w:rsidR="00DA06C7">
        <w:rPr>
          <w:rFonts w:cstheme="minorHAnsi"/>
          <w:noProof/>
          <w:szCs w:val="24"/>
        </w:rPr>
        <w:t>it has already</w:t>
      </w:r>
      <w:r w:rsidR="0023699A">
        <w:rPr>
          <w:rFonts w:cstheme="minorHAnsi"/>
          <w:noProof/>
          <w:szCs w:val="24"/>
        </w:rPr>
        <w:t xml:space="preserve"> </w:t>
      </w:r>
      <w:r w:rsidR="00DA06C7">
        <w:rPr>
          <w:rFonts w:cstheme="minorHAnsi"/>
          <w:noProof/>
          <w:szCs w:val="24"/>
        </w:rPr>
        <w:t>helped rais</w:t>
      </w:r>
      <w:r>
        <w:rPr>
          <w:rFonts w:cstheme="minorHAnsi"/>
          <w:noProof/>
          <w:szCs w:val="24"/>
        </w:rPr>
        <w:t>e</w:t>
      </w:r>
      <w:r w:rsidR="00DA06C7">
        <w:rPr>
          <w:rFonts w:cstheme="minorHAnsi"/>
          <w:noProof/>
          <w:szCs w:val="24"/>
        </w:rPr>
        <w:t xml:space="preserve"> </w:t>
      </w:r>
      <w:r>
        <w:rPr>
          <w:rFonts w:cstheme="minorHAnsi"/>
          <w:noProof/>
          <w:szCs w:val="24"/>
        </w:rPr>
        <w:t xml:space="preserve">the </w:t>
      </w:r>
      <w:r w:rsidR="00DA06C7">
        <w:rPr>
          <w:rFonts w:cstheme="minorHAnsi"/>
          <w:noProof/>
          <w:szCs w:val="24"/>
        </w:rPr>
        <w:t xml:space="preserve">awareness </w:t>
      </w:r>
      <w:r>
        <w:rPr>
          <w:rFonts w:cstheme="minorHAnsi"/>
          <w:noProof/>
          <w:szCs w:val="24"/>
        </w:rPr>
        <w:t xml:space="preserve">of </w:t>
      </w:r>
      <w:r w:rsidR="00DA06C7">
        <w:rPr>
          <w:rFonts w:cstheme="minorHAnsi"/>
          <w:noProof/>
          <w:szCs w:val="24"/>
        </w:rPr>
        <w:t xml:space="preserve">the authorities </w:t>
      </w:r>
      <w:r>
        <w:rPr>
          <w:rFonts w:cstheme="minorHAnsi"/>
          <w:noProof/>
          <w:szCs w:val="24"/>
        </w:rPr>
        <w:t xml:space="preserve">involved </w:t>
      </w:r>
      <w:r w:rsidR="00DA06C7">
        <w:rPr>
          <w:rFonts w:cstheme="minorHAnsi"/>
          <w:noProof/>
          <w:szCs w:val="24"/>
        </w:rPr>
        <w:t xml:space="preserve">and led to the identification of a significant </w:t>
      </w:r>
      <w:r>
        <w:rPr>
          <w:rFonts w:cstheme="minorHAnsi"/>
          <w:noProof/>
          <w:szCs w:val="24"/>
        </w:rPr>
        <w:t xml:space="preserve">reporting </w:t>
      </w:r>
      <w:r w:rsidR="00DA06C7">
        <w:rPr>
          <w:rFonts w:cstheme="minorHAnsi"/>
          <w:noProof/>
          <w:szCs w:val="24"/>
        </w:rPr>
        <w:t>backlog in one Member State</w:t>
      </w:r>
      <w:r w:rsidR="00DA06C7" w:rsidRPr="00DA06C7">
        <w:rPr>
          <w:noProof/>
          <w:szCs w:val="24"/>
        </w:rPr>
        <w:t> (</w:t>
      </w:r>
      <w:r w:rsidR="00DA06C7">
        <w:rPr>
          <w:rStyle w:val="FootnoteReference"/>
          <w:rFonts w:cstheme="minorHAnsi"/>
          <w:noProof/>
          <w:szCs w:val="24"/>
        </w:rPr>
        <w:footnoteReference w:id="56"/>
      </w:r>
      <w:r w:rsidR="00DA06C7">
        <w:rPr>
          <w:noProof/>
          <w:szCs w:val="24"/>
        </w:rPr>
        <w:t>)</w:t>
      </w:r>
      <w:r w:rsidR="00DA06C7">
        <w:rPr>
          <w:rFonts w:cstheme="minorHAnsi"/>
          <w:noProof/>
          <w:szCs w:val="24"/>
        </w:rPr>
        <w:t>.</w:t>
      </w:r>
    </w:p>
    <w:p w14:paraId="6F91F588" w14:textId="77777777" w:rsidR="00FE789E" w:rsidRPr="00814B72" w:rsidRDefault="00B103D8" w:rsidP="00B147F9">
      <w:pPr>
        <w:pStyle w:val="Heading1"/>
        <w:rPr>
          <w:noProof/>
        </w:rPr>
      </w:pPr>
      <w:bookmarkStart w:id="56" w:name="_Toc202011331"/>
      <w:bookmarkStart w:id="57" w:name="_Toc203477668"/>
      <w:r>
        <w:rPr>
          <w:noProof/>
        </w:rPr>
        <w:t>Digitalisation of the fight against fraud</w:t>
      </w:r>
      <w:bookmarkEnd w:id="56"/>
      <w:bookmarkEnd w:id="57"/>
    </w:p>
    <w:p w14:paraId="4D8561EF" w14:textId="41BE650D" w:rsidR="008324C8" w:rsidRPr="003A0D01" w:rsidRDefault="003A0D01" w:rsidP="00FA377B">
      <w:pPr>
        <w:pStyle w:val="Heading2"/>
        <w:rPr>
          <w:noProof/>
        </w:rPr>
      </w:pPr>
      <w:bookmarkStart w:id="58" w:name="_Toc202011332"/>
      <w:bookmarkStart w:id="59" w:name="_Toc203477669"/>
      <w:r w:rsidRPr="003A0D01">
        <w:rPr>
          <w:noProof/>
        </w:rPr>
        <w:t>Foster digitalisation and the use of IT tools to fight fraud</w:t>
      </w:r>
      <w:r>
        <w:rPr>
          <w:noProof/>
        </w:rPr>
        <w:t xml:space="preserve"> </w:t>
      </w:r>
      <w:r w:rsidR="00153F9B">
        <w:rPr>
          <w:noProof/>
        </w:rPr>
        <w:t>in the Commission</w:t>
      </w:r>
      <w:bookmarkEnd w:id="58"/>
      <w:bookmarkEnd w:id="59"/>
    </w:p>
    <w:p w14:paraId="110AEDA9" w14:textId="6207D39D" w:rsidR="003A0D01" w:rsidRDefault="003A0D01" w:rsidP="003A0D01">
      <w:pPr>
        <w:rPr>
          <w:noProof/>
        </w:rPr>
      </w:pPr>
      <w:r>
        <w:rPr>
          <w:noProof/>
        </w:rPr>
        <w:t xml:space="preserve">The first theme of the action plan accompanying the CAFS focuses on </w:t>
      </w:r>
      <w:r w:rsidR="005C6B8B">
        <w:rPr>
          <w:noProof/>
        </w:rPr>
        <w:t xml:space="preserve">the </w:t>
      </w:r>
      <w:r>
        <w:rPr>
          <w:noProof/>
        </w:rPr>
        <w:t xml:space="preserve">need for more corporate IT solutions to make the fight against fraud more effective and efficient. The Commission </w:t>
      </w:r>
      <w:r w:rsidR="00153F9B">
        <w:rPr>
          <w:noProof/>
        </w:rPr>
        <w:t xml:space="preserve">is exploring ways of </w:t>
      </w:r>
      <w:r>
        <w:rPr>
          <w:noProof/>
        </w:rPr>
        <w:t>increas</w:t>
      </w:r>
      <w:r w:rsidR="00153F9B">
        <w:rPr>
          <w:noProof/>
        </w:rPr>
        <w:t>ing</w:t>
      </w:r>
      <w:r>
        <w:rPr>
          <w:noProof/>
        </w:rPr>
        <w:t xml:space="preserve"> digitalisation and interoperability and further </w:t>
      </w:r>
      <w:r w:rsidR="00153F9B">
        <w:rPr>
          <w:noProof/>
        </w:rPr>
        <w:t xml:space="preserve">strengthening </w:t>
      </w:r>
      <w:r>
        <w:rPr>
          <w:noProof/>
        </w:rPr>
        <w:t xml:space="preserve">and </w:t>
      </w:r>
      <w:r w:rsidR="00153F9B">
        <w:rPr>
          <w:noProof/>
        </w:rPr>
        <w:t xml:space="preserve">broadening </w:t>
      </w:r>
      <w:r>
        <w:rPr>
          <w:noProof/>
        </w:rPr>
        <w:t xml:space="preserve">the use of existing IT tools such as Arachne, EDES, SUMMA and IMS to prevent, detect and investigate fraud. The risk scoring and data mining tool will be developed </w:t>
      </w:r>
      <w:r w:rsidR="00153F9B">
        <w:rPr>
          <w:noProof/>
        </w:rPr>
        <w:t xml:space="preserve">to cover </w:t>
      </w:r>
      <w:r>
        <w:rPr>
          <w:noProof/>
        </w:rPr>
        <w:t xml:space="preserve">all management modes, while OLAF </w:t>
      </w:r>
      <w:r w:rsidR="00153F9B">
        <w:rPr>
          <w:noProof/>
        </w:rPr>
        <w:t xml:space="preserve">is </w:t>
      </w:r>
      <w:r>
        <w:rPr>
          <w:noProof/>
        </w:rPr>
        <w:t>explor</w:t>
      </w:r>
      <w:r w:rsidR="00153F9B">
        <w:rPr>
          <w:noProof/>
        </w:rPr>
        <w:t>ing</w:t>
      </w:r>
      <w:r>
        <w:rPr>
          <w:noProof/>
        </w:rPr>
        <w:t xml:space="preserve"> digital options to communicate better on its investigations with other Commission departments and </w:t>
      </w:r>
      <w:r w:rsidR="00153F9B">
        <w:rPr>
          <w:noProof/>
        </w:rPr>
        <w:t xml:space="preserve">executive </w:t>
      </w:r>
      <w:r>
        <w:rPr>
          <w:noProof/>
        </w:rPr>
        <w:t>agencies.</w:t>
      </w:r>
      <w:r w:rsidR="00FC3724">
        <w:rPr>
          <w:noProof/>
        </w:rPr>
        <w:t xml:space="preserve"> </w:t>
      </w:r>
      <w:r w:rsidR="00E9208E">
        <w:rPr>
          <w:noProof/>
        </w:rPr>
        <w:t>Table 3</w:t>
      </w:r>
      <w:r w:rsidR="00FC3724">
        <w:rPr>
          <w:noProof/>
        </w:rPr>
        <w:t xml:space="preserve"> </w:t>
      </w:r>
      <w:r w:rsidR="00AD6ECA">
        <w:rPr>
          <w:noProof/>
        </w:rPr>
        <w:t xml:space="preserve">in Annex 3 </w:t>
      </w:r>
      <w:r w:rsidR="00FC3724">
        <w:rPr>
          <w:noProof/>
        </w:rPr>
        <w:t>summarises the state of implementation of the actions linked to this theme.</w:t>
      </w:r>
    </w:p>
    <w:p w14:paraId="4E5F26A2" w14:textId="7E325C29" w:rsidR="00AC38CE" w:rsidRDefault="00AC38CE" w:rsidP="003A0D01">
      <w:pPr>
        <w:rPr>
          <w:noProof/>
        </w:rPr>
      </w:pPr>
      <w:r>
        <w:rPr>
          <w:noProof/>
        </w:rPr>
        <w:t>Furthermore, the theme ‘Reinforce the EU’s capacity to fight customs fraud and protect EU revenues’</w:t>
      </w:r>
      <w:r w:rsidRPr="00AC38CE">
        <w:rPr>
          <w:noProof/>
        </w:rPr>
        <w:t> (</w:t>
      </w:r>
      <w:r>
        <w:rPr>
          <w:rStyle w:val="FootnoteReference"/>
          <w:noProof/>
        </w:rPr>
        <w:footnoteReference w:id="57"/>
      </w:r>
      <w:r>
        <w:rPr>
          <w:noProof/>
        </w:rPr>
        <w:t>) contains several actions addressing digitalisation, interoperability of systems and data analytics. Between June 2024 and May 2025, for example, following the deployment of the AFIS analytical platform (FraudAP), various applications and intelligence reports were produced and online training provided to national customs authorities. The development of the B2B interface between the Customs Information System and national systems is ongoing</w:t>
      </w:r>
      <w:r w:rsidRPr="00AC38CE">
        <w:rPr>
          <w:noProof/>
        </w:rPr>
        <w:t> (</w:t>
      </w:r>
      <w:r>
        <w:rPr>
          <w:rStyle w:val="FootnoteReference"/>
          <w:noProof/>
        </w:rPr>
        <w:footnoteReference w:id="58"/>
      </w:r>
      <w:r>
        <w:rPr>
          <w:noProof/>
        </w:rPr>
        <w:t>).</w:t>
      </w:r>
    </w:p>
    <w:p w14:paraId="2157A238" w14:textId="4792EA3E" w:rsidR="00F760DA" w:rsidRPr="00F760DA" w:rsidRDefault="003A0D01" w:rsidP="00F760DA">
      <w:pPr>
        <w:rPr>
          <w:noProof/>
        </w:rPr>
      </w:pPr>
      <w:r>
        <w:rPr>
          <w:noProof/>
        </w:rPr>
        <w:t xml:space="preserve">In 2024, </w:t>
      </w:r>
      <w:r w:rsidR="004874FF">
        <w:rPr>
          <w:noProof/>
        </w:rPr>
        <w:t xml:space="preserve">the </w:t>
      </w:r>
      <w:r>
        <w:rPr>
          <w:noProof/>
        </w:rPr>
        <w:t xml:space="preserve">IMS </w:t>
      </w:r>
      <w:r w:rsidR="009E6F49" w:rsidRPr="009E6F49">
        <w:rPr>
          <w:noProof/>
        </w:rPr>
        <w:t xml:space="preserve">received an important upgrade to </w:t>
      </w:r>
      <w:r w:rsidR="00153F9B">
        <w:rPr>
          <w:noProof/>
        </w:rPr>
        <w:t xml:space="preserve">make it more </w:t>
      </w:r>
      <w:r w:rsidR="00F01F05">
        <w:rPr>
          <w:noProof/>
        </w:rPr>
        <w:t>user-</w:t>
      </w:r>
      <w:r w:rsidR="00153F9B">
        <w:rPr>
          <w:noProof/>
        </w:rPr>
        <w:t xml:space="preserve">friendly </w:t>
      </w:r>
      <w:r w:rsidR="00F01F05">
        <w:rPr>
          <w:noProof/>
        </w:rPr>
        <w:t xml:space="preserve">and </w:t>
      </w:r>
      <w:r w:rsidR="009E6F49" w:rsidRPr="009E6F49">
        <w:rPr>
          <w:noProof/>
        </w:rPr>
        <w:t xml:space="preserve">technologically ready for other significant </w:t>
      </w:r>
      <w:r w:rsidR="009E6F49">
        <w:rPr>
          <w:noProof/>
        </w:rPr>
        <w:t xml:space="preserve">future </w:t>
      </w:r>
      <w:r w:rsidR="009E6F49" w:rsidRPr="009E6F49">
        <w:rPr>
          <w:noProof/>
        </w:rPr>
        <w:t>developments.</w:t>
      </w:r>
    </w:p>
    <w:p w14:paraId="39F703E1" w14:textId="5FEE334C" w:rsidR="00FE789E" w:rsidRDefault="00153F9B" w:rsidP="00FA377B">
      <w:pPr>
        <w:pStyle w:val="Heading2"/>
        <w:rPr>
          <w:noProof/>
        </w:rPr>
      </w:pPr>
      <w:bookmarkStart w:id="60" w:name="_Member_States’_measures"/>
      <w:bookmarkStart w:id="61" w:name="_Toc202011333"/>
      <w:bookmarkStart w:id="62" w:name="_Toc203477670"/>
      <w:bookmarkEnd w:id="60"/>
      <w:r>
        <w:rPr>
          <w:noProof/>
        </w:rPr>
        <w:t>National</w:t>
      </w:r>
      <w:r w:rsidR="00F760DA" w:rsidRPr="00C135E0">
        <w:rPr>
          <w:noProof/>
        </w:rPr>
        <w:t xml:space="preserve"> measures aimed </w:t>
      </w:r>
      <w:r>
        <w:rPr>
          <w:noProof/>
        </w:rPr>
        <w:t>to</w:t>
      </w:r>
      <w:r w:rsidRPr="00C135E0">
        <w:rPr>
          <w:noProof/>
        </w:rPr>
        <w:t xml:space="preserve"> </w:t>
      </w:r>
      <w:r w:rsidR="00F760DA" w:rsidRPr="00C135E0">
        <w:rPr>
          <w:noProof/>
        </w:rPr>
        <w:t>step up digitalisation of the fight against fraud</w:t>
      </w:r>
      <w:bookmarkEnd w:id="61"/>
      <w:bookmarkEnd w:id="62"/>
    </w:p>
    <w:p w14:paraId="545C97CB" w14:textId="097763DB" w:rsidR="00E1482E" w:rsidRPr="00C135E0" w:rsidRDefault="00E1482E" w:rsidP="00E1482E">
      <w:pPr>
        <w:pStyle w:val="Heading3"/>
        <w:rPr>
          <w:noProof/>
        </w:rPr>
      </w:pPr>
      <w:bookmarkStart w:id="63" w:name="_Toc202011334"/>
      <w:bookmarkStart w:id="64" w:name="_Toc203477671"/>
      <w:r w:rsidRPr="00C135E0">
        <w:rPr>
          <w:noProof/>
        </w:rPr>
        <w:t>Follow-up to the recommendation of the 2023 PIF report on accelerati</w:t>
      </w:r>
      <w:r w:rsidR="004C1FAE">
        <w:rPr>
          <w:noProof/>
        </w:rPr>
        <w:t>ng</w:t>
      </w:r>
      <w:r w:rsidRPr="00C135E0">
        <w:rPr>
          <w:noProof/>
        </w:rPr>
        <w:t xml:space="preserve"> the digitalisation of the fight against fraud</w:t>
      </w:r>
      <w:bookmarkEnd w:id="63"/>
      <w:bookmarkEnd w:id="64"/>
    </w:p>
    <w:p w14:paraId="7F382467" w14:textId="7356CF78" w:rsidR="00F760DA" w:rsidRDefault="000233A9" w:rsidP="00F760DA">
      <w:pPr>
        <w:rPr>
          <w:noProof/>
        </w:rPr>
      </w:pPr>
      <w:r>
        <w:rPr>
          <w:noProof/>
        </w:rPr>
        <w:t xml:space="preserve">In its </w:t>
      </w:r>
      <w:hyperlink r:id="rId30" w:anchor="subchapter5-2" w:history="1">
        <w:r w:rsidRPr="002652D8">
          <w:rPr>
            <w:rStyle w:val="Hyperlink"/>
            <w:noProof/>
          </w:rPr>
          <w:t>2022</w:t>
        </w:r>
      </w:hyperlink>
      <w:r>
        <w:rPr>
          <w:noProof/>
        </w:rPr>
        <w:t xml:space="preserve"> and </w:t>
      </w:r>
      <w:hyperlink r:id="rId31" w:anchor="subchapter5-2" w:history="1">
        <w:r w:rsidRPr="002652D8">
          <w:rPr>
            <w:rStyle w:val="Hyperlink"/>
            <w:noProof/>
          </w:rPr>
          <w:t>2023</w:t>
        </w:r>
      </w:hyperlink>
      <w:r w:rsidR="004C1FAE" w:rsidRPr="004C1FAE">
        <w:rPr>
          <w:noProof/>
        </w:rPr>
        <w:t xml:space="preserve"> </w:t>
      </w:r>
      <w:r w:rsidR="004C1FAE">
        <w:rPr>
          <w:noProof/>
        </w:rPr>
        <w:t>PIF reports</w:t>
      </w:r>
      <w:r>
        <w:rPr>
          <w:noProof/>
        </w:rPr>
        <w:t>, the Commission recommended that Member States accelerate the digitalisation of the fight against fraud</w:t>
      </w:r>
      <w:r w:rsidRPr="002652D8">
        <w:rPr>
          <w:noProof/>
        </w:rPr>
        <w:t> (</w:t>
      </w:r>
      <w:r>
        <w:rPr>
          <w:rStyle w:val="FootnoteReference"/>
          <w:noProof/>
        </w:rPr>
        <w:footnoteReference w:id="59"/>
      </w:r>
      <w:r>
        <w:rPr>
          <w:noProof/>
        </w:rPr>
        <w:t>).</w:t>
      </w:r>
    </w:p>
    <w:p w14:paraId="27D98592" w14:textId="46760A1D" w:rsidR="0097278F" w:rsidRDefault="0097278F" w:rsidP="00F760DA">
      <w:pPr>
        <w:rPr>
          <w:noProof/>
        </w:rPr>
      </w:pPr>
      <w:r w:rsidRPr="004D76BA">
        <w:rPr>
          <w:noProof/>
        </w:rPr>
        <w:t>In their replies</w:t>
      </w:r>
      <w:r w:rsidR="001B67F1">
        <w:rPr>
          <w:noProof/>
        </w:rPr>
        <w:t>,</w:t>
      </w:r>
      <w:r w:rsidRPr="004D76BA">
        <w:rPr>
          <w:noProof/>
        </w:rPr>
        <w:t xml:space="preserve"> a vast majority of Member States indicated </w:t>
      </w:r>
      <w:r w:rsidR="00503469" w:rsidRPr="004D76BA">
        <w:rPr>
          <w:noProof/>
        </w:rPr>
        <w:t xml:space="preserve">that </w:t>
      </w:r>
      <w:r w:rsidRPr="004D76BA">
        <w:rPr>
          <w:noProof/>
        </w:rPr>
        <w:t xml:space="preserve">digitalisation </w:t>
      </w:r>
      <w:r w:rsidR="00503469" w:rsidRPr="004D76BA">
        <w:rPr>
          <w:noProof/>
        </w:rPr>
        <w:t xml:space="preserve">is </w:t>
      </w:r>
      <w:r w:rsidRPr="004D76BA">
        <w:rPr>
          <w:noProof/>
        </w:rPr>
        <w:t>a clear goal in their anti-fraud efforts</w:t>
      </w:r>
      <w:r w:rsidR="00503469" w:rsidRPr="004D76BA">
        <w:rPr>
          <w:noProof/>
        </w:rPr>
        <w:t xml:space="preserve">. </w:t>
      </w:r>
      <w:r w:rsidR="001B67F1">
        <w:rPr>
          <w:noProof/>
        </w:rPr>
        <w:t>To</w:t>
      </w:r>
      <w:r w:rsidR="001B67F1" w:rsidRPr="004D76BA">
        <w:rPr>
          <w:noProof/>
        </w:rPr>
        <w:t xml:space="preserve"> </w:t>
      </w:r>
      <w:r w:rsidRPr="004D76BA">
        <w:rPr>
          <w:noProof/>
        </w:rPr>
        <w:t xml:space="preserve">address existing gaps, </w:t>
      </w:r>
      <w:r w:rsidR="008D5485" w:rsidRPr="004D76BA">
        <w:rPr>
          <w:noProof/>
        </w:rPr>
        <w:t>17</w:t>
      </w:r>
      <w:r w:rsidRPr="004D76BA">
        <w:rPr>
          <w:noProof/>
        </w:rPr>
        <w:t xml:space="preserve"> Member States</w:t>
      </w:r>
      <w:r w:rsidR="008D5485" w:rsidRPr="004D76BA">
        <w:rPr>
          <w:noProof/>
        </w:rPr>
        <w:t> (</w:t>
      </w:r>
      <w:r w:rsidR="008D5485" w:rsidRPr="004D76BA">
        <w:rPr>
          <w:rStyle w:val="FootnoteReference"/>
          <w:noProof/>
        </w:rPr>
        <w:footnoteReference w:id="60"/>
      </w:r>
      <w:r w:rsidR="008D5485" w:rsidRPr="004D76BA">
        <w:rPr>
          <w:noProof/>
        </w:rPr>
        <w:t>)</w:t>
      </w:r>
      <w:r w:rsidRPr="004D76BA">
        <w:rPr>
          <w:noProof/>
        </w:rPr>
        <w:t xml:space="preserve"> use training, </w:t>
      </w:r>
      <w:r w:rsidR="007D5DD5" w:rsidRPr="004D76BA">
        <w:rPr>
          <w:noProof/>
        </w:rPr>
        <w:t xml:space="preserve">followed by </w:t>
      </w:r>
      <w:r w:rsidRPr="004D76BA">
        <w:rPr>
          <w:noProof/>
        </w:rPr>
        <w:t>gap</w:t>
      </w:r>
      <w:r>
        <w:rPr>
          <w:noProof/>
        </w:rPr>
        <w:t xml:space="preserve"> analysis and internal assessments </w:t>
      </w:r>
      <w:r w:rsidR="008D5485">
        <w:rPr>
          <w:noProof/>
        </w:rPr>
        <w:t>(8 Member States each</w:t>
      </w:r>
      <w:r w:rsidR="001B67F1">
        <w:rPr>
          <w:noProof/>
        </w:rPr>
        <w:t>)</w:t>
      </w:r>
      <w:r w:rsidR="008D5485" w:rsidRPr="008D5485">
        <w:rPr>
          <w:noProof/>
        </w:rPr>
        <w:t> (</w:t>
      </w:r>
      <w:r w:rsidR="008D5485">
        <w:rPr>
          <w:rStyle w:val="FootnoteReference"/>
          <w:noProof/>
        </w:rPr>
        <w:footnoteReference w:id="61"/>
      </w:r>
      <w:r w:rsidR="008D5485">
        <w:rPr>
          <w:noProof/>
        </w:rPr>
        <w:t>)</w:t>
      </w:r>
      <w:r>
        <w:rPr>
          <w:noProof/>
        </w:rPr>
        <w:t xml:space="preserve">. This highlights a strong focus on building capacity and </w:t>
      </w:r>
      <w:r w:rsidR="00B17897">
        <w:rPr>
          <w:noProof/>
        </w:rPr>
        <w:t>improve</w:t>
      </w:r>
      <w:r w:rsidR="001B67F1">
        <w:rPr>
          <w:noProof/>
        </w:rPr>
        <w:t xml:space="preserve"> </w:t>
      </w:r>
      <w:r>
        <w:rPr>
          <w:noProof/>
        </w:rPr>
        <w:t xml:space="preserve">digitalisation. </w:t>
      </w:r>
      <w:r w:rsidR="001B67F1">
        <w:rPr>
          <w:noProof/>
        </w:rPr>
        <w:t>Some</w:t>
      </w:r>
      <w:r>
        <w:rPr>
          <w:noProof/>
        </w:rPr>
        <w:t xml:space="preserve"> 20 Member State</w:t>
      </w:r>
      <w:r w:rsidR="00736EF4">
        <w:rPr>
          <w:noProof/>
        </w:rPr>
        <w:t>s</w:t>
      </w:r>
      <w:r w:rsidR="008D5485" w:rsidRPr="008D5485">
        <w:rPr>
          <w:noProof/>
        </w:rPr>
        <w:t> (</w:t>
      </w:r>
      <w:r w:rsidR="008D5485">
        <w:rPr>
          <w:rStyle w:val="FootnoteReference"/>
          <w:noProof/>
        </w:rPr>
        <w:footnoteReference w:id="62"/>
      </w:r>
      <w:r w:rsidR="008D5485">
        <w:rPr>
          <w:noProof/>
        </w:rPr>
        <w:t>)</w:t>
      </w:r>
      <w:r w:rsidR="00736EF4">
        <w:rPr>
          <w:noProof/>
        </w:rPr>
        <w:t xml:space="preserve"> reporte</w:t>
      </w:r>
      <w:r>
        <w:rPr>
          <w:noProof/>
        </w:rPr>
        <w:t xml:space="preserve">d at least partial success </w:t>
      </w:r>
      <w:r w:rsidR="001B67F1">
        <w:rPr>
          <w:noProof/>
        </w:rPr>
        <w:t>on implementing</w:t>
      </w:r>
      <w:r>
        <w:rPr>
          <w:noProof/>
        </w:rPr>
        <w:t xml:space="preserve"> IT tools, showing significant </w:t>
      </w:r>
      <w:r w:rsidR="001B67F1">
        <w:rPr>
          <w:noProof/>
        </w:rPr>
        <w:t xml:space="preserve">progress on </w:t>
      </w:r>
      <w:r>
        <w:rPr>
          <w:noProof/>
        </w:rPr>
        <w:t>digital transformation.</w:t>
      </w:r>
    </w:p>
    <w:p w14:paraId="24B61F77" w14:textId="72BA24A8" w:rsidR="00947EF7" w:rsidRDefault="0097278F" w:rsidP="00F760DA">
      <w:pPr>
        <w:rPr>
          <w:noProof/>
        </w:rPr>
      </w:pPr>
      <w:r>
        <w:rPr>
          <w:noProof/>
        </w:rPr>
        <w:t>Data analysis tools</w:t>
      </w:r>
      <w:r w:rsidR="00CC3F5D">
        <w:rPr>
          <w:noProof/>
        </w:rPr>
        <w:t>, whether</w:t>
      </w:r>
      <w:r>
        <w:rPr>
          <w:noProof/>
        </w:rPr>
        <w:t xml:space="preserve"> external</w:t>
      </w:r>
      <w:r w:rsidR="00CC3F5D">
        <w:rPr>
          <w:noProof/>
        </w:rPr>
        <w:t xml:space="preserve"> or integrated into national systems</w:t>
      </w:r>
      <w:r>
        <w:rPr>
          <w:noProof/>
        </w:rPr>
        <w:t>, are prevalent</w:t>
      </w:r>
      <w:r w:rsidR="00CC3F5D">
        <w:rPr>
          <w:noProof/>
        </w:rPr>
        <w:t>;</w:t>
      </w:r>
      <w:r>
        <w:rPr>
          <w:noProof/>
        </w:rPr>
        <w:t xml:space="preserve"> </w:t>
      </w:r>
      <w:r w:rsidR="00CC3F5D">
        <w:rPr>
          <w:noProof/>
        </w:rPr>
        <w:t xml:space="preserve">they are </w:t>
      </w:r>
      <w:r>
        <w:rPr>
          <w:noProof/>
        </w:rPr>
        <w:t xml:space="preserve">currently </w:t>
      </w:r>
      <w:r w:rsidR="00CC3F5D">
        <w:rPr>
          <w:noProof/>
        </w:rPr>
        <w:t xml:space="preserve">used </w:t>
      </w:r>
      <w:r>
        <w:rPr>
          <w:noProof/>
        </w:rPr>
        <w:t>or planned by 24 Member States</w:t>
      </w:r>
      <w:r w:rsidR="008D5485" w:rsidRPr="008D5485">
        <w:rPr>
          <w:noProof/>
        </w:rPr>
        <w:t> (</w:t>
      </w:r>
      <w:r w:rsidR="008D5485">
        <w:rPr>
          <w:rStyle w:val="FootnoteReference"/>
          <w:noProof/>
        </w:rPr>
        <w:footnoteReference w:id="63"/>
      </w:r>
      <w:r w:rsidR="008D5485">
        <w:rPr>
          <w:noProof/>
        </w:rPr>
        <w:t>)</w:t>
      </w:r>
      <w:r>
        <w:rPr>
          <w:noProof/>
        </w:rPr>
        <w:t xml:space="preserve">. </w:t>
      </w:r>
      <w:r w:rsidR="007D5DD5" w:rsidRPr="004D76BA">
        <w:rPr>
          <w:noProof/>
        </w:rPr>
        <w:t>P</w:t>
      </w:r>
      <w:r w:rsidRPr="004D76BA">
        <w:rPr>
          <w:noProof/>
        </w:rPr>
        <w:t>redictive analytics and AI see less</w:t>
      </w:r>
      <w:r>
        <w:rPr>
          <w:noProof/>
        </w:rPr>
        <w:t xml:space="preserve"> usage, despite AI being one of the most </w:t>
      </w:r>
      <w:r w:rsidR="00CC3F5D">
        <w:rPr>
          <w:noProof/>
        </w:rPr>
        <w:t xml:space="preserve">‘planned </w:t>
      </w:r>
      <w:r>
        <w:rPr>
          <w:noProof/>
        </w:rPr>
        <w:t xml:space="preserve">to </w:t>
      </w:r>
      <w:r w:rsidR="00CC3F5D">
        <w:rPr>
          <w:noProof/>
        </w:rPr>
        <w:t xml:space="preserve">use’ </w:t>
      </w:r>
      <w:r>
        <w:rPr>
          <w:noProof/>
        </w:rPr>
        <w:t>tools</w:t>
      </w:r>
      <w:r w:rsidR="00947EF7">
        <w:rPr>
          <w:noProof/>
        </w:rPr>
        <w:t xml:space="preserve"> (see Figure 3)</w:t>
      </w:r>
      <w:r>
        <w:rPr>
          <w:noProof/>
        </w:rPr>
        <w:t xml:space="preserve">. </w:t>
      </w:r>
    </w:p>
    <w:p w14:paraId="6AAFDE99" w14:textId="3F34AA31" w:rsidR="00947EF7" w:rsidRDefault="00947EF7" w:rsidP="00947EF7">
      <w:pPr>
        <w:pStyle w:val="Caption"/>
        <w:keepNext/>
        <w:rPr>
          <w:noProof/>
          <w:sz w:val="20"/>
        </w:rPr>
      </w:pPr>
      <w:r w:rsidRPr="00621CB7">
        <w:rPr>
          <w:noProof/>
          <w:sz w:val="20"/>
        </w:rPr>
        <w:t xml:space="preserve">Figure </w:t>
      </w:r>
      <w:r w:rsidRPr="00621CB7">
        <w:rPr>
          <w:noProof/>
          <w:sz w:val="20"/>
        </w:rPr>
        <w:fldChar w:fldCharType="begin"/>
      </w:r>
      <w:r w:rsidRPr="00621CB7">
        <w:rPr>
          <w:noProof/>
          <w:sz w:val="20"/>
        </w:rPr>
        <w:instrText xml:space="preserve"> SEQ Figure \* ARABIC </w:instrText>
      </w:r>
      <w:r w:rsidRPr="00621CB7">
        <w:rPr>
          <w:noProof/>
          <w:sz w:val="20"/>
        </w:rPr>
        <w:fldChar w:fldCharType="separate"/>
      </w:r>
      <w:r>
        <w:rPr>
          <w:noProof/>
          <w:sz w:val="20"/>
        </w:rPr>
        <w:t>3</w:t>
      </w:r>
      <w:r w:rsidRPr="00621CB7">
        <w:rPr>
          <w:noProof/>
          <w:sz w:val="20"/>
        </w:rPr>
        <w:fldChar w:fldCharType="end"/>
      </w:r>
      <w:r w:rsidRPr="00621CB7">
        <w:rPr>
          <w:noProof/>
          <w:sz w:val="20"/>
        </w:rPr>
        <w:t xml:space="preserve"> – </w:t>
      </w:r>
      <w:r>
        <w:rPr>
          <w:noProof/>
          <w:sz w:val="20"/>
        </w:rPr>
        <w:t>Digital tools and technologies in use in the</w:t>
      </w:r>
      <w:r w:rsidRPr="00621CB7">
        <w:rPr>
          <w:noProof/>
          <w:sz w:val="20"/>
        </w:rPr>
        <w:t xml:space="preserve"> Member States in 202</w:t>
      </w:r>
      <w:r>
        <w:rPr>
          <w:noProof/>
          <w:sz w:val="20"/>
        </w:rPr>
        <w:t>4</w:t>
      </w:r>
    </w:p>
    <w:p w14:paraId="77FB7A88" w14:textId="77777777" w:rsidR="00947EF7" w:rsidRDefault="00947EF7" w:rsidP="00947EF7">
      <w:pPr>
        <w:rPr>
          <w:noProof/>
        </w:rPr>
      </w:pPr>
      <w:r>
        <w:rPr>
          <w:noProof/>
        </w:rPr>
        <w:drawing>
          <wp:inline distT="0" distB="0" distL="0" distR="0" wp14:anchorId="0598A347" wp14:editId="4BBC959C">
            <wp:extent cx="5472430" cy="3858895"/>
            <wp:effectExtent l="0" t="0" r="0" b="8255"/>
            <wp:docPr id="82244542" name="Picture 1" descr="The figure indicates which Member States have what kind of digital tools or technologies in place or which ones they are planning to use in the near future.&#10;All Member States use data analysis tools non-integrated in their IT management tools, with the exception of Bulgaria, Finland, Ireland and Portugal. The latter is planning to us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44810" name="Picture 1" descr="The figure indicates which Member States have what kind of digital tools or technologies in place or which ones they are planning to use in the near future.&#10;All Member States use data analysis tools non-integrated in their IT management tools, with the exception of Bulgaria, Finland, Ireland and Portugal. The latter is planning to use them."/>
                    <pic:cNvPicPr/>
                  </pic:nvPicPr>
                  <pic:blipFill>
                    <a:blip r:embed="rId32">
                      <a:extLst>
                        <a:ext uri="{28A0092B-C50C-407E-A947-70E740481C1C}">
                          <a14:useLocalDpi xmlns:a14="http://schemas.microsoft.com/office/drawing/2010/main" val="0"/>
                        </a:ext>
                      </a:extLst>
                    </a:blip>
                    <a:stretch>
                      <a:fillRect/>
                    </a:stretch>
                  </pic:blipFill>
                  <pic:spPr>
                    <a:xfrm>
                      <a:off x="0" y="0"/>
                      <a:ext cx="5472430" cy="3858895"/>
                    </a:xfrm>
                    <a:prstGeom prst="rect">
                      <a:avLst/>
                    </a:prstGeom>
                  </pic:spPr>
                </pic:pic>
              </a:graphicData>
            </a:graphic>
          </wp:inline>
        </w:drawing>
      </w:r>
    </w:p>
    <w:p w14:paraId="5EE5F925" w14:textId="303D4095" w:rsidR="0097278F" w:rsidRDefault="0097278F" w:rsidP="00F760DA">
      <w:pPr>
        <w:rPr>
          <w:noProof/>
        </w:rPr>
      </w:pPr>
      <w:r>
        <w:rPr>
          <w:noProof/>
        </w:rPr>
        <w:t xml:space="preserve">Legal or regulatory barriers and data privacy and security concerns are the primary challenges in digitalisation efforts, suggesting </w:t>
      </w:r>
      <w:r w:rsidR="00CC3F5D">
        <w:rPr>
          <w:noProof/>
        </w:rPr>
        <w:t xml:space="preserve">that Member States are held back by specific </w:t>
      </w:r>
      <w:r>
        <w:rPr>
          <w:noProof/>
        </w:rPr>
        <w:t>obstacles rather than a lack of commitment</w:t>
      </w:r>
      <w:r w:rsidR="00947EF7">
        <w:rPr>
          <w:noProof/>
        </w:rPr>
        <w:t xml:space="preserve"> (see Figure 4)</w:t>
      </w:r>
      <w:r>
        <w:rPr>
          <w:noProof/>
        </w:rPr>
        <w:t>.</w:t>
      </w:r>
    </w:p>
    <w:p w14:paraId="227AD329" w14:textId="7D64E942" w:rsidR="000060D9" w:rsidRDefault="000060D9" w:rsidP="00947EF7">
      <w:pPr>
        <w:pStyle w:val="Caption"/>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sidR="00947EF7">
        <w:rPr>
          <w:noProof/>
        </w:rPr>
        <w:t>4</w:t>
      </w:r>
      <w:r>
        <w:rPr>
          <w:noProof/>
        </w:rPr>
        <w:fldChar w:fldCharType="end"/>
      </w:r>
      <w:r>
        <w:rPr>
          <w:noProof/>
        </w:rPr>
        <w:t xml:space="preserve">: Challenges </w:t>
      </w:r>
      <w:r w:rsidRPr="000060D9">
        <w:rPr>
          <w:noProof/>
        </w:rPr>
        <w:t xml:space="preserve">faced in accelerating digitalisation to fight fraud </w:t>
      </w:r>
    </w:p>
    <w:p w14:paraId="360A8DB4" w14:textId="247C2A0C" w:rsidR="000060D9" w:rsidRDefault="000060D9" w:rsidP="000060D9">
      <w:pPr>
        <w:rPr>
          <w:noProof/>
        </w:rPr>
      </w:pPr>
      <w:r>
        <w:rPr>
          <w:noProof/>
        </w:rPr>
        <w:drawing>
          <wp:inline distT="0" distB="0" distL="0" distR="0" wp14:anchorId="4A65E367" wp14:editId="603BCA01">
            <wp:extent cx="5472430" cy="2840355"/>
            <wp:effectExtent l="0" t="0" r="0" b="0"/>
            <wp:docPr id="619715926" name="Picture 2" descr="The chart shows the main challenges indicated by the Member States to accelerate the digitalisation of the fight against fraud affecting the EU's financial interests.&#10;14 Member States indicated 'legal or regulatory barriers' and 'data privacy and security concerns'.&#10;12 Member States indicated 'Integration challenges with legacy systems' and 'Budget limitations'.&#10;10 Member States indicated 'Lack of expertise'&#10;9 Member States indicated 'Resistance to change'&#10;8 Member States indicated 'Accessibility at a regional or local administration level&#10;3 Member States indicated other 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15926" name="Picture 2" descr="The chart shows the main challenges indicated by the Member States to accelerate the digitalisation of the fight against fraud affecting the EU's financial interests.&#10;14 Member States indicated 'legal or regulatory barriers' and 'data privacy and security concerns'.&#10;12 Member States indicated 'Integration challenges with legacy systems' and 'Budget limitations'.&#10;10 Member States indicated 'Lack of expertise'&#10;9 Member States indicated 'Resistance to change'&#10;8 Member States indicated 'Accessibility at a regional or local administration level&#10;3 Member States indicated other reasons."/>
                    <pic:cNvPicPr/>
                  </pic:nvPicPr>
                  <pic:blipFill>
                    <a:blip r:embed="rId33">
                      <a:extLst>
                        <a:ext uri="{28A0092B-C50C-407E-A947-70E740481C1C}">
                          <a14:useLocalDpi xmlns:a14="http://schemas.microsoft.com/office/drawing/2010/main" val="0"/>
                        </a:ext>
                      </a:extLst>
                    </a:blip>
                    <a:stretch>
                      <a:fillRect/>
                    </a:stretch>
                  </pic:blipFill>
                  <pic:spPr>
                    <a:xfrm>
                      <a:off x="0" y="0"/>
                      <a:ext cx="5472430" cy="2840355"/>
                    </a:xfrm>
                    <a:prstGeom prst="rect">
                      <a:avLst/>
                    </a:prstGeom>
                  </pic:spPr>
                </pic:pic>
              </a:graphicData>
            </a:graphic>
          </wp:inline>
        </w:drawing>
      </w:r>
    </w:p>
    <w:p w14:paraId="4B99EED4" w14:textId="77777777" w:rsidR="00947EF7" w:rsidRDefault="00947EF7" w:rsidP="00947EF7">
      <w:pPr>
        <w:rPr>
          <w:noProof/>
        </w:rPr>
      </w:pPr>
      <w:r>
        <w:rPr>
          <w:noProof/>
        </w:rPr>
        <w:t>Some 16 Member States</w:t>
      </w:r>
      <w:r w:rsidRPr="008D5485">
        <w:rPr>
          <w:noProof/>
        </w:rPr>
        <w:t> (</w:t>
      </w:r>
      <w:r>
        <w:rPr>
          <w:rStyle w:val="FootnoteReference"/>
          <w:noProof/>
        </w:rPr>
        <w:footnoteReference w:id="64"/>
      </w:r>
      <w:r>
        <w:rPr>
          <w:noProof/>
        </w:rPr>
        <w:t xml:space="preserve">) have developed interoperable data management systems. Improving interoperability is crucial for seamless data sharing across borders, improving fraud detection, and focusing on potential future standardisation. </w:t>
      </w:r>
    </w:p>
    <w:p w14:paraId="291ED9B2" w14:textId="74A13C7C" w:rsidR="00F04092" w:rsidRDefault="00F74B37" w:rsidP="00F760DA">
      <w:pPr>
        <w:rPr>
          <w:noProof/>
        </w:rPr>
      </w:pPr>
      <w:r>
        <w:rPr>
          <w:noProof/>
        </w:rPr>
        <w:t xml:space="preserve">Some </w:t>
      </w:r>
      <w:r w:rsidR="00F04092">
        <w:rPr>
          <w:noProof/>
        </w:rPr>
        <w:t>22 Member States</w:t>
      </w:r>
      <w:r w:rsidR="008D5485" w:rsidRPr="008D5485">
        <w:rPr>
          <w:noProof/>
        </w:rPr>
        <w:t> (</w:t>
      </w:r>
      <w:r w:rsidR="008D5485">
        <w:rPr>
          <w:rStyle w:val="FootnoteReference"/>
          <w:noProof/>
        </w:rPr>
        <w:footnoteReference w:id="65"/>
      </w:r>
      <w:r w:rsidR="008D5485">
        <w:rPr>
          <w:noProof/>
        </w:rPr>
        <w:t>)</w:t>
      </w:r>
      <w:r w:rsidR="00F04092">
        <w:rPr>
          <w:noProof/>
        </w:rPr>
        <w:t xml:space="preserve"> are incorporating </w:t>
      </w:r>
      <w:r w:rsidR="00861843">
        <w:rPr>
          <w:noProof/>
        </w:rPr>
        <w:t>the current ARACHNE</w:t>
      </w:r>
      <w:r w:rsidR="00CC3F5D">
        <w:rPr>
          <w:noProof/>
        </w:rPr>
        <w:t xml:space="preserve"> </w:t>
      </w:r>
      <w:r w:rsidR="00B17897">
        <w:rPr>
          <w:noProof/>
        </w:rPr>
        <w:t>system in</w:t>
      </w:r>
      <w:r w:rsidR="00F04092">
        <w:rPr>
          <w:noProof/>
        </w:rPr>
        <w:t xml:space="preserve"> their anti-fraud strategies. Key implementers include managing and auditing authorities. ARACHNE</w:t>
      </w:r>
      <w:r w:rsidR="008D5485">
        <w:rPr>
          <w:noProof/>
        </w:rPr>
        <w:t xml:space="preserve"> </w:t>
      </w:r>
      <w:r w:rsidR="00F04092">
        <w:rPr>
          <w:noProof/>
        </w:rPr>
        <w:t xml:space="preserve">is widely used across EU funds for prevention and detection, using risk scoring to identify fraud and irregularities. </w:t>
      </w:r>
      <w:r w:rsidR="00CC3F5D">
        <w:rPr>
          <w:noProof/>
        </w:rPr>
        <w:t xml:space="preserve">While the system has been </w:t>
      </w:r>
      <w:r w:rsidR="00B17897">
        <w:rPr>
          <w:noProof/>
        </w:rPr>
        <w:t>adopted, comprehensive</w:t>
      </w:r>
      <w:r w:rsidR="00F04092">
        <w:rPr>
          <w:noProof/>
        </w:rPr>
        <w:t xml:space="preserve"> training and support </w:t>
      </w:r>
      <w:r w:rsidR="00861843">
        <w:rPr>
          <w:noProof/>
        </w:rPr>
        <w:t xml:space="preserve">are </w:t>
      </w:r>
      <w:r w:rsidR="00EC6482">
        <w:rPr>
          <w:noProof/>
        </w:rPr>
        <w:t xml:space="preserve">still </w:t>
      </w:r>
      <w:r w:rsidR="00861843">
        <w:rPr>
          <w:noProof/>
        </w:rPr>
        <w:t xml:space="preserve">deemed </w:t>
      </w:r>
      <w:r w:rsidR="00F04092">
        <w:rPr>
          <w:noProof/>
        </w:rPr>
        <w:t xml:space="preserve">necessary for effectiveness. </w:t>
      </w:r>
    </w:p>
    <w:p w14:paraId="1F925A9B" w14:textId="2F5F6E11" w:rsidR="0097278F" w:rsidRDefault="000060D9" w:rsidP="00F760DA">
      <w:pPr>
        <w:rPr>
          <w:noProof/>
        </w:rPr>
      </w:pPr>
      <w:r>
        <w:rPr>
          <w:noProof/>
        </w:rPr>
        <w:t>Many</w:t>
      </w:r>
      <w:r w:rsidR="0097278F">
        <w:rPr>
          <w:noProof/>
        </w:rPr>
        <w:t xml:space="preserve"> Member States report</w:t>
      </w:r>
      <w:r>
        <w:rPr>
          <w:noProof/>
        </w:rPr>
        <w:t>ed</w:t>
      </w:r>
      <w:r w:rsidR="0097278F">
        <w:rPr>
          <w:noProof/>
        </w:rPr>
        <w:t xml:space="preserve"> process improvements with ARACHNE</w:t>
      </w:r>
      <w:r w:rsidR="00E37D4C" w:rsidRPr="00E37D4C">
        <w:rPr>
          <w:noProof/>
        </w:rPr>
        <w:t> (</w:t>
      </w:r>
      <w:r w:rsidR="00E37D4C">
        <w:rPr>
          <w:rStyle w:val="FootnoteReference"/>
          <w:noProof/>
        </w:rPr>
        <w:footnoteReference w:id="66"/>
      </w:r>
      <w:r w:rsidR="00EC6482">
        <w:rPr>
          <w:noProof/>
        </w:rPr>
        <w:t xml:space="preserve">). </w:t>
      </w:r>
    </w:p>
    <w:p w14:paraId="156DFB8E" w14:textId="77777777" w:rsidR="0052274C" w:rsidRDefault="0052274C" w:rsidP="00F760DA">
      <w:pPr>
        <w:rPr>
          <w:noProof/>
        </w:rPr>
      </w:pPr>
    </w:p>
    <w:p w14:paraId="4CAAB716" w14:textId="1E570835" w:rsidR="0097278F" w:rsidRDefault="00214074" w:rsidP="00F760DA">
      <w:pPr>
        <w:rPr>
          <w:noProof/>
        </w:rPr>
      </w:pPr>
      <w:r>
        <w:rPr>
          <w:noProof/>
        </w:rPr>
        <w:t xml:space="preserve">With the </w:t>
      </w:r>
      <w:r w:rsidR="0052274C">
        <w:rPr>
          <w:noProof/>
        </w:rPr>
        <w:t xml:space="preserve">compulsory </w:t>
      </w:r>
      <w:r>
        <w:rPr>
          <w:noProof/>
        </w:rPr>
        <w:t xml:space="preserve">feeding of </w:t>
      </w:r>
      <w:r w:rsidR="0052274C" w:rsidRPr="0052274C">
        <w:rPr>
          <w:noProof/>
        </w:rPr>
        <w:t>the single data mining and risk-scoring tool (Arachne+) for audit and control purposes as from 1 January 2028</w:t>
      </w:r>
      <w:r w:rsidR="0052274C">
        <w:rPr>
          <w:noProof/>
        </w:rPr>
        <w:t>,</w:t>
      </w:r>
      <w:r w:rsidR="0052274C" w:rsidRPr="0052274C">
        <w:rPr>
          <w:noProof/>
        </w:rPr>
        <w:t xml:space="preserve"> </w:t>
      </w:r>
      <w:r w:rsidR="0052274C">
        <w:rPr>
          <w:noProof/>
        </w:rPr>
        <w:t>d</w:t>
      </w:r>
      <w:r w:rsidR="0052274C" w:rsidRPr="0052274C">
        <w:rPr>
          <w:noProof/>
        </w:rPr>
        <w:t>ata collected by all Member States’ authorities as regards all funds will be included in a single EU-wide tool. This will enhance control and audit functions across the EU and assist national authorities and AFA actors in the prevention, detection, correction and follow-up of fraud, corruption and irregularities, including conflicts of interest and double funding.</w:t>
      </w:r>
    </w:p>
    <w:p w14:paraId="4C3EAB78" w14:textId="4D20A62E" w:rsidR="00736EF4" w:rsidRPr="00C135E0" w:rsidRDefault="00E349BE" w:rsidP="00E349BE">
      <w:pPr>
        <w:pStyle w:val="Heading3"/>
        <w:rPr>
          <w:noProof/>
        </w:rPr>
      </w:pPr>
      <w:bookmarkStart w:id="65" w:name="_Digitalisation_and_the"/>
      <w:bookmarkStart w:id="66" w:name="_Toc202011335"/>
      <w:bookmarkStart w:id="67" w:name="_Toc203477672"/>
      <w:bookmarkEnd w:id="65"/>
      <w:r w:rsidRPr="00C135E0">
        <w:rPr>
          <w:noProof/>
        </w:rPr>
        <w:t>Digitalisation and the use of new technologies in control systems</w:t>
      </w:r>
      <w:bookmarkEnd w:id="66"/>
      <w:bookmarkEnd w:id="67"/>
    </w:p>
    <w:p w14:paraId="1B450AB0" w14:textId="3088E71E" w:rsidR="00E349BE" w:rsidRDefault="00757613" w:rsidP="00E349BE">
      <w:pPr>
        <w:rPr>
          <w:noProof/>
        </w:rPr>
      </w:pPr>
      <w:r>
        <w:rPr>
          <w:noProof/>
        </w:rPr>
        <w:t>2024</w:t>
      </w:r>
      <w:r w:rsidR="00214074">
        <w:rPr>
          <w:noProof/>
        </w:rPr>
        <w:t xml:space="preserve"> saw a significant emphasis on digitalisation</w:t>
      </w:r>
      <w:r w:rsidR="00E349BE">
        <w:rPr>
          <w:noProof/>
        </w:rPr>
        <w:t xml:space="preserve">, continuing the trend observed in the previous year and in line with the recommendations of the </w:t>
      </w:r>
      <w:r w:rsidR="00214074">
        <w:rPr>
          <w:noProof/>
        </w:rPr>
        <w:t xml:space="preserve">2023 </w:t>
      </w:r>
      <w:r w:rsidR="00E349BE">
        <w:rPr>
          <w:noProof/>
        </w:rPr>
        <w:t xml:space="preserve">PIF Report. </w:t>
      </w:r>
    </w:p>
    <w:p w14:paraId="42B7D196" w14:textId="33DD0A83" w:rsidR="00E349BE" w:rsidRDefault="00E349BE" w:rsidP="00E349BE">
      <w:pPr>
        <w:rPr>
          <w:noProof/>
        </w:rPr>
      </w:pPr>
      <w:r>
        <w:rPr>
          <w:noProof/>
        </w:rPr>
        <w:t xml:space="preserve">These digitalisation initiatives are primarily targeting cohesion policy and revenue, with particular attention on combating tax fraud and </w:t>
      </w:r>
      <w:r w:rsidR="00214074">
        <w:rPr>
          <w:noProof/>
        </w:rPr>
        <w:t xml:space="preserve">improving </w:t>
      </w:r>
      <w:r>
        <w:rPr>
          <w:noProof/>
        </w:rPr>
        <w:t xml:space="preserve">customs operations. The tools being implemented facilitate verification checks, anomaly detection, real-time monitoring, and the identification of connections between entities and individuals. </w:t>
      </w:r>
      <w:r w:rsidR="00D1150B" w:rsidRPr="00D1150B">
        <w:rPr>
          <w:noProof/>
        </w:rPr>
        <w:t>A key role in this area is played by the legal framework of the EU's Single Customs Window, which establishes a binding set of harmonised rules for data sharing and digital cooperation between customs and other authorities, also stimulating digitisation efforts on both sides, at EU and national level: at the core of this framework there’s the EU Customs Single Window Certificate Exchange System (EU CSW-CERTEX) which enables real time check on existing formalities, aiding in the anti-fraud efforts of national customs.</w:t>
      </w:r>
      <w:r w:rsidR="00D1150B">
        <w:rPr>
          <w:noProof/>
        </w:rPr>
        <w:t xml:space="preserve"> </w:t>
      </w:r>
      <w:r>
        <w:rPr>
          <w:noProof/>
        </w:rPr>
        <w:t xml:space="preserve">A notable example of </w:t>
      </w:r>
      <w:r w:rsidR="00214074">
        <w:rPr>
          <w:noProof/>
        </w:rPr>
        <w:t xml:space="preserve">using </w:t>
      </w:r>
      <w:r>
        <w:rPr>
          <w:noProof/>
        </w:rPr>
        <w:t>new technologies to stay ahead of fraudsters is Spain</w:t>
      </w:r>
      <w:r w:rsidR="00861843">
        <w:rPr>
          <w:noProof/>
        </w:rPr>
        <w:t>’</w:t>
      </w:r>
      <w:r>
        <w:rPr>
          <w:noProof/>
        </w:rPr>
        <w:t xml:space="preserve">s integration of </w:t>
      </w:r>
      <w:r w:rsidR="00214074">
        <w:rPr>
          <w:noProof/>
        </w:rPr>
        <w:t xml:space="preserve">AI to </w:t>
      </w:r>
      <w:r>
        <w:rPr>
          <w:noProof/>
        </w:rPr>
        <w:t>detect e-commerce fraud, where traditional methods are insufficient to handle the increasing volume of online fraud activities. As fraudsters increasingly use and exploit new technologies to commit fraud, it is important to accelerate digitalisation in the EU</w:t>
      </w:r>
      <w:r w:rsidR="00214074">
        <w:rPr>
          <w:noProof/>
        </w:rPr>
        <w:t>’s</w:t>
      </w:r>
      <w:r>
        <w:rPr>
          <w:noProof/>
        </w:rPr>
        <w:t xml:space="preserve"> anti-fraud efforts.</w:t>
      </w:r>
    </w:p>
    <w:p w14:paraId="20F0448E" w14:textId="1A6D2E6C" w:rsidR="00757613" w:rsidRDefault="00D97747" w:rsidP="00E349BE">
      <w:pPr>
        <w:rPr>
          <w:noProof/>
        </w:rPr>
      </w:pPr>
      <w:r>
        <w:rPr>
          <w:noProof/>
        </w:rPr>
        <w:t>T</w:t>
      </w:r>
      <w:r w:rsidR="00757613">
        <w:rPr>
          <w:noProof/>
        </w:rPr>
        <w:t xml:space="preserve">able </w:t>
      </w:r>
      <w:r>
        <w:rPr>
          <w:noProof/>
        </w:rPr>
        <w:t xml:space="preserve">4 in Annex 3 </w:t>
      </w:r>
      <w:r w:rsidR="00757613">
        <w:rPr>
          <w:noProof/>
        </w:rPr>
        <w:t xml:space="preserve">summarises the </w:t>
      </w:r>
      <w:r w:rsidR="00E23F71">
        <w:rPr>
          <w:noProof/>
        </w:rPr>
        <w:t xml:space="preserve">main </w:t>
      </w:r>
      <w:r>
        <w:rPr>
          <w:noProof/>
        </w:rPr>
        <w:t xml:space="preserve">digitalisation </w:t>
      </w:r>
      <w:r w:rsidR="00757613">
        <w:rPr>
          <w:noProof/>
        </w:rPr>
        <w:t xml:space="preserve">initiatives </w:t>
      </w:r>
      <w:r>
        <w:rPr>
          <w:noProof/>
        </w:rPr>
        <w:t xml:space="preserve">that </w:t>
      </w:r>
      <w:r w:rsidR="00757613">
        <w:rPr>
          <w:noProof/>
        </w:rPr>
        <w:t>Member States have reported</w:t>
      </w:r>
      <w:r w:rsidR="00757613" w:rsidRPr="00757613">
        <w:rPr>
          <w:noProof/>
        </w:rPr>
        <w:t> (</w:t>
      </w:r>
      <w:r w:rsidR="00757613">
        <w:rPr>
          <w:rStyle w:val="FootnoteReference"/>
          <w:noProof/>
        </w:rPr>
        <w:footnoteReference w:id="67"/>
      </w:r>
      <w:r w:rsidR="00757613">
        <w:rPr>
          <w:noProof/>
        </w:rPr>
        <w:t>).</w:t>
      </w:r>
    </w:p>
    <w:p w14:paraId="74BAEB66" w14:textId="77777777" w:rsidR="00FE789E" w:rsidRPr="00814B72" w:rsidRDefault="00F728F6" w:rsidP="00B147F9">
      <w:pPr>
        <w:pStyle w:val="Heading1"/>
        <w:rPr>
          <w:noProof/>
        </w:rPr>
      </w:pPr>
      <w:bookmarkStart w:id="68" w:name="_Data_quality:_improving"/>
      <w:bookmarkStart w:id="69" w:name="_Combating_irregularities,_fraud,"/>
      <w:bookmarkStart w:id="70" w:name="_Toc134557985"/>
      <w:bookmarkStart w:id="71" w:name="_Toc202011336"/>
      <w:bookmarkStart w:id="72" w:name="_Toc203477673"/>
      <w:bookmarkEnd w:id="68"/>
      <w:bookmarkEnd w:id="69"/>
      <w:r w:rsidRPr="00814B72">
        <w:rPr>
          <w:noProof/>
        </w:rPr>
        <w:t xml:space="preserve">Combating </w:t>
      </w:r>
      <w:r w:rsidR="00EA6E77" w:rsidRPr="00814B72">
        <w:rPr>
          <w:noProof/>
        </w:rPr>
        <w:t>irregularities, fraud, corruption and conflict</w:t>
      </w:r>
      <w:r w:rsidR="00B147F9">
        <w:rPr>
          <w:noProof/>
        </w:rPr>
        <w:t>s</w:t>
      </w:r>
      <w:r w:rsidR="00EA6E77" w:rsidRPr="00814B72">
        <w:rPr>
          <w:noProof/>
        </w:rPr>
        <w:t xml:space="preserve"> of interest detrimental to the EU budget</w:t>
      </w:r>
      <w:bookmarkEnd w:id="70"/>
      <w:bookmarkEnd w:id="71"/>
      <w:bookmarkEnd w:id="72"/>
    </w:p>
    <w:p w14:paraId="41E5AE7A" w14:textId="77777777" w:rsidR="00DC489A" w:rsidRPr="00C135E0" w:rsidRDefault="00EA6E77" w:rsidP="00FA377B">
      <w:pPr>
        <w:pStyle w:val="Heading2"/>
        <w:rPr>
          <w:noProof/>
        </w:rPr>
      </w:pPr>
      <w:bookmarkStart w:id="73" w:name="_Toc134557986"/>
      <w:bookmarkStart w:id="74" w:name="_Toc202011337"/>
      <w:bookmarkStart w:id="75" w:name="_Toc203477674"/>
      <w:r w:rsidRPr="00C135E0">
        <w:rPr>
          <w:noProof/>
        </w:rPr>
        <w:t>General overview</w:t>
      </w:r>
      <w:bookmarkEnd w:id="73"/>
      <w:bookmarkEnd w:id="74"/>
      <w:bookmarkEnd w:id="75"/>
    </w:p>
    <w:p w14:paraId="23635311" w14:textId="279B0C2E" w:rsidR="00FF426C" w:rsidRPr="00814B72" w:rsidRDefault="00A10A90" w:rsidP="00C6311E">
      <w:pPr>
        <w:rPr>
          <w:noProof/>
        </w:rPr>
      </w:pPr>
      <w:r w:rsidRPr="00814B72">
        <w:rPr>
          <w:noProof/>
        </w:rPr>
        <w:t xml:space="preserve">From an operational point of view, protecting </w:t>
      </w:r>
      <w:r w:rsidR="00EA6E77" w:rsidRPr="00814B72">
        <w:rPr>
          <w:noProof/>
        </w:rPr>
        <w:t>the EU’s financial interests from fraud, irregularities and other illicit activities is</w:t>
      </w:r>
      <w:r w:rsidR="00200D23">
        <w:rPr>
          <w:noProof/>
        </w:rPr>
        <w:t xml:space="preserve"> a task</w:t>
      </w:r>
      <w:r w:rsidR="00EA6E77" w:rsidRPr="00814B72">
        <w:rPr>
          <w:noProof/>
        </w:rPr>
        <w:t xml:space="preserve"> entrusted</w:t>
      </w:r>
      <w:r w:rsidRPr="00814B72">
        <w:rPr>
          <w:noProof/>
        </w:rPr>
        <w:t xml:space="preserve"> </w:t>
      </w:r>
      <w:r w:rsidR="005446A6" w:rsidRPr="00814B72">
        <w:rPr>
          <w:noProof/>
        </w:rPr>
        <w:t xml:space="preserve">to </w:t>
      </w:r>
      <w:r w:rsidR="00EA6E77" w:rsidRPr="00814B72">
        <w:rPr>
          <w:noProof/>
        </w:rPr>
        <w:t xml:space="preserve">national </w:t>
      </w:r>
      <w:r w:rsidR="00CB70E4" w:rsidRPr="00814B72">
        <w:rPr>
          <w:noProof/>
        </w:rPr>
        <w:t>authorities</w:t>
      </w:r>
      <w:r w:rsidR="00EA6E77" w:rsidRPr="00814B72">
        <w:rPr>
          <w:noProof/>
        </w:rPr>
        <w:t>, OLAF and the EPPO.</w:t>
      </w:r>
    </w:p>
    <w:p w14:paraId="3476775D" w14:textId="0E10084E" w:rsidR="00C6311E" w:rsidRPr="00814B72" w:rsidRDefault="00EA6E77" w:rsidP="00C6311E">
      <w:pPr>
        <w:rPr>
          <w:noProof/>
        </w:rPr>
      </w:pPr>
      <w:r w:rsidRPr="00814B72">
        <w:rPr>
          <w:noProof/>
        </w:rPr>
        <w:t xml:space="preserve">A total of </w:t>
      </w:r>
      <w:r w:rsidR="008753AC" w:rsidRPr="00814B72">
        <w:rPr>
          <w:noProof/>
        </w:rPr>
        <w:t>13 </w:t>
      </w:r>
      <w:r w:rsidR="00691B1E">
        <w:rPr>
          <w:noProof/>
        </w:rPr>
        <w:t>5</w:t>
      </w:r>
      <w:r w:rsidR="00BD0F1E">
        <w:rPr>
          <w:noProof/>
        </w:rPr>
        <w:t>89</w:t>
      </w:r>
      <w:r w:rsidR="009156F8" w:rsidRPr="00814B72">
        <w:rPr>
          <w:noProof/>
        </w:rPr>
        <w:t xml:space="preserve"> </w:t>
      </w:r>
      <w:r w:rsidR="009954D0">
        <w:rPr>
          <w:noProof/>
        </w:rPr>
        <w:t xml:space="preserve">fraudulent and non-fraudulent </w:t>
      </w:r>
      <w:r w:rsidRPr="00814B72">
        <w:rPr>
          <w:noProof/>
        </w:rPr>
        <w:t xml:space="preserve">irregularities, </w:t>
      </w:r>
      <w:r w:rsidR="005446A6" w:rsidRPr="00814B72">
        <w:rPr>
          <w:noProof/>
        </w:rPr>
        <w:t xml:space="preserve">amounting to </w:t>
      </w:r>
      <w:r w:rsidRPr="00814B72">
        <w:rPr>
          <w:noProof/>
        </w:rPr>
        <w:t>EUR</w:t>
      </w:r>
      <w:r w:rsidR="00CB70E4" w:rsidRPr="00814B72">
        <w:rPr>
          <w:noProof/>
        </w:rPr>
        <w:t> </w:t>
      </w:r>
      <w:r w:rsidR="008753AC" w:rsidRPr="00814B72">
        <w:rPr>
          <w:noProof/>
        </w:rPr>
        <w:t>1</w:t>
      </w:r>
      <w:r w:rsidRPr="00814B72">
        <w:rPr>
          <w:noProof/>
        </w:rPr>
        <w:t>.</w:t>
      </w:r>
      <w:r w:rsidR="006D57F7">
        <w:rPr>
          <w:noProof/>
        </w:rPr>
        <w:t>8</w:t>
      </w:r>
      <w:r w:rsidR="00BD0F1E">
        <w:rPr>
          <w:noProof/>
        </w:rPr>
        <w:t>4</w:t>
      </w:r>
      <w:r w:rsidR="009156F8" w:rsidRPr="00814B72">
        <w:rPr>
          <w:noProof/>
        </w:rPr>
        <w:t xml:space="preserve"> </w:t>
      </w:r>
      <w:r w:rsidRPr="00814B72">
        <w:rPr>
          <w:noProof/>
        </w:rPr>
        <w:t>billion, were reported</w:t>
      </w:r>
      <w:r w:rsidR="00055B42">
        <w:rPr>
          <w:noProof/>
        </w:rPr>
        <w:t> (</w:t>
      </w:r>
      <w:r w:rsidR="005316EA" w:rsidRPr="00814B72">
        <w:rPr>
          <w:rStyle w:val="FootnoteReference"/>
          <w:noProof/>
        </w:rPr>
        <w:footnoteReference w:id="68"/>
      </w:r>
      <w:r w:rsidR="00055B42">
        <w:rPr>
          <w:noProof/>
        </w:rPr>
        <w:t>)</w:t>
      </w:r>
      <w:r w:rsidRPr="00814B72">
        <w:rPr>
          <w:noProof/>
        </w:rPr>
        <w:t xml:space="preserve"> in 202</w:t>
      </w:r>
      <w:r w:rsidR="006D57F7">
        <w:rPr>
          <w:noProof/>
        </w:rPr>
        <w:t>4</w:t>
      </w:r>
      <w:r w:rsidRPr="00814B72">
        <w:rPr>
          <w:noProof/>
        </w:rPr>
        <w:t xml:space="preserve">. </w:t>
      </w:r>
      <w:r w:rsidR="005446A6" w:rsidRPr="00814B72">
        <w:rPr>
          <w:noProof/>
        </w:rPr>
        <w:t>T</w:t>
      </w:r>
      <w:r w:rsidRPr="00814B72">
        <w:rPr>
          <w:noProof/>
        </w:rPr>
        <w:t xml:space="preserve">here </w:t>
      </w:r>
      <w:r w:rsidR="00EC027B">
        <w:rPr>
          <w:noProof/>
        </w:rPr>
        <w:t>was</w:t>
      </w:r>
      <w:r w:rsidRPr="00814B72">
        <w:rPr>
          <w:noProof/>
        </w:rPr>
        <w:t xml:space="preserve"> a slight </w:t>
      </w:r>
      <w:r w:rsidR="006D57F7">
        <w:rPr>
          <w:noProof/>
        </w:rPr>
        <w:t>de</w:t>
      </w:r>
      <w:r w:rsidRPr="00814B72">
        <w:rPr>
          <w:noProof/>
        </w:rPr>
        <w:t>crease</w:t>
      </w:r>
      <w:r w:rsidR="005446A6" w:rsidRPr="00814B72">
        <w:rPr>
          <w:noProof/>
        </w:rPr>
        <w:t xml:space="preserve"> in </w:t>
      </w:r>
      <w:r w:rsidR="006D57F7">
        <w:rPr>
          <w:noProof/>
        </w:rPr>
        <w:t xml:space="preserve">the number of </w:t>
      </w:r>
      <w:r w:rsidR="005446A6" w:rsidRPr="00814B72">
        <w:rPr>
          <w:noProof/>
        </w:rPr>
        <w:t>reported irregularities</w:t>
      </w:r>
      <w:r w:rsidRPr="00814B72">
        <w:rPr>
          <w:noProof/>
        </w:rPr>
        <w:t xml:space="preserve"> compared to 202</w:t>
      </w:r>
      <w:r w:rsidR="006D57F7">
        <w:rPr>
          <w:noProof/>
        </w:rPr>
        <w:t>3</w:t>
      </w:r>
      <w:r w:rsidRPr="00814B72">
        <w:rPr>
          <w:noProof/>
        </w:rPr>
        <w:t xml:space="preserve"> (</w:t>
      </w:r>
      <w:r w:rsidR="006D57F7">
        <w:rPr>
          <w:noProof/>
        </w:rPr>
        <w:t>-</w:t>
      </w:r>
      <w:r w:rsidR="00BD0F1E">
        <w:rPr>
          <w:noProof/>
        </w:rPr>
        <w:t>2</w:t>
      </w:r>
      <w:r w:rsidR="009156F8" w:rsidRPr="00814B72">
        <w:rPr>
          <w:noProof/>
        </w:rPr>
        <w:t>.</w:t>
      </w:r>
      <w:r w:rsidR="00BD0F1E">
        <w:rPr>
          <w:noProof/>
        </w:rPr>
        <w:t>6</w:t>
      </w:r>
      <w:r w:rsidRPr="00814B72">
        <w:rPr>
          <w:noProof/>
        </w:rPr>
        <w:t>%)</w:t>
      </w:r>
      <w:r w:rsidR="00BD0F1E">
        <w:rPr>
          <w:noProof/>
        </w:rPr>
        <w:t>, while the</w:t>
      </w:r>
      <w:r w:rsidRPr="00814B72">
        <w:rPr>
          <w:noProof/>
        </w:rPr>
        <w:t xml:space="preserve"> related </w:t>
      </w:r>
      <w:r w:rsidR="006B42F7" w:rsidRPr="00814B72">
        <w:rPr>
          <w:noProof/>
        </w:rPr>
        <w:t xml:space="preserve">irregular </w:t>
      </w:r>
      <w:r w:rsidRPr="00814B72">
        <w:rPr>
          <w:noProof/>
        </w:rPr>
        <w:t xml:space="preserve">amounts </w:t>
      </w:r>
      <w:r w:rsidR="00BD0F1E">
        <w:rPr>
          <w:noProof/>
        </w:rPr>
        <w:t xml:space="preserve">increased </w:t>
      </w:r>
      <w:r w:rsidRPr="00814B72">
        <w:rPr>
          <w:noProof/>
        </w:rPr>
        <w:t>(</w:t>
      </w:r>
      <w:r w:rsidR="00BD0F1E">
        <w:rPr>
          <w:noProof/>
        </w:rPr>
        <w:t>+19</w:t>
      </w:r>
      <w:r w:rsidR="009156F8" w:rsidRPr="00814B72">
        <w:rPr>
          <w:noProof/>
        </w:rPr>
        <w:t>.</w:t>
      </w:r>
      <w:r w:rsidR="00BD0F1E">
        <w:rPr>
          <w:noProof/>
        </w:rPr>
        <w:t>5</w:t>
      </w:r>
      <w:r w:rsidRPr="00814B72">
        <w:rPr>
          <w:noProof/>
        </w:rPr>
        <w:t>%)</w:t>
      </w:r>
      <w:r w:rsidR="00BD0F1E" w:rsidRPr="00BD0F1E">
        <w:rPr>
          <w:noProof/>
        </w:rPr>
        <w:t> (</w:t>
      </w:r>
      <w:r w:rsidR="00BD0F1E">
        <w:rPr>
          <w:rStyle w:val="FootnoteReference"/>
          <w:noProof/>
        </w:rPr>
        <w:footnoteReference w:id="69"/>
      </w:r>
      <w:r w:rsidR="00BD0F1E">
        <w:rPr>
          <w:noProof/>
        </w:rPr>
        <w:t>)</w:t>
      </w:r>
      <w:r w:rsidRPr="00814B72">
        <w:rPr>
          <w:noProof/>
        </w:rPr>
        <w:t>.</w:t>
      </w:r>
      <w:r w:rsidR="0090231F">
        <w:rPr>
          <w:noProof/>
        </w:rPr>
        <w:t xml:space="preserve"> Irregularities reported in 2024 were 3.6% higher than the average </w:t>
      </w:r>
      <w:r w:rsidR="00EC027B">
        <w:rPr>
          <w:noProof/>
        </w:rPr>
        <w:t xml:space="preserve">for </w:t>
      </w:r>
      <w:r w:rsidR="0090231F">
        <w:rPr>
          <w:noProof/>
        </w:rPr>
        <w:t>the last five years, while their related financial amounts were 12% higher.</w:t>
      </w:r>
    </w:p>
    <w:p w14:paraId="3FCDE980" w14:textId="206812B6" w:rsidR="009954D0" w:rsidRDefault="00EA6E77" w:rsidP="00C6311E">
      <w:pPr>
        <w:rPr>
          <w:noProof/>
        </w:rPr>
      </w:pPr>
      <w:r w:rsidRPr="00814B72">
        <w:rPr>
          <w:noProof/>
        </w:rPr>
        <w:t xml:space="preserve">The number of fraudulent irregularities </w:t>
      </w:r>
      <w:r w:rsidR="005446A6" w:rsidRPr="00814B72">
        <w:rPr>
          <w:noProof/>
        </w:rPr>
        <w:t xml:space="preserve">reported </w:t>
      </w:r>
      <w:r w:rsidR="00332CB0" w:rsidRPr="00814B72">
        <w:rPr>
          <w:noProof/>
        </w:rPr>
        <w:t xml:space="preserve">by </w:t>
      </w:r>
      <w:r w:rsidR="0046212A">
        <w:rPr>
          <w:noProof/>
        </w:rPr>
        <w:t>national authorities</w:t>
      </w:r>
      <w:r w:rsidR="00332CB0" w:rsidRPr="00814B72">
        <w:rPr>
          <w:noProof/>
        </w:rPr>
        <w:t xml:space="preserve"> </w:t>
      </w:r>
      <w:r w:rsidR="00BB7754">
        <w:rPr>
          <w:noProof/>
        </w:rPr>
        <w:t xml:space="preserve">to the Commission </w:t>
      </w:r>
      <w:r w:rsidR="00332CB0" w:rsidRPr="00814B72">
        <w:rPr>
          <w:noProof/>
        </w:rPr>
        <w:t xml:space="preserve">remained </w:t>
      </w:r>
      <w:r w:rsidR="00F97383">
        <w:rPr>
          <w:noProof/>
        </w:rPr>
        <w:t>relatively</w:t>
      </w:r>
      <w:r w:rsidR="00F97383" w:rsidRPr="00814B72">
        <w:rPr>
          <w:noProof/>
        </w:rPr>
        <w:t xml:space="preserve"> </w:t>
      </w:r>
      <w:r w:rsidR="00332CB0" w:rsidRPr="00814B72">
        <w:rPr>
          <w:noProof/>
        </w:rPr>
        <w:t xml:space="preserve">stable </w:t>
      </w:r>
      <w:r w:rsidR="006D57F7">
        <w:rPr>
          <w:noProof/>
        </w:rPr>
        <w:t xml:space="preserve">between 2020 and 2023, but significantly increased in 2024 to </w:t>
      </w:r>
      <w:r w:rsidRPr="00814B72">
        <w:rPr>
          <w:noProof/>
        </w:rPr>
        <w:t>1 </w:t>
      </w:r>
      <w:r w:rsidR="006D57F7">
        <w:rPr>
          <w:noProof/>
        </w:rPr>
        <w:t>3</w:t>
      </w:r>
      <w:r w:rsidR="00691B1E">
        <w:rPr>
          <w:noProof/>
        </w:rPr>
        <w:t>6</w:t>
      </w:r>
      <w:r w:rsidR="00E03203">
        <w:rPr>
          <w:noProof/>
        </w:rPr>
        <w:t>4</w:t>
      </w:r>
      <w:r w:rsidR="009156F8" w:rsidRPr="00814B72">
        <w:rPr>
          <w:noProof/>
        </w:rPr>
        <w:t xml:space="preserve"> </w:t>
      </w:r>
      <w:r w:rsidR="00B705BD" w:rsidRPr="00814B72">
        <w:rPr>
          <w:noProof/>
        </w:rPr>
        <w:t>(</w:t>
      </w:r>
      <w:r w:rsidR="006D57F7">
        <w:rPr>
          <w:noProof/>
        </w:rPr>
        <w:t>+</w:t>
      </w:r>
      <w:r w:rsidR="00E03203">
        <w:rPr>
          <w:noProof/>
        </w:rPr>
        <w:t>26</w:t>
      </w:r>
      <w:r w:rsidR="00B705BD" w:rsidRPr="00814B72">
        <w:rPr>
          <w:noProof/>
        </w:rPr>
        <w:t xml:space="preserve">% </w:t>
      </w:r>
      <w:r w:rsidR="00EC027B">
        <w:rPr>
          <w:noProof/>
        </w:rPr>
        <w:t>on</w:t>
      </w:r>
      <w:r w:rsidR="00B705BD" w:rsidRPr="00814B72">
        <w:rPr>
          <w:noProof/>
        </w:rPr>
        <w:t xml:space="preserve"> 202</w:t>
      </w:r>
      <w:r w:rsidR="006D57F7">
        <w:rPr>
          <w:noProof/>
        </w:rPr>
        <w:t>3</w:t>
      </w:r>
      <w:r w:rsidR="00B705BD" w:rsidRPr="00814B72">
        <w:rPr>
          <w:noProof/>
        </w:rPr>
        <w:t>)</w:t>
      </w:r>
      <w:r w:rsidRPr="00814B72">
        <w:rPr>
          <w:noProof/>
        </w:rPr>
        <w:t xml:space="preserve">. </w:t>
      </w:r>
      <w:r w:rsidR="007904F4">
        <w:rPr>
          <w:noProof/>
        </w:rPr>
        <w:t xml:space="preserve">This number represents 10% of the total number of reported irregularities. </w:t>
      </w:r>
      <w:r w:rsidRPr="00814B72">
        <w:rPr>
          <w:noProof/>
        </w:rPr>
        <w:t>The financial amounts linked to th</w:t>
      </w:r>
      <w:r w:rsidR="00332CB0" w:rsidRPr="00814B72">
        <w:rPr>
          <w:noProof/>
        </w:rPr>
        <w:t>e</w:t>
      </w:r>
      <w:r w:rsidRPr="00814B72">
        <w:rPr>
          <w:noProof/>
        </w:rPr>
        <w:t xml:space="preserve">se cases have varied more due to a limited number of individual cases with high financial impact, </w:t>
      </w:r>
      <w:r w:rsidR="00E03203">
        <w:rPr>
          <w:noProof/>
        </w:rPr>
        <w:t>increasing</w:t>
      </w:r>
      <w:r w:rsidR="0080644D" w:rsidRPr="00814B72">
        <w:rPr>
          <w:noProof/>
        </w:rPr>
        <w:t xml:space="preserve"> to EUR </w:t>
      </w:r>
      <w:r w:rsidR="008753AC" w:rsidRPr="00814B72">
        <w:rPr>
          <w:noProof/>
        </w:rPr>
        <w:t>5</w:t>
      </w:r>
      <w:r w:rsidR="0086591E">
        <w:rPr>
          <w:noProof/>
        </w:rPr>
        <w:t>48</w:t>
      </w:r>
      <w:r w:rsidR="009156F8" w:rsidRPr="00814B72">
        <w:rPr>
          <w:noProof/>
        </w:rPr>
        <w:t>.</w:t>
      </w:r>
      <w:r w:rsidR="00691B1E">
        <w:rPr>
          <w:noProof/>
        </w:rPr>
        <w:t>8</w:t>
      </w:r>
      <w:r w:rsidR="008753AC" w:rsidRPr="00814B72">
        <w:rPr>
          <w:noProof/>
        </w:rPr>
        <w:t xml:space="preserve"> </w:t>
      </w:r>
      <w:r w:rsidR="0080644D" w:rsidRPr="00814B72">
        <w:rPr>
          <w:noProof/>
        </w:rPr>
        <w:t>million</w:t>
      </w:r>
      <w:r w:rsidR="00CA184B" w:rsidRPr="00CA184B">
        <w:rPr>
          <w:noProof/>
        </w:rPr>
        <w:t xml:space="preserve"> </w:t>
      </w:r>
      <w:r w:rsidR="00CA184B" w:rsidRPr="00814B72">
        <w:rPr>
          <w:noProof/>
        </w:rPr>
        <w:t>in 202</w:t>
      </w:r>
      <w:r w:rsidR="0086591E">
        <w:rPr>
          <w:noProof/>
        </w:rPr>
        <w:t>4</w:t>
      </w:r>
      <w:r w:rsidR="0080644D" w:rsidRPr="00814B72">
        <w:rPr>
          <w:noProof/>
        </w:rPr>
        <w:t xml:space="preserve"> (</w:t>
      </w:r>
      <w:r w:rsidR="00E03203">
        <w:rPr>
          <w:noProof/>
        </w:rPr>
        <w:t>+138.7</w:t>
      </w:r>
      <w:r w:rsidR="0080644D" w:rsidRPr="00814B72">
        <w:rPr>
          <w:noProof/>
        </w:rPr>
        <w:t xml:space="preserve">% </w:t>
      </w:r>
      <w:r w:rsidR="00EC027B">
        <w:rPr>
          <w:noProof/>
        </w:rPr>
        <w:t>on</w:t>
      </w:r>
      <w:r w:rsidR="0080644D" w:rsidRPr="00814B72">
        <w:rPr>
          <w:noProof/>
        </w:rPr>
        <w:t xml:space="preserve"> 202</w:t>
      </w:r>
      <w:r w:rsidR="0086591E">
        <w:rPr>
          <w:noProof/>
        </w:rPr>
        <w:t>3</w:t>
      </w:r>
      <w:r w:rsidR="0080644D" w:rsidRPr="00814B72">
        <w:rPr>
          <w:noProof/>
        </w:rPr>
        <w:t>)</w:t>
      </w:r>
      <w:r w:rsidR="0086591E">
        <w:rPr>
          <w:noProof/>
        </w:rPr>
        <w:t xml:space="preserve"> confirming the volatility of this indicator</w:t>
      </w:r>
      <w:r w:rsidR="00E03203" w:rsidRPr="00E03203">
        <w:rPr>
          <w:noProof/>
        </w:rPr>
        <w:t> (</w:t>
      </w:r>
      <w:r w:rsidR="00E03203">
        <w:rPr>
          <w:rStyle w:val="FootnoteReference"/>
          <w:noProof/>
        </w:rPr>
        <w:footnoteReference w:id="70"/>
      </w:r>
      <w:r w:rsidR="00E03203">
        <w:rPr>
          <w:noProof/>
        </w:rPr>
        <w:t>)</w:t>
      </w:r>
      <w:r w:rsidRPr="00814B72">
        <w:rPr>
          <w:noProof/>
        </w:rPr>
        <w:t xml:space="preserve">. </w:t>
      </w:r>
      <w:r w:rsidR="0090231F">
        <w:rPr>
          <w:noProof/>
        </w:rPr>
        <w:t>Compared to the last five years</w:t>
      </w:r>
      <w:r w:rsidR="00EC6482">
        <w:rPr>
          <w:noProof/>
        </w:rPr>
        <w:t>’</w:t>
      </w:r>
      <w:r w:rsidR="0090231F">
        <w:rPr>
          <w:noProof/>
        </w:rPr>
        <w:t xml:space="preserve"> average, the number of reported fraudulent irregularities was 19% higher and the related amounts 56% higher.</w:t>
      </w:r>
      <w:r w:rsidR="00D97747">
        <w:rPr>
          <w:noProof/>
        </w:rPr>
        <w:t xml:space="preserve"> This increase in reporting of fraudulent irregularities may be the result of the reiterated recommendations addressed by the Commission to the Member States in the past years. It would be premature to draw conclusions in this respect and the Commission will keep on monitoring any future development in this area.</w:t>
      </w:r>
    </w:p>
    <w:p w14:paraId="5983AE9D" w14:textId="54BC4EF2" w:rsidR="00EA6E77" w:rsidRPr="00814B72" w:rsidRDefault="00EA6E77" w:rsidP="00C6311E">
      <w:pPr>
        <w:rPr>
          <w:noProof/>
        </w:rPr>
      </w:pPr>
      <w:r w:rsidRPr="00814B72">
        <w:rPr>
          <w:noProof/>
        </w:rPr>
        <w:t xml:space="preserve">The number and financial impact of </w:t>
      </w:r>
      <w:r w:rsidR="00BB7754">
        <w:rPr>
          <w:noProof/>
        </w:rPr>
        <w:t xml:space="preserve">reported </w:t>
      </w:r>
      <w:r w:rsidRPr="00814B72">
        <w:rPr>
          <w:noProof/>
        </w:rPr>
        <w:t xml:space="preserve">non-fraudulent irregularities </w:t>
      </w:r>
      <w:r w:rsidR="0086591E">
        <w:rPr>
          <w:noProof/>
        </w:rPr>
        <w:t>followed a</w:t>
      </w:r>
      <w:r w:rsidR="00EC027B">
        <w:rPr>
          <w:noProof/>
        </w:rPr>
        <w:t>n upward</w:t>
      </w:r>
      <w:r w:rsidR="0086591E">
        <w:rPr>
          <w:noProof/>
        </w:rPr>
        <w:t xml:space="preserve"> trend from 2020 to 2023, in line with the expected trends linked to the spending programmes cycle</w:t>
      </w:r>
      <w:r w:rsidR="00EC027B">
        <w:rPr>
          <w:noProof/>
        </w:rPr>
        <w:t>.</w:t>
      </w:r>
      <w:r w:rsidR="0086591E">
        <w:rPr>
          <w:noProof/>
        </w:rPr>
        <w:t xml:space="preserve"> </w:t>
      </w:r>
      <w:r w:rsidRPr="00814B72">
        <w:rPr>
          <w:noProof/>
        </w:rPr>
        <w:t>202</w:t>
      </w:r>
      <w:r w:rsidR="0086591E">
        <w:rPr>
          <w:noProof/>
        </w:rPr>
        <w:t>4</w:t>
      </w:r>
      <w:r w:rsidR="00EC027B">
        <w:rPr>
          <w:noProof/>
        </w:rPr>
        <w:t xml:space="preserve"> saw a stabilisation</w:t>
      </w:r>
      <w:r w:rsidR="0086591E">
        <w:rPr>
          <w:noProof/>
        </w:rPr>
        <w:t xml:space="preserve">, </w:t>
      </w:r>
      <w:r w:rsidRPr="00814B72">
        <w:rPr>
          <w:noProof/>
        </w:rPr>
        <w:t xml:space="preserve">with </w:t>
      </w:r>
      <w:r w:rsidR="008753AC" w:rsidRPr="00814B72">
        <w:rPr>
          <w:noProof/>
        </w:rPr>
        <w:t>12 </w:t>
      </w:r>
      <w:r w:rsidR="00775361">
        <w:rPr>
          <w:noProof/>
        </w:rPr>
        <w:t>225</w:t>
      </w:r>
      <w:r w:rsidR="00380E56" w:rsidRPr="00814B72">
        <w:rPr>
          <w:noProof/>
        </w:rPr>
        <w:t xml:space="preserve"> </w:t>
      </w:r>
      <w:r w:rsidR="0086591E">
        <w:rPr>
          <w:noProof/>
        </w:rPr>
        <w:t xml:space="preserve">non-fraudulent </w:t>
      </w:r>
      <w:r w:rsidRPr="00814B72">
        <w:rPr>
          <w:noProof/>
        </w:rPr>
        <w:t xml:space="preserve">irregularities </w:t>
      </w:r>
      <w:r w:rsidR="0086591E">
        <w:rPr>
          <w:noProof/>
        </w:rPr>
        <w:t>reported</w:t>
      </w:r>
      <w:r w:rsidR="00775361">
        <w:rPr>
          <w:noProof/>
        </w:rPr>
        <w:t xml:space="preserve"> </w:t>
      </w:r>
      <w:r w:rsidR="00775361" w:rsidRPr="00814B72">
        <w:rPr>
          <w:noProof/>
        </w:rPr>
        <w:t>(-</w:t>
      </w:r>
      <w:r w:rsidR="00775361">
        <w:rPr>
          <w:noProof/>
        </w:rPr>
        <w:t>5</w:t>
      </w:r>
      <w:r w:rsidR="00775361" w:rsidRPr="00814B72">
        <w:rPr>
          <w:noProof/>
        </w:rPr>
        <w:t>%</w:t>
      </w:r>
      <w:r w:rsidR="00775361">
        <w:rPr>
          <w:noProof/>
        </w:rPr>
        <w:t xml:space="preserve"> </w:t>
      </w:r>
      <w:r w:rsidR="00EC027B">
        <w:rPr>
          <w:noProof/>
        </w:rPr>
        <w:t>on</w:t>
      </w:r>
      <w:r w:rsidR="00775361">
        <w:rPr>
          <w:noProof/>
        </w:rPr>
        <w:t xml:space="preserve"> 2023)</w:t>
      </w:r>
      <w:r w:rsidR="00691B1E">
        <w:rPr>
          <w:noProof/>
        </w:rPr>
        <w:t>,</w:t>
      </w:r>
      <w:r w:rsidR="0080644D" w:rsidRPr="00814B72">
        <w:rPr>
          <w:noProof/>
        </w:rPr>
        <w:t xml:space="preserve"> </w:t>
      </w:r>
      <w:r w:rsidRPr="00814B72">
        <w:rPr>
          <w:noProof/>
        </w:rPr>
        <w:t xml:space="preserve">involving </w:t>
      </w:r>
      <w:r w:rsidR="00BB7754">
        <w:rPr>
          <w:noProof/>
        </w:rPr>
        <w:t xml:space="preserve">a financial amount of </w:t>
      </w:r>
      <w:r w:rsidRPr="00814B72">
        <w:rPr>
          <w:noProof/>
        </w:rPr>
        <w:t>EUR</w:t>
      </w:r>
      <w:r w:rsidR="00CB70E4" w:rsidRPr="00814B72">
        <w:rPr>
          <w:noProof/>
        </w:rPr>
        <w:t> </w:t>
      </w:r>
      <w:r w:rsidRPr="00814B72">
        <w:rPr>
          <w:noProof/>
        </w:rPr>
        <w:t>1.</w:t>
      </w:r>
      <w:r w:rsidR="0086591E">
        <w:rPr>
          <w:noProof/>
        </w:rPr>
        <w:t>2</w:t>
      </w:r>
      <w:r w:rsidR="00775361">
        <w:rPr>
          <w:noProof/>
        </w:rPr>
        <w:t>9</w:t>
      </w:r>
      <w:r w:rsidR="00380E56" w:rsidRPr="00814B72">
        <w:rPr>
          <w:noProof/>
        </w:rPr>
        <w:t xml:space="preserve"> </w:t>
      </w:r>
      <w:r w:rsidRPr="00814B72">
        <w:rPr>
          <w:noProof/>
        </w:rPr>
        <w:t>billion</w:t>
      </w:r>
      <w:r w:rsidR="0080644D" w:rsidRPr="00814B72">
        <w:rPr>
          <w:noProof/>
        </w:rPr>
        <w:t xml:space="preserve"> </w:t>
      </w:r>
      <w:r w:rsidR="00775361">
        <w:rPr>
          <w:noProof/>
        </w:rPr>
        <w:t>(-1.4%</w:t>
      </w:r>
      <w:r w:rsidR="00691B1E">
        <w:rPr>
          <w:noProof/>
        </w:rPr>
        <w:t xml:space="preserve"> </w:t>
      </w:r>
      <w:r w:rsidR="00EC027B">
        <w:rPr>
          <w:noProof/>
        </w:rPr>
        <w:t>on</w:t>
      </w:r>
      <w:r w:rsidR="00691B1E" w:rsidRPr="00814B72">
        <w:rPr>
          <w:noProof/>
        </w:rPr>
        <w:t xml:space="preserve"> 202</w:t>
      </w:r>
      <w:r w:rsidR="00691B1E">
        <w:rPr>
          <w:noProof/>
        </w:rPr>
        <w:t>3</w:t>
      </w:r>
      <w:r w:rsidR="0080644D" w:rsidRPr="00814B72">
        <w:rPr>
          <w:noProof/>
        </w:rPr>
        <w:t>)</w:t>
      </w:r>
      <w:r w:rsidR="00C221A8" w:rsidRPr="00C221A8">
        <w:rPr>
          <w:noProof/>
        </w:rPr>
        <w:t> (</w:t>
      </w:r>
      <w:r w:rsidR="00C221A8">
        <w:rPr>
          <w:rStyle w:val="FootnoteReference"/>
          <w:noProof/>
        </w:rPr>
        <w:footnoteReference w:id="71"/>
      </w:r>
      <w:r w:rsidR="00C221A8">
        <w:rPr>
          <w:noProof/>
        </w:rPr>
        <w:t>)</w:t>
      </w:r>
      <w:r w:rsidRPr="00814B72">
        <w:rPr>
          <w:noProof/>
        </w:rPr>
        <w:t>.</w:t>
      </w:r>
      <w:r w:rsidR="00775361">
        <w:rPr>
          <w:noProof/>
        </w:rPr>
        <w:t xml:space="preserve"> Compared </w:t>
      </w:r>
      <w:r w:rsidR="00EC027B">
        <w:rPr>
          <w:noProof/>
        </w:rPr>
        <w:t>average for</w:t>
      </w:r>
      <w:r w:rsidR="00775361">
        <w:rPr>
          <w:noProof/>
        </w:rPr>
        <w:t xml:space="preserve"> the last five years, the number of non-fraudulent irregularities reported in 2024 was 2% higher, while their financial value was stable. </w:t>
      </w:r>
    </w:p>
    <w:p w14:paraId="2BCE9215" w14:textId="08FC2A23" w:rsidR="009B4970" w:rsidRPr="00814B72" w:rsidRDefault="00EA6E77" w:rsidP="00426FAD">
      <w:pPr>
        <w:pStyle w:val="Caption"/>
        <w:keepNext/>
        <w:rPr>
          <w:noProof/>
        </w:rPr>
      </w:pPr>
      <w:r w:rsidRPr="00814B72">
        <w:rPr>
          <w:noProof/>
        </w:rPr>
        <w:t xml:space="preserve">Figure </w:t>
      </w:r>
      <w:r w:rsidR="00472123">
        <w:rPr>
          <w:noProof/>
        </w:rPr>
        <w:fldChar w:fldCharType="begin"/>
      </w:r>
      <w:r w:rsidR="00472123">
        <w:rPr>
          <w:noProof/>
        </w:rPr>
        <w:instrText xml:space="preserve"> SEQ Figure \* ARABIC </w:instrText>
      </w:r>
      <w:r w:rsidR="00472123">
        <w:rPr>
          <w:noProof/>
        </w:rPr>
        <w:fldChar w:fldCharType="separate"/>
      </w:r>
      <w:r w:rsidR="00947EF7">
        <w:rPr>
          <w:noProof/>
        </w:rPr>
        <w:t>5</w:t>
      </w:r>
      <w:r w:rsidR="00472123">
        <w:rPr>
          <w:noProof/>
        </w:rPr>
        <w:fldChar w:fldCharType="end"/>
      </w:r>
      <w:r w:rsidRPr="00814B72">
        <w:rPr>
          <w:noProof/>
        </w:rPr>
        <w:t xml:space="preserve">: </w:t>
      </w:r>
      <w:r w:rsidR="007A02F1" w:rsidRPr="00814B72">
        <w:rPr>
          <w:noProof/>
        </w:rPr>
        <w:t>Reported irregularities and related financial amounts – 20</w:t>
      </w:r>
      <w:r w:rsidR="00DE3F92">
        <w:rPr>
          <w:noProof/>
        </w:rPr>
        <w:t>20</w:t>
      </w:r>
      <w:r w:rsidR="007A02F1" w:rsidRPr="00814B72">
        <w:rPr>
          <w:noProof/>
        </w:rPr>
        <w:t>-202</w:t>
      </w:r>
      <w:r w:rsidR="00DE3F92">
        <w:rPr>
          <w:noProof/>
        </w:rPr>
        <w:t>4</w:t>
      </w:r>
      <w:r w:rsidR="007A02F1" w:rsidRPr="00814B72">
        <w:rPr>
          <w:noProof/>
        </w:rPr>
        <w:t>; irregularities and related financial amounts by budgetary area – 202</w:t>
      </w:r>
      <w:r w:rsidR="0086591E">
        <w:rPr>
          <w:noProof/>
        </w:rPr>
        <w:t>4</w:t>
      </w:r>
    </w:p>
    <w:p w14:paraId="2EC6E953" w14:textId="741B7DCD" w:rsidR="00EA6E77" w:rsidRPr="00AF1850" w:rsidRDefault="00C36697" w:rsidP="00EA6E77">
      <w:pPr>
        <w:pStyle w:val="Caption"/>
        <w:rPr>
          <w:i w:val="0"/>
          <w:iCs/>
          <w:noProof/>
        </w:rPr>
      </w:pPr>
      <w:r w:rsidRPr="00C36697">
        <w:rPr>
          <w:noProof/>
        </w:rPr>
        <w:drawing>
          <wp:inline distT="0" distB="0" distL="0" distR="0" wp14:anchorId="6B3DF330" wp14:editId="6DFA94EC">
            <wp:extent cx="5472430" cy="4668520"/>
            <wp:effectExtent l="0" t="0" r="0" b="0"/>
            <wp:docPr id="481156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72430" cy="4668520"/>
                    </a:xfrm>
                    <a:prstGeom prst="rect">
                      <a:avLst/>
                    </a:prstGeom>
                    <a:noFill/>
                    <a:ln>
                      <a:noFill/>
                    </a:ln>
                  </pic:spPr>
                </pic:pic>
              </a:graphicData>
            </a:graphic>
          </wp:inline>
        </w:drawing>
      </w:r>
    </w:p>
    <w:p w14:paraId="1FF1E9C0" w14:textId="77777777" w:rsidR="004F6F3F" w:rsidRPr="00814B72" w:rsidRDefault="006620F9" w:rsidP="008C7C14">
      <w:pPr>
        <w:pStyle w:val="Heading3"/>
        <w:rPr>
          <w:noProof/>
        </w:rPr>
      </w:pPr>
      <w:bookmarkStart w:id="76" w:name="_Toc134557988"/>
      <w:bookmarkStart w:id="77" w:name="_Toc202011338"/>
      <w:bookmarkStart w:id="78" w:name="_Toc203477675"/>
      <w:r w:rsidRPr="00814B72">
        <w:rPr>
          <w:noProof/>
        </w:rPr>
        <w:t xml:space="preserve">Investigations by </w:t>
      </w:r>
      <w:bookmarkEnd w:id="76"/>
      <w:r w:rsidR="009B4970" w:rsidRPr="00814B72">
        <w:rPr>
          <w:noProof/>
        </w:rPr>
        <w:t>OLAF</w:t>
      </w:r>
      <w:bookmarkEnd w:id="77"/>
      <w:bookmarkEnd w:id="78"/>
    </w:p>
    <w:p w14:paraId="1EA12100" w14:textId="43B4BDDB" w:rsidR="00AC0B5B" w:rsidRPr="0017619B" w:rsidRDefault="00AC0B5B" w:rsidP="00AC0B5B">
      <w:pPr>
        <w:rPr>
          <w:noProof/>
        </w:rPr>
      </w:pPr>
      <w:r w:rsidRPr="0017619B">
        <w:rPr>
          <w:noProof/>
        </w:rPr>
        <w:t>In 202</w:t>
      </w:r>
      <w:r w:rsidR="00DE3F92" w:rsidRPr="0017619B">
        <w:rPr>
          <w:noProof/>
        </w:rPr>
        <w:t>4</w:t>
      </w:r>
      <w:r w:rsidRPr="0017619B">
        <w:rPr>
          <w:noProof/>
        </w:rPr>
        <w:t xml:space="preserve"> OLAF concluded </w:t>
      </w:r>
      <w:r w:rsidR="00EC6482">
        <w:rPr>
          <w:noProof/>
        </w:rPr>
        <w:t xml:space="preserve">246 </w:t>
      </w:r>
      <w:r w:rsidRPr="0017619B">
        <w:rPr>
          <w:noProof/>
        </w:rPr>
        <w:t>investigations</w:t>
      </w:r>
      <w:r w:rsidR="00EC027B">
        <w:rPr>
          <w:noProof/>
        </w:rPr>
        <w:t>. It</w:t>
      </w:r>
      <w:r w:rsidRPr="002326B8">
        <w:rPr>
          <w:noProof/>
        </w:rPr>
        <w:t xml:space="preserve"> </w:t>
      </w:r>
      <w:r w:rsidR="00EC027B" w:rsidRPr="002326B8">
        <w:rPr>
          <w:noProof/>
        </w:rPr>
        <w:t>issu</w:t>
      </w:r>
      <w:r w:rsidR="00EC027B">
        <w:rPr>
          <w:noProof/>
        </w:rPr>
        <w:t>ed</w:t>
      </w:r>
      <w:r w:rsidR="00EC027B" w:rsidRPr="002326B8">
        <w:rPr>
          <w:noProof/>
        </w:rPr>
        <w:t xml:space="preserve"> </w:t>
      </w:r>
      <w:r w:rsidR="009B6576" w:rsidRPr="002326B8">
        <w:rPr>
          <w:noProof/>
        </w:rPr>
        <w:t xml:space="preserve">301 </w:t>
      </w:r>
      <w:r w:rsidRPr="002326B8">
        <w:rPr>
          <w:noProof/>
        </w:rPr>
        <w:t xml:space="preserve">recommendations, of which </w:t>
      </w:r>
      <w:r w:rsidR="00456FD0" w:rsidRPr="002326B8">
        <w:rPr>
          <w:noProof/>
        </w:rPr>
        <w:t xml:space="preserve">188 </w:t>
      </w:r>
      <w:r w:rsidRPr="002326B8">
        <w:rPr>
          <w:noProof/>
        </w:rPr>
        <w:t>financial, for a total recommended amount for recovery of EUR </w:t>
      </w:r>
      <w:r w:rsidR="009B6576" w:rsidRPr="002326B8">
        <w:rPr>
          <w:noProof/>
        </w:rPr>
        <w:t xml:space="preserve">871.5 </w:t>
      </w:r>
      <w:r w:rsidRPr="002326B8">
        <w:rPr>
          <w:noProof/>
        </w:rPr>
        <w:t>million and EUR </w:t>
      </w:r>
      <w:r w:rsidR="009B6576" w:rsidRPr="002326B8">
        <w:rPr>
          <w:noProof/>
        </w:rPr>
        <w:t xml:space="preserve">43.5 </w:t>
      </w:r>
      <w:r w:rsidRPr="002326B8">
        <w:rPr>
          <w:noProof/>
        </w:rPr>
        <w:t>million prevented from being unduly spent</w:t>
      </w:r>
      <w:r w:rsidR="006E29B5" w:rsidRPr="002326B8">
        <w:rPr>
          <w:noProof/>
        </w:rPr>
        <w:t> (</w:t>
      </w:r>
      <w:r w:rsidR="00856E29" w:rsidRPr="0017619B">
        <w:rPr>
          <w:rStyle w:val="FootnoteReference"/>
          <w:noProof/>
        </w:rPr>
        <w:footnoteReference w:id="72"/>
      </w:r>
      <w:r w:rsidR="006E29B5" w:rsidRPr="0017619B">
        <w:rPr>
          <w:noProof/>
        </w:rPr>
        <w:t>)</w:t>
      </w:r>
      <w:r w:rsidRPr="0017619B">
        <w:rPr>
          <w:noProof/>
        </w:rPr>
        <w:t xml:space="preserve">. Over the same period </w:t>
      </w:r>
      <w:r w:rsidR="009B6576" w:rsidRPr="0017619B">
        <w:rPr>
          <w:noProof/>
        </w:rPr>
        <w:t xml:space="preserve">230 </w:t>
      </w:r>
      <w:r w:rsidRPr="0017619B">
        <w:rPr>
          <w:noProof/>
        </w:rPr>
        <w:t>new investigations were opened</w:t>
      </w:r>
      <w:r w:rsidR="00EC027B">
        <w:rPr>
          <w:noProof/>
        </w:rPr>
        <w:t xml:space="preserve">. Of these, </w:t>
      </w:r>
      <w:r w:rsidR="00456FD0" w:rsidRPr="0017619B">
        <w:rPr>
          <w:noProof/>
        </w:rPr>
        <w:t xml:space="preserve">32 </w:t>
      </w:r>
      <w:r w:rsidRPr="0017619B">
        <w:rPr>
          <w:noProof/>
        </w:rPr>
        <w:t>(</w:t>
      </w:r>
      <w:r w:rsidR="00456FD0" w:rsidRPr="0017619B">
        <w:rPr>
          <w:noProof/>
        </w:rPr>
        <w:t>14</w:t>
      </w:r>
      <w:r w:rsidRPr="0017619B">
        <w:rPr>
          <w:noProof/>
        </w:rPr>
        <w:t xml:space="preserve">%) were related to own resources, </w:t>
      </w:r>
      <w:r w:rsidR="00456FD0" w:rsidRPr="0017619B">
        <w:rPr>
          <w:noProof/>
        </w:rPr>
        <w:t xml:space="preserve">95 </w:t>
      </w:r>
      <w:r w:rsidRPr="0017619B">
        <w:rPr>
          <w:noProof/>
        </w:rPr>
        <w:t>(</w:t>
      </w:r>
      <w:r w:rsidR="00456FD0" w:rsidRPr="0017619B">
        <w:rPr>
          <w:noProof/>
        </w:rPr>
        <w:t>41</w:t>
      </w:r>
      <w:r w:rsidRPr="0017619B">
        <w:rPr>
          <w:noProof/>
        </w:rPr>
        <w:t xml:space="preserve">%) to shared management and the RRF, </w:t>
      </w:r>
      <w:r w:rsidR="00456FD0" w:rsidRPr="0017619B">
        <w:rPr>
          <w:noProof/>
        </w:rPr>
        <w:t xml:space="preserve">20 </w:t>
      </w:r>
      <w:r w:rsidRPr="0017619B">
        <w:rPr>
          <w:noProof/>
        </w:rPr>
        <w:t>(</w:t>
      </w:r>
      <w:r w:rsidR="00456FD0" w:rsidRPr="0017619B">
        <w:rPr>
          <w:noProof/>
        </w:rPr>
        <w:t>9</w:t>
      </w:r>
      <w:r w:rsidRPr="0017619B">
        <w:rPr>
          <w:noProof/>
        </w:rPr>
        <w:t xml:space="preserve">%) to indirect management, and </w:t>
      </w:r>
      <w:r w:rsidR="00456FD0" w:rsidRPr="0017619B">
        <w:rPr>
          <w:noProof/>
        </w:rPr>
        <w:t xml:space="preserve">57 </w:t>
      </w:r>
      <w:r w:rsidRPr="0017619B">
        <w:rPr>
          <w:noProof/>
        </w:rPr>
        <w:t>(</w:t>
      </w:r>
      <w:r w:rsidR="00456FD0" w:rsidRPr="0017619B">
        <w:rPr>
          <w:noProof/>
        </w:rPr>
        <w:t>25</w:t>
      </w:r>
      <w:r w:rsidRPr="0017619B">
        <w:rPr>
          <w:noProof/>
        </w:rPr>
        <w:t xml:space="preserve">%) to direct management. </w:t>
      </w:r>
      <w:r w:rsidR="00456FD0" w:rsidRPr="0017619B">
        <w:rPr>
          <w:noProof/>
        </w:rPr>
        <w:t xml:space="preserve">29 </w:t>
      </w:r>
      <w:r w:rsidRPr="0017619B">
        <w:rPr>
          <w:noProof/>
        </w:rPr>
        <w:t>(</w:t>
      </w:r>
      <w:r w:rsidR="00456FD0" w:rsidRPr="0017619B">
        <w:rPr>
          <w:noProof/>
        </w:rPr>
        <w:t>13</w:t>
      </w:r>
      <w:r w:rsidRPr="0017619B">
        <w:rPr>
          <w:noProof/>
        </w:rPr>
        <w:t>%) investigations were opened in relation to internal matters</w:t>
      </w:r>
      <w:r w:rsidR="006E29B5" w:rsidRPr="0017619B">
        <w:rPr>
          <w:noProof/>
        </w:rPr>
        <w:t> (</w:t>
      </w:r>
      <w:r w:rsidR="006E29B5" w:rsidRPr="0017619B">
        <w:rPr>
          <w:rStyle w:val="FootnoteReference"/>
          <w:noProof/>
        </w:rPr>
        <w:footnoteReference w:id="73"/>
      </w:r>
      <w:r w:rsidR="006E29B5" w:rsidRPr="0017619B">
        <w:rPr>
          <w:noProof/>
        </w:rPr>
        <w:t>)</w:t>
      </w:r>
      <w:r w:rsidRPr="0017619B">
        <w:rPr>
          <w:noProof/>
        </w:rPr>
        <w:t>.</w:t>
      </w:r>
    </w:p>
    <w:p w14:paraId="7519685D" w14:textId="0BE29A85" w:rsidR="00D5578A" w:rsidRPr="00814B72" w:rsidRDefault="00D5578A" w:rsidP="00947EF7">
      <w:pPr>
        <w:pStyle w:val="Caption"/>
        <w:keepNext/>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BA6BBE">
        <w:rPr>
          <w:noProof/>
        </w:rPr>
        <w:t>3</w:t>
      </w:r>
      <w:r w:rsidR="00472123">
        <w:rPr>
          <w:noProof/>
        </w:rPr>
        <w:fldChar w:fldCharType="end"/>
      </w:r>
      <w:r w:rsidRPr="00814B72">
        <w:rPr>
          <w:noProof/>
        </w:rPr>
        <w:t xml:space="preserve">: </w:t>
      </w:r>
      <w:r>
        <w:rPr>
          <w:noProof/>
        </w:rPr>
        <w:t>Recoveries following OLAF’s investigations</w:t>
      </w:r>
    </w:p>
    <w:p w14:paraId="03FB9495" w14:textId="6992DD9D" w:rsidR="0017619B" w:rsidRDefault="0017619B" w:rsidP="00D5578A">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17619B">
        <w:rPr>
          <w:noProof/>
        </w:rPr>
        <w:t xml:space="preserve">At the end of its investigations, OLAF can issue financial recommendations to Member States, EU </w:t>
      </w:r>
      <w:r w:rsidR="00EC027B">
        <w:rPr>
          <w:noProof/>
        </w:rPr>
        <w:t>i</w:t>
      </w:r>
      <w:r w:rsidRPr="0017619B">
        <w:rPr>
          <w:noProof/>
        </w:rPr>
        <w:t xml:space="preserve">nstitutions, bodies, offices and agencies. These recommendations specify </w:t>
      </w:r>
      <w:r w:rsidR="00C36697">
        <w:rPr>
          <w:noProof/>
        </w:rPr>
        <w:t xml:space="preserve">the actual </w:t>
      </w:r>
      <w:r w:rsidRPr="0017619B">
        <w:rPr>
          <w:noProof/>
        </w:rPr>
        <w:t>amounts of EU expenditure irregularly spent and of EU revenue irregularly evaded from the EU budget, which OLAF</w:t>
      </w:r>
      <w:r w:rsidR="00C36697">
        <w:rPr>
          <w:noProof/>
        </w:rPr>
        <w:t>, based on the outcome of its investigations,</w:t>
      </w:r>
      <w:r w:rsidRPr="0017619B">
        <w:rPr>
          <w:noProof/>
        </w:rPr>
        <w:t xml:space="preserve"> recommends to recover. If planned disbursements have not yet taken place, OLAF recommends not to carry out the irregular spending.</w:t>
      </w:r>
    </w:p>
    <w:p w14:paraId="6AC5BA3C" w14:textId="14C70966" w:rsidR="00D5578A" w:rsidRPr="00D5578A" w:rsidRDefault="0017619B" w:rsidP="00D5578A">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17619B">
        <w:rPr>
          <w:noProof/>
        </w:rPr>
        <w:t xml:space="preserve">In the </w:t>
      </w:r>
      <w:r w:rsidR="00C36697">
        <w:rPr>
          <w:noProof/>
        </w:rPr>
        <w:t>period 2022 to 2024</w:t>
      </w:r>
      <w:r w:rsidRPr="0017619B">
        <w:rPr>
          <w:noProof/>
        </w:rPr>
        <w:t xml:space="preserve">, OLAF investigations have led to </w:t>
      </w:r>
      <w:r w:rsidRPr="0017619B">
        <w:rPr>
          <w:b/>
          <w:bCs/>
          <w:noProof/>
        </w:rPr>
        <w:t xml:space="preserve">recoveries of </w:t>
      </w:r>
      <w:r w:rsidR="00EC6482">
        <w:rPr>
          <w:b/>
          <w:bCs/>
          <w:noProof/>
        </w:rPr>
        <w:t>EUR </w:t>
      </w:r>
      <w:r w:rsidRPr="0017619B">
        <w:rPr>
          <w:b/>
          <w:bCs/>
          <w:noProof/>
        </w:rPr>
        <w:t>4.5 billion</w:t>
      </w:r>
      <w:r w:rsidRPr="0017619B">
        <w:rPr>
          <w:noProof/>
        </w:rPr>
        <w:t xml:space="preserve"> and have </w:t>
      </w:r>
      <w:r w:rsidRPr="0017619B">
        <w:rPr>
          <w:b/>
          <w:bCs/>
          <w:noProof/>
        </w:rPr>
        <w:t xml:space="preserve">prevented over </w:t>
      </w:r>
      <w:r w:rsidR="00EC6482">
        <w:rPr>
          <w:b/>
          <w:bCs/>
          <w:noProof/>
        </w:rPr>
        <w:t>EUR </w:t>
      </w:r>
      <w:r w:rsidRPr="0017619B">
        <w:rPr>
          <w:b/>
          <w:bCs/>
          <w:noProof/>
        </w:rPr>
        <w:t>800 million of irregular spending</w:t>
      </w:r>
      <w:r w:rsidRPr="0017619B">
        <w:rPr>
          <w:noProof/>
        </w:rPr>
        <w:t>.</w:t>
      </w:r>
    </w:p>
    <w:p w14:paraId="46EE142F" w14:textId="77777777" w:rsidR="006620F9" w:rsidRPr="00C135E0" w:rsidRDefault="006620F9" w:rsidP="008C7C14">
      <w:pPr>
        <w:pStyle w:val="Heading3"/>
        <w:rPr>
          <w:noProof/>
        </w:rPr>
      </w:pPr>
      <w:bookmarkStart w:id="79" w:name="_Investigations_by_the"/>
      <w:bookmarkStart w:id="80" w:name="_Toc134557987"/>
      <w:bookmarkStart w:id="81" w:name="_Toc202011339"/>
      <w:bookmarkStart w:id="82" w:name="_Toc203477676"/>
      <w:bookmarkEnd w:id="79"/>
      <w:r w:rsidRPr="00C135E0">
        <w:rPr>
          <w:noProof/>
        </w:rPr>
        <w:t>Investigations by the EPPO</w:t>
      </w:r>
      <w:bookmarkEnd w:id="80"/>
      <w:bookmarkEnd w:id="81"/>
      <w:bookmarkEnd w:id="82"/>
    </w:p>
    <w:p w14:paraId="3253F7B4" w14:textId="76370448" w:rsidR="000E544E" w:rsidRDefault="006620F9" w:rsidP="006620F9">
      <w:pPr>
        <w:rPr>
          <w:noProof/>
        </w:rPr>
      </w:pPr>
      <w:r w:rsidRPr="00814B72">
        <w:rPr>
          <w:noProof/>
        </w:rPr>
        <w:t>In 202</w:t>
      </w:r>
      <w:r w:rsidR="009708BB">
        <w:rPr>
          <w:noProof/>
        </w:rPr>
        <w:t>4</w:t>
      </w:r>
      <w:r w:rsidR="00B40B7F" w:rsidRPr="00814B72">
        <w:rPr>
          <w:noProof/>
        </w:rPr>
        <w:t>,</w:t>
      </w:r>
      <w:r w:rsidRPr="00814B72">
        <w:rPr>
          <w:noProof/>
        </w:rPr>
        <w:t xml:space="preserve"> the EPPO opened </w:t>
      </w:r>
      <w:r w:rsidR="001057C4" w:rsidRPr="00814B72">
        <w:rPr>
          <w:noProof/>
        </w:rPr>
        <w:t>1 </w:t>
      </w:r>
      <w:r w:rsidR="009708BB">
        <w:rPr>
          <w:noProof/>
        </w:rPr>
        <w:t>504</w:t>
      </w:r>
      <w:r w:rsidRPr="00814B72">
        <w:rPr>
          <w:noProof/>
        </w:rPr>
        <w:t xml:space="preserve"> investigations</w:t>
      </w:r>
      <w:r w:rsidR="006027D7" w:rsidRPr="00814B72">
        <w:rPr>
          <w:noProof/>
        </w:rPr>
        <w:t xml:space="preserve"> corresponding to </w:t>
      </w:r>
      <w:r w:rsidR="00332CB0" w:rsidRPr="00814B72">
        <w:rPr>
          <w:noProof/>
        </w:rPr>
        <w:t xml:space="preserve">estimated </w:t>
      </w:r>
      <w:r w:rsidR="006027D7" w:rsidRPr="00814B72">
        <w:rPr>
          <w:noProof/>
        </w:rPr>
        <w:t xml:space="preserve">damage </w:t>
      </w:r>
      <w:r w:rsidR="00332CB0" w:rsidRPr="00814B72">
        <w:rPr>
          <w:noProof/>
        </w:rPr>
        <w:t xml:space="preserve">of </w:t>
      </w:r>
      <w:r w:rsidR="006027D7" w:rsidRPr="00814B72">
        <w:rPr>
          <w:noProof/>
        </w:rPr>
        <w:t>EUR</w:t>
      </w:r>
      <w:r w:rsidR="00CB70E4" w:rsidRPr="00814B72">
        <w:rPr>
          <w:noProof/>
        </w:rPr>
        <w:t> </w:t>
      </w:r>
      <w:r w:rsidR="001057C4" w:rsidRPr="00814B72">
        <w:rPr>
          <w:noProof/>
        </w:rPr>
        <w:t>1</w:t>
      </w:r>
      <w:r w:rsidR="009708BB">
        <w:rPr>
          <w:noProof/>
        </w:rPr>
        <w:t>3</w:t>
      </w:r>
      <w:r w:rsidR="006027D7" w:rsidRPr="00814B72">
        <w:rPr>
          <w:noProof/>
        </w:rPr>
        <w:t>.</w:t>
      </w:r>
      <w:r w:rsidR="009708BB">
        <w:rPr>
          <w:noProof/>
        </w:rPr>
        <w:t>07</w:t>
      </w:r>
      <w:r w:rsidR="006027D7" w:rsidRPr="00814B72">
        <w:rPr>
          <w:noProof/>
        </w:rPr>
        <w:t xml:space="preserve"> billion</w:t>
      </w:r>
      <w:r w:rsidR="00055B42">
        <w:rPr>
          <w:noProof/>
        </w:rPr>
        <w:t> (</w:t>
      </w:r>
      <w:r w:rsidR="006027D7" w:rsidRPr="00814B72">
        <w:rPr>
          <w:rStyle w:val="FootnoteReference"/>
          <w:noProof/>
        </w:rPr>
        <w:footnoteReference w:id="74"/>
      </w:r>
      <w:r w:rsidR="00055B42">
        <w:rPr>
          <w:noProof/>
        </w:rPr>
        <w:t>)</w:t>
      </w:r>
      <w:r w:rsidRPr="00814B72">
        <w:rPr>
          <w:noProof/>
        </w:rPr>
        <w:t>. At the end of 202</w:t>
      </w:r>
      <w:r w:rsidR="005B380D">
        <w:rPr>
          <w:noProof/>
        </w:rPr>
        <w:t>4</w:t>
      </w:r>
      <w:r w:rsidR="00CB70E4" w:rsidRPr="00814B72">
        <w:rPr>
          <w:noProof/>
        </w:rPr>
        <w:t>,</w:t>
      </w:r>
      <w:r w:rsidRPr="00814B72">
        <w:rPr>
          <w:noProof/>
        </w:rPr>
        <w:t xml:space="preserve"> the EPPO had </w:t>
      </w:r>
      <w:r w:rsidR="009708BB">
        <w:rPr>
          <w:noProof/>
        </w:rPr>
        <w:t>2</w:t>
      </w:r>
      <w:r w:rsidRPr="00814B72">
        <w:rPr>
          <w:noProof/>
        </w:rPr>
        <w:t> </w:t>
      </w:r>
      <w:r w:rsidR="009708BB">
        <w:rPr>
          <w:noProof/>
        </w:rPr>
        <w:t>666</w:t>
      </w:r>
      <w:r w:rsidRPr="00814B72">
        <w:rPr>
          <w:noProof/>
        </w:rPr>
        <w:t xml:space="preserve"> </w:t>
      </w:r>
      <w:r w:rsidR="00320870">
        <w:rPr>
          <w:noProof/>
        </w:rPr>
        <w:t xml:space="preserve">active </w:t>
      </w:r>
      <w:r w:rsidRPr="00814B72">
        <w:rPr>
          <w:noProof/>
        </w:rPr>
        <w:t>investigations involving estimated damage of EUR</w:t>
      </w:r>
      <w:r w:rsidR="00CB70E4" w:rsidRPr="00814B72">
        <w:rPr>
          <w:noProof/>
        </w:rPr>
        <w:t> </w:t>
      </w:r>
      <w:r w:rsidR="009708BB">
        <w:rPr>
          <w:noProof/>
        </w:rPr>
        <w:t>24</w:t>
      </w:r>
      <w:r w:rsidRPr="00814B72">
        <w:rPr>
          <w:noProof/>
        </w:rPr>
        <w:t>.</w:t>
      </w:r>
      <w:r w:rsidR="009708BB">
        <w:rPr>
          <w:noProof/>
        </w:rPr>
        <w:t>80</w:t>
      </w:r>
      <w:r w:rsidRPr="00814B72">
        <w:rPr>
          <w:noProof/>
        </w:rPr>
        <w:t xml:space="preserve"> billion</w:t>
      </w:r>
      <w:r w:rsidR="0060352C">
        <w:rPr>
          <w:noProof/>
        </w:rPr>
        <w:t xml:space="preserve">. </w:t>
      </w:r>
      <w:r w:rsidR="00065265">
        <w:rPr>
          <w:noProof/>
        </w:rPr>
        <w:t>The</w:t>
      </w:r>
      <w:r w:rsidR="000E544E">
        <w:rPr>
          <w:noProof/>
        </w:rPr>
        <w:t>se are</w:t>
      </w:r>
      <w:r w:rsidR="00065265">
        <w:rPr>
          <w:noProof/>
        </w:rPr>
        <w:t xml:space="preserve"> divide</w:t>
      </w:r>
      <w:r w:rsidR="000E544E">
        <w:rPr>
          <w:noProof/>
        </w:rPr>
        <w:t>d</w:t>
      </w:r>
      <w:r w:rsidR="00065265">
        <w:rPr>
          <w:noProof/>
        </w:rPr>
        <w:t xml:space="preserve"> among the various budgetary areas as follows: </w:t>
      </w:r>
    </w:p>
    <w:p w14:paraId="7ED983D3" w14:textId="0F4E9BD0" w:rsidR="000E544E" w:rsidRDefault="00065265" w:rsidP="000E544E">
      <w:pPr>
        <w:pStyle w:val="ListParagraph"/>
        <w:numPr>
          <w:ilvl w:val="0"/>
          <w:numId w:val="28"/>
        </w:numPr>
        <w:rPr>
          <w:rFonts w:ascii="Times New Roman" w:hAnsi="Times New Roman"/>
          <w:noProof/>
        </w:rPr>
      </w:pPr>
      <w:r w:rsidRPr="000E544E">
        <w:rPr>
          <w:rFonts w:ascii="Times New Roman" w:hAnsi="Times New Roman"/>
          <w:noProof/>
        </w:rPr>
        <w:t xml:space="preserve">488 active investigations </w:t>
      </w:r>
      <w:r w:rsidR="000E544E">
        <w:rPr>
          <w:rFonts w:ascii="Times New Roman" w:hAnsi="Times New Roman"/>
          <w:noProof/>
        </w:rPr>
        <w:t>on</w:t>
      </w:r>
      <w:r w:rsidRPr="000E544E">
        <w:rPr>
          <w:rFonts w:ascii="Times New Roman" w:hAnsi="Times New Roman"/>
          <w:noProof/>
        </w:rPr>
        <w:t xml:space="preserve"> VAT fraud </w:t>
      </w:r>
      <w:r w:rsidRPr="00BF4FD6">
        <w:rPr>
          <w:rFonts w:ascii="Times New Roman" w:hAnsi="Times New Roman"/>
          <w:noProof/>
        </w:rPr>
        <w:t xml:space="preserve">(see snapshot </w:t>
      </w:r>
      <w:r w:rsidR="00BA6BBE">
        <w:rPr>
          <w:rFonts w:ascii="Times New Roman" w:hAnsi="Times New Roman"/>
          <w:noProof/>
        </w:rPr>
        <w:t>4</w:t>
      </w:r>
      <w:r w:rsidRPr="00BF4FD6">
        <w:rPr>
          <w:rFonts w:ascii="Times New Roman" w:hAnsi="Times New Roman"/>
          <w:noProof/>
        </w:rPr>
        <w:t>),</w:t>
      </w:r>
      <w:r w:rsidRPr="000E544E">
        <w:rPr>
          <w:rFonts w:ascii="Times New Roman" w:hAnsi="Times New Roman"/>
          <w:noProof/>
        </w:rPr>
        <w:t xml:space="preserve"> </w:t>
      </w:r>
    </w:p>
    <w:p w14:paraId="26617B96" w14:textId="2E1454D7" w:rsidR="000E544E" w:rsidRDefault="00065265" w:rsidP="000E544E">
      <w:pPr>
        <w:pStyle w:val="ListParagraph"/>
        <w:numPr>
          <w:ilvl w:val="0"/>
          <w:numId w:val="28"/>
        </w:numPr>
        <w:rPr>
          <w:rFonts w:ascii="Times New Roman" w:hAnsi="Times New Roman"/>
          <w:noProof/>
        </w:rPr>
      </w:pPr>
      <w:r w:rsidRPr="000E544E">
        <w:rPr>
          <w:rFonts w:ascii="Times New Roman" w:hAnsi="Times New Roman"/>
          <w:noProof/>
        </w:rPr>
        <w:t xml:space="preserve">252 </w:t>
      </w:r>
      <w:r w:rsidR="000E544E">
        <w:rPr>
          <w:rFonts w:ascii="Times New Roman" w:hAnsi="Times New Roman"/>
          <w:noProof/>
        </w:rPr>
        <w:t>on</w:t>
      </w:r>
      <w:r w:rsidR="000E544E" w:rsidRPr="000E544E">
        <w:rPr>
          <w:rFonts w:ascii="Times New Roman" w:hAnsi="Times New Roman"/>
          <w:noProof/>
        </w:rPr>
        <w:t xml:space="preserve"> </w:t>
      </w:r>
      <w:r w:rsidRPr="000E544E">
        <w:rPr>
          <w:rFonts w:ascii="Times New Roman" w:hAnsi="Times New Roman"/>
          <w:noProof/>
        </w:rPr>
        <w:t xml:space="preserve">customs fraud (total estimated damage of EUR 886.9 million) </w:t>
      </w:r>
    </w:p>
    <w:p w14:paraId="36892B63" w14:textId="45CEAC6E" w:rsidR="006620F9" w:rsidRPr="000E544E" w:rsidRDefault="00065265" w:rsidP="000E544E">
      <w:pPr>
        <w:pStyle w:val="ListParagraph"/>
        <w:numPr>
          <w:ilvl w:val="0"/>
          <w:numId w:val="28"/>
        </w:numPr>
        <w:spacing w:after="120"/>
        <w:ind w:left="714" w:hanging="357"/>
        <w:rPr>
          <w:rFonts w:ascii="Times New Roman" w:hAnsi="Times New Roman"/>
          <w:noProof/>
        </w:rPr>
      </w:pPr>
      <w:r w:rsidRPr="000E544E">
        <w:rPr>
          <w:rFonts w:ascii="Times New Roman" w:hAnsi="Times New Roman"/>
          <w:noProof/>
        </w:rPr>
        <w:t xml:space="preserve">1 807 </w:t>
      </w:r>
      <w:r w:rsidR="00EC6482">
        <w:rPr>
          <w:rFonts w:ascii="Times New Roman" w:hAnsi="Times New Roman"/>
          <w:noProof/>
        </w:rPr>
        <w:t>on</w:t>
      </w:r>
      <w:r w:rsidRPr="000E544E">
        <w:rPr>
          <w:rFonts w:ascii="Times New Roman" w:hAnsi="Times New Roman"/>
          <w:noProof/>
        </w:rPr>
        <w:t xml:space="preserve"> expenditure (total estimated damage of EUR 9.4 billion), of which 279 </w:t>
      </w:r>
      <w:r w:rsidR="000E544E">
        <w:rPr>
          <w:rFonts w:ascii="Times New Roman" w:hAnsi="Times New Roman"/>
          <w:noProof/>
        </w:rPr>
        <w:t xml:space="preserve">connected </w:t>
      </w:r>
      <w:r w:rsidRPr="000E544E">
        <w:rPr>
          <w:rFonts w:ascii="Times New Roman" w:hAnsi="Times New Roman"/>
          <w:noProof/>
        </w:rPr>
        <w:t>to the Recovery and Resilience Facility (for a total estimated damage of EUR 2.7 billion) (</w:t>
      </w:r>
      <w:r w:rsidRPr="000E544E">
        <w:rPr>
          <w:rStyle w:val="FootnoteReference"/>
          <w:rFonts w:ascii="Times New Roman" w:hAnsi="Times New Roman"/>
          <w:noProof/>
        </w:rPr>
        <w:footnoteReference w:id="75"/>
      </w:r>
      <w:r w:rsidRPr="000E544E">
        <w:rPr>
          <w:rFonts w:ascii="Times New Roman" w:hAnsi="Times New Roman"/>
          <w:noProof/>
        </w:rPr>
        <w:t>).</w:t>
      </w:r>
    </w:p>
    <w:p w14:paraId="47524669" w14:textId="47548A37" w:rsidR="00304C76" w:rsidRDefault="006620F9" w:rsidP="00304C76">
      <w:pPr>
        <w:rPr>
          <w:noProof/>
        </w:rPr>
      </w:pPr>
      <w:r w:rsidRPr="004D76BA">
        <w:rPr>
          <w:noProof/>
        </w:rPr>
        <w:t xml:space="preserve">Among the typologies identified in these active investigations, </w:t>
      </w:r>
      <w:r w:rsidR="00DE3F92" w:rsidRPr="004D76BA">
        <w:rPr>
          <w:noProof/>
        </w:rPr>
        <w:t>2</w:t>
      </w:r>
      <w:r w:rsidR="00C76676" w:rsidRPr="004D76BA">
        <w:rPr>
          <w:noProof/>
        </w:rPr>
        <w:t> </w:t>
      </w:r>
      <w:r w:rsidR="00DE3F92" w:rsidRPr="004D76BA">
        <w:rPr>
          <w:noProof/>
        </w:rPr>
        <w:t>105</w:t>
      </w:r>
      <w:r w:rsidRPr="004D76BA">
        <w:rPr>
          <w:noProof/>
        </w:rPr>
        <w:t xml:space="preserve"> offences </w:t>
      </w:r>
      <w:r w:rsidR="00C76676" w:rsidRPr="004D76BA">
        <w:rPr>
          <w:noProof/>
        </w:rPr>
        <w:t>(33.</w:t>
      </w:r>
      <w:r w:rsidR="00DE3F92" w:rsidRPr="004D76BA">
        <w:rPr>
          <w:noProof/>
        </w:rPr>
        <w:t>2</w:t>
      </w:r>
      <w:r w:rsidR="00C76676" w:rsidRPr="004D76BA">
        <w:rPr>
          <w:noProof/>
        </w:rPr>
        <w:t xml:space="preserve">% of the total) </w:t>
      </w:r>
      <w:r w:rsidR="00CB70E4" w:rsidRPr="004D76BA">
        <w:rPr>
          <w:noProof/>
        </w:rPr>
        <w:t xml:space="preserve">relate </w:t>
      </w:r>
      <w:r w:rsidRPr="004D76BA">
        <w:rPr>
          <w:noProof/>
        </w:rPr>
        <w:t xml:space="preserve">to non-procurement expenditure fraud, </w:t>
      </w:r>
      <w:r w:rsidR="00DE3F92" w:rsidRPr="004D76BA">
        <w:rPr>
          <w:noProof/>
        </w:rPr>
        <w:t>591</w:t>
      </w:r>
      <w:r w:rsidR="00C76676" w:rsidRPr="004D76BA">
        <w:rPr>
          <w:noProof/>
        </w:rPr>
        <w:t xml:space="preserve"> (</w:t>
      </w:r>
      <w:r w:rsidR="00DE3F92" w:rsidRPr="004D76BA">
        <w:rPr>
          <w:noProof/>
        </w:rPr>
        <w:t>9</w:t>
      </w:r>
      <w:r w:rsidR="00C76676" w:rsidRPr="004D76BA">
        <w:rPr>
          <w:noProof/>
        </w:rPr>
        <w:t>.</w:t>
      </w:r>
      <w:r w:rsidR="00DE3F92" w:rsidRPr="004D76BA">
        <w:rPr>
          <w:noProof/>
        </w:rPr>
        <w:t>3</w:t>
      </w:r>
      <w:r w:rsidR="00C76676" w:rsidRPr="004D76BA">
        <w:rPr>
          <w:noProof/>
        </w:rPr>
        <w:t>%)</w:t>
      </w:r>
      <w:r w:rsidRPr="004D76BA">
        <w:rPr>
          <w:noProof/>
        </w:rPr>
        <w:t xml:space="preserve"> to procurement</w:t>
      </w:r>
      <w:r w:rsidR="00CB70E4" w:rsidRPr="004D76BA">
        <w:rPr>
          <w:noProof/>
        </w:rPr>
        <w:t xml:space="preserve"> </w:t>
      </w:r>
      <w:r w:rsidRPr="004D76BA">
        <w:rPr>
          <w:noProof/>
        </w:rPr>
        <w:t xml:space="preserve">expenditure fraud, </w:t>
      </w:r>
      <w:r w:rsidR="00F334BD" w:rsidRPr="004D76BA">
        <w:rPr>
          <w:noProof/>
        </w:rPr>
        <w:t>385 to PIF crime-focused criminal organisation</w:t>
      </w:r>
      <w:r w:rsidR="000E544E">
        <w:rPr>
          <w:noProof/>
        </w:rPr>
        <w:t>s</w:t>
      </w:r>
      <w:r w:rsidR="00F334BD" w:rsidRPr="004D76BA">
        <w:rPr>
          <w:noProof/>
        </w:rPr>
        <w:t xml:space="preserve"> (6%), 480 (7.6%) to non-VAT revenue fraud, 1 287 (20.3%) to VAT revenue fraud, </w:t>
      </w:r>
      <w:r w:rsidR="00C76676" w:rsidRPr="004D76BA">
        <w:rPr>
          <w:noProof/>
        </w:rPr>
        <w:t>1</w:t>
      </w:r>
      <w:r w:rsidR="00DE3F92" w:rsidRPr="004D76BA">
        <w:rPr>
          <w:noProof/>
        </w:rPr>
        <w:t>9</w:t>
      </w:r>
      <w:r w:rsidR="00C76676" w:rsidRPr="004D76BA">
        <w:rPr>
          <w:noProof/>
        </w:rPr>
        <w:t>1</w:t>
      </w:r>
      <w:r w:rsidRPr="004D76BA">
        <w:rPr>
          <w:noProof/>
        </w:rPr>
        <w:t xml:space="preserve"> </w:t>
      </w:r>
      <w:r w:rsidR="00C76676" w:rsidRPr="004D76BA">
        <w:rPr>
          <w:noProof/>
        </w:rPr>
        <w:t xml:space="preserve">(3%) </w:t>
      </w:r>
      <w:r w:rsidR="00CB70E4" w:rsidRPr="004D76BA">
        <w:rPr>
          <w:noProof/>
        </w:rPr>
        <w:t xml:space="preserve">to </w:t>
      </w:r>
      <w:r w:rsidRPr="004D76BA">
        <w:rPr>
          <w:noProof/>
        </w:rPr>
        <w:t xml:space="preserve">corruption, </w:t>
      </w:r>
      <w:r w:rsidR="00DE3F92" w:rsidRPr="004D76BA">
        <w:rPr>
          <w:noProof/>
        </w:rPr>
        <w:t>115</w:t>
      </w:r>
      <w:r w:rsidR="00C76676" w:rsidRPr="004D76BA">
        <w:rPr>
          <w:noProof/>
        </w:rPr>
        <w:t xml:space="preserve"> (1.</w:t>
      </w:r>
      <w:r w:rsidR="00DE3F92" w:rsidRPr="004D76BA">
        <w:rPr>
          <w:noProof/>
        </w:rPr>
        <w:t>8</w:t>
      </w:r>
      <w:r w:rsidR="00C76676" w:rsidRPr="004D76BA">
        <w:rPr>
          <w:noProof/>
        </w:rPr>
        <w:t>%)</w:t>
      </w:r>
      <w:r w:rsidRPr="004D76BA">
        <w:rPr>
          <w:noProof/>
        </w:rPr>
        <w:t xml:space="preserve"> </w:t>
      </w:r>
      <w:r w:rsidR="00CB70E4" w:rsidRPr="004D76BA">
        <w:rPr>
          <w:noProof/>
        </w:rPr>
        <w:t xml:space="preserve">to </w:t>
      </w:r>
      <w:r w:rsidRPr="004D76BA">
        <w:rPr>
          <w:noProof/>
        </w:rPr>
        <w:t xml:space="preserve">misappropriation, </w:t>
      </w:r>
      <w:r w:rsidR="00DE3F92" w:rsidRPr="004D76BA">
        <w:rPr>
          <w:noProof/>
        </w:rPr>
        <w:t>380</w:t>
      </w:r>
      <w:r w:rsidRPr="004D76BA">
        <w:rPr>
          <w:noProof/>
        </w:rPr>
        <w:t xml:space="preserve"> </w:t>
      </w:r>
      <w:r w:rsidR="00C76676" w:rsidRPr="004D76BA">
        <w:rPr>
          <w:noProof/>
        </w:rPr>
        <w:t>(</w:t>
      </w:r>
      <w:r w:rsidR="00DE3F92" w:rsidRPr="004D76BA">
        <w:rPr>
          <w:noProof/>
        </w:rPr>
        <w:t>6</w:t>
      </w:r>
      <w:r w:rsidR="00C76676" w:rsidRPr="004D76BA">
        <w:rPr>
          <w:noProof/>
        </w:rPr>
        <w:t xml:space="preserve">%) </w:t>
      </w:r>
      <w:r w:rsidR="00CB70E4" w:rsidRPr="004D76BA">
        <w:rPr>
          <w:noProof/>
        </w:rPr>
        <w:t xml:space="preserve">to </w:t>
      </w:r>
      <w:r w:rsidRPr="004D76BA">
        <w:rPr>
          <w:noProof/>
        </w:rPr>
        <w:t>money</w:t>
      </w:r>
      <w:r w:rsidR="00AC6D22" w:rsidRPr="004D76BA">
        <w:rPr>
          <w:noProof/>
        </w:rPr>
        <w:t xml:space="preserve"> </w:t>
      </w:r>
      <w:r w:rsidRPr="004D76BA">
        <w:rPr>
          <w:noProof/>
        </w:rPr>
        <w:t>laundering</w:t>
      </w:r>
      <w:r w:rsidR="004D76BA">
        <w:rPr>
          <w:noProof/>
        </w:rPr>
        <w:t>,</w:t>
      </w:r>
      <w:r w:rsidR="00F334BD" w:rsidRPr="004D76BA">
        <w:rPr>
          <w:noProof/>
        </w:rPr>
        <w:t xml:space="preserve"> and 808 (12.7%) to inextricably linked offences (</w:t>
      </w:r>
      <w:r w:rsidR="00F334BD" w:rsidRPr="004D76BA">
        <w:rPr>
          <w:rStyle w:val="FootnoteReference"/>
          <w:noProof/>
        </w:rPr>
        <w:footnoteReference w:id="76"/>
      </w:r>
      <w:r w:rsidR="00F334BD" w:rsidRPr="004D76BA">
        <w:rPr>
          <w:noProof/>
        </w:rPr>
        <w:t>)</w:t>
      </w:r>
      <w:r w:rsidRPr="004D76BA">
        <w:rPr>
          <w:noProof/>
        </w:rPr>
        <w:t>.</w:t>
      </w:r>
    </w:p>
    <w:p w14:paraId="0DD2C600" w14:textId="21F36862" w:rsidR="00C36697" w:rsidRPr="00814B72" w:rsidRDefault="00C36697" w:rsidP="00304C76">
      <w:pPr>
        <w:rPr>
          <w:noProof/>
        </w:rPr>
      </w:pPr>
      <w:r>
        <w:rPr>
          <w:noProof/>
        </w:rPr>
        <w:t>In respect of the EPPO’s investigations, it is important to note that the estimated financial damage may be that given at the outset and not the actual damage calculated at the outcome stage of investigations.</w:t>
      </w:r>
    </w:p>
    <w:p w14:paraId="3A6414FE" w14:textId="77777777" w:rsidR="008C7C14" w:rsidRDefault="006620F9" w:rsidP="00FA377B">
      <w:pPr>
        <w:pStyle w:val="Heading2"/>
        <w:rPr>
          <w:noProof/>
        </w:rPr>
      </w:pPr>
      <w:bookmarkStart w:id="83" w:name="_Toc202011340"/>
      <w:bookmarkStart w:id="84" w:name="_Toc203477677"/>
      <w:bookmarkStart w:id="85" w:name="_Toc134557989"/>
      <w:r w:rsidRPr="00814B72">
        <w:rPr>
          <w:noProof/>
        </w:rPr>
        <w:t>Revenue</w:t>
      </w:r>
      <w:bookmarkEnd w:id="83"/>
      <w:bookmarkEnd w:id="84"/>
    </w:p>
    <w:p w14:paraId="2C862EDD" w14:textId="342A8874" w:rsidR="0061605C" w:rsidRDefault="00F075E0" w:rsidP="00F075E0">
      <w:pPr>
        <w:rPr>
          <w:noProof/>
        </w:rPr>
      </w:pPr>
      <w:r>
        <w:rPr>
          <w:noProof/>
        </w:rPr>
        <w:t>Th</w:t>
      </w:r>
      <w:r w:rsidR="000E544E">
        <w:rPr>
          <w:noProof/>
        </w:rPr>
        <w:t>is</w:t>
      </w:r>
      <w:r>
        <w:rPr>
          <w:noProof/>
        </w:rPr>
        <w:t xml:space="preserve"> section presents data and information concerning fraud and irregularities </w:t>
      </w:r>
      <w:r w:rsidR="0061605C">
        <w:rPr>
          <w:noProof/>
        </w:rPr>
        <w:t xml:space="preserve">related to revenue </w:t>
      </w:r>
      <w:r>
        <w:rPr>
          <w:noProof/>
        </w:rPr>
        <w:t xml:space="preserve">(VAT and </w:t>
      </w:r>
      <w:r w:rsidR="00BF4FD6">
        <w:rPr>
          <w:noProof/>
        </w:rPr>
        <w:t>traditional own resources</w:t>
      </w:r>
      <w:r>
        <w:rPr>
          <w:noProof/>
        </w:rPr>
        <w:t xml:space="preserve">). </w:t>
      </w:r>
    </w:p>
    <w:p w14:paraId="32C09EEA" w14:textId="256BABA5" w:rsidR="00F075E0" w:rsidRPr="00F075E0" w:rsidRDefault="0061605C" w:rsidP="00F075E0">
      <w:pPr>
        <w:rPr>
          <w:noProof/>
        </w:rPr>
      </w:pPr>
      <w:r>
        <w:rPr>
          <w:noProof/>
        </w:rPr>
        <w:t xml:space="preserve">Revenue </w:t>
      </w:r>
      <w:r w:rsidR="000E544E">
        <w:rPr>
          <w:noProof/>
        </w:rPr>
        <w:t xml:space="preserve">is </w:t>
      </w:r>
      <w:r>
        <w:rPr>
          <w:noProof/>
        </w:rPr>
        <w:t xml:space="preserve">the budgetary area most exposed to cross-border fraud. </w:t>
      </w:r>
      <w:r w:rsidR="00462D8F">
        <w:rPr>
          <w:noProof/>
        </w:rPr>
        <w:t>By the end of 2024, t</w:t>
      </w:r>
      <w:r>
        <w:rPr>
          <w:noProof/>
        </w:rPr>
        <w:t>he EPPO ha</w:t>
      </w:r>
      <w:r w:rsidR="00462D8F">
        <w:rPr>
          <w:noProof/>
        </w:rPr>
        <w:t>d</w:t>
      </w:r>
      <w:r>
        <w:rPr>
          <w:noProof/>
        </w:rPr>
        <w:t xml:space="preserve"> 767 active investigations with a cross-border component. Of these, 573 (74% of the total) are linked to revenue (416 to VAT</w:t>
      </w:r>
      <w:r w:rsidR="000E544E">
        <w:rPr>
          <w:noProof/>
        </w:rPr>
        <w:t xml:space="preserve"> </w:t>
      </w:r>
      <w:r>
        <w:rPr>
          <w:noProof/>
        </w:rPr>
        <w:t xml:space="preserve">fraud, 86 to non-VAT fraud and 71 linked to both). </w:t>
      </w:r>
      <w:r w:rsidR="009B540C">
        <w:rPr>
          <w:noProof/>
        </w:rPr>
        <w:t xml:space="preserve">The total estimated damage </w:t>
      </w:r>
      <w:r w:rsidR="00462D8F">
        <w:rPr>
          <w:noProof/>
        </w:rPr>
        <w:t xml:space="preserve">of this investigations </w:t>
      </w:r>
      <w:r w:rsidR="009B540C">
        <w:rPr>
          <w:noProof/>
        </w:rPr>
        <w:t>is EUR 13.6 billion, 87% of the total estimate damage linked to cross-border fraud</w:t>
      </w:r>
      <w:r w:rsidR="009B540C" w:rsidRPr="009B540C">
        <w:rPr>
          <w:noProof/>
        </w:rPr>
        <w:t> (</w:t>
      </w:r>
      <w:r w:rsidR="009B540C">
        <w:rPr>
          <w:rStyle w:val="FootnoteReference"/>
          <w:noProof/>
        </w:rPr>
        <w:footnoteReference w:id="77"/>
      </w:r>
      <w:r w:rsidR="009B540C">
        <w:rPr>
          <w:noProof/>
        </w:rPr>
        <w:t xml:space="preserve">). </w:t>
      </w:r>
    </w:p>
    <w:p w14:paraId="229D4D8D" w14:textId="77777777" w:rsidR="008C7C14" w:rsidRPr="00C135E0" w:rsidRDefault="008C7C14" w:rsidP="008C7C14">
      <w:pPr>
        <w:pStyle w:val="Heading3"/>
        <w:rPr>
          <w:noProof/>
        </w:rPr>
      </w:pPr>
      <w:bookmarkStart w:id="86" w:name="_Toc202011341"/>
      <w:bookmarkStart w:id="87" w:name="_Toc203477678"/>
      <w:r w:rsidRPr="00C135E0">
        <w:rPr>
          <w:noProof/>
        </w:rPr>
        <w:t>Revenue – VAT</w:t>
      </w:r>
      <w:bookmarkEnd w:id="86"/>
      <w:bookmarkEnd w:id="87"/>
    </w:p>
    <w:p w14:paraId="07B4EC33" w14:textId="0FC57DCF" w:rsidR="008C7C14" w:rsidRDefault="00147DAC" w:rsidP="008C7C14">
      <w:pPr>
        <w:rPr>
          <w:noProof/>
        </w:rPr>
      </w:pPr>
      <w:r>
        <w:rPr>
          <w:noProof/>
        </w:rPr>
        <w:t xml:space="preserve">In 2024, the Commission estimated the VAT compliance gap for 2022 at </w:t>
      </w:r>
      <w:r w:rsidR="000E544E">
        <w:rPr>
          <w:noProof/>
        </w:rPr>
        <w:t>EUR </w:t>
      </w:r>
      <w:r>
        <w:rPr>
          <w:noProof/>
        </w:rPr>
        <w:t xml:space="preserve">89.3 billion, representing 7.0% of </w:t>
      </w:r>
      <w:r w:rsidR="000E544E">
        <w:rPr>
          <w:noProof/>
        </w:rPr>
        <w:t xml:space="preserve">the </w:t>
      </w:r>
      <w:r>
        <w:rPr>
          <w:noProof/>
        </w:rPr>
        <w:t>VAT total tax liability. The VAT compliance gap measures the difference between the VAT revenue that would be collected in the case of full compliance and the actual revenue collected</w:t>
      </w:r>
      <w:r w:rsidR="00B37325" w:rsidRPr="00B37325">
        <w:rPr>
          <w:noProof/>
        </w:rPr>
        <w:t> (</w:t>
      </w:r>
      <w:r w:rsidR="00B37325">
        <w:rPr>
          <w:rStyle w:val="FootnoteReference"/>
          <w:noProof/>
        </w:rPr>
        <w:footnoteReference w:id="78"/>
      </w:r>
      <w:r w:rsidR="00B37325">
        <w:rPr>
          <w:noProof/>
        </w:rPr>
        <w:t>)</w:t>
      </w:r>
      <w:r>
        <w:rPr>
          <w:noProof/>
        </w:rPr>
        <w:t xml:space="preserve">. </w:t>
      </w:r>
    </w:p>
    <w:p w14:paraId="42D60910" w14:textId="32C055D6" w:rsidR="00147DAC" w:rsidRDefault="00C36697" w:rsidP="008C7C14">
      <w:pPr>
        <w:rPr>
          <w:noProof/>
        </w:rPr>
      </w:pPr>
      <w:r>
        <w:rPr>
          <w:noProof/>
        </w:rPr>
        <w:t>Based on this data, the</w:t>
      </w:r>
      <w:r w:rsidR="00147DAC">
        <w:rPr>
          <w:noProof/>
        </w:rPr>
        <w:t xml:space="preserve"> gap is closing</w:t>
      </w:r>
      <w:r w:rsidR="000E544E">
        <w:rPr>
          <w:noProof/>
        </w:rPr>
        <w:t>:</w:t>
      </w:r>
      <w:r w:rsidR="00147DAC">
        <w:rPr>
          <w:noProof/>
        </w:rPr>
        <w:t xml:space="preserve"> in 2018 it was estimated at EUR 121.2 billion, representing 11.2% of </w:t>
      </w:r>
      <w:r w:rsidR="000E544E">
        <w:rPr>
          <w:noProof/>
        </w:rPr>
        <w:t xml:space="preserve">the </w:t>
      </w:r>
      <w:r w:rsidR="00147DAC">
        <w:rPr>
          <w:noProof/>
        </w:rPr>
        <w:t>VAT total tax liability.</w:t>
      </w:r>
    </w:p>
    <w:p w14:paraId="28268EEB" w14:textId="55BC3694" w:rsidR="00147DAC" w:rsidRDefault="00C36697" w:rsidP="008C7C14">
      <w:pPr>
        <w:rPr>
          <w:noProof/>
        </w:rPr>
      </w:pPr>
      <w:r>
        <w:rPr>
          <w:noProof/>
        </w:rPr>
        <w:t>The reader should note that o</w:t>
      </w:r>
      <w:r w:rsidR="00147DAC">
        <w:rPr>
          <w:noProof/>
        </w:rPr>
        <w:t xml:space="preserve">nly a part of this </w:t>
      </w:r>
      <w:r>
        <w:rPr>
          <w:noProof/>
        </w:rPr>
        <w:t xml:space="preserve">estimated gap </w:t>
      </w:r>
      <w:r w:rsidR="00147DAC">
        <w:rPr>
          <w:noProof/>
        </w:rPr>
        <w:t>is due to VAT fraud</w:t>
      </w:r>
      <w:r w:rsidR="00E57D88">
        <w:rPr>
          <w:noProof/>
        </w:rPr>
        <w:t xml:space="preserve"> (see </w:t>
      </w:r>
      <w:r w:rsidR="000E544E">
        <w:rPr>
          <w:noProof/>
        </w:rPr>
        <w:t xml:space="preserve">Snapshot </w:t>
      </w:r>
      <w:r w:rsidR="008B6005">
        <w:rPr>
          <w:noProof/>
        </w:rPr>
        <w:t>4</w:t>
      </w:r>
      <w:r w:rsidR="00E57D88">
        <w:rPr>
          <w:noProof/>
        </w:rPr>
        <w:t>)</w:t>
      </w:r>
      <w:r w:rsidR="00147DAC">
        <w:rPr>
          <w:noProof/>
        </w:rPr>
        <w:t>, evasion and avoidance</w:t>
      </w:r>
      <w:r w:rsidR="00DF7FEA">
        <w:rPr>
          <w:noProof/>
        </w:rPr>
        <w:t xml:space="preserve">. Other factors </w:t>
      </w:r>
      <w:r w:rsidR="00E57D88">
        <w:rPr>
          <w:noProof/>
        </w:rPr>
        <w:t>includ</w:t>
      </w:r>
      <w:r w:rsidR="00DF7FEA">
        <w:rPr>
          <w:noProof/>
        </w:rPr>
        <w:t>e corporate insolvency and bankruptcy and administrative errors. In terms of the EU’s financial interests at stake, only a small share (0.3%) of the VAT-related financial amounts belongs to the EU budget (</w:t>
      </w:r>
      <w:r w:rsidR="00DF7FEA">
        <w:rPr>
          <w:rStyle w:val="FootnoteReference"/>
          <w:noProof/>
        </w:rPr>
        <w:footnoteReference w:id="79"/>
      </w:r>
      <w:r w:rsidR="00DF7FEA">
        <w:rPr>
          <w:noProof/>
        </w:rPr>
        <w:t xml:space="preserve">). </w:t>
      </w:r>
      <w:r>
        <w:rPr>
          <w:noProof/>
        </w:rPr>
        <w:t>Based o</w:t>
      </w:r>
      <w:r w:rsidR="00DF7FEA">
        <w:rPr>
          <w:noProof/>
        </w:rPr>
        <w:t xml:space="preserve">n the estimated VAT gap </w:t>
      </w:r>
      <w:r>
        <w:rPr>
          <w:noProof/>
        </w:rPr>
        <w:t xml:space="preserve">data </w:t>
      </w:r>
      <w:r w:rsidR="00DF7FEA">
        <w:rPr>
          <w:noProof/>
        </w:rPr>
        <w:t xml:space="preserve">this would </w:t>
      </w:r>
      <w:r>
        <w:rPr>
          <w:noProof/>
        </w:rPr>
        <w:t>be about</w:t>
      </w:r>
      <w:r w:rsidR="00DF7FEA">
        <w:rPr>
          <w:noProof/>
        </w:rPr>
        <w:t xml:space="preserve"> </w:t>
      </w:r>
      <w:r w:rsidR="000E544E">
        <w:rPr>
          <w:noProof/>
        </w:rPr>
        <w:t>EUR </w:t>
      </w:r>
      <w:r w:rsidR="00DF7FEA">
        <w:rPr>
          <w:noProof/>
        </w:rPr>
        <w:t>270 million</w:t>
      </w:r>
      <w:r>
        <w:rPr>
          <w:noProof/>
        </w:rPr>
        <w:t xml:space="preserve"> in 2022</w:t>
      </w:r>
      <w:r w:rsidR="00DF7FEA">
        <w:rPr>
          <w:noProof/>
        </w:rPr>
        <w:t>.</w:t>
      </w:r>
    </w:p>
    <w:p w14:paraId="6A459A9F" w14:textId="3086B890" w:rsidR="005B380D" w:rsidRPr="00814B72" w:rsidRDefault="005B380D" w:rsidP="00B37325">
      <w:pPr>
        <w:pStyle w:val="Caption"/>
        <w:keepNext/>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8B6005">
        <w:rPr>
          <w:noProof/>
        </w:rPr>
        <w:t>4</w:t>
      </w:r>
      <w:r w:rsidR="00472123">
        <w:rPr>
          <w:noProof/>
        </w:rPr>
        <w:fldChar w:fldCharType="end"/>
      </w:r>
      <w:r w:rsidRPr="00814B72">
        <w:rPr>
          <w:noProof/>
        </w:rPr>
        <w:t xml:space="preserve">: </w:t>
      </w:r>
      <w:r>
        <w:rPr>
          <w:noProof/>
        </w:rPr>
        <w:t>Investigations by the EPPO into VAT-revenue fraud</w:t>
      </w:r>
    </w:p>
    <w:p w14:paraId="0B49AA05" w14:textId="525C24FC" w:rsidR="005B380D" w:rsidRDefault="000E544E" w:rsidP="005B380D">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For</w:t>
      </w:r>
      <w:r w:rsidR="005B380D" w:rsidRPr="00814B72">
        <w:rPr>
          <w:noProof/>
        </w:rPr>
        <w:t xml:space="preserve"> 202</w:t>
      </w:r>
      <w:r w:rsidR="005B380D">
        <w:rPr>
          <w:noProof/>
        </w:rPr>
        <w:t>4</w:t>
      </w:r>
      <w:r w:rsidR="005B380D" w:rsidRPr="00814B72">
        <w:rPr>
          <w:noProof/>
        </w:rPr>
        <w:t xml:space="preserve">, the EPPO </w:t>
      </w:r>
      <w:r w:rsidR="00C43E16">
        <w:rPr>
          <w:noProof/>
        </w:rPr>
        <w:t xml:space="preserve">reported that it </w:t>
      </w:r>
      <w:r w:rsidR="005B380D" w:rsidRPr="00814B72">
        <w:rPr>
          <w:noProof/>
        </w:rPr>
        <w:t xml:space="preserve">had </w:t>
      </w:r>
      <w:r w:rsidR="005B380D">
        <w:rPr>
          <w:noProof/>
        </w:rPr>
        <w:t xml:space="preserve">488 VAT-related </w:t>
      </w:r>
      <w:r w:rsidR="00DD7133">
        <w:rPr>
          <w:noProof/>
        </w:rPr>
        <w:t xml:space="preserve">active </w:t>
      </w:r>
      <w:r w:rsidR="005B380D">
        <w:rPr>
          <w:noProof/>
        </w:rPr>
        <w:t>investigations</w:t>
      </w:r>
      <w:r>
        <w:rPr>
          <w:noProof/>
        </w:rPr>
        <w:t>,</w:t>
      </w:r>
      <w:r w:rsidR="005B380D">
        <w:rPr>
          <w:noProof/>
        </w:rPr>
        <w:t xml:space="preserve"> involving estimated financial damage of EUR 13.15 billion</w:t>
      </w:r>
      <w:r>
        <w:rPr>
          <w:noProof/>
        </w:rPr>
        <w:t>. This</w:t>
      </w:r>
      <w:r w:rsidR="005B380D">
        <w:rPr>
          <w:noProof/>
        </w:rPr>
        <w:t xml:space="preserve"> represent</w:t>
      </w:r>
      <w:r>
        <w:rPr>
          <w:noProof/>
        </w:rPr>
        <w:t>ed</w:t>
      </w:r>
      <w:r w:rsidR="005B380D">
        <w:rPr>
          <w:noProof/>
        </w:rPr>
        <w:t xml:space="preserve"> almost 53% of the total estimated financial damage </w:t>
      </w:r>
      <w:r w:rsidR="003C0959">
        <w:rPr>
          <w:noProof/>
        </w:rPr>
        <w:t>involved in</w:t>
      </w:r>
      <w:r w:rsidR="005B380D">
        <w:rPr>
          <w:noProof/>
        </w:rPr>
        <w:t xml:space="preserve"> the </w:t>
      </w:r>
      <w:r w:rsidR="0060352C">
        <w:rPr>
          <w:noProof/>
        </w:rPr>
        <w:t xml:space="preserve">EPPO’s </w:t>
      </w:r>
      <w:r w:rsidR="005B380D">
        <w:rPr>
          <w:noProof/>
        </w:rPr>
        <w:t>2</w:t>
      </w:r>
      <w:r w:rsidR="005B380D" w:rsidRPr="00814B72">
        <w:rPr>
          <w:noProof/>
        </w:rPr>
        <w:t> </w:t>
      </w:r>
      <w:r w:rsidR="005B380D">
        <w:rPr>
          <w:noProof/>
        </w:rPr>
        <w:t>666</w:t>
      </w:r>
      <w:r w:rsidR="005B380D" w:rsidRPr="00814B72">
        <w:rPr>
          <w:noProof/>
        </w:rPr>
        <w:t xml:space="preserve"> </w:t>
      </w:r>
      <w:r w:rsidR="005B380D">
        <w:rPr>
          <w:noProof/>
        </w:rPr>
        <w:t xml:space="preserve">active </w:t>
      </w:r>
      <w:r w:rsidR="005B380D" w:rsidRPr="00814B72">
        <w:rPr>
          <w:noProof/>
        </w:rPr>
        <w:t>investigations</w:t>
      </w:r>
      <w:r w:rsidR="005B380D">
        <w:rPr>
          <w:noProof/>
        </w:rPr>
        <w:t>)</w:t>
      </w:r>
      <w:r w:rsidR="005B380D" w:rsidRPr="00814B72">
        <w:rPr>
          <w:noProof/>
        </w:rPr>
        <w:t>.</w:t>
      </w:r>
    </w:p>
    <w:p w14:paraId="240C36A5" w14:textId="0DAA6788" w:rsidR="00775D04" w:rsidRDefault="001B5E7B" w:rsidP="005B380D">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As indicated, </w:t>
      </w:r>
      <w:r w:rsidR="0060352C">
        <w:rPr>
          <w:noProof/>
        </w:rPr>
        <w:t>this</w:t>
      </w:r>
      <w:r w:rsidR="00065265">
        <w:rPr>
          <w:noProof/>
        </w:rPr>
        <w:t xml:space="preserve"> would </w:t>
      </w:r>
      <w:r>
        <w:rPr>
          <w:noProof/>
        </w:rPr>
        <w:t xml:space="preserve">equate </w:t>
      </w:r>
      <w:r w:rsidR="003C0959">
        <w:rPr>
          <w:noProof/>
        </w:rPr>
        <w:t>to about</w:t>
      </w:r>
      <w:r w:rsidR="0060352C">
        <w:rPr>
          <w:noProof/>
        </w:rPr>
        <w:t xml:space="preserve"> EUR 40 million</w:t>
      </w:r>
      <w:r>
        <w:rPr>
          <w:noProof/>
        </w:rPr>
        <w:t xml:space="preserve"> </w:t>
      </w:r>
      <w:r w:rsidR="003C0959">
        <w:rPr>
          <w:noProof/>
        </w:rPr>
        <w:t xml:space="preserve">when viewed in terms of the amount owed to the EU budget. The remainder is owed </w:t>
      </w:r>
      <w:r>
        <w:rPr>
          <w:noProof/>
        </w:rPr>
        <w:t>to the national budgets of the Member States</w:t>
      </w:r>
      <w:r w:rsidR="0060352C">
        <w:rPr>
          <w:noProof/>
        </w:rPr>
        <w:t>.</w:t>
      </w:r>
    </w:p>
    <w:p w14:paraId="21AB35CB" w14:textId="77777777" w:rsidR="00E57D88" w:rsidRPr="00814B72" w:rsidRDefault="00E57D88" w:rsidP="005B380D">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The fraudulent practices employed include carousel fraud, fraudulent reduction of profit margin taxation, cross-invoicing with artificial VAT credits, e-commerce fraud, use of ‘paper-mill’ companies (issuing false invoices for non-existing services) and abuse of customs VAT deferment.</w:t>
      </w:r>
    </w:p>
    <w:p w14:paraId="403B81B7" w14:textId="77777777" w:rsidR="00C6311E" w:rsidRPr="00C135E0" w:rsidRDefault="008C7C14" w:rsidP="008C7C14">
      <w:pPr>
        <w:pStyle w:val="Heading3"/>
        <w:rPr>
          <w:noProof/>
        </w:rPr>
      </w:pPr>
      <w:bookmarkStart w:id="88" w:name="_Revenue_–_traditional"/>
      <w:bookmarkStart w:id="89" w:name="_Toc202011342"/>
      <w:bookmarkStart w:id="90" w:name="_Toc203477679"/>
      <w:bookmarkEnd w:id="88"/>
      <w:r w:rsidRPr="00C135E0">
        <w:rPr>
          <w:noProof/>
        </w:rPr>
        <w:t>Revenue</w:t>
      </w:r>
      <w:r w:rsidR="006620F9" w:rsidRPr="00C135E0">
        <w:rPr>
          <w:noProof/>
        </w:rPr>
        <w:t xml:space="preserve"> – </w:t>
      </w:r>
      <w:r w:rsidR="00414774" w:rsidRPr="00C135E0">
        <w:rPr>
          <w:noProof/>
        </w:rPr>
        <w:t>t</w:t>
      </w:r>
      <w:r w:rsidR="006620F9" w:rsidRPr="00C135E0">
        <w:rPr>
          <w:noProof/>
        </w:rPr>
        <w:t>raditional own resources</w:t>
      </w:r>
      <w:bookmarkEnd w:id="85"/>
      <w:r w:rsidR="00AC6D22" w:rsidRPr="00C135E0">
        <w:rPr>
          <w:noProof/>
        </w:rPr>
        <w:t> (</w:t>
      </w:r>
      <w:r w:rsidR="00B1788C" w:rsidRPr="00C135E0">
        <w:rPr>
          <w:rStyle w:val="FootnoteReference"/>
          <w:b w:val="0"/>
          <w:noProof/>
        </w:rPr>
        <w:footnoteReference w:id="80"/>
      </w:r>
      <w:r w:rsidR="00AC6D22" w:rsidRPr="00C135E0">
        <w:rPr>
          <w:noProof/>
        </w:rPr>
        <w:t>)</w:t>
      </w:r>
      <w:bookmarkEnd w:id="89"/>
      <w:bookmarkEnd w:id="90"/>
    </w:p>
    <w:p w14:paraId="45EC2292" w14:textId="6494E217" w:rsidR="00FB1FBB" w:rsidRPr="008C7C14" w:rsidRDefault="003C0959" w:rsidP="00FB1FBB">
      <w:pPr>
        <w:rPr>
          <w:noProof/>
          <w:highlight w:val="yellow"/>
        </w:rPr>
      </w:pPr>
      <w:r>
        <w:rPr>
          <w:noProof/>
          <w:szCs w:val="24"/>
        </w:rPr>
        <w:t>I</w:t>
      </w:r>
      <w:r w:rsidR="00940A8F" w:rsidRPr="00B90DF4">
        <w:rPr>
          <w:noProof/>
          <w:szCs w:val="24"/>
        </w:rPr>
        <w:t xml:space="preserve">n 2024, the </w:t>
      </w:r>
      <w:r w:rsidR="00940A8F" w:rsidRPr="00B90DF4">
        <w:rPr>
          <w:b/>
          <w:bCs/>
          <w:noProof/>
          <w:szCs w:val="24"/>
        </w:rPr>
        <w:t>total number of irregularities</w:t>
      </w:r>
      <w:r w:rsidR="00940A8F" w:rsidRPr="00B90DF4">
        <w:rPr>
          <w:noProof/>
          <w:szCs w:val="24"/>
        </w:rPr>
        <w:t xml:space="preserve"> related to </w:t>
      </w:r>
      <w:r>
        <w:rPr>
          <w:noProof/>
          <w:szCs w:val="24"/>
        </w:rPr>
        <w:t>t</w:t>
      </w:r>
      <w:r w:rsidRPr="00B90DF4">
        <w:rPr>
          <w:noProof/>
          <w:szCs w:val="24"/>
        </w:rPr>
        <w:t xml:space="preserve">raditional </w:t>
      </w:r>
      <w:r>
        <w:rPr>
          <w:noProof/>
          <w:szCs w:val="24"/>
        </w:rPr>
        <w:t>o</w:t>
      </w:r>
      <w:r w:rsidRPr="00B90DF4">
        <w:rPr>
          <w:noProof/>
          <w:szCs w:val="24"/>
        </w:rPr>
        <w:t xml:space="preserve">wn </w:t>
      </w:r>
      <w:r>
        <w:rPr>
          <w:noProof/>
          <w:szCs w:val="24"/>
        </w:rPr>
        <w:t>r</w:t>
      </w:r>
      <w:r w:rsidRPr="00B90DF4">
        <w:rPr>
          <w:noProof/>
          <w:szCs w:val="24"/>
        </w:rPr>
        <w:t xml:space="preserve">esources </w:t>
      </w:r>
      <w:r w:rsidR="00940A8F" w:rsidRPr="00B90DF4">
        <w:rPr>
          <w:noProof/>
          <w:szCs w:val="24"/>
        </w:rPr>
        <w:t>(TOR) – both fraudulent and non-fraudulent –</w:t>
      </w:r>
      <w:r>
        <w:rPr>
          <w:noProof/>
          <w:szCs w:val="24"/>
        </w:rPr>
        <w:t xml:space="preserve"> reached 5 000 cases, an </w:t>
      </w:r>
      <w:r w:rsidRPr="002326B8">
        <w:rPr>
          <w:b/>
          <w:bCs/>
          <w:noProof/>
          <w:szCs w:val="24"/>
        </w:rPr>
        <w:t>increase</w:t>
      </w:r>
      <w:r>
        <w:rPr>
          <w:noProof/>
          <w:szCs w:val="24"/>
        </w:rPr>
        <w:t xml:space="preserve"> of </w:t>
      </w:r>
      <w:r w:rsidR="00940A8F" w:rsidRPr="00B90DF4">
        <w:rPr>
          <w:b/>
          <w:bCs/>
          <w:noProof/>
          <w:szCs w:val="24"/>
        </w:rPr>
        <w:t>2%</w:t>
      </w:r>
      <w:r w:rsidR="00940A8F" w:rsidRPr="00B90DF4">
        <w:rPr>
          <w:noProof/>
          <w:szCs w:val="24"/>
        </w:rPr>
        <w:t xml:space="preserve"> compared to the five-year average of </w:t>
      </w:r>
      <w:r w:rsidRPr="00B90DF4">
        <w:rPr>
          <w:noProof/>
          <w:szCs w:val="24"/>
        </w:rPr>
        <w:t>4</w:t>
      </w:r>
      <w:r>
        <w:rPr>
          <w:noProof/>
          <w:szCs w:val="24"/>
        </w:rPr>
        <w:t> </w:t>
      </w:r>
      <w:r w:rsidR="00940A8F" w:rsidRPr="00B90DF4">
        <w:rPr>
          <w:noProof/>
          <w:szCs w:val="24"/>
        </w:rPr>
        <w:t xml:space="preserve">904 cases. However, the total estimated and established </w:t>
      </w:r>
      <w:r w:rsidR="00940A8F" w:rsidRPr="00B90DF4">
        <w:rPr>
          <w:b/>
          <w:bCs/>
          <w:noProof/>
          <w:szCs w:val="24"/>
        </w:rPr>
        <w:t>amount of TOR</w:t>
      </w:r>
      <w:r w:rsidR="00940A8F" w:rsidRPr="00B90DF4">
        <w:rPr>
          <w:noProof/>
          <w:szCs w:val="24"/>
        </w:rPr>
        <w:t xml:space="preserve"> of </w:t>
      </w:r>
      <w:r w:rsidR="007904F4" w:rsidRPr="00B90DF4">
        <w:rPr>
          <w:noProof/>
          <w:szCs w:val="24"/>
        </w:rPr>
        <w:t>EUR</w:t>
      </w:r>
      <w:r w:rsidR="007904F4">
        <w:rPr>
          <w:noProof/>
          <w:szCs w:val="24"/>
        </w:rPr>
        <w:t> </w:t>
      </w:r>
      <w:r w:rsidR="00940A8F" w:rsidRPr="00B90DF4">
        <w:rPr>
          <w:noProof/>
          <w:szCs w:val="24"/>
        </w:rPr>
        <w:t xml:space="preserve">489.5 million </w:t>
      </w:r>
      <w:r w:rsidR="00940A8F" w:rsidRPr="00B90DF4">
        <w:rPr>
          <w:b/>
          <w:bCs/>
          <w:noProof/>
          <w:szCs w:val="24"/>
        </w:rPr>
        <w:t>decreased by nearly 14%</w:t>
      </w:r>
      <w:r w:rsidR="00940A8F" w:rsidRPr="00B90DF4">
        <w:rPr>
          <w:noProof/>
          <w:szCs w:val="24"/>
        </w:rPr>
        <w:t xml:space="preserve"> compared to its five-year average. </w:t>
      </w:r>
      <w:r w:rsidR="00940A8F" w:rsidRPr="00B90DF4">
        <w:rPr>
          <w:noProof/>
          <w:szCs w:val="24"/>
          <w:lang w:eastAsia="zh-CN"/>
        </w:rPr>
        <w:t xml:space="preserve">In 2024, the average amount per case was </w:t>
      </w:r>
      <w:r w:rsidR="007904F4" w:rsidRPr="00B90DF4">
        <w:rPr>
          <w:noProof/>
          <w:szCs w:val="24"/>
          <w:lang w:eastAsia="zh-CN"/>
        </w:rPr>
        <w:t>EUR</w:t>
      </w:r>
      <w:r w:rsidR="007904F4">
        <w:rPr>
          <w:noProof/>
          <w:szCs w:val="24"/>
          <w:lang w:eastAsia="zh-CN"/>
        </w:rPr>
        <w:t> </w:t>
      </w:r>
      <w:r w:rsidR="00940A8F" w:rsidRPr="00B90DF4">
        <w:rPr>
          <w:noProof/>
          <w:szCs w:val="24"/>
          <w:lang w:eastAsia="zh-CN"/>
        </w:rPr>
        <w:t xml:space="preserve">97 903 compared to the five-year average of </w:t>
      </w:r>
      <w:r w:rsidR="007904F4" w:rsidRPr="00B90DF4">
        <w:rPr>
          <w:noProof/>
          <w:szCs w:val="24"/>
          <w:lang w:eastAsia="zh-CN"/>
        </w:rPr>
        <w:t>EUR</w:t>
      </w:r>
      <w:r w:rsidR="007904F4">
        <w:rPr>
          <w:noProof/>
          <w:szCs w:val="24"/>
          <w:lang w:eastAsia="zh-CN"/>
        </w:rPr>
        <w:t> </w:t>
      </w:r>
      <w:r w:rsidR="00940A8F" w:rsidRPr="00B90DF4">
        <w:rPr>
          <w:noProof/>
          <w:szCs w:val="24"/>
          <w:lang w:eastAsia="zh-CN"/>
        </w:rPr>
        <w:t>116 254.</w:t>
      </w:r>
    </w:p>
    <w:p w14:paraId="0EF713C2" w14:textId="5B3487E9" w:rsidR="00134B8F" w:rsidRDefault="00134B8F" w:rsidP="00C6311E">
      <w:pPr>
        <w:rPr>
          <w:noProof/>
          <w:szCs w:val="24"/>
        </w:rPr>
      </w:pPr>
      <w:r w:rsidRPr="00B90DF4">
        <w:rPr>
          <w:noProof/>
          <w:szCs w:val="24"/>
        </w:rPr>
        <w:t xml:space="preserve">In 2024, 10.7% of all detected cases of irregularities were classified as fraudulent. Compared to the 2020-2024 period, </w:t>
      </w:r>
      <w:r w:rsidRPr="00B90DF4">
        <w:rPr>
          <w:b/>
          <w:bCs/>
          <w:noProof/>
          <w:szCs w:val="24"/>
        </w:rPr>
        <w:t>fraudulent</w:t>
      </w:r>
      <w:r w:rsidRPr="00B90DF4">
        <w:rPr>
          <w:noProof/>
          <w:szCs w:val="24"/>
        </w:rPr>
        <w:t xml:space="preserve"> </w:t>
      </w:r>
      <w:r w:rsidRPr="00B90DF4">
        <w:rPr>
          <w:b/>
          <w:bCs/>
          <w:noProof/>
          <w:szCs w:val="24"/>
        </w:rPr>
        <w:t>irregularities went up by 6.6%</w:t>
      </w:r>
      <w:r w:rsidRPr="00B90DF4">
        <w:rPr>
          <w:noProof/>
          <w:szCs w:val="24"/>
        </w:rPr>
        <w:t xml:space="preserve"> to 537 cases, while the number of </w:t>
      </w:r>
      <w:r w:rsidRPr="00B90DF4">
        <w:rPr>
          <w:b/>
          <w:bCs/>
          <w:noProof/>
          <w:szCs w:val="24"/>
        </w:rPr>
        <w:t>non-fraudulent irregularities increased only by 1.4%</w:t>
      </w:r>
      <w:r w:rsidRPr="00B90DF4">
        <w:rPr>
          <w:noProof/>
          <w:szCs w:val="24"/>
        </w:rPr>
        <w:t xml:space="preserve"> to </w:t>
      </w:r>
      <w:r w:rsidR="007904F4" w:rsidRPr="00B90DF4">
        <w:rPr>
          <w:noProof/>
          <w:szCs w:val="24"/>
        </w:rPr>
        <w:t>4</w:t>
      </w:r>
      <w:r w:rsidR="007904F4">
        <w:rPr>
          <w:noProof/>
          <w:szCs w:val="24"/>
        </w:rPr>
        <w:t> </w:t>
      </w:r>
      <w:r w:rsidRPr="00B90DF4">
        <w:rPr>
          <w:noProof/>
          <w:szCs w:val="24"/>
        </w:rPr>
        <w:t xml:space="preserve">463 cases in 2024. Despite this, the estimated and established </w:t>
      </w:r>
      <w:r w:rsidRPr="00B90DF4">
        <w:rPr>
          <w:b/>
          <w:bCs/>
          <w:noProof/>
          <w:szCs w:val="24"/>
        </w:rPr>
        <w:t xml:space="preserve">amount of TOR decreased </w:t>
      </w:r>
      <w:r w:rsidRPr="00B90DF4">
        <w:rPr>
          <w:noProof/>
          <w:szCs w:val="24"/>
        </w:rPr>
        <w:t xml:space="preserve">by almost 28% for fraudulent cases to </w:t>
      </w:r>
      <w:r w:rsidR="007904F4" w:rsidRPr="00B90DF4">
        <w:rPr>
          <w:noProof/>
          <w:szCs w:val="24"/>
        </w:rPr>
        <w:t>EUR</w:t>
      </w:r>
      <w:r w:rsidR="007904F4">
        <w:rPr>
          <w:noProof/>
          <w:szCs w:val="24"/>
        </w:rPr>
        <w:t> </w:t>
      </w:r>
      <w:r w:rsidRPr="00B90DF4">
        <w:rPr>
          <w:noProof/>
          <w:szCs w:val="24"/>
        </w:rPr>
        <w:t xml:space="preserve">84 million and by 11% for non-fraudulent cases to </w:t>
      </w:r>
      <w:r w:rsidR="007904F4" w:rsidRPr="00B90DF4">
        <w:rPr>
          <w:noProof/>
          <w:szCs w:val="24"/>
        </w:rPr>
        <w:t>EUR</w:t>
      </w:r>
      <w:r w:rsidR="007904F4">
        <w:rPr>
          <w:noProof/>
          <w:szCs w:val="24"/>
        </w:rPr>
        <w:t> </w:t>
      </w:r>
      <w:r w:rsidRPr="00B90DF4">
        <w:rPr>
          <w:noProof/>
          <w:szCs w:val="24"/>
        </w:rPr>
        <w:t>405 million.</w:t>
      </w:r>
    </w:p>
    <w:p w14:paraId="37BDAF5A" w14:textId="2948FCBE" w:rsidR="006620F9" w:rsidRPr="00814B72" w:rsidRDefault="00A56AD0" w:rsidP="00C6311E">
      <w:pPr>
        <w:rPr>
          <w:noProof/>
        </w:rPr>
      </w:pPr>
      <w:r w:rsidRPr="00B90DF4">
        <w:rPr>
          <w:noProof/>
          <w:szCs w:val="24"/>
          <w:lang w:val="en-IE"/>
        </w:rPr>
        <w:t xml:space="preserve">In fraudulent cases, </w:t>
      </w:r>
      <w:r w:rsidRPr="00B90DF4">
        <w:rPr>
          <w:b/>
          <w:bCs/>
          <w:noProof/>
          <w:szCs w:val="24"/>
          <w:lang w:val="en-IE"/>
        </w:rPr>
        <w:t>‘incorrect value’</w:t>
      </w:r>
      <w:r w:rsidRPr="00B90DF4">
        <w:rPr>
          <w:noProof/>
          <w:szCs w:val="24"/>
          <w:lang w:val="en-IE"/>
        </w:rPr>
        <w:t xml:space="preserve"> became the primary </w:t>
      </w:r>
      <w:r w:rsidRPr="00B90DF4">
        <w:rPr>
          <w:b/>
          <w:bCs/>
          <w:noProof/>
          <w:szCs w:val="24"/>
          <w:lang w:val="en-IE"/>
        </w:rPr>
        <w:t>modus operandi</w:t>
      </w:r>
      <w:r w:rsidRPr="00B90DF4">
        <w:rPr>
          <w:noProof/>
          <w:szCs w:val="24"/>
          <w:lang w:val="en-IE"/>
        </w:rPr>
        <w:t xml:space="preserve">, with 279 cases involving </w:t>
      </w:r>
      <w:r w:rsidR="007904F4" w:rsidRPr="00B90DF4">
        <w:rPr>
          <w:noProof/>
          <w:szCs w:val="24"/>
          <w:lang w:val="en-IE"/>
        </w:rPr>
        <w:t>EUR</w:t>
      </w:r>
      <w:r w:rsidR="007904F4">
        <w:rPr>
          <w:noProof/>
          <w:szCs w:val="24"/>
          <w:lang w:val="en-IE"/>
        </w:rPr>
        <w:t> </w:t>
      </w:r>
      <w:r w:rsidRPr="00B90DF4">
        <w:rPr>
          <w:noProof/>
          <w:szCs w:val="24"/>
          <w:lang w:val="en-IE"/>
        </w:rPr>
        <w:t>15.5 million</w:t>
      </w:r>
      <w:r w:rsidR="007904F4">
        <w:rPr>
          <w:noProof/>
          <w:szCs w:val="24"/>
          <w:lang w:val="en-IE"/>
        </w:rPr>
        <w:t xml:space="preserve">. However, </w:t>
      </w:r>
      <w:r w:rsidRPr="00B90DF4">
        <w:rPr>
          <w:noProof/>
          <w:szCs w:val="24"/>
          <w:lang w:val="en-IE"/>
        </w:rPr>
        <w:t xml:space="preserve">smuggling and incorrect origin or country of dispatch continue to involve larger amounts of TOR (67 cases totalling </w:t>
      </w:r>
      <w:r w:rsidR="007904F4" w:rsidRPr="00B90DF4">
        <w:rPr>
          <w:noProof/>
          <w:szCs w:val="24"/>
          <w:lang w:val="en-IE"/>
        </w:rPr>
        <w:t>EUR</w:t>
      </w:r>
      <w:r w:rsidR="007904F4">
        <w:rPr>
          <w:noProof/>
          <w:szCs w:val="24"/>
          <w:lang w:val="en-IE"/>
        </w:rPr>
        <w:t> </w:t>
      </w:r>
      <w:r w:rsidRPr="00B90DF4">
        <w:rPr>
          <w:noProof/>
          <w:szCs w:val="24"/>
          <w:lang w:val="en-IE"/>
        </w:rPr>
        <w:t xml:space="preserve">31.4 million and 69 cases totalling </w:t>
      </w:r>
      <w:r w:rsidR="007904F4" w:rsidRPr="00B90DF4">
        <w:rPr>
          <w:noProof/>
          <w:szCs w:val="24"/>
          <w:lang w:val="en-IE"/>
        </w:rPr>
        <w:t>EUR</w:t>
      </w:r>
      <w:r w:rsidR="007904F4">
        <w:rPr>
          <w:noProof/>
          <w:szCs w:val="24"/>
          <w:lang w:val="en-IE"/>
        </w:rPr>
        <w:t> </w:t>
      </w:r>
      <w:r w:rsidRPr="00B90DF4">
        <w:rPr>
          <w:noProof/>
          <w:szCs w:val="24"/>
          <w:lang w:val="en-IE"/>
        </w:rPr>
        <w:t xml:space="preserve">18 million). For non-fraudulent cases, the most common violation is the </w:t>
      </w:r>
      <w:r w:rsidRPr="00B90DF4">
        <w:rPr>
          <w:b/>
          <w:bCs/>
          <w:noProof/>
          <w:szCs w:val="24"/>
          <w:lang w:val="en-IE"/>
        </w:rPr>
        <w:t xml:space="preserve">‘incorrect classification/misdescription’ </w:t>
      </w:r>
      <w:r w:rsidRPr="00B90DF4">
        <w:rPr>
          <w:noProof/>
          <w:szCs w:val="24"/>
          <w:lang w:val="en-IE"/>
        </w:rPr>
        <w:t xml:space="preserve">of goods, both in </w:t>
      </w:r>
      <w:r w:rsidR="00EC6482">
        <w:rPr>
          <w:noProof/>
          <w:szCs w:val="24"/>
          <w:lang w:val="en-IE"/>
        </w:rPr>
        <w:t>terms</w:t>
      </w:r>
      <w:r w:rsidR="007904F4">
        <w:rPr>
          <w:noProof/>
          <w:szCs w:val="24"/>
          <w:lang w:val="en-IE"/>
        </w:rPr>
        <w:t xml:space="preserve"> of </w:t>
      </w:r>
      <w:r w:rsidRPr="00B90DF4">
        <w:rPr>
          <w:noProof/>
          <w:szCs w:val="24"/>
          <w:lang w:val="en-IE"/>
        </w:rPr>
        <w:t>the number of cases (</w:t>
      </w:r>
      <w:r w:rsidR="007904F4" w:rsidRPr="00B90DF4">
        <w:rPr>
          <w:noProof/>
          <w:szCs w:val="24"/>
          <w:lang w:val="en-IE"/>
        </w:rPr>
        <w:t>1</w:t>
      </w:r>
      <w:r w:rsidR="007904F4">
        <w:rPr>
          <w:noProof/>
          <w:szCs w:val="24"/>
          <w:lang w:val="en-IE"/>
        </w:rPr>
        <w:t> </w:t>
      </w:r>
      <w:r w:rsidRPr="00B90DF4">
        <w:rPr>
          <w:noProof/>
          <w:szCs w:val="24"/>
          <w:lang w:val="en-IE"/>
        </w:rPr>
        <w:t>629) and the TOR amounts involved (</w:t>
      </w:r>
      <w:r w:rsidR="007904F4" w:rsidRPr="00B90DF4">
        <w:rPr>
          <w:noProof/>
          <w:szCs w:val="24"/>
          <w:lang w:val="en-IE"/>
        </w:rPr>
        <w:t>EUR</w:t>
      </w:r>
      <w:r w:rsidR="007904F4">
        <w:rPr>
          <w:noProof/>
          <w:szCs w:val="24"/>
          <w:lang w:val="en-IE"/>
        </w:rPr>
        <w:t> </w:t>
      </w:r>
      <w:r w:rsidRPr="00B90DF4">
        <w:rPr>
          <w:noProof/>
          <w:szCs w:val="24"/>
          <w:lang w:val="en-IE"/>
        </w:rPr>
        <w:t xml:space="preserve">124 million). </w:t>
      </w:r>
      <w:r w:rsidR="00134B8F" w:rsidRPr="00B90DF4">
        <w:rPr>
          <w:b/>
          <w:bCs/>
          <w:noProof/>
        </w:rPr>
        <w:t>Vehicles</w:t>
      </w:r>
      <w:r w:rsidR="00134B8F" w:rsidRPr="00B90DF4">
        <w:rPr>
          <w:noProof/>
        </w:rPr>
        <w:t xml:space="preserve"> (</w:t>
      </w:r>
      <w:r w:rsidR="00E77441">
        <w:rPr>
          <w:noProof/>
        </w:rPr>
        <w:t xml:space="preserve">electric </w:t>
      </w:r>
      <w:r w:rsidR="00164166">
        <w:rPr>
          <w:noProof/>
        </w:rPr>
        <w:t>bikes</w:t>
      </w:r>
      <w:r w:rsidR="00134B8F" w:rsidRPr="00B90DF4">
        <w:rPr>
          <w:noProof/>
        </w:rPr>
        <w:t xml:space="preserve"> and cars) became the most affected goods in terms of value, while </w:t>
      </w:r>
      <w:r w:rsidR="00134B8F" w:rsidRPr="00B90DF4">
        <w:rPr>
          <w:b/>
          <w:bCs/>
          <w:noProof/>
        </w:rPr>
        <w:t>textile and footwear</w:t>
      </w:r>
      <w:r w:rsidR="00134B8F" w:rsidRPr="00B90DF4">
        <w:rPr>
          <w:noProof/>
        </w:rPr>
        <w:t xml:space="preserve"> remained the most affected goods in terms of number of cases. Certain products such as tobacco</w:t>
      </w:r>
      <w:r w:rsidR="00E77441">
        <w:rPr>
          <w:noProof/>
        </w:rPr>
        <w:t xml:space="preserve"> (cigarettes)</w:t>
      </w:r>
      <w:r w:rsidR="00134B8F" w:rsidRPr="00B90DF4">
        <w:rPr>
          <w:noProof/>
        </w:rPr>
        <w:t xml:space="preserve"> or olive oil saw notable increases in 2024. </w:t>
      </w:r>
      <w:r w:rsidR="00134B8F" w:rsidRPr="00B90DF4">
        <w:rPr>
          <w:b/>
          <w:bCs/>
          <w:noProof/>
        </w:rPr>
        <w:t>China, the United States and Türkiye</w:t>
      </w:r>
      <w:r w:rsidR="00134B8F" w:rsidRPr="00B90DF4">
        <w:rPr>
          <w:noProof/>
        </w:rPr>
        <w:t xml:space="preserve"> ranked as the top three countries of origin of goods affected by irregularities.</w:t>
      </w:r>
    </w:p>
    <w:p w14:paraId="02FCDA2E" w14:textId="7B233EF6" w:rsidR="001021FB" w:rsidRDefault="00426FAD" w:rsidP="00C2785F">
      <w:pPr>
        <w:pStyle w:val="Caption"/>
        <w:keepNext/>
        <w:rPr>
          <w:noProof/>
        </w:rPr>
      </w:pPr>
      <w:r w:rsidRPr="00814B72">
        <w:rPr>
          <w:noProof/>
        </w:rPr>
        <w:t xml:space="preserve">Figure </w:t>
      </w:r>
      <w:r w:rsidR="00472123">
        <w:rPr>
          <w:noProof/>
        </w:rPr>
        <w:fldChar w:fldCharType="begin"/>
      </w:r>
      <w:r w:rsidR="00472123">
        <w:rPr>
          <w:noProof/>
        </w:rPr>
        <w:instrText xml:space="preserve"> SEQ Figure \* ARABIC </w:instrText>
      </w:r>
      <w:r w:rsidR="00472123">
        <w:rPr>
          <w:noProof/>
        </w:rPr>
        <w:fldChar w:fldCharType="separate"/>
      </w:r>
      <w:r w:rsidR="00947EF7">
        <w:rPr>
          <w:noProof/>
        </w:rPr>
        <w:t>6</w:t>
      </w:r>
      <w:r w:rsidR="00472123">
        <w:rPr>
          <w:noProof/>
        </w:rPr>
        <w:fldChar w:fldCharType="end"/>
      </w:r>
      <w:r w:rsidRPr="00814B72">
        <w:rPr>
          <w:noProof/>
        </w:rPr>
        <w:t xml:space="preserve">: Irregularities detected and reported in </w:t>
      </w:r>
      <w:r w:rsidR="007904F4">
        <w:rPr>
          <w:noProof/>
        </w:rPr>
        <w:t>traditional own resources</w:t>
      </w:r>
      <w:r w:rsidR="007904F4" w:rsidRPr="00814B72">
        <w:rPr>
          <w:noProof/>
        </w:rPr>
        <w:t xml:space="preserve"> </w:t>
      </w:r>
      <w:r w:rsidRPr="00814B72">
        <w:rPr>
          <w:noProof/>
        </w:rPr>
        <w:t>and detection by type of control</w:t>
      </w:r>
    </w:p>
    <w:p w14:paraId="394AB8F4" w14:textId="155DE606" w:rsidR="00566BA5" w:rsidRPr="00566BA5" w:rsidRDefault="00462D8F" w:rsidP="00566BA5">
      <w:pPr>
        <w:rPr>
          <w:i/>
          <w:noProof/>
        </w:rPr>
      </w:pPr>
      <w:r w:rsidRPr="00462D8F">
        <w:rPr>
          <w:noProof/>
        </w:rPr>
        <w:drawing>
          <wp:inline distT="0" distB="0" distL="0" distR="0" wp14:anchorId="05CD7EFD" wp14:editId="3D48FF8C">
            <wp:extent cx="5472430" cy="3890645"/>
            <wp:effectExtent l="0" t="0" r="0" b="0"/>
            <wp:docPr id="5099547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72430" cy="3890645"/>
                    </a:xfrm>
                    <a:prstGeom prst="rect">
                      <a:avLst/>
                    </a:prstGeom>
                    <a:noFill/>
                    <a:ln>
                      <a:noFill/>
                    </a:ln>
                  </pic:spPr>
                </pic:pic>
              </a:graphicData>
            </a:graphic>
          </wp:inline>
        </w:drawing>
      </w:r>
    </w:p>
    <w:p w14:paraId="02A642DC" w14:textId="02D6CD86" w:rsidR="00F275E7" w:rsidRPr="00814B72" w:rsidRDefault="00F275E7" w:rsidP="00F275E7">
      <w:pPr>
        <w:pStyle w:val="Caption"/>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8B6005">
        <w:rPr>
          <w:noProof/>
        </w:rPr>
        <w:t>5</w:t>
      </w:r>
      <w:r w:rsidR="00472123">
        <w:rPr>
          <w:noProof/>
        </w:rPr>
        <w:fldChar w:fldCharType="end"/>
      </w:r>
      <w:r w:rsidRPr="00814B72">
        <w:rPr>
          <w:noProof/>
        </w:rPr>
        <w:t xml:space="preserve">: Detecting fraud and irregularities in </w:t>
      </w:r>
      <w:r w:rsidR="007904F4">
        <w:rPr>
          <w:noProof/>
        </w:rPr>
        <w:t>traditional own resources</w:t>
      </w:r>
    </w:p>
    <w:p w14:paraId="3F5FB0B6" w14:textId="122897B7" w:rsidR="00F275E7" w:rsidRPr="00814B72" w:rsidRDefault="00134B8F" w:rsidP="00F275E7">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B90DF4">
        <w:rPr>
          <w:b/>
          <w:bCs/>
          <w:noProof/>
        </w:rPr>
        <w:t>‘Release for free circulation’</w:t>
      </w:r>
      <w:r w:rsidRPr="00B90DF4">
        <w:rPr>
          <w:noProof/>
        </w:rPr>
        <w:t xml:space="preserve"> remains the most affected </w:t>
      </w:r>
      <w:r w:rsidRPr="00B90DF4">
        <w:rPr>
          <w:b/>
          <w:noProof/>
        </w:rPr>
        <w:t>customs procedure</w:t>
      </w:r>
      <w:r w:rsidRPr="00B90DF4">
        <w:rPr>
          <w:noProof/>
        </w:rPr>
        <w:t xml:space="preserve"> with </w:t>
      </w:r>
      <w:r w:rsidRPr="00B90DF4">
        <w:rPr>
          <w:noProof/>
          <w:lang w:val="en-IE"/>
        </w:rPr>
        <w:t>4</w:t>
      </w:r>
      <w:r w:rsidRPr="00B90DF4">
        <w:rPr>
          <w:noProof/>
        </w:rPr>
        <w:t> </w:t>
      </w:r>
      <w:r w:rsidRPr="00B90DF4">
        <w:rPr>
          <w:noProof/>
          <w:lang w:val="en-IE"/>
        </w:rPr>
        <w:t xml:space="preserve">054 cases involving an overall estimated and established amount of </w:t>
      </w:r>
      <w:r w:rsidR="00371C1C" w:rsidRPr="00B90DF4">
        <w:rPr>
          <w:noProof/>
          <w:lang w:val="en-IE"/>
        </w:rPr>
        <w:t>EUR</w:t>
      </w:r>
      <w:r w:rsidR="00371C1C">
        <w:rPr>
          <w:noProof/>
          <w:lang w:val="en-IE"/>
        </w:rPr>
        <w:t> </w:t>
      </w:r>
      <w:r w:rsidRPr="00B90DF4">
        <w:rPr>
          <w:noProof/>
          <w:lang w:val="en-IE"/>
        </w:rPr>
        <w:t xml:space="preserve">349.5 million. This represents </w:t>
      </w:r>
      <w:r w:rsidRPr="00B90DF4">
        <w:rPr>
          <w:b/>
          <w:bCs/>
          <w:noProof/>
          <w:lang w:val="en-IE"/>
        </w:rPr>
        <w:t>81%</w:t>
      </w:r>
      <w:r w:rsidRPr="00B90DF4">
        <w:rPr>
          <w:noProof/>
          <w:lang w:val="en-IE"/>
        </w:rPr>
        <w:t xml:space="preserve"> </w:t>
      </w:r>
      <w:r w:rsidRPr="00B90DF4">
        <w:rPr>
          <w:b/>
          <w:bCs/>
          <w:noProof/>
          <w:lang w:val="en-IE"/>
        </w:rPr>
        <w:t>of all cases</w:t>
      </w:r>
      <w:r w:rsidRPr="00B90DF4">
        <w:rPr>
          <w:noProof/>
          <w:lang w:val="en-IE"/>
        </w:rPr>
        <w:t xml:space="preserve"> and </w:t>
      </w:r>
      <w:r w:rsidRPr="00B90DF4">
        <w:rPr>
          <w:b/>
          <w:bCs/>
          <w:noProof/>
          <w:lang w:val="en-IE"/>
        </w:rPr>
        <w:t>71% of the amounts</w:t>
      </w:r>
      <w:r w:rsidRPr="00B90DF4">
        <w:rPr>
          <w:noProof/>
          <w:lang w:val="en-IE"/>
        </w:rPr>
        <w:t xml:space="preserve"> reported for 2024, regardless of whether they </w:t>
      </w:r>
      <w:r w:rsidR="00371C1C">
        <w:rPr>
          <w:noProof/>
          <w:lang w:val="en-IE"/>
        </w:rPr>
        <w:t>we</w:t>
      </w:r>
      <w:r w:rsidR="00371C1C" w:rsidRPr="00B90DF4">
        <w:rPr>
          <w:noProof/>
          <w:lang w:val="en-IE"/>
        </w:rPr>
        <w:t xml:space="preserve">re </w:t>
      </w:r>
      <w:r w:rsidRPr="00B90DF4">
        <w:rPr>
          <w:noProof/>
          <w:lang w:val="en-IE"/>
        </w:rPr>
        <w:t>fraudulent or non-fraudulent. In 2024, the registered TOR amounts went up for fraudulent cases of ‘transit’ and ‘inward processing’. For non-fraudulent cases, the second most affected customs procedure in terms of TOR amounts was ‘inward processing’ followed by ‘customs warehousing’.</w:t>
      </w:r>
    </w:p>
    <w:p w14:paraId="550B1833" w14:textId="4E6809CE" w:rsidR="00F275E7" w:rsidRPr="00814B72" w:rsidRDefault="00134B8F" w:rsidP="00F275E7">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B90DF4">
        <w:rPr>
          <w:noProof/>
          <w:szCs w:val="24"/>
        </w:rPr>
        <w:t xml:space="preserve">In 2024, </w:t>
      </w:r>
      <w:r w:rsidRPr="00B90DF4">
        <w:rPr>
          <w:b/>
          <w:bCs/>
          <w:noProof/>
          <w:szCs w:val="24"/>
        </w:rPr>
        <w:t>post-release controls</w:t>
      </w:r>
      <w:r w:rsidRPr="00B90DF4">
        <w:rPr>
          <w:noProof/>
          <w:szCs w:val="24"/>
        </w:rPr>
        <w:t xml:space="preserve"> (48% of cases and 21% of amounts) together with </w:t>
      </w:r>
      <w:r w:rsidRPr="00B90DF4">
        <w:rPr>
          <w:b/>
          <w:bCs/>
          <w:noProof/>
          <w:szCs w:val="24"/>
        </w:rPr>
        <w:t>inspections by anti-fraud services</w:t>
      </w:r>
      <w:r w:rsidRPr="00B90DF4">
        <w:rPr>
          <w:noProof/>
          <w:szCs w:val="24"/>
        </w:rPr>
        <w:t xml:space="preserve"> (30% of cases and 63% of amounts) played a crucial role in detecting fraudulent cases. Non-fraudulent </w:t>
      </w:r>
      <w:r w:rsidR="00371C1C">
        <w:rPr>
          <w:noProof/>
          <w:szCs w:val="24"/>
        </w:rPr>
        <w:t>irregularities</w:t>
      </w:r>
      <w:r w:rsidR="00371C1C" w:rsidRPr="00B90DF4">
        <w:rPr>
          <w:noProof/>
          <w:szCs w:val="24"/>
        </w:rPr>
        <w:t xml:space="preserve"> </w:t>
      </w:r>
      <w:r w:rsidRPr="00B90DF4">
        <w:rPr>
          <w:noProof/>
          <w:szCs w:val="24"/>
        </w:rPr>
        <w:t xml:space="preserve">were primarily detected through </w:t>
      </w:r>
      <w:r w:rsidRPr="00B90DF4">
        <w:rPr>
          <w:b/>
          <w:bCs/>
          <w:noProof/>
          <w:szCs w:val="24"/>
        </w:rPr>
        <w:t>post-release controls</w:t>
      </w:r>
      <w:r w:rsidRPr="00B90DF4">
        <w:rPr>
          <w:noProof/>
          <w:szCs w:val="24"/>
        </w:rPr>
        <w:t xml:space="preserve"> (46% of cases and amounts), although other methods of detection such as release controls and tax audit were also effective.</w:t>
      </w:r>
    </w:p>
    <w:p w14:paraId="25AC4474" w14:textId="47F94944" w:rsidR="00F275E7" w:rsidRPr="00814B72" w:rsidRDefault="006D53DD" w:rsidP="00426FAD">
      <w:pPr>
        <w:rPr>
          <w:noProof/>
        </w:rPr>
      </w:pPr>
      <w:r w:rsidRPr="00B90DF4">
        <w:rPr>
          <w:noProof/>
        </w:rPr>
        <w:t xml:space="preserve">In 2024, </w:t>
      </w:r>
      <w:r w:rsidR="00371C1C">
        <w:rPr>
          <w:noProof/>
        </w:rPr>
        <w:t>11</w:t>
      </w:r>
      <w:r w:rsidR="00371C1C" w:rsidRPr="00B90DF4">
        <w:rPr>
          <w:noProof/>
        </w:rPr>
        <w:t xml:space="preserve"> </w:t>
      </w:r>
      <w:r w:rsidRPr="00B90DF4">
        <w:rPr>
          <w:noProof/>
        </w:rPr>
        <w:t xml:space="preserve">Member States reported 65 cases of </w:t>
      </w:r>
      <w:r w:rsidRPr="00B90DF4">
        <w:rPr>
          <w:b/>
          <w:noProof/>
        </w:rPr>
        <w:t>smuggled cigarettes</w:t>
      </w:r>
      <w:r w:rsidRPr="00B90DF4">
        <w:rPr>
          <w:noProof/>
        </w:rPr>
        <w:t xml:space="preserve"> </w:t>
      </w:r>
      <w:r w:rsidR="00371C1C">
        <w:rPr>
          <w:noProof/>
        </w:rPr>
        <w:t>accounting for</w:t>
      </w:r>
      <w:r w:rsidRPr="00B90DF4">
        <w:rPr>
          <w:noProof/>
        </w:rPr>
        <w:t xml:space="preserve"> EUR 32 million of the estimated amount of TOR involved. </w:t>
      </w:r>
      <w:r w:rsidR="00371C1C">
        <w:rPr>
          <w:noProof/>
        </w:rPr>
        <w:t>A</w:t>
      </w:r>
      <w:r w:rsidRPr="00B90DF4">
        <w:rPr>
          <w:noProof/>
        </w:rPr>
        <w:t xml:space="preserve">s in 2023, </w:t>
      </w:r>
      <w:r w:rsidRPr="00B90DF4">
        <w:rPr>
          <w:b/>
          <w:noProof/>
        </w:rPr>
        <w:t>Lithuania</w:t>
      </w:r>
      <w:r w:rsidRPr="00B90DF4">
        <w:rPr>
          <w:noProof/>
        </w:rPr>
        <w:t xml:space="preserve"> reported the highest number of cases (19</w:t>
      </w:r>
      <w:r w:rsidR="00C019E8" w:rsidRPr="00B90DF4">
        <w:rPr>
          <w:noProof/>
        </w:rPr>
        <w:t>),</w:t>
      </w:r>
      <w:r w:rsidRPr="00B90DF4">
        <w:rPr>
          <w:noProof/>
        </w:rPr>
        <w:t xml:space="preserve"> and </w:t>
      </w:r>
      <w:r w:rsidRPr="00B90DF4">
        <w:rPr>
          <w:b/>
          <w:noProof/>
        </w:rPr>
        <w:t xml:space="preserve">Belgium </w:t>
      </w:r>
      <w:r w:rsidRPr="00B90DF4">
        <w:rPr>
          <w:bCs/>
          <w:noProof/>
        </w:rPr>
        <w:t>reported</w:t>
      </w:r>
      <w:r w:rsidRPr="00B90DF4">
        <w:rPr>
          <w:noProof/>
        </w:rPr>
        <w:t xml:space="preserve"> the highest amount of TOR (</w:t>
      </w:r>
      <w:r w:rsidR="00371C1C" w:rsidRPr="00B90DF4">
        <w:rPr>
          <w:noProof/>
        </w:rPr>
        <w:t>EUR</w:t>
      </w:r>
      <w:r w:rsidR="00371C1C">
        <w:rPr>
          <w:noProof/>
        </w:rPr>
        <w:t> </w:t>
      </w:r>
      <w:r w:rsidRPr="00B90DF4">
        <w:rPr>
          <w:noProof/>
        </w:rPr>
        <w:t xml:space="preserve">25 million in total). Compared to 2023, </w:t>
      </w:r>
      <w:r w:rsidR="00371C1C">
        <w:rPr>
          <w:noProof/>
        </w:rPr>
        <w:t>9</w:t>
      </w:r>
      <w:r w:rsidR="00371C1C" w:rsidRPr="00B90DF4">
        <w:rPr>
          <w:noProof/>
        </w:rPr>
        <w:t xml:space="preserve"> </w:t>
      </w:r>
      <w:r w:rsidRPr="00B90DF4">
        <w:rPr>
          <w:noProof/>
        </w:rPr>
        <w:t xml:space="preserve">Member States continued to report cigarette smuggling cases exceeding </w:t>
      </w:r>
      <w:r w:rsidR="00371C1C" w:rsidRPr="00B90DF4">
        <w:rPr>
          <w:noProof/>
        </w:rPr>
        <w:t>EUR</w:t>
      </w:r>
      <w:r w:rsidR="00371C1C">
        <w:rPr>
          <w:noProof/>
        </w:rPr>
        <w:t> </w:t>
      </w:r>
      <w:r w:rsidR="00371C1C" w:rsidRPr="00B90DF4">
        <w:rPr>
          <w:noProof/>
        </w:rPr>
        <w:t>10</w:t>
      </w:r>
      <w:r w:rsidR="00371C1C">
        <w:rPr>
          <w:noProof/>
        </w:rPr>
        <w:t> </w:t>
      </w:r>
      <w:r w:rsidRPr="00B90DF4">
        <w:rPr>
          <w:noProof/>
        </w:rPr>
        <w:t>000 in TOR</w:t>
      </w:r>
      <w:r w:rsidR="00BE778C" w:rsidRPr="00BE778C">
        <w:rPr>
          <w:noProof/>
        </w:rPr>
        <w:t> (</w:t>
      </w:r>
      <w:r w:rsidR="00BE778C">
        <w:rPr>
          <w:rStyle w:val="FootnoteReference"/>
          <w:noProof/>
        </w:rPr>
        <w:footnoteReference w:id="81"/>
      </w:r>
      <w:r w:rsidR="00BE778C">
        <w:rPr>
          <w:noProof/>
        </w:rPr>
        <w:t>)</w:t>
      </w:r>
      <w:r w:rsidRPr="00B90DF4">
        <w:rPr>
          <w:noProof/>
        </w:rPr>
        <w:t xml:space="preserve"> whereas </w:t>
      </w:r>
      <w:r w:rsidR="00371C1C">
        <w:rPr>
          <w:noProof/>
        </w:rPr>
        <w:t xml:space="preserve">other </w:t>
      </w:r>
      <w:r w:rsidRPr="00B90DF4">
        <w:rPr>
          <w:noProof/>
        </w:rPr>
        <w:t>Member States have newly appeared</w:t>
      </w:r>
      <w:r w:rsidR="00BE778C">
        <w:rPr>
          <w:noProof/>
        </w:rPr>
        <w:t xml:space="preserve"> in the statistics</w:t>
      </w:r>
      <w:r w:rsidR="00BE778C" w:rsidRPr="00BE778C">
        <w:rPr>
          <w:noProof/>
        </w:rPr>
        <w:t> (</w:t>
      </w:r>
      <w:r w:rsidR="00BE778C">
        <w:rPr>
          <w:rStyle w:val="FootnoteReference"/>
          <w:noProof/>
        </w:rPr>
        <w:footnoteReference w:id="82"/>
      </w:r>
      <w:r w:rsidR="00BE778C">
        <w:rPr>
          <w:noProof/>
        </w:rPr>
        <w:t>)</w:t>
      </w:r>
      <w:r w:rsidRPr="00B90DF4">
        <w:rPr>
          <w:noProof/>
        </w:rPr>
        <w:t xml:space="preserve">. Meanwhile, certain Member States (e.g. Spain) have disappeared from the statistics, suggesting a </w:t>
      </w:r>
      <w:r w:rsidRPr="00B90DF4">
        <w:rPr>
          <w:b/>
          <w:noProof/>
        </w:rPr>
        <w:t>potential shift in fraudulent activities or cigarette smuggling routes</w:t>
      </w:r>
      <w:r w:rsidRPr="00B90DF4">
        <w:rPr>
          <w:noProof/>
        </w:rPr>
        <w:t>.</w:t>
      </w:r>
    </w:p>
    <w:p w14:paraId="5CCAED81" w14:textId="05974DAC" w:rsidR="0050435C" w:rsidRPr="00814B72" w:rsidRDefault="0050435C" w:rsidP="0050435C">
      <w:pPr>
        <w:pStyle w:val="Caption"/>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8B6005">
        <w:rPr>
          <w:noProof/>
        </w:rPr>
        <w:t>6</w:t>
      </w:r>
      <w:r w:rsidR="00472123">
        <w:rPr>
          <w:noProof/>
        </w:rPr>
        <w:fldChar w:fldCharType="end"/>
      </w:r>
      <w:r w:rsidRPr="00814B72">
        <w:rPr>
          <w:noProof/>
        </w:rPr>
        <w:t>: Joint Customs Operations</w:t>
      </w:r>
    </w:p>
    <w:p w14:paraId="7006661F" w14:textId="5F6244C5" w:rsidR="0050435C" w:rsidRDefault="00086DC2" w:rsidP="0050435C">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Joint </w:t>
      </w:r>
      <w:r w:rsidR="00371C1C">
        <w:rPr>
          <w:noProof/>
        </w:rPr>
        <w:t>c</w:t>
      </w:r>
      <w:r w:rsidR="00371C1C" w:rsidRPr="00814B72">
        <w:rPr>
          <w:noProof/>
        </w:rPr>
        <w:t xml:space="preserve">ustoms </w:t>
      </w:r>
      <w:r w:rsidR="00371C1C">
        <w:rPr>
          <w:noProof/>
        </w:rPr>
        <w:t>o</w:t>
      </w:r>
      <w:r w:rsidR="00371C1C" w:rsidRPr="00814B72">
        <w:rPr>
          <w:noProof/>
        </w:rPr>
        <w:t xml:space="preserve">perations </w:t>
      </w:r>
      <w:r w:rsidRPr="00814B72">
        <w:rPr>
          <w:noProof/>
        </w:rPr>
        <w:t xml:space="preserve">(JCOs) </w:t>
      </w:r>
      <w:r w:rsidR="0050435C" w:rsidRPr="00814B72">
        <w:rPr>
          <w:noProof/>
        </w:rPr>
        <w:t>are targeted actions of a limited duration aim</w:t>
      </w:r>
      <w:r w:rsidR="00324591" w:rsidRPr="00814B72">
        <w:rPr>
          <w:noProof/>
        </w:rPr>
        <w:t xml:space="preserve">ed at </w:t>
      </w:r>
      <w:r w:rsidR="0050435C" w:rsidRPr="00814B72">
        <w:rPr>
          <w:noProof/>
        </w:rPr>
        <w:t>combat</w:t>
      </w:r>
      <w:r w:rsidR="00324591" w:rsidRPr="00814B72">
        <w:rPr>
          <w:noProof/>
        </w:rPr>
        <w:t>ing</w:t>
      </w:r>
      <w:r w:rsidR="0050435C" w:rsidRPr="00814B72">
        <w:rPr>
          <w:noProof/>
        </w:rPr>
        <w:t xml:space="preserve"> fraud and the smuggling of sensitive goods in specific areas at risk and/or on identified trade routes</w:t>
      </w:r>
      <w:r w:rsidRPr="00814B72">
        <w:rPr>
          <w:noProof/>
        </w:rPr>
        <w:t>.</w:t>
      </w:r>
      <w:r w:rsidR="0050435C" w:rsidRPr="00814B72">
        <w:rPr>
          <w:noProof/>
        </w:rPr>
        <w:t xml:space="preserve"> </w:t>
      </w:r>
      <w:r w:rsidR="003647F1" w:rsidRPr="00814B72">
        <w:rPr>
          <w:noProof/>
        </w:rPr>
        <w:t>In 202</w:t>
      </w:r>
      <w:r w:rsidR="00055D47">
        <w:rPr>
          <w:noProof/>
        </w:rPr>
        <w:t>4</w:t>
      </w:r>
      <w:r w:rsidR="003647F1" w:rsidRPr="00814B72">
        <w:rPr>
          <w:noProof/>
        </w:rPr>
        <w:t xml:space="preserve">, </w:t>
      </w:r>
      <w:r w:rsidR="00371C1C">
        <w:rPr>
          <w:noProof/>
        </w:rPr>
        <w:t>7</w:t>
      </w:r>
      <w:r w:rsidR="00371C1C" w:rsidRPr="00814B72">
        <w:rPr>
          <w:noProof/>
        </w:rPr>
        <w:t xml:space="preserve"> </w:t>
      </w:r>
      <w:r w:rsidR="003647F1" w:rsidRPr="00814B72">
        <w:rPr>
          <w:noProof/>
        </w:rPr>
        <w:t>JCOs were co-organised or supported by OLAF covering a broad spectrum of targets</w:t>
      </w:r>
      <w:r w:rsidR="00371C1C">
        <w:rPr>
          <w:noProof/>
        </w:rPr>
        <w:t xml:space="preserve"> such as counterfeit medicines, illicit alcohol and illicit trade among others</w:t>
      </w:r>
      <w:r w:rsidR="00055B42">
        <w:rPr>
          <w:noProof/>
        </w:rPr>
        <w:t> (</w:t>
      </w:r>
      <w:r w:rsidR="0093150A" w:rsidRPr="00814B72">
        <w:rPr>
          <w:rStyle w:val="FootnoteReference"/>
          <w:noProof/>
        </w:rPr>
        <w:footnoteReference w:id="83"/>
      </w:r>
      <w:r w:rsidR="00055B42">
        <w:rPr>
          <w:noProof/>
        </w:rPr>
        <w:t>)</w:t>
      </w:r>
      <w:r w:rsidR="0050435C" w:rsidRPr="00814B72">
        <w:rPr>
          <w:noProof/>
        </w:rPr>
        <w:t>.</w:t>
      </w:r>
    </w:p>
    <w:p w14:paraId="4088A18E" w14:textId="77777777" w:rsidR="00A50C62" w:rsidRDefault="00A50C62" w:rsidP="00A50C62">
      <w:pPr>
        <w:rPr>
          <w:noProof/>
        </w:rPr>
      </w:pPr>
    </w:p>
    <w:p w14:paraId="54AAACCF" w14:textId="188B779C" w:rsidR="00A50C62" w:rsidRPr="00814B72" w:rsidRDefault="00A50C62" w:rsidP="00A50C62">
      <w:pPr>
        <w:pStyle w:val="Caption"/>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8B6005">
        <w:rPr>
          <w:noProof/>
        </w:rPr>
        <w:t>7</w:t>
      </w:r>
      <w:r w:rsidR="00472123">
        <w:rPr>
          <w:noProof/>
        </w:rPr>
        <w:fldChar w:fldCharType="end"/>
      </w:r>
      <w:r w:rsidRPr="00814B72">
        <w:rPr>
          <w:noProof/>
        </w:rPr>
        <w:t xml:space="preserve">: </w:t>
      </w:r>
      <w:r>
        <w:rPr>
          <w:noProof/>
        </w:rPr>
        <w:t xml:space="preserve">Recovery rates </w:t>
      </w:r>
      <w:r w:rsidR="00077949">
        <w:rPr>
          <w:noProof/>
        </w:rPr>
        <w:t xml:space="preserve">in </w:t>
      </w:r>
      <w:r w:rsidR="000B4605">
        <w:rPr>
          <w:noProof/>
        </w:rPr>
        <w:t>traditional own resources</w:t>
      </w:r>
    </w:p>
    <w:p w14:paraId="32B47471" w14:textId="333CF0E3" w:rsidR="00A50C62" w:rsidRDefault="00077949" w:rsidP="00A50C62">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The recovery rate </w:t>
      </w:r>
      <w:r w:rsidR="006B6917">
        <w:rPr>
          <w:noProof/>
        </w:rPr>
        <w:t xml:space="preserve">for </w:t>
      </w:r>
      <w:r>
        <w:rPr>
          <w:noProof/>
        </w:rPr>
        <w:t xml:space="preserve">fraudulent and non-fraudulent irregularities in TOR detected in 2024 was </w:t>
      </w:r>
      <w:r>
        <w:rPr>
          <w:b/>
          <w:noProof/>
        </w:rPr>
        <w:t xml:space="preserve">very positive, at 80% </w:t>
      </w:r>
      <w:r>
        <w:rPr>
          <w:noProof/>
        </w:rPr>
        <w:t xml:space="preserve">(up from 77% in 2023). </w:t>
      </w:r>
      <w:r w:rsidRPr="00077949">
        <w:rPr>
          <w:noProof/>
        </w:rPr>
        <w:t>For non-fraudulent cases, the results were very similar to 2023, resulting in a recovery rate of 85%. For fraudulent cases, the recovery rate of 39% show</w:t>
      </w:r>
      <w:r w:rsidR="006B6917">
        <w:rPr>
          <w:noProof/>
        </w:rPr>
        <w:t>s</w:t>
      </w:r>
      <w:r w:rsidRPr="00077949">
        <w:rPr>
          <w:noProof/>
        </w:rPr>
        <w:t xml:space="preserve"> a significant increase </w:t>
      </w:r>
      <w:r w:rsidR="006B6917">
        <w:rPr>
          <w:noProof/>
        </w:rPr>
        <w:t>on</w:t>
      </w:r>
      <w:r w:rsidRPr="00077949">
        <w:rPr>
          <w:noProof/>
        </w:rPr>
        <w:t xml:space="preserve"> the previous year</w:t>
      </w:r>
      <w:r>
        <w:rPr>
          <w:noProof/>
        </w:rPr>
        <w:t>.</w:t>
      </w:r>
      <w:r w:rsidR="00664CEF">
        <w:rPr>
          <w:noProof/>
        </w:rPr>
        <w:t xml:space="preserve"> The lower recovery rate for fraudulent cases is linked to their higher complexity.</w:t>
      </w:r>
    </w:p>
    <w:p w14:paraId="725AA2A8" w14:textId="33D74927" w:rsidR="001B5E7B" w:rsidRPr="00664CEF" w:rsidRDefault="00077949" w:rsidP="00A50C62">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The </w:t>
      </w:r>
      <w:r>
        <w:rPr>
          <w:b/>
          <w:noProof/>
        </w:rPr>
        <w:t>historical recovery rate stands at 84%</w:t>
      </w:r>
      <w:r w:rsidR="00664CEF">
        <w:rPr>
          <w:b/>
          <w:noProof/>
        </w:rPr>
        <w:t xml:space="preserve"> </w:t>
      </w:r>
      <w:r w:rsidR="00664CEF">
        <w:rPr>
          <w:noProof/>
        </w:rPr>
        <w:t>(70% for fraudulent cases and 90% for non-fraudulent</w:t>
      </w:r>
      <w:r w:rsidR="006B6917">
        <w:rPr>
          <w:noProof/>
        </w:rPr>
        <w:t xml:space="preserve"> cases</w:t>
      </w:r>
      <w:r w:rsidR="00664CEF">
        <w:rPr>
          <w:noProof/>
        </w:rPr>
        <w:t>).</w:t>
      </w:r>
      <w:r w:rsidR="006B6917">
        <w:rPr>
          <w:noProof/>
        </w:rPr>
        <w:t xml:space="preserve"> </w:t>
      </w:r>
      <w:r w:rsidR="001B5E7B">
        <w:rPr>
          <w:noProof/>
        </w:rPr>
        <w:t>Recovery</w:t>
      </w:r>
      <w:r w:rsidR="00EB11EF">
        <w:rPr>
          <w:noProof/>
        </w:rPr>
        <w:t xml:space="preserve"> </w:t>
      </w:r>
      <w:r w:rsidR="001B5E7B">
        <w:rPr>
          <w:noProof/>
        </w:rPr>
        <w:t xml:space="preserve">is a constantly ongoing process with amounts potentially growing over time as EU, national and other administrative appeal processes are finalised and final decisions made. </w:t>
      </w:r>
    </w:p>
    <w:p w14:paraId="1A1F0789" w14:textId="77777777" w:rsidR="004F6F3F" w:rsidRPr="00814B72" w:rsidRDefault="006620F9" w:rsidP="00FA377B">
      <w:pPr>
        <w:pStyle w:val="Heading2"/>
        <w:rPr>
          <w:noProof/>
        </w:rPr>
      </w:pPr>
      <w:bookmarkStart w:id="91" w:name="_Expenditure"/>
      <w:bookmarkStart w:id="92" w:name="_Toc202011343"/>
      <w:bookmarkStart w:id="93" w:name="_Toc203477680"/>
      <w:bookmarkEnd w:id="91"/>
      <w:r w:rsidRPr="00814B72">
        <w:rPr>
          <w:noProof/>
        </w:rPr>
        <w:t>Expenditure</w:t>
      </w:r>
      <w:bookmarkEnd w:id="92"/>
      <w:bookmarkEnd w:id="93"/>
    </w:p>
    <w:p w14:paraId="3370DA07" w14:textId="467A6042" w:rsidR="00B318DF" w:rsidRDefault="00B318DF" w:rsidP="00DC2546">
      <w:pPr>
        <w:rPr>
          <w:noProof/>
        </w:rPr>
      </w:pPr>
      <w:r w:rsidRPr="00814B72">
        <w:rPr>
          <w:noProof/>
        </w:rPr>
        <w:t xml:space="preserve">This section covers the areas of shared, indirect and direct management expenditure. The first two </w:t>
      </w:r>
      <w:r w:rsidR="00856494">
        <w:rPr>
          <w:noProof/>
        </w:rPr>
        <w:t xml:space="preserve">categories </w:t>
      </w:r>
      <w:r w:rsidRPr="00814B72">
        <w:rPr>
          <w:noProof/>
        </w:rPr>
        <w:t>are based on the analysis of fraudulent and non-fraudulent irregularities reported via IMS and the latter on data extracted from the Commission</w:t>
      </w:r>
      <w:r w:rsidR="00856494">
        <w:rPr>
          <w:noProof/>
        </w:rPr>
        <w:t>’s ABAC</w:t>
      </w:r>
      <w:r w:rsidRPr="00814B72">
        <w:rPr>
          <w:noProof/>
        </w:rPr>
        <w:t xml:space="preserve"> accounting system.</w:t>
      </w:r>
      <w:r w:rsidR="00000AC3">
        <w:rPr>
          <w:noProof/>
        </w:rPr>
        <w:t xml:space="preserve"> In relation to the Recovery and Resilience Facility (RRF) for which no mandatory reporting is foreseen</w:t>
      </w:r>
      <w:r w:rsidR="00215DC5">
        <w:rPr>
          <w:noProof/>
        </w:rPr>
        <w:t xml:space="preserve"> in IMS</w:t>
      </w:r>
      <w:r w:rsidR="00000AC3">
        <w:rPr>
          <w:noProof/>
        </w:rPr>
        <w:t>, data concern investigations by OLAF and the EPPO.</w:t>
      </w:r>
    </w:p>
    <w:p w14:paraId="0B690E6C" w14:textId="23D41A09" w:rsidR="009B540C" w:rsidRDefault="00856494" w:rsidP="00DC2546">
      <w:pPr>
        <w:rPr>
          <w:noProof/>
        </w:rPr>
      </w:pPr>
      <w:r>
        <w:rPr>
          <w:noProof/>
        </w:rPr>
        <w:t xml:space="preserve">A total of </w:t>
      </w:r>
      <w:r w:rsidR="009B540C">
        <w:rPr>
          <w:noProof/>
        </w:rPr>
        <w:t xml:space="preserve">124 active </w:t>
      </w:r>
      <w:r>
        <w:rPr>
          <w:noProof/>
        </w:rPr>
        <w:t xml:space="preserve">EPPO </w:t>
      </w:r>
      <w:r w:rsidR="009B540C">
        <w:rPr>
          <w:noProof/>
        </w:rPr>
        <w:t xml:space="preserve">investigations have a cross-border dimension (7% of the total active investigations </w:t>
      </w:r>
      <w:r w:rsidR="00C019E8">
        <w:rPr>
          <w:noProof/>
        </w:rPr>
        <w:t>in</w:t>
      </w:r>
      <w:r w:rsidR="009B540C">
        <w:rPr>
          <w:noProof/>
        </w:rPr>
        <w:t xml:space="preserve"> expenditure)</w:t>
      </w:r>
      <w:r>
        <w:rPr>
          <w:noProof/>
        </w:rPr>
        <w:t>. Their</w:t>
      </w:r>
      <w:r w:rsidR="009B540C">
        <w:rPr>
          <w:noProof/>
        </w:rPr>
        <w:t xml:space="preserve"> estimated financial damage </w:t>
      </w:r>
      <w:r>
        <w:rPr>
          <w:noProof/>
        </w:rPr>
        <w:t xml:space="preserve">stands at </w:t>
      </w:r>
      <w:r w:rsidR="009B540C">
        <w:rPr>
          <w:noProof/>
        </w:rPr>
        <w:t>EUR 994.</w:t>
      </w:r>
      <w:r>
        <w:rPr>
          <w:noProof/>
        </w:rPr>
        <w:t>1 </w:t>
      </w:r>
      <w:r w:rsidR="009B540C">
        <w:rPr>
          <w:noProof/>
        </w:rPr>
        <w:t xml:space="preserve">million </w:t>
      </w:r>
      <w:r w:rsidR="00A401C8">
        <w:rPr>
          <w:noProof/>
        </w:rPr>
        <w:t xml:space="preserve">(about 10.6% of </w:t>
      </w:r>
      <w:r>
        <w:rPr>
          <w:noProof/>
        </w:rPr>
        <w:t xml:space="preserve">the </w:t>
      </w:r>
      <w:r w:rsidR="00A401C8">
        <w:rPr>
          <w:noProof/>
        </w:rPr>
        <w:t xml:space="preserve">total estimated financial damage linked to active investigations into </w:t>
      </w:r>
      <w:r>
        <w:rPr>
          <w:noProof/>
        </w:rPr>
        <w:t xml:space="preserve">spending </w:t>
      </w:r>
      <w:r w:rsidR="00A401C8">
        <w:rPr>
          <w:noProof/>
        </w:rPr>
        <w:t>programmes)</w:t>
      </w:r>
      <w:r w:rsidR="00D5578A">
        <w:rPr>
          <w:noProof/>
        </w:rPr>
        <w:t>.</w:t>
      </w:r>
      <w:r w:rsidR="00A401C8" w:rsidRPr="00A401C8">
        <w:rPr>
          <w:noProof/>
        </w:rPr>
        <w:t> (</w:t>
      </w:r>
      <w:r w:rsidR="00A401C8">
        <w:rPr>
          <w:rStyle w:val="FootnoteReference"/>
          <w:noProof/>
        </w:rPr>
        <w:footnoteReference w:id="84"/>
      </w:r>
      <w:r w:rsidR="00A401C8">
        <w:rPr>
          <w:noProof/>
        </w:rPr>
        <w:t>)</w:t>
      </w:r>
    </w:p>
    <w:p w14:paraId="585AEA79" w14:textId="39786804" w:rsidR="00D5578A" w:rsidRPr="00814B72" w:rsidRDefault="00D5578A" w:rsidP="00656B20">
      <w:pPr>
        <w:pStyle w:val="Caption"/>
        <w:keepNext/>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8B6005">
        <w:rPr>
          <w:noProof/>
        </w:rPr>
        <w:t>8</w:t>
      </w:r>
      <w:r w:rsidR="00472123">
        <w:rPr>
          <w:noProof/>
        </w:rPr>
        <w:fldChar w:fldCharType="end"/>
      </w:r>
      <w:r w:rsidRPr="00814B72">
        <w:rPr>
          <w:noProof/>
        </w:rPr>
        <w:t xml:space="preserve">: </w:t>
      </w:r>
      <w:r w:rsidR="007230C3">
        <w:rPr>
          <w:noProof/>
        </w:rPr>
        <w:t>P</w:t>
      </w:r>
      <w:r w:rsidR="007230C3" w:rsidRPr="007230C3">
        <w:rPr>
          <w:noProof/>
        </w:rPr>
        <w:t>reventive and corrective measures resulting from the controls of the Commission and of the Member States</w:t>
      </w:r>
      <w:r w:rsidR="007230C3">
        <w:rPr>
          <w:noProof/>
        </w:rPr>
        <w:t xml:space="preserve"> </w:t>
      </w:r>
      <w:r w:rsidR="007230C3" w:rsidRPr="007230C3">
        <w:rPr>
          <w:noProof/>
        </w:rPr>
        <w:t>in 2024</w:t>
      </w:r>
    </w:p>
    <w:p w14:paraId="32E2085D" w14:textId="7A0180D5" w:rsidR="00D5578A" w:rsidRDefault="007230C3" w:rsidP="00F412E6">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In 2024, as a result of </w:t>
      </w:r>
      <w:r w:rsidR="00856494">
        <w:rPr>
          <w:noProof/>
        </w:rPr>
        <w:t xml:space="preserve">checks by </w:t>
      </w:r>
      <w:r>
        <w:rPr>
          <w:noProof/>
        </w:rPr>
        <w:t>the Commission and the Member States</w:t>
      </w:r>
      <w:r w:rsidR="00856494">
        <w:rPr>
          <w:noProof/>
        </w:rPr>
        <w:t>, and investigations by OLAF</w:t>
      </w:r>
      <w:r>
        <w:rPr>
          <w:noProof/>
        </w:rPr>
        <w:t xml:space="preserve">, </w:t>
      </w:r>
      <w:r w:rsidR="00656B20">
        <w:rPr>
          <w:noProof/>
        </w:rPr>
        <w:t>preventive and corrective measures</w:t>
      </w:r>
      <w:r w:rsidR="00555B98" w:rsidRPr="00555B98">
        <w:rPr>
          <w:noProof/>
        </w:rPr>
        <w:t> (</w:t>
      </w:r>
      <w:r w:rsidR="00555B98">
        <w:rPr>
          <w:rStyle w:val="FootnoteReference"/>
          <w:noProof/>
        </w:rPr>
        <w:footnoteReference w:id="85"/>
      </w:r>
      <w:r w:rsidR="00555B98">
        <w:rPr>
          <w:noProof/>
        </w:rPr>
        <w:t>)</w:t>
      </w:r>
      <w:r w:rsidR="00656B20">
        <w:rPr>
          <w:noProof/>
        </w:rPr>
        <w:t xml:space="preserve"> worth </w:t>
      </w:r>
      <w:r>
        <w:rPr>
          <w:noProof/>
        </w:rPr>
        <w:t>EUR 2.66 billion</w:t>
      </w:r>
      <w:r w:rsidR="00656B20">
        <w:rPr>
          <w:noProof/>
        </w:rPr>
        <w:t xml:space="preserve"> were implemented</w:t>
      </w:r>
      <w:r w:rsidR="00E70487">
        <w:rPr>
          <w:noProof/>
        </w:rPr>
        <w:t xml:space="preserve"> to protect the EU budget</w:t>
      </w:r>
      <w:r w:rsidR="00656B20">
        <w:rPr>
          <w:noProof/>
        </w:rPr>
        <w:t>, representing 0.82% of relevant expenditure</w:t>
      </w:r>
      <w:r w:rsidR="00E70487" w:rsidRPr="00E70487">
        <w:rPr>
          <w:noProof/>
        </w:rPr>
        <w:t> (</w:t>
      </w:r>
      <w:r w:rsidR="00E70487">
        <w:rPr>
          <w:rStyle w:val="FootnoteReference"/>
          <w:noProof/>
        </w:rPr>
        <w:footnoteReference w:id="86"/>
      </w:r>
      <w:r w:rsidR="00E70487">
        <w:rPr>
          <w:noProof/>
        </w:rPr>
        <w:t>)</w:t>
      </w:r>
      <w:r w:rsidR="00656B20" w:rsidRPr="00656B20">
        <w:rPr>
          <w:noProof/>
        </w:rPr>
        <w:t>.</w:t>
      </w:r>
      <w:r w:rsidR="00E70487">
        <w:rPr>
          <w:noProof/>
        </w:rPr>
        <w:t xml:space="preserve"> 79% of these amounts (EUR 2.09 billion) </w:t>
      </w:r>
      <w:r w:rsidR="00856494">
        <w:rPr>
          <w:noProof/>
        </w:rPr>
        <w:t>come under</w:t>
      </w:r>
      <w:r w:rsidR="00E70487">
        <w:rPr>
          <w:noProof/>
        </w:rPr>
        <w:t xml:space="preserve"> the budget headings ‘</w:t>
      </w:r>
      <w:r w:rsidR="0021784F">
        <w:rPr>
          <w:noProof/>
        </w:rPr>
        <w:t>Cohesion, resilience and values’ and ‘Natural resources and environment’</w:t>
      </w:r>
      <w:r w:rsidR="0021784F" w:rsidRPr="0021784F">
        <w:rPr>
          <w:noProof/>
        </w:rPr>
        <w:t> (</w:t>
      </w:r>
      <w:r w:rsidR="0021784F">
        <w:rPr>
          <w:rStyle w:val="FootnoteReference"/>
          <w:noProof/>
        </w:rPr>
        <w:footnoteReference w:id="87"/>
      </w:r>
      <w:r w:rsidR="0021784F">
        <w:rPr>
          <w:noProof/>
        </w:rPr>
        <w:t>).</w:t>
      </w:r>
    </w:p>
    <w:p w14:paraId="24679A8C" w14:textId="77777777" w:rsidR="00CF1D95" w:rsidRPr="00C135E0" w:rsidRDefault="006620F9" w:rsidP="008C7C14">
      <w:pPr>
        <w:pStyle w:val="Heading3"/>
        <w:rPr>
          <w:noProof/>
        </w:rPr>
      </w:pPr>
      <w:bookmarkStart w:id="94" w:name="_Agriculture_(_)"/>
      <w:bookmarkStart w:id="95" w:name="_Toc134557991"/>
      <w:bookmarkStart w:id="96" w:name="_Toc202011344"/>
      <w:bookmarkStart w:id="97" w:name="_Toc203477681"/>
      <w:bookmarkEnd w:id="94"/>
      <w:r w:rsidRPr="00C135E0">
        <w:rPr>
          <w:noProof/>
        </w:rPr>
        <w:t>Agriculture</w:t>
      </w:r>
      <w:bookmarkEnd w:id="95"/>
      <w:r w:rsidR="00055B42" w:rsidRPr="00C135E0">
        <w:rPr>
          <w:noProof/>
        </w:rPr>
        <w:t> </w:t>
      </w:r>
      <w:r w:rsidR="00055B42" w:rsidRPr="00C135E0">
        <w:rPr>
          <w:bCs/>
          <w:noProof/>
        </w:rPr>
        <w:t>(</w:t>
      </w:r>
      <w:r w:rsidR="00090FE0" w:rsidRPr="00C135E0">
        <w:rPr>
          <w:rStyle w:val="FootnoteReference"/>
          <w:b w:val="0"/>
          <w:bCs/>
          <w:noProof/>
        </w:rPr>
        <w:footnoteReference w:id="88"/>
      </w:r>
      <w:r w:rsidR="00055B42" w:rsidRPr="00C135E0">
        <w:rPr>
          <w:bCs/>
          <w:noProof/>
        </w:rPr>
        <w:t>)</w:t>
      </w:r>
      <w:bookmarkEnd w:id="96"/>
      <w:bookmarkEnd w:id="97"/>
    </w:p>
    <w:p w14:paraId="35A0C0A1" w14:textId="342F2234" w:rsidR="000F3A16" w:rsidRDefault="000F3A16" w:rsidP="004F60DF">
      <w:pPr>
        <w:rPr>
          <w:noProof/>
        </w:rPr>
      </w:pPr>
      <w:r w:rsidRPr="000F3A16">
        <w:rPr>
          <w:noProof/>
        </w:rPr>
        <w:t>Between 2020</w:t>
      </w:r>
      <w:r>
        <w:rPr>
          <w:noProof/>
        </w:rPr>
        <w:t xml:space="preserve"> and </w:t>
      </w:r>
      <w:r w:rsidRPr="000F3A16">
        <w:rPr>
          <w:noProof/>
        </w:rPr>
        <w:t>2024, Member States reported 1</w:t>
      </w:r>
      <w:r w:rsidR="00F63AB9">
        <w:rPr>
          <w:noProof/>
        </w:rPr>
        <w:t> </w:t>
      </w:r>
      <w:r w:rsidRPr="000F3A16">
        <w:rPr>
          <w:noProof/>
        </w:rPr>
        <w:t>618 fraudulent irregularities and 16</w:t>
      </w:r>
      <w:r w:rsidR="00F63AB9">
        <w:rPr>
          <w:noProof/>
        </w:rPr>
        <w:t> </w:t>
      </w:r>
      <w:r w:rsidRPr="000F3A16">
        <w:rPr>
          <w:noProof/>
        </w:rPr>
        <w:t xml:space="preserve">572 non-fraudulent irregularities </w:t>
      </w:r>
      <w:r w:rsidR="00856494" w:rsidRPr="000F3A16">
        <w:rPr>
          <w:noProof/>
        </w:rPr>
        <w:t>relat</w:t>
      </w:r>
      <w:r w:rsidR="00856494">
        <w:rPr>
          <w:noProof/>
        </w:rPr>
        <w:t>ing</w:t>
      </w:r>
      <w:r w:rsidR="00856494" w:rsidRPr="000F3A16">
        <w:rPr>
          <w:noProof/>
        </w:rPr>
        <w:t xml:space="preserve"> </w:t>
      </w:r>
      <w:r w:rsidRPr="000F3A16">
        <w:rPr>
          <w:noProof/>
        </w:rPr>
        <w:t xml:space="preserve">to the agricultural policy, covering direct payments, rural development and market measures. </w:t>
      </w:r>
      <w:r w:rsidRPr="000F3A16">
        <w:rPr>
          <w:b/>
          <w:noProof/>
        </w:rPr>
        <w:t>Fraudulent irregularities in rural development</w:t>
      </w:r>
      <w:r w:rsidRPr="000F3A16">
        <w:rPr>
          <w:noProof/>
        </w:rPr>
        <w:t xml:space="preserve"> rose due to </w:t>
      </w:r>
      <w:r w:rsidR="00F63AB9">
        <w:rPr>
          <w:noProof/>
        </w:rPr>
        <w:t>reporting</w:t>
      </w:r>
      <w:r w:rsidRPr="000F3A16">
        <w:rPr>
          <w:noProof/>
        </w:rPr>
        <w:t xml:space="preserve"> </w:t>
      </w:r>
      <w:r>
        <w:rPr>
          <w:noProof/>
        </w:rPr>
        <w:t>for</w:t>
      </w:r>
      <w:r w:rsidRPr="000F3A16">
        <w:rPr>
          <w:noProof/>
        </w:rPr>
        <w:t xml:space="preserve"> the 2014-2020 programming period, though </w:t>
      </w:r>
      <w:r w:rsidR="00242095">
        <w:rPr>
          <w:noProof/>
        </w:rPr>
        <w:t xml:space="preserve">this reporting is </w:t>
      </w:r>
      <w:r w:rsidRPr="000F3A16">
        <w:rPr>
          <w:noProof/>
        </w:rPr>
        <w:t xml:space="preserve">still lower than </w:t>
      </w:r>
      <w:r w:rsidR="00242095">
        <w:rPr>
          <w:noProof/>
        </w:rPr>
        <w:t xml:space="preserve">during the corresponding years of implementation of </w:t>
      </w:r>
      <w:r w:rsidRPr="000F3A16">
        <w:rPr>
          <w:noProof/>
        </w:rPr>
        <w:t xml:space="preserve">the 2007-2013 </w:t>
      </w:r>
      <w:r w:rsidR="00242095">
        <w:rPr>
          <w:noProof/>
        </w:rPr>
        <w:t xml:space="preserve">programming </w:t>
      </w:r>
      <w:r w:rsidRPr="000F3A16">
        <w:rPr>
          <w:noProof/>
        </w:rPr>
        <w:t xml:space="preserve">period. </w:t>
      </w:r>
      <w:r w:rsidR="00856494">
        <w:rPr>
          <w:noProof/>
        </w:rPr>
        <w:t>Irregularities</w:t>
      </w:r>
      <w:r w:rsidR="00856494" w:rsidRPr="000F3A16">
        <w:rPr>
          <w:noProof/>
        </w:rPr>
        <w:t xml:space="preserve"> </w:t>
      </w:r>
      <w:r w:rsidRPr="000F3A16">
        <w:rPr>
          <w:noProof/>
        </w:rPr>
        <w:t xml:space="preserve">related to </w:t>
      </w:r>
      <w:r w:rsidRPr="000F3A16">
        <w:rPr>
          <w:b/>
          <w:noProof/>
        </w:rPr>
        <w:t xml:space="preserve">support </w:t>
      </w:r>
      <w:r>
        <w:rPr>
          <w:b/>
          <w:noProof/>
        </w:rPr>
        <w:t>to</w:t>
      </w:r>
      <w:r w:rsidRPr="000F3A16">
        <w:rPr>
          <w:b/>
          <w:noProof/>
        </w:rPr>
        <w:t xml:space="preserve"> agriculture</w:t>
      </w:r>
      <w:r w:rsidRPr="000F3A16">
        <w:rPr>
          <w:noProof/>
        </w:rPr>
        <w:t xml:space="preserve"> peaked in 2022</w:t>
      </w:r>
      <w:r>
        <w:rPr>
          <w:noProof/>
        </w:rPr>
        <w:t>,</w:t>
      </w:r>
      <w:r w:rsidRPr="000F3A16">
        <w:rPr>
          <w:noProof/>
        </w:rPr>
        <w:t xml:space="preserve"> due to many </w:t>
      </w:r>
      <w:r>
        <w:rPr>
          <w:noProof/>
        </w:rPr>
        <w:t xml:space="preserve">inter-linked </w:t>
      </w:r>
      <w:r w:rsidRPr="000F3A16">
        <w:rPr>
          <w:noProof/>
        </w:rPr>
        <w:t xml:space="preserve">cases </w:t>
      </w:r>
      <w:r>
        <w:rPr>
          <w:noProof/>
        </w:rPr>
        <w:t>of limited financial impact</w:t>
      </w:r>
      <w:r w:rsidRPr="000F3A16">
        <w:rPr>
          <w:noProof/>
        </w:rPr>
        <w:t xml:space="preserve"> in one Member State, later </w:t>
      </w:r>
      <w:r w:rsidR="00856494">
        <w:rPr>
          <w:noProof/>
        </w:rPr>
        <w:t>dropping back</w:t>
      </w:r>
      <w:r w:rsidR="00856494" w:rsidRPr="000F3A16">
        <w:rPr>
          <w:noProof/>
        </w:rPr>
        <w:t xml:space="preserve"> </w:t>
      </w:r>
      <w:r w:rsidRPr="000F3A16">
        <w:rPr>
          <w:noProof/>
        </w:rPr>
        <w:t xml:space="preserve">to the 2020 level, </w:t>
      </w:r>
      <w:r w:rsidR="00856494">
        <w:rPr>
          <w:noProof/>
        </w:rPr>
        <w:t>before</w:t>
      </w:r>
      <w:r w:rsidR="00856494" w:rsidRPr="000F3A16">
        <w:rPr>
          <w:noProof/>
        </w:rPr>
        <w:t xml:space="preserve"> </w:t>
      </w:r>
      <w:r w:rsidRPr="000F3A16">
        <w:rPr>
          <w:noProof/>
        </w:rPr>
        <w:t xml:space="preserve">rising again in 2024. </w:t>
      </w:r>
    </w:p>
    <w:p w14:paraId="730ABD2C" w14:textId="12B852B3" w:rsidR="000F3A16" w:rsidRDefault="00856494" w:rsidP="004F60DF">
      <w:pPr>
        <w:rPr>
          <w:noProof/>
        </w:rPr>
      </w:pPr>
      <w:r>
        <w:rPr>
          <w:noProof/>
        </w:rPr>
        <w:t>T</w:t>
      </w:r>
      <w:r w:rsidR="000F3A16" w:rsidRPr="000F3A16">
        <w:rPr>
          <w:noProof/>
        </w:rPr>
        <w:t xml:space="preserve">he fraudulent irregularities involved a total financial amount of </w:t>
      </w:r>
      <w:r w:rsidR="000F3A16" w:rsidRPr="000F3A16">
        <w:rPr>
          <w:b/>
          <w:noProof/>
        </w:rPr>
        <w:t>EUR 133 million</w:t>
      </w:r>
      <w:r>
        <w:rPr>
          <w:bCs/>
          <w:noProof/>
        </w:rPr>
        <w:t>.</w:t>
      </w:r>
      <w:r w:rsidR="000F3A16" w:rsidRPr="000F3A16">
        <w:rPr>
          <w:noProof/>
        </w:rPr>
        <w:t xml:space="preserve"> </w:t>
      </w:r>
      <w:r>
        <w:rPr>
          <w:noProof/>
        </w:rPr>
        <w:t>T</w:t>
      </w:r>
      <w:r w:rsidR="000F3A16" w:rsidRPr="000F3A16">
        <w:rPr>
          <w:noProof/>
        </w:rPr>
        <w:t xml:space="preserve">he EU funding granted to projects or operations </w:t>
      </w:r>
      <w:r w:rsidR="00242095">
        <w:rPr>
          <w:noProof/>
        </w:rPr>
        <w:t xml:space="preserve">affected </w:t>
      </w:r>
      <w:r>
        <w:rPr>
          <w:noProof/>
        </w:rPr>
        <w:t xml:space="preserve">by </w:t>
      </w:r>
      <w:r w:rsidR="00242095">
        <w:rPr>
          <w:noProof/>
        </w:rPr>
        <w:t xml:space="preserve">these irregularities </w:t>
      </w:r>
      <w:r w:rsidR="000F3A16" w:rsidRPr="000F3A16">
        <w:rPr>
          <w:noProof/>
        </w:rPr>
        <w:t xml:space="preserve">was </w:t>
      </w:r>
      <w:r w:rsidR="000F3A16" w:rsidRPr="000F3A16">
        <w:rPr>
          <w:b/>
          <w:noProof/>
        </w:rPr>
        <w:t>EUR 160 million</w:t>
      </w:r>
      <w:r w:rsidR="00943162">
        <w:rPr>
          <w:bCs/>
          <w:noProof/>
        </w:rPr>
        <w:t>, which</w:t>
      </w:r>
      <w:r w:rsidR="002875E9" w:rsidRPr="00943162">
        <w:rPr>
          <w:bCs/>
          <w:noProof/>
        </w:rPr>
        <w:t xml:space="preserve"> </w:t>
      </w:r>
      <w:r>
        <w:rPr>
          <w:bCs/>
          <w:noProof/>
        </w:rPr>
        <w:t>mean</w:t>
      </w:r>
      <w:r w:rsidR="00943162">
        <w:rPr>
          <w:bCs/>
          <w:noProof/>
        </w:rPr>
        <w:t>s</w:t>
      </w:r>
      <w:r>
        <w:rPr>
          <w:bCs/>
          <w:noProof/>
        </w:rPr>
        <w:t xml:space="preserve"> that</w:t>
      </w:r>
      <w:r>
        <w:rPr>
          <w:noProof/>
        </w:rPr>
        <w:t xml:space="preserve"> </w:t>
      </w:r>
      <w:r w:rsidR="000F3A16" w:rsidRPr="000F3A16">
        <w:rPr>
          <w:noProof/>
        </w:rPr>
        <w:t>83% of the value</w:t>
      </w:r>
      <w:r w:rsidR="000F3A16">
        <w:rPr>
          <w:noProof/>
        </w:rPr>
        <w:t xml:space="preserve"> of the related operations</w:t>
      </w:r>
      <w:r w:rsidR="000F3A16" w:rsidRPr="000F3A16">
        <w:rPr>
          <w:noProof/>
        </w:rPr>
        <w:t xml:space="preserve"> w</w:t>
      </w:r>
      <w:r w:rsidR="000F3A16">
        <w:rPr>
          <w:noProof/>
        </w:rPr>
        <w:t>as</w:t>
      </w:r>
      <w:r w:rsidR="000F3A16" w:rsidRPr="000F3A16">
        <w:rPr>
          <w:noProof/>
        </w:rPr>
        <w:t xml:space="preserve"> irregular. </w:t>
      </w:r>
    </w:p>
    <w:p w14:paraId="7E083545" w14:textId="755B2596" w:rsidR="00B72177" w:rsidRDefault="00856494" w:rsidP="004F60DF">
      <w:pPr>
        <w:rPr>
          <w:noProof/>
        </w:rPr>
      </w:pPr>
      <w:r>
        <w:rPr>
          <w:noProof/>
        </w:rPr>
        <w:t>F</w:t>
      </w:r>
      <w:r w:rsidR="000F3A16" w:rsidRPr="000F3A16">
        <w:rPr>
          <w:noProof/>
        </w:rPr>
        <w:t xml:space="preserve">raudulent irregularities </w:t>
      </w:r>
      <w:r>
        <w:rPr>
          <w:noProof/>
        </w:rPr>
        <w:t xml:space="preserve">detected </w:t>
      </w:r>
      <w:r w:rsidR="000F3A16" w:rsidRPr="000F3A16">
        <w:rPr>
          <w:noProof/>
        </w:rPr>
        <w:t xml:space="preserve">often concerned </w:t>
      </w:r>
      <w:r w:rsidR="000F3A16" w:rsidRPr="000F3A16">
        <w:rPr>
          <w:b/>
          <w:noProof/>
        </w:rPr>
        <w:t>falsification of the request for aid</w:t>
      </w:r>
      <w:r w:rsidR="000F3A16" w:rsidRPr="000F3A16">
        <w:rPr>
          <w:noProof/>
        </w:rPr>
        <w:t xml:space="preserve"> and </w:t>
      </w:r>
      <w:r w:rsidR="000F3A16" w:rsidRPr="000F3A16">
        <w:rPr>
          <w:b/>
          <w:noProof/>
        </w:rPr>
        <w:t>documentary proof</w:t>
      </w:r>
      <w:r w:rsidR="000F3A16" w:rsidRPr="000F3A16">
        <w:rPr>
          <w:noProof/>
        </w:rPr>
        <w:t xml:space="preserve">. </w:t>
      </w:r>
      <w:r w:rsidR="00872C71" w:rsidRPr="00872C71">
        <w:rPr>
          <w:noProof/>
        </w:rPr>
        <w:t xml:space="preserve">For example, applicants for direct payments may </w:t>
      </w:r>
      <w:r w:rsidR="004F3C9E">
        <w:rPr>
          <w:noProof/>
        </w:rPr>
        <w:t xml:space="preserve">use false lease agreements to </w:t>
      </w:r>
      <w:r w:rsidR="00872C71" w:rsidRPr="00872C71">
        <w:rPr>
          <w:noProof/>
        </w:rPr>
        <w:t xml:space="preserve">request aid for plots of land they do not have the right to use. In rural development, beneficiaries may, for example, use false invoices, </w:t>
      </w:r>
      <w:r w:rsidR="004F3C9E" w:rsidRPr="00872C71">
        <w:rPr>
          <w:noProof/>
        </w:rPr>
        <w:t>declar</w:t>
      </w:r>
      <w:r w:rsidR="004F3C9E">
        <w:rPr>
          <w:noProof/>
        </w:rPr>
        <w:t>e</w:t>
      </w:r>
      <w:r w:rsidR="004F3C9E" w:rsidRPr="00872C71">
        <w:rPr>
          <w:noProof/>
        </w:rPr>
        <w:t xml:space="preserve"> </w:t>
      </w:r>
      <w:r w:rsidR="00872C71" w:rsidRPr="00872C71">
        <w:rPr>
          <w:noProof/>
        </w:rPr>
        <w:t xml:space="preserve">equipment as new when it is in fact second-hand, </w:t>
      </w:r>
      <w:r w:rsidR="004F3C9E">
        <w:rPr>
          <w:noProof/>
        </w:rPr>
        <w:t xml:space="preserve">and </w:t>
      </w:r>
      <w:r w:rsidR="00872C71" w:rsidRPr="00872C71">
        <w:rPr>
          <w:noProof/>
        </w:rPr>
        <w:t>manipulate bids in procurement</w:t>
      </w:r>
      <w:r w:rsidR="004F3C9E">
        <w:rPr>
          <w:noProof/>
        </w:rPr>
        <w:t>s</w:t>
      </w:r>
      <w:r w:rsidR="00872C71" w:rsidRPr="00872C71">
        <w:rPr>
          <w:noProof/>
        </w:rPr>
        <w:t xml:space="preserve">. For market measures and rural development, infringements concerning the </w:t>
      </w:r>
      <w:r w:rsidR="00872C71" w:rsidRPr="00872C71">
        <w:rPr>
          <w:b/>
          <w:noProof/>
        </w:rPr>
        <w:t>implementation of the action</w:t>
      </w:r>
      <w:r w:rsidR="00872C71" w:rsidRPr="00872C71">
        <w:rPr>
          <w:noProof/>
        </w:rPr>
        <w:t xml:space="preserve"> were also frequently reported.</w:t>
      </w:r>
    </w:p>
    <w:p w14:paraId="1BF094AD" w14:textId="5B3B2F91" w:rsidR="001D4CE3" w:rsidRPr="00814B72" w:rsidRDefault="001D4CE3" w:rsidP="001D4CE3">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8B6005">
        <w:rPr>
          <w:noProof/>
        </w:rPr>
        <w:t>9</w:t>
      </w:r>
      <w:r w:rsidR="00472123">
        <w:rPr>
          <w:noProof/>
        </w:rPr>
        <w:fldChar w:fldCharType="end"/>
      </w:r>
      <w:r w:rsidRPr="00814B72">
        <w:rPr>
          <w:noProof/>
        </w:rPr>
        <w:t xml:space="preserve"> – </w:t>
      </w:r>
      <w:r w:rsidR="008A6400">
        <w:rPr>
          <w:noProof/>
        </w:rPr>
        <w:t>Measures</w:t>
      </w:r>
      <w:r>
        <w:rPr>
          <w:noProof/>
        </w:rPr>
        <w:t xml:space="preserve"> affected by fraud in the common agricultural policy</w:t>
      </w:r>
    </w:p>
    <w:p w14:paraId="77846705" w14:textId="314F9A70" w:rsidR="00A01125" w:rsidRDefault="001D4CE3" w:rsidP="001D4CE3">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I</w:t>
      </w:r>
      <w:r w:rsidRPr="001D4CE3">
        <w:rPr>
          <w:noProof/>
        </w:rPr>
        <w:t xml:space="preserve">n </w:t>
      </w:r>
      <w:r w:rsidRPr="001D4CE3">
        <w:rPr>
          <w:b/>
          <w:noProof/>
        </w:rPr>
        <w:t>direct payments</w:t>
      </w:r>
      <w:r w:rsidRPr="001D4CE3">
        <w:rPr>
          <w:noProof/>
        </w:rPr>
        <w:t xml:space="preserve">, </w:t>
      </w:r>
      <w:r w:rsidR="00872C71" w:rsidRPr="00872C71">
        <w:rPr>
          <w:noProof/>
        </w:rPr>
        <w:t xml:space="preserve">about 75% of the fraudulent irregularities concerned just one type of ‘direct aid’ measure, mainly the </w:t>
      </w:r>
      <w:r w:rsidR="004F3C9E" w:rsidRPr="00872C71">
        <w:rPr>
          <w:noProof/>
        </w:rPr>
        <w:t>single area payment scheme</w:t>
      </w:r>
      <w:r w:rsidR="00872C71" w:rsidRPr="00872C71">
        <w:rPr>
          <w:noProof/>
        </w:rPr>
        <w:t>, while the rest concerned more than one measure</w:t>
      </w:r>
      <w:r w:rsidR="004F3C9E">
        <w:rPr>
          <w:noProof/>
        </w:rPr>
        <w:t>.</w:t>
      </w:r>
      <w:r w:rsidRPr="001D4CE3">
        <w:rPr>
          <w:noProof/>
        </w:rPr>
        <w:t xml:space="preserve"> </w:t>
      </w:r>
      <w:r>
        <w:rPr>
          <w:noProof/>
        </w:rPr>
        <w:t>A</w:t>
      </w:r>
      <w:r w:rsidRPr="001D4CE3">
        <w:rPr>
          <w:noProof/>
        </w:rPr>
        <w:t xml:space="preserve">bout 40% of fraudulent irregularities </w:t>
      </w:r>
      <w:r w:rsidR="00872C71">
        <w:rPr>
          <w:noProof/>
        </w:rPr>
        <w:t>concerned</w:t>
      </w:r>
      <w:r w:rsidR="00A81C5B">
        <w:rPr>
          <w:noProof/>
        </w:rPr>
        <w:t xml:space="preserve"> agricultural </w:t>
      </w:r>
      <w:r w:rsidRPr="001D4CE3">
        <w:rPr>
          <w:noProof/>
        </w:rPr>
        <w:t>practices beneficial to the climate and environment</w:t>
      </w:r>
      <w:r w:rsidR="00872C71">
        <w:rPr>
          <w:noProof/>
        </w:rPr>
        <w:t xml:space="preserve"> (alone or in combination with other ‘direct aid’ measures)</w:t>
      </w:r>
      <w:r w:rsidRPr="001D4CE3">
        <w:rPr>
          <w:noProof/>
        </w:rPr>
        <w:t xml:space="preserve">. </w:t>
      </w:r>
      <w:r w:rsidR="00872C71">
        <w:rPr>
          <w:noProof/>
        </w:rPr>
        <w:t xml:space="preserve">About </w:t>
      </w:r>
      <w:r w:rsidR="008A6400" w:rsidRPr="001D4CE3">
        <w:rPr>
          <w:noProof/>
        </w:rPr>
        <w:t xml:space="preserve">13% </w:t>
      </w:r>
      <w:r w:rsidR="00872C71">
        <w:rPr>
          <w:noProof/>
        </w:rPr>
        <w:t>of fraudulent irregularities concerned</w:t>
      </w:r>
      <w:r w:rsidR="008A6400" w:rsidRPr="001D4CE3">
        <w:rPr>
          <w:noProof/>
        </w:rPr>
        <w:t xml:space="preserve"> </w:t>
      </w:r>
      <w:r w:rsidR="004F3C9E" w:rsidRPr="001D4CE3">
        <w:rPr>
          <w:noProof/>
        </w:rPr>
        <w:t>voluntary coupled support</w:t>
      </w:r>
      <w:r w:rsidR="008A6400" w:rsidRPr="001D4CE3">
        <w:rPr>
          <w:noProof/>
        </w:rPr>
        <w:t xml:space="preserve">, and 10% concerned redistributive payments to small farmers or </w:t>
      </w:r>
      <w:r w:rsidR="00872C71">
        <w:rPr>
          <w:noProof/>
        </w:rPr>
        <w:t xml:space="preserve">small </w:t>
      </w:r>
      <w:r w:rsidR="008A6400" w:rsidRPr="001D4CE3">
        <w:rPr>
          <w:noProof/>
        </w:rPr>
        <w:t xml:space="preserve">farmer schemes, </w:t>
      </w:r>
      <w:r w:rsidR="00E95CFE">
        <w:rPr>
          <w:noProof/>
        </w:rPr>
        <w:t xml:space="preserve">where, for example, artificial splitting of agricultural holdings may be used to </w:t>
      </w:r>
      <w:r w:rsidR="004F3C9E">
        <w:rPr>
          <w:noProof/>
        </w:rPr>
        <w:t>obtain</w:t>
      </w:r>
      <w:r w:rsidR="00E95CFE">
        <w:rPr>
          <w:noProof/>
        </w:rPr>
        <w:t xml:space="preserve"> higher payments.</w:t>
      </w:r>
      <w:r w:rsidR="008A6400" w:rsidRPr="001D4CE3">
        <w:rPr>
          <w:noProof/>
        </w:rPr>
        <w:t xml:space="preserve"> </w:t>
      </w:r>
      <w:r w:rsidR="00A01125" w:rsidRPr="006E0F4E">
        <w:rPr>
          <w:noProof/>
        </w:rPr>
        <w:t xml:space="preserve">In 2024, Member States reported the first </w:t>
      </w:r>
      <w:r w:rsidR="004F3C9E">
        <w:rPr>
          <w:noProof/>
        </w:rPr>
        <w:t xml:space="preserve">detected </w:t>
      </w:r>
      <w:r w:rsidR="00A01125" w:rsidRPr="006E0F4E">
        <w:rPr>
          <w:noProof/>
        </w:rPr>
        <w:t xml:space="preserve">fraudulent irregularities related to expenditure under national CAP </w:t>
      </w:r>
      <w:r w:rsidR="004F3C9E" w:rsidRPr="006E0F4E">
        <w:rPr>
          <w:noProof/>
        </w:rPr>
        <w:t xml:space="preserve">strategic plans </w:t>
      </w:r>
      <w:r w:rsidR="00A01125" w:rsidRPr="006E0F4E">
        <w:rPr>
          <w:noProof/>
        </w:rPr>
        <w:t>and</w:t>
      </w:r>
      <w:r w:rsidR="00A01125" w:rsidRPr="006E0F4E">
        <w:rPr>
          <w:b/>
          <w:noProof/>
        </w:rPr>
        <w:t xml:space="preserve"> </w:t>
      </w:r>
      <w:r w:rsidR="00A01125" w:rsidRPr="006E0F4E">
        <w:rPr>
          <w:noProof/>
        </w:rPr>
        <w:t xml:space="preserve">nearly </w:t>
      </w:r>
      <w:r w:rsidR="00A01125">
        <w:rPr>
          <w:noProof/>
        </w:rPr>
        <w:t xml:space="preserve">all of them were related to </w:t>
      </w:r>
      <w:r w:rsidR="004F3C9E">
        <w:rPr>
          <w:noProof/>
        </w:rPr>
        <w:t xml:space="preserve">climate and environment </w:t>
      </w:r>
      <w:r w:rsidR="00A01125">
        <w:rPr>
          <w:noProof/>
        </w:rPr>
        <w:t>schemes.</w:t>
      </w:r>
      <w:r w:rsidRPr="001D4CE3">
        <w:rPr>
          <w:noProof/>
        </w:rPr>
        <w:t xml:space="preserve"> </w:t>
      </w:r>
    </w:p>
    <w:p w14:paraId="2D71112C" w14:textId="592A7753" w:rsidR="006D112B" w:rsidRDefault="001D4CE3" w:rsidP="001D4CE3">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1D4CE3">
        <w:rPr>
          <w:noProof/>
        </w:rPr>
        <w:t xml:space="preserve">For </w:t>
      </w:r>
      <w:r w:rsidRPr="00A01125">
        <w:rPr>
          <w:b/>
          <w:noProof/>
        </w:rPr>
        <w:t>market measures</w:t>
      </w:r>
      <w:r w:rsidRPr="001D4CE3">
        <w:rPr>
          <w:noProof/>
        </w:rPr>
        <w:t xml:space="preserve">, </w:t>
      </w:r>
      <w:r w:rsidR="006D112B" w:rsidRPr="00021A22">
        <w:rPr>
          <w:noProof/>
        </w:rPr>
        <w:t xml:space="preserve">most fraudulent irregularities </w:t>
      </w:r>
      <w:r w:rsidR="004F3C9E">
        <w:rPr>
          <w:noProof/>
        </w:rPr>
        <w:t>du</w:t>
      </w:r>
      <w:r w:rsidR="004F3C9E" w:rsidRPr="00021A22">
        <w:rPr>
          <w:noProof/>
        </w:rPr>
        <w:t xml:space="preserve">ring the past ten years </w:t>
      </w:r>
      <w:r w:rsidR="00E95CFE">
        <w:rPr>
          <w:noProof/>
        </w:rPr>
        <w:t>concerned</w:t>
      </w:r>
      <w:r w:rsidR="006D112B">
        <w:rPr>
          <w:noProof/>
        </w:rPr>
        <w:t xml:space="preserve"> </w:t>
      </w:r>
      <w:r w:rsidR="004F3C9E">
        <w:rPr>
          <w:noProof/>
        </w:rPr>
        <w:t xml:space="preserve">(i) </w:t>
      </w:r>
      <w:r w:rsidR="006D112B" w:rsidRPr="00021A22">
        <w:rPr>
          <w:noProof/>
        </w:rPr>
        <w:t>the wine-growing sector</w:t>
      </w:r>
      <w:r w:rsidR="006D112B">
        <w:rPr>
          <w:noProof/>
        </w:rPr>
        <w:t xml:space="preserve"> (mainly</w:t>
      </w:r>
      <w:r w:rsidR="006D112B" w:rsidRPr="00805602">
        <w:rPr>
          <w:b/>
          <w:noProof/>
        </w:rPr>
        <w:t xml:space="preserve"> </w:t>
      </w:r>
      <w:r w:rsidR="006D112B" w:rsidRPr="00805602">
        <w:rPr>
          <w:noProof/>
        </w:rPr>
        <w:t>funding for investment, promotion in third countries and restructuri</w:t>
      </w:r>
      <w:r w:rsidR="006D112B">
        <w:rPr>
          <w:noProof/>
        </w:rPr>
        <w:t>ng and conversion of vineyards)</w:t>
      </w:r>
      <w:r w:rsidR="004F3C9E">
        <w:rPr>
          <w:noProof/>
        </w:rPr>
        <w:t>; (ii)</w:t>
      </w:r>
      <w:r w:rsidR="006D112B" w:rsidRPr="00021A22">
        <w:rPr>
          <w:noProof/>
        </w:rPr>
        <w:t xml:space="preserve"> the fruit and vegetables sector </w:t>
      </w:r>
      <w:r w:rsidR="006D112B">
        <w:rPr>
          <w:noProof/>
        </w:rPr>
        <w:t>(</w:t>
      </w:r>
      <w:r w:rsidR="00E95CFE">
        <w:rPr>
          <w:noProof/>
        </w:rPr>
        <w:t xml:space="preserve">mainly </w:t>
      </w:r>
      <w:r w:rsidR="006D112B" w:rsidRPr="00805602">
        <w:rPr>
          <w:noProof/>
        </w:rPr>
        <w:t>aid to producer organisations for preliminary recognition</w:t>
      </w:r>
      <w:r w:rsidR="006D112B">
        <w:rPr>
          <w:noProof/>
        </w:rPr>
        <w:t xml:space="preserve">, either as aid to investment or aid </w:t>
      </w:r>
      <w:r w:rsidR="006D112B" w:rsidRPr="00805602">
        <w:rPr>
          <w:noProof/>
        </w:rPr>
        <w:t>to formation and administrative operations</w:t>
      </w:r>
      <w:r w:rsidR="006D112B">
        <w:rPr>
          <w:noProof/>
        </w:rPr>
        <w:t xml:space="preserve"> or both)</w:t>
      </w:r>
      <w:r w:rsidR="004F3C9E">
        <w:rPr>
          <w:noProof/>
        </w:rPr>
        <w:t>;</w:t>
      </w:r>
      <w:r w:rsidR="006D112B" w:rsidRPr="00021A22">
        <w:rPr>
          <w:noProof/>
        </w:rPr>
        <w:t xml:space="preserve"> or </w:t>
      </w:r>
      <w:r w:rsidR="004F3C9E">
        <w:rPr>
          <w:noProof/>
        </w:rPr>
        <w:t xml:space="preserve">(iii) </w:t>
      </w:r>
      <w:r w:rsidR="006D112B" w:rsidRPr="00021A22">
        <w:rPr>
          <w:noProof/>
        </w:rPr>
        <w:t>promotion</w:t>
      </w:r>
      <w:r w:rsidRPr="001D4CE3">
        <w:rPr>
          <w:noProof/>
        </w:rPr>
        <w:t xml:space="preserve">. </w:t>
      </w:r>
    </w:p>
    <w:p w14:paraId="65AC7D41" w14:textId="59E0B0A4" w:rsidR="001D4CE3" w:rsidRPr="001D4CE3" w:rsidRDefault="004F3C9E" w:rsidP="001D4CE3">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Most</w:t>
      </w:r>
      <w:r w:rsidR="00E95CFE">
        <w:rPr>
          <w:noProof/>
        </w:rPr>
        <w:t xml:space="preserve"> f</w:t>
      </w:r>
      <w:r w:rsidR="006D112B">
        <w:rPr>
          <w:noProof/>
        </w:rPr>
        <w:t xml:space="preserve">raudulent irregularities in </w:t>
      </w:r>
      <w:r w:rsidR="006D112B" w:rsidRPr="006D112B">
        <w:rPr>
          <w:b/>
          <w:noProof/>
        </w:rPr>
        <w:t>r</w:t>
      </w:r>
      <w:r w:rsidR="001D4CE3" w:rsidRPr="006D112B">
        <w:rPr>
          <w:b/>
          <w:noProof/>
        </w:rPr>
        <w:t>ural development</w:t>
      </w:r>
      <w:r w:rsidR="001D4CE3" w:rsidRPr="001D4CE3">
        <w:rPr>
          <w:noProof/>
        </w:rPr>
        <w:t xml:space="preserve"> </w:t>
      </w:r>
      <w:r w:rsidR="003D2DBB">
        <w:rPr>
          <w:noProof/>
        </w:rPr>
        <w:t xml:space="preserve">concerned </w:t>
      </w:r>
      <w:r w:rsidR="001D4CE3" w:rsidRPr="001D4CE3">
        <w:rPr>
          <w:noProof/>
        </w:rPr>
        <w:t>reimbursement-based measures</w:t>
      </w:r>
      <w:r w:rsidR="006D112B">
        <w:rPr>
          <w:noProof/>
        </w:rPr>
        <w:t xml:space="preserve">, in particular </w:t>
      </w:r>
      <w:r w:rsidR="006D112B" w:rsidRPr="00AE79BE">
        <w:rPr>
          <w:noProof/>
        </w:rPr>
        <w:t>investment</w:t>
      </w:r>
      <w:r w:rsidR="006D112B">
        <w:rPr>
          <w:noProof/>
        </w:rPr>
        <w:t>s</w:t>
      </w:r>
      <w:r w:rsidR="006D112B" w:rsidRPr="00AE79BE">
        <w:rPr>
          <w:noProof/>
        </w:rPr>
        <w:t xml:space="preserve"> in agricultural holdings</w:t>
      </w:r>
      <w:r w:rsidR="003D2DBB">
        <w:rPr>
          <w:noProof/>
        </w:rPr>
        <w:t>. Another significant share of fraudulent irregularities related to</w:t>
      </w:r>
      <w:r w:rsidR="001D4CE3" w:rsidRPr="001D4CE3">
        <w:rPr>
          <w:noProof/>
        </w:rPr>
        <w:t xml:space="preserve"> conditions-based payments, notably </w:t>
      </w:r>
      <w:r w:rsidRPr="001D4CE3">
        <w:rPr>
          <w:noProof/>
        </w:rPr>
        <w:t>agr</w:t>
      </w:r>
      <w:r>
        <w:rPr>
          <w:noProof/>
        </w:rPr>
        <w:t>i</w:t>
      </w:r>
      <w:r w:rsidR="001D4CE3" w:rsidRPr="001D4CE3">
        <w:rPr>
          <w:noProof/>
        </w:rPr>
        <w:t>-environment payments</w:t>
      </w:r>
      <w:r w:rsidR="006D112B">
        <w:rPr>
          <w:noProof/>
        </w:rPr>
        <w:t xml:space="preserve"> and </w:t>
      </w:r>
      <w:r w:rsidR="006D112B" w:rsidRPr="00AE79BE">
        <w:rPr>
          <w:noProof/>
        </w:rPr>
        <w:t>payments to farmers in areas facing natu</w:t>
      </w:r>
      <w:r w:rsidR="006D112B">
        <w:rPr>
          <w:noProof/>
        </w:rPr>
        <w:t>r</w:t>
      </w:r>
      <w:r w:rsidR="006D112B" w:rsidRPr="00AE79BE">
        <w:rPr>
          <w:noProof/>
        </w:rPr>
        <w:t>al or other constraints</w:t>
      </w:r>
      <w:r w:rsidR="001D4CE3" w:rsidRPr="001D4CE3">
        <w:rPr>
          <w:noProof/>
        </w:rPr>
        <w:t>.</w:t>
      </w:r>
    </w:p>
    <w:p w14:paraId="254E1044" w14:textId="77777777" w:rsidR="00FF0EDD" w:rsidRPr="00814B72" w:rsidRDefault="00FF0EDD" w:rsidP="004F60DF">
      <w:pPr>
        <w:rPr>
          <w:noProof/>
        </w:rPr>
      </w:pPr>
      <w:r w:rsidRPr="00814B72">
        <w:rPr>
          <w:b/>
          <w:noProof/>
        </w:rPr>
        <w:t>Detection rates</w:t>
      </w:r>
      <w:r w:rsidRPr="00814B72">
        <w:rPr>
          <w:noProof/>
        </w:rPr>
        <w:t xml:space="preserve"> for rural development were much higher than for support to agriculture. However, one part of support to agriculture, market measures, accounted for </w:t>
      </w:r>
      <w:r w:rsidR="00E95CFE">
        <w:rPr>
          <w:noProof/>
        </w:rPr>
        <w:t>a detection rate that is similar to rural development and for the highest detection rate related to non-fraudulent irregularities</w:t>
      </w:r>
      <w:r w:rsidRPr="00814B72">
        <w:rPr>
          <w:noProof/>
        </w:rPr>
        <w:t>. The detection of irregularities, especially fraud, was concentrated in a few Member States.</w:t>
      </w:r>
    </w:p>
    <w:p w14:paraId="3ED2B886" w14:textId="1783DCCD" w:rsidR="00242D48" w:rsidRDefault="00242D48" w:rsidP="00A51E43">
      <w:pPr>
        <w:pStyle w:val="Caption"/>
        <w:keepNext/>
        <w:rPr>
          <w:noProof/>
        </w:rPr>
      </w:pPr>
      <w:r w:rsidRPr="005B26FF">
        <w:rPr>
          <w:noProof/>
        </w:rPr>
        <w:t xml:space="preserve">Figure </w:t>
      </w:r>
      <w:r w:rsidR="004B65D2" w:rsidRPr="005B26FF">
        <w:rPr>
          <w:noProof/>
        </w:rPr>
        <w:fldChar w:fldCharType="begin"/>
      </w:r>
      <w:r w:rsidR="004B65D2" w:rsidRPr="005B26FF">
        <w:rPr>
          <w:noProof/>
        </w:rPr>
        <w:instrText xml:space="preserve"> SEQ Figure \* ARABIC </w:instrText>
      </w:r>
      <w:r w:rsidR="004B65D2" w:rsidRPr="005B26FF">
        <w:rPr>
          <w:noProof/>
        </w:rPr>
        <w:fldChar w:fldCharType="separate"/>
      </w:r>
      <w:r w:rsidR="00947EF7">
        <w:rPr>
          <w:noProof/>
        </w:rPr>
        <w:t>7</w:t>
      </w:r>
      <w:r w:rsidR="004B65D2" w:rsidRPr="005B26FF">
        <w:rPr>
          <w:noProof/>
        </w:rPr>
        <w:fldChar w:fldCharType="end"/>
      </w:r>
      <w:r w:rsidRPr="005B26FF">
        <w:rPr>
          <w:noProof/>
        </w:rPr>
        <w:t xml:space="preserve">: </w:t>
      </w:r>
      <w:r w:rsidR="003A27A1" w:rsidRPr="005B26FF">
        <w:rPr>
          <w:noProof/>
        </w:rPr>
        <w:t>R</w:t>
      </w:r>
      <w:r w:rsidR="00426FAD" w:rsidRPr="005B26FF">
        <w:rPr>
          <w:noProof/>
        </w:rPr>
        <w:t>eported irregularities in CAP by type of expenditure</w:t>
      </w:r>
    </w:p>
    <w:p w14:paraId="34FDD2E2" w14:textId="28912605" w:rsidR="00566BA5" w:rsidRPr="00566BA5" w:rsidRDefault="005B26FF" w:rsidP="00566BA5">
      <w:pPr>
        <w:rPr>
          <w:i/>
          <w:noProof/>
        </w:rPr>
      </w:pPr>
      <w:r w:rsidRPr="005B26FF">
        <w:rPr>
          <w:noProof/>
        </w:rPr>
        <w:drawing>
          <wp:inline distT="0" distB="0" distL="0" distR="0" wp14:anchorId="27437795" wp14:editId="416F4E97">
            <wp:extent cx="5472430" cy="3144520"/>
            <wp:effectExtent l="0" t="0" r="0" b="0"/>
            <wp:docPr id="942861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72430" cy="3144520"/>
                    </a:xfrm>
                    <a:prstGeom prst="rect">
                      <a:avLst/>
                    </a:prstGeom>
                    <a:noFill/>
                    <a:ln>
                      <a:noFill/>
                    </a:ln>
                  </pic:spPr>
                </pic:pic>
              </a:graphicData>
            </a:graphic>
          </wp:inline>
        </w:drawing>
      </w:r>
    </w:p>
    <w:p w14:paraId="088FF8A7" w14:textId="27698D29" w:rsidR="0021032E" w:rsidRPr="00814B72" w:rsidRDefault="005E2A69" w:rsidP="005E2A69">
      <w:pPr>
        <w:rPr>
          <w:noProof/>
        </w:rPr>
      </w:pPr>
      <w:r w:rsidRPr="003063DA">
        <w:rPr>
          <w:noProof/>
        </w:rPr>
        <w:t>Dur</w:t>
      </w:r>
      <w:r>
        <w:rPr>
          <w:noProof/>
        </w:rPr>
        <w:t>ing 2020-2024</w:t>
      </w:r>
      <w:r w:rsidRPr="001308F2">
        <w:rPr>
          <w:noProof/>
        </w:rPr>
        <w:t xml:space="preserve">, </w:t>
      </w:r>
      <w:r w:rsidRPr="00F10BC7">
        <w:rPr>
          <w:b/>
          <w:noProof/>
        </w:rPr>
        <w:t>risk analysis</w:t>
      </w:r>
      <w:r w:rsidRPr="001308F2">
        <w:rPr>
          <w:noProof/>
        </w:rPr>
        <w:t xml:space="preserve"> only marginally contributed to detecting fraud in rural development and direct payments</w:t>
      </w:r>
      <w:r w:rsidR="004F3C9E">
        <w:rPr>
          <w:noProof/>
        </w:rPr>
        <w:t>. For</w:t>
      </w:r>
      <w:r>
        <w:rPr>
          <w:noProof/>
        </w:rPr>
        <w:t xml:space="preserve"> market measures i</w:t>
      </w:r>
      <w:r w:rsidRPr="001308F2">
        <w:rPr>
          <w:noProof/>
        </w:rPr>
        <w:t xml:space="preserve">t </w:t>
      </w:r>
      <w:r w:rsidR="004F3C9E" w:rsidRPr="001308F2">
        <w:rPr>
          <w:noProof/>
        </w:rPr>
        <w:t>seem</w:t>
      </w:r>
      <w:r w:rsidR="004F3C9E">
        <w:rPr>
          <w:noProof/>
        </w:rPr>
        <w:t>ed</w:t>
      </w:r>
      <w:r w:rsidR="004F3C9E" w:rsidRPr="001308F2">
        <w:rPr>
          <w:noProof/>
        </w:rPr>
        <w:t xml:space="preserve"> </w:t>
      </w:r>
      <w:r w:rsidR="004F3C9E">
        <w:rPr>
          <w:noProof/>
        </w:rPr>
        <w:t xml:space="preserve">to </w:t>
      </w:r>
      <w:r w:rsidRPr="001308F2">
        <w:rPr>
          <w:noProof/>
        </w:rPr>
        <w:t>play</w:t>
      </w:r>
      <w:r w:rsidRPr="00F647A8">
        <w:rPr>
          <w:noProof/>
        </w:rPr>
        <w:t xml:space="preserve"> a stronger role</w:t>
      </w:r>
      <w:r w:rsidR="004F3C9E">
        <w:rPr>
          <w:noProof/>
        </w:rPr>
        <w:t>,</w:t>
      </w:r>
      <w:r w:rsidRPr="00F647A8">
        <w:rPr>
          <w:noProof/>
        </w:rPr>
        <w:t xml:space="preserve"> </w:t>
      </w:r>
      <w:r w:rsidR="00D5768B" w:rsidRPr="00814B72">
        <w:rPr>
          <w:noProof/>
        </w:rPr>
        <w:t xml:space="preserve">but only if scrutiny activities were actually based on risk analysis. </w:t>
      </w:r>
      <w:r w:rsidR="004F3C9E">
        <w:rPr>
          <w:noProof/>
        </w:rPr>
        <w:t>T</w:t>
      </w:r>
      <w:r w:rsidR="00D5768B" w:rsidRPr="00814B72">
        <w:rPr>
          <w:noProof/>
        </w:rPr>
        <w:t xml:space="preserve">he share of fraud detections based on </w:t>
      </w:r>
      <w:r w:rsidR="00D5768B" w:rsidRPr="00814B72">
        <w:rPr>
          <w:b/>
          <w:noProof/>
        </w:rPr>
        <w:t>tips from informants</w:t>
      </w:r>
      <w:r w:rsidR="00D5768B" w:rsidRPr="00814B72">
        <w:rPr>
          <w:noProof/>
        </w:rPr>
        <w:t xml:space="preserve"> and whistleblowers was</w:t>
      </w:r>
      <w:r w:rsidR="004F3C9E">
        <w:rPr>
          <w:noProof/>
        </w:rPr>
        <w:t xml:space="preserve"> also</w:t>
      </w:r>
      <w:r w:rsidR="00D5768B" w:rsidRPr="00814B72">
        <w:rPr>
          <w:noProof/>
        </w:rPr>
        <w:t xml:space="preserve"> low, </w:t>
      </w:r>
      <w:r w:rsidR="00C019E8" w:rsidRPr="00814B72">
        <w:rPr>
          <w:noProof/>
        </w:rPr>
        <w:t>except for</w:t>
      </w:r>
      <w:r w:rsidR="00D5768B" w:rsidRPr="00814B72">
        <w:rPr>
          <w:noProof/>
        </w:rPr>
        <w:t xml:space="preserve"> market measures, where it reached 1</w:t>
      </w:r>
      <w:r>
        <w:rPr>
          <w:noProof/>
        </w:rPr>
        <w:t>2</w:t>
      </w:r>
      <w:r w:rsidR="00D5768B" w:rsidRPr="00814B72">
        <w:rPr>
          <w:noProof/>
        </w:rPr>
        <w:t>%</w:t>
      </w:r>
      <w:r w:rsidR="00F06A1F">
        <w:rPr>
          <w:noProof/>
        </w:rPr>
        <w:t>. However,</w:t>
      </w:r>
      <w:r w:rsidR="00D5768B" w:rsidRPr="00814B72">
        <w:rPr>
          <w:noProof/>
        </w:rPr>
        <w:t xml:space="preserve"> this figure may be volatile as it is based on very few cases. </w:t>
      </w:r>
      <w:r>
        <w:rPr>
          <w:noProof/>
        </w:rPr>
        <w:t>Just one fraud case (in direct payments to farmers) was</w:t>
      </w:r>
      <w:r w:rsidRPr="00F647A8">
        <w:rPr>
          <w:noProof/>
        </w:rPr>
        <w:t xml:space="preserve"> detected following information published in the </w:t>
      </w:r>
      <w:r w:rsidRPr="00F10BC7">
        <w:rPr>
          <w:b/>
          <w:noProof/>
        </w:rPr>
        <w:t>media</w:t>
      </w:r>
      <w:r w:rsidR="00D5768B" w:rsidRPr="00814B72">
        <w:rPr>
          <w:noProof/>
        </w:rPr>
        <w:t>.</w:t>
      </w:r>
    </w:p>
    <w:p w14:paraId="1642DC43" w14:textId="77777777" w:rsidR="00CF1D95" w:rsidRPr="00C135E0" w:rsidRDefault="00242D48" w:rsidP="008C7C14">
      <w:pPr>
        <w:pStyle w:val="Heading3"/>
        <w:rPr>
          <w:bCs/>
          <w:noProof/>
        </w:rPr>
      </w:pPr>
      <w:bookmarkStart w:id="98" w:name="_Toc134557992"/>
      <w:bookmarkStart w:id="99" w:name="_Toc202011345"/>
      <w:bookmarkStart w:id="100" w:name="_Toc203477682"/>
      <w:r w:rsidRPr="00C135E0">
        <w:rPr>
          <w:noProof/>
        </w:rPr>
        <w:t>Cohesion policy</w:t>
      </w:r>
      <w:bookmarkEnd w:id="98"/>
      <w:r w:rsidR="003629F8" w:rsidRPr="00C135E0">
        <w:rPr>
          <w:noProof/>
        </w:rPr>
        <w:t> </w:t>
      </w:r>
      <w:r w:rsidR="003629F8" w:rsidRPr="00C135E0">
        <w:rPr>
          <w:bCs/>
          <w:noProof/>
        </w:rPr>
        <w:t>(</w:t>
      </w:r>
      <w:r w:rsidR="00090FE0" w:rsidRPr="00C135E0">
        <w:rPr>
          <w:rStyle w:val="FootnoteReference"/>
          <w:b w:val="0"/>
          <w:bCs/>
          <w:noProof/>
        </w:rPr>
        <w:footnoteReference w:id="89"/>
      </w:r>
      <w:r w:rsidR="003629F8" w:rsidRPr="00C135E0">
        <w:rPr>
          <w:bCs/>
          <w:noProof/>
        </w:rPr>
        <w:t>)</w:t>
      </w:r>
      <w:bookmarkEnd w:id="99"/>
      <w:bookmarkEnd w:id="100"/>
    </w:p>
    <w:p w14:paraId="1E08B5A8" w14:textId="77777777" w:rsidR="00DA00AD" w:rsidRDefault="00DA00AD" w:rsidP="00242D48">
      <w:pPr>
        <w:rPr>
          <w:noProof/>
        </w:rPr>
      </w:pPr>
      <w:r>
        <w:rPr>
          <w:noProof/>
        </w:rPr>
        <w:t xml:space="preserve">Irregularities reported </w:t>
      </w:r>
      <w:r w:rsidR="00E95CFE">
        <w:rPr>
          <w:noProof/>
        </w:rPr>
        <w:t xml:space="preserve">between 2020 and 2024 </w:t>
      </w:r>
      <w:r>
        <w:rPr>
          <w:noProof/>
        </w:rPr>
        <w:t xml:space="preserve">in relation to the cohesion and fisheries policies </w:t>
      </w:r>
      <w:r w:rsidR="00E95CFE">
        <w:rPr>
          <w:noProof/>
        </w:rPr>
        <w:t xml:space="preserve">mainly </w:t>
      </w:r>
      <w:r>
        <w:rPr>
          <w:noProof/>
        </w:rPr>
        <w:t>concern three different programming periods: 2007-2013, 2014-2020 and 2021-2027.</w:t>
      </w:r>
    </w:p>
    <w:p w14:paraId="4F2DB42A" w14:textId="4679A785" w:rsidR="00DA00AD" w:rsidRPr="00336DDA" w:rsidRDefault="002407B4" w:rsidP="00242D48">
      <w:pPr>
        <w:rPr>
          <w:noProof/>
        </w:rPr>
      </w:pPr>
      <w:r w:rsidRPr="002407B4">
        <w:rPr>
          <w:noProof/>
        </w:rPr>
        <w:t>The bulk of</w:t>
      </w:r>
      <w:r>
        <w:rPr>
          <w:b/>
          <w:noProof/>
        </w:rPr>
        <w:t xml:space="preserve"> </w:t>
      </w:r>
      <w:r w:rsidRPr="002407B4">
        <w:rPr>
          <w:noProof/>
        </w:rPr>
        <w:t>the</w:t>
      </w:r>
      <w:r>
        <w:rPr>
          <w:b/>
          <w:noProof/>
        </w:rPr>
        <w:t xml:space="preserve"> f</w:t>
      </w:r>
      <w:r w:rsidR="00DA00AD">
        <w:rPr>
          <w:b/>
          <w:noProof/>
        </w:rPr>
        <w:t xml:space="preserve">raudulent irregularities </w:t>
      </w:r>
      <w:r w:rsidRPr="002407B4">
        <w:rPr>
          <w:noProof/>
        </w:rPr>
        <w:t>reported</w:t>
      </w:r>
      <w:r>
        <w:rPr>
          <w:b/>
          <w:noProof/>
        </w:rPr>
        <w:t xml:space="preserve"> </w:t>
      </w:r>
      <w:r>
        <w:rPr>
          <w:noProof/>
        </w:rPr>
        <w:t xml:space="preserve">during the five-years period </w:t>
      </w:r>
      <w:r w:rsidR="00DA00AD">
        <w:rPr>
          <w:noProof/>
        </w:rPr>
        <w:t xml:space="preserve">related </w:t>
      </w:r>
      <w:r>
        <w:rPr>
          <w:noProof/>
        </w:rPr>
        <w:t>in particular</w:t>
      </w:r>
      <w:r w:rsidR="00857E55">
        <w:rPr>
          <w:noProof/>
        </w:rPr>
        <w:t xml:space="preserve"> </w:t>
      </w:r>
      <w:r w:rsidR="005771D7">
        <w:rPr>
          <w:noProof/>
        </w:rPr>
        <w:t>to</w:t>
      </w:r>
      <w:r>
        <w:rPr>
          <w:noProof/>
        </w:rPr>
        <w:t xml:space="preserve"> the </w:t>
      </w:r>
      <w:r w:rsidR="005771D7">
        <w:rPr>
          <w:noProof/>
        </w:rPr>
        <w:t xml:space="preserve">2014-2020 </w:t>
      </w:r>
      <w:r>
        <w:rPr>
          <w:noProof/>
        </w:rPr>
        <w:t>programming period</w:t>
      </w:r>
      <w:r w:rsidR="00DA00AD">
        <w:rPr>
          <w:noProof/>
        </w:rPr>
        <w:t xml:space="preserve">. Reporting related to </w:t>
      </w:r>
      <w:r>
        <w:rPr>
          <w:noProof/>
        </w:rPr>
        <w:t>the programming period</w:t>
      </w:r>
      <w:r w:rsidR="00DA00AD">
        <w:rPr>
          <w:noProof/>
        </w:rPr>
        <w:t xml:space="preserve"> 2021-2027 has just started.</w:t>
      </w:r>
      <w:r w:rsidR="00336DDA">
        <w:rPr>
          <w:noProof/>
        </w:rPr>
        <w:t xml:space="preserve"> Fraudulent irregularities reported between 2020 and 2024 involve </w:t>
      </w:r>
      <w:r w:rsidR="004D6064">
        <w:rPr>
          <w:noProof/>
        </w:rPr>
        <w:t xml:space="preserve">financial amounts worth </w:t>
      </w:r>
      <w:r w:rsidR="00336DDA">
        <w:rPr>
          <w:noProof/>
        </w:rPr>
        <w:t xml:space="preserve">about </w:t>
      </w:r>
      <w:r w:rsidR="00336DDA" w:rsidRPr="00F10BC7">
        <w:rPr>
          <w:b/>
          <w:noProof/>
        </w:rPr>
        <w:t>EUR </w:t>
      </w:r>
      <w:r w:rsidR="00336DDA">
        <w:rPr>
          <w:b/>
          <w:noProof/>
        </w:rPr>
        <w:t>0.9 b</w:t>
      </w:r>
      <w:r w:rsidR="00336DDA" w:rsidRPr="00F10BC7">
        <w:rPr>
          <w:b/>
          <w:noProof/>
        </w:rPr>
        <w:t>illion</w:t>
      </w:r>
      <w:r w:rsidR="004D6064">
        <w:rPr>
          <w:noProof/>
        </w:rPr>
        <w:t xml:space="preserve">. </w:t>
      </w:r>
      <w:r w:rsidR="004D6064" w:rsidRPr="00050188">
        <w:rPr>
          <w:noProof/>
        </w:rPr>
        <w:t>The total EU funding granted to the projects or operations aff</w:t>
      </w:r>
      <w:r w:rsidR="004D6064" w:rsidRPr="001308F2">
        <w:rPr>
          <w:noProof/>
        </w:rPr>
        <w:t xml:space="preserve">ected by these irregularities was about </w:t>
      </w:r>
      <w:r w:rsidR="005771D7">
        <w:rPr>
          <w:b/>
          <w:noProof/>
        </w:rPr>
        <w:t>EUR </w:t>
      </w:r>
      <w:r w:rsidR="004D6064">
        <w:rPr>
          <w:b/>
          <w:noProof/>
        </w:rPr>
        <w:t>6.</w:t>
      </w:r>
      <w:r w:rsidR="005771D7">
        <w:rPr>
          <w:b/>
          <w:noProof/>
        </w:rPr>
        <w:t>4 </w:t>
      </w:r>
      <w:r w:rsidR="004D6064">
        <w:rPr>
          <w:b/>
          <w:noProof/>
        </w:rPr>
        <w:t>b</w:t>
      </w:r>
      <w:r w:rsidR="004D6064" w:rsidRPr="00F10BC7">
        <w:rPr>
          <w:b/>
          <w:noProof/>
        </w:rPr>
        <w:t>illion</w:t>
      </w:r>
      <w:r w:rsidR="004D6064" w:rsidRPr="003378F9">
        <w:rPr>
          <w:noProof/>
        </w:rPr>
        <w:t>.</w:t>
      </w:r>
      <w:r w:rsidR="004D6064">
        <w:rPr>
          <w:noProof/>
        </w:rPr>
        <w:t xml:space="preserve"> This means that the irregular financial amounts involved in fraudulent irregularities accounted f</w:t>
      </w:r>
      <w:r>
        <w:rPr>
          <w:noProof/>
        </w:rPr>
        <w:t>or</w:t>
      </w:r>
      <w:r w:rsidR="004D6064">
        <w:rPr>
          <w:noProof/>
        </w:rPr>
        <w:t xml:space="preserve"> about 14% of the value of the related operations</w:t>
      </w:r>
      <w:r w:rsidR="00975845" w:rsidRPr="00975845">
        <w:rPr>
          <w:noProof/>
        </w:rPr>
        <w:t> (</w:t>
      </w:r>
      <w:r w:rsidR="00975845">
        <w:rPr>
          <w:rStyle w:val="FootnoteReference"/>
          <w:noProof/>
        </w:rPr>
        <w:footnoteReference w:id="90"/>
      </w:r>
      <w:r w:rsidR="00975845">
        <w:rPr>
          <w:noProof/>
        </w:rPr>
        <w:t>)</w:t>
      </w:r>
      <w:r w:rsidR="004D6064">
        <w:rPr>
          <w:noProof/>
        </w:rPr>
        <w:t xml:space="preserve">. </w:t>
      </w:r>
    </w:p>
    <w:p w14:paraId="276589B3" w14:textId="2DEE431B" w:rsidR="00242D48" w:rsidRPr="00814B72" w:rsidRDefault="004D6064" w:rsidP="00242D48">
      <w:pPr>
        <w:rPr>
          <w:noProof/>
        </w:rPr>
      </w:pPr>
      <w:r>
        <w:rPr>
          <w:noProof/>
        </w:rPr>
        <w:t>T</w:t>
      </w:r>
      <w:r w:rsidRPr="00DD44C9">
        <w:rPr>
          <w:noProof/>
        </w:rPr>
        <w:t xml:space="preserve">he number and financial amounts of the </w:t>
      </w:r>
      <w:r>
        <w:rPr>
          <w:noProof/>
        </w:rPr>
        <w:t>non</w:t>
      </w:r>
      <w:r>
        <w:rPr>
          <w:noProof/>
        </w:rPr>
        <w:noBreakHyphen/>
        <w:t xml:space="preserve">fraudulent </w:t>
      </w:r>
      <w:r w:rsidRPr="00DD44C9">
        <w:rPr>
          <w:noProof/>
        </w:rPr>
        <w:t>i</w:t>
      </w:r>
      <w:r>
        <w:rPr>
          <w:noProof/>
        </w:rPr>
        <w:t>rregularities reported</w:t>
      </w:r>
      <w:r w:rsidRPr="00DD44C9">
        <w:rPr>
          <w:noProof/>
        </w:rPr>
        <w:t xml:space="preserve"> </w:t>
      </w:r>
      <w:r>
        <w:rPr>
          <w:noProof/>
        </w:rPr>
        <w:t>from 2014 to 2024 (</w:t>
      </w:r>
      <w:r w:rsidR="002407B4">
        <w:rPr>
          <w:noProof/>
        </w:rPr>
        <w:t xml:space="preserve">first </w:t>
      </w:r>
      <w:r>
        <w:rPr>
          <w:noProof/>
        </w:rPr>
        <w:t>11 years) for</w:t>
      </w:r>
      <w:r w:rsidRPr="00DD44C9">
        <w:rPr>
          <w:noProof/>
        </w:rPr>
        <w:t xml:space="preserve"> </w:t>
      </w:r>
      <w:r>
        <w:rPr>
          <w:noProof/>
        </w:rPr>
        <w:t>the programming period 2014</w:t>
      </w:r>
      <w:r w:rsidRPr="00DD44C9">
        <w:rPr>
          <w:noProof/>
        </w:rPr>
        <w:noBreakHyphen/>
      </w:r>
      <w:r>
        <w:rPr>
          <w:noProof/>
        </w:rPr>
        <w:t xml:space="preserve">2020 </w:t>
      </w:r>
      <w:r>
        <w:rPr>
          <w:b/>
          <w:noProof/>
        </w:rPr>
        <w:t>are</w:t>
      </w:r>
      <w:r w:rsidRPr="00AE7F7C">
        <w:rPr>
          <w:b/>
          <w:noProof/>
        </w:rPr>
        <w:t xml:space="preserve"> </w:t>
      </w:r>
      <w:r>
        <w:rPr>
          <w:b/>
          <w:noProof/>
        </w:rPr>
        <w:t>much lower</w:t>
      </w:r>
      <w:r w:rsidRPr="00AE7F7C">
        <w:rPr>
          <w:b/>
          <w:noProof/>
        </w:rPr>
        <w:t xml:space="preserve"> than those</w:t>
      </w:r>
      <w:r>
        <w:rPr>
          <w:noProof/>
        </w:rPr>
        <w:t xml:space="preserve"> </w:t>
      </w:r>
      <w:r>
        <w:rPr>
          <w:b/>
          <w:noProof/>
        </w:rPr>
        <w:t>reported</w:t>
      </w:r>
      <w:r w:rsidRPr="0062516D">
        <w:rPr>
          <w:b/>
          <w:noProof/>
        </w:rPr>
        <w:t xml:space="preserve"> </w:t>
      </w:r>
      <w:r>
        <w:rPr>
          <w:b/>
          <w:noProof/>
        </w:rPr>
        <w:t>from 2007 to 2017 (</w:t>
      </w:r>
      <w:r w:rsidR="002407B4">
        <w:rPr>
          <w:b/>
          <w:noProof/>
        </w:rPr>
        <w:t xml:space="preserve">first </w:t>
      </w:r>
      <w:r>
        <w:rPr>
          <w:b/>
          <w:noProof/>
        </w:rPr>
        <w:t>11 years) for the programming period 2007-2013</w:t>
      </w:r>
      <w:r>
        <w:rPr>
          <w:noProof/>
        </w:rPr>
        <w:t xml:space="preserve">. </w:t>
      </w:r>
      <w:r w:rsidR="005771D7">
        <w:rPr>
          <w:noProof/>
        </w:rPr>
        <w:t>The decrease</w:t>
      </w:r>
      <w:r w:rsidR="005771D7" w:rsidRPr="00FA2F63">
        <w:rPr>
          <w:noProof/>
        </w:rPr>
        <w:t xml:space="preserve"> </w:t>
      </w:r>
      <w:r w:rsidRPr="00FA2F63">
        <w:rPr>
          <w:noProof/>
        </w:rPr>
        <w:t xml:space="preserve">concerns all </w:t>
      </w:r>
      <w:r>
        <w:rPr>
          <w:noProof/>
        </w:rPr>
        <w:t>f</w:t>
      </w:r>
      <w:r w:rsidR="00FB0C0A">
        <w:rPr>
          <w:noProof/>
        </w:rPr>
        <w:t>unds</w:t>
      </w:r>
      <w:r w:rsidR="003629F8">
        <w:rPr>
          <w:noProof/>
        </w:rPr>
        <w:t> (</w:t>
      </w:r>
      <w:bookmarkStart w:id="101" w:name="_Ref197704299"/>
      <w:r w:rsidR="00855732" w:rsidRPr="00814B72">
        <w:rPr>
          <w:rStyle w:val="FootnoteReference"/>
          <w:noProof/>
        </w:rPr>
        <w:footnoteReference w:id="91"/>
      </w:r>
      <w:bookmarkEnd w:id="101"/>
      <w:r w:rsidR="003629F8">
        <w:rPr>
          <w:noProof/>
        </w:rPr>
        <w:t>)</w:t>
      </w:r>
      <w:r w:rsidR="00855732" w:rsidRPr="00814B72">
        <w:rPr>
          <w:noProof/>
        </w:rPr>
        <w:t xml:space="preserve">. </w:t>
      </w:r>
      <w:r w:rsidR="00462D8F">
        <w:rPr>
          <w:noProof/>
        </w:rPr>
        <w:t xml:space="preserve">The same situation occurs in relation to </w:t>
      </w:r>
      <w:r w:rsidR="002407B4" w:rsidRPr="002407B4">
        <w:rPr>
          <w:noProof/>
        </w:rPr>
        <w:t xml:space="preserve">the number of irregularities reported as fraudulent, </w:t>
      </w:r>
      <w:r w:rsidR="00462D8F">
        <w:rPr>
          <w:noProof/>
        </w:rPr>
        <w:t xml:space="preserve">but the difference </w:t>
      </w:r>
      <w:r w:rsidR="002407B4" w:rsidRPr="002407B4">
        <w:rPr>
          <w:noProof/>
        </w:rPr>
        <w:t xml:space="preserve">is much smaller and </w:t>
      </w:r>
      <w:r w:rsidR="005771D7">
        <w:rPr>
          <w:noProof/>
        </w:rPr>
        <w:t xml:space="preserve">is </w:t>
      </w:r>
      <w:r w:rsidR="002407B4" w:rsidRPr="002407B4">
        <w:rPr>
          <w:noProof/>
        </w:rPr>
        <w:t>decreasing.</w:t>
      </w:r>
    </w:p>
    <w:p w14:paraId="7D6054B7" w14:textId="565B9119" w:rsidR="002F38C4" w:rsidRDefault="002F38C4" w:rsidP="002F38C4">
      <w:pPr>
        <w:pStyle w:val="Caption"/>
        <w:rPr>
          <w:noProof/>
        </w:rPr>
      </w:pPr>
      <w:r w:rsidRPr="00814B72">
        <w:rPr>
          <w:noProof/>
        </w:rPr>
        <w:t xml:space="preserve">Figure </w:t>
      </w:r>
      <w:r w:rsidR="00472123">
        <w:rPr>
          <w:noProof/>
        </w:rPr>
        <w:fldChar w:fldCharType="begin"/>
      </w:r>
      <w:r w:rsidR="00472123">
        <w:rPr>
          <w:noProof/>
        </w:rPr>
        <w:instrText xml:space="preserve"> SEQ Figure \* ARABIC </w:instrText>
      </w:r>
      <w:r w:rsidR="00472123">
        <w:rPr>
          <w:noProof/>
        </w:rPr>
        <w:fldChar w:fldCharType="separate"/>
      </w:r>
      <w:r w:rsidR="00947EF7">
        <w:rPr>
          <w:noProof/>
        </w:rPr>
        <w:t>8</w:t>
      </w:r>
      <w:r w:rsidR="00472123">
        <w:rPr>
          <w:noProof/>
        </w:rPr>
        <w:fldChar w:fldCharType="end"/>
      </w:r>
      <w:r w:rsidRPr="00814B72">
        <w:rPr>
          <w:noProof/>
        </w:rPr>
        <w:t xml:space="preserve">: </w:t>
      </w:r>
      <w:r w:rsidR="006A3E79" w:rsidRPr="00814B72">
        <w:rPr>
          <w:noProof/>
        </w:rPr>
        <w:t xml:space="preserve">Focus on the programming period 2014-2020 </w:t>
      </w:r>
      <w:r w:rsidR="00FC300F">
        <w:rPr>
          <w:noProof/>
        </w:rPr>
        <w:t>–</w:t>
      </w:r>
      <w:r w:rsidRPr="00814B72">
        <w:rPr>
          <w:noProof/>
        </w:rPr>
        <w:t xml:space="preserve">irregularities </w:t>
      </w:r>
      <w:r w:rsidR="00FC300F" w:rsidRPr="00814B72">
        <w:rPr>
          <w:noProof/>
        </w:rPr>
        <w:t xml:space="preserve">reported </w:t>
      </w:r>
      <w:r w:rsidRPr="00814B72">
        <w:rPr>
          <w:noProof/>
        </w:rPr>
        <w:t xml:space="preserve">by </w:t>
      </w:r>
      <w:r w:rsidR="006A3E79" w:rsidRPr="00814B72">
        <w:rPr>
          <w:noProof/>
        </w:rPr>
        <w:t xml:space="preserve">fund </w:t>
      </w:r>
    </w:p>
    <w:p w14:paraId="739EF5A0" w14:textId="27C385A9" w:rsidR="00566BA5" w:rsidRPr="008D3608" w:rsidRDefault="008045B1" w:rsidP="00566BA5">
      <w:pPr>
        <w:rPr>
          <w:iCs/>
          <w:noProof/>
        </w:rPr>
      </w:pPr>
      <w:r>
        <w:rPr>
          <w:iCs/>
          <w:noProof/>
        </w:rPr>
        <w:drawing>
          <wp:inline distT="0" distB="0" distL="0" distR="0" wp14:anchorId="5337A862" wp14:editId="005C2A6A">
            <wp:extent cx="5374014" cy="3781425"/>
            <wp:effectExtent l="0" t="0" r="0" b="0"/>
            <wp:docPr id="8780129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81557" cy="3786733"/>
                    </a:xfrm>
                    <a:prstGeom prst="rect">
                      <a:avLst/>
                    </a:prstGeom>
                    <a:noFill/>
                  </pic:spPr>
                </pic:pic>
              </a:graphicData>
            </a:graphic>
          </wp:inline>
        </w:drawing>
      </w:r>
    </w:p>
    <w:p w14:paraId="3441F2C9" w14:textId="5CC0225B" w:rsidR="002F38C4" w:rsidRPr="00814B72" w:rsidRDefault="00FB0C0A" w:rsidP="00DD64FD">
      <w:pPr>
        <w:rPr>
          <w:noProof/>
        </w:rPr>
      </w:pPr>
      <w:r>
        <w:rPr>
          <w:noProof/>
        </w:rPr>
        <w:t>With regard to</w:t>
      </w:r>
      <w:r w:rsidRPr="00823A2A">
        <w:rPr>
          <w:noProof/>
        </w:rPr>
        <w:t xml:space="preserve"> fraud, the </w:t>
      </w:r>
      <w:r w:rsidRPr="00D954C7">
        <w:rPr>
          <w:b/>
          <w:noProof/>
        </w:rPr>
        <w:t>most frequent</w:t>
      </w:r>
      <w:r w:rsidRPr="00823A2A">
        <w:rPr>
          <w:noProof/>
        </w:rPr>
        <w:t xml:space="preserve"> </w:t>
      </w:r>
      <w:r>
        <w:rPr>
          <w:b/>
          <w:noProof/>
        </w:rPr>
        <w:t>infringement</w:t>
      </w:r>
      <w:r w:rsidRPr="0062516D">
        <w:rPr>
          <w:b/>
          <w:noProof/>
        </w:rPr>
        <w:t>s</w:t>
      </w:r>
      <w:r w:rsidRPr="00823A2A">
        <w:rPr>
          <w:noProof/>
        </w:rPr>
        <w:t xml:space="preserve"> </w:t>
      </w:r>
      <w:r>
        <w:rPr>
          <w:b/>
          <w:noProof/>
        </w:rPr>
        <w:t>concerned</w:t>
      </w:r>
      <w:r w:rsidRPr="00FA2F63">
        <w:rPr>
          <w:noProof/>
        </w:rPr>
        <w:t xml:space="preserve"> </w:t>
      </w:r>
      <w:r w:rsidRPr="0062516D">
        <w:rPr>
          <w:b/>
          <w:noProof/>
        </w:rPr>
        <w:t>supporting documents</w:t>
      </w:r>
      <w:r w:rsidR="00975845">
        <w:rPr>
          <w:b/>
          <w:noProof/>
        </w:rPr>
        <w:t xml:space="preserve"> </w:t>
      </w:r>
      <w:r w:rsidR="00975845">
        <w:rPr>
          <w:bCs/>
          <w:noProof/>
        </w:rPr>
        <w:t>(reported in 46% of the fraudulent cases for the programming period 2014-2020)</w:t>
      </w:r>
      <w:r w:rsidRPr="00FA2F63">
        <w:rPr>
          <w:noProof/>
        </w:rPr>
        <w:t>.</w:t>
      </w:r>
      <w:r w:rsidRPr="000433E6">
        <w:rPr>
          <w:b/>
          <w:noProof/>
        </w:rPr>
        <w:t xml:space="preserve"> </w:t>
      </w:r>
      <w:r w:rsidRPr="00D954C7">
        <w:rPr>
          <w:noProof/>
        </w:rPr>
        <w:t xml:space="preserve">Fraudulent infringements of </w:t>
      </w:r>
      <w:r w:rsidRPr="00213A23">
        <w:rPr>
          <w:b/>
          <w:noProof/>
        </w:rPr>
        <w:t>contract provisions/rules</w:t>
      </w:r>
      <w:r w:rsidRPr="00D954C7">
        <w:rPr>
          <w:noProof/>
        </w:rPr>
        <w:t xml:space="preserve"> often consisted in non</w:t>
      </w:r>
      <w:r w:rsidRPr="00D954C7">
        <w:rPr>
          <w:noProof/>
        </w:rPr>
        <w:noBreakHyphen/>
        <w:t>impl</w:t>
      </w:r>
      <w:r>
        <w:rPr>
          <w:noProof/>
        </w:rPr>
        <w:t>ementation of the funded action</w:t>
      </w:r>
      <w:r w:rsidRPr="00D954C7">
        <w:rPr>
          <w:noProof/>
        </w:rPr>
        <w:t>.</w:t>
      </w:r>
      <w:r w:rsidRPr="008340B0">
        <w:rPr>
          <w:noProof/>
        </w:rPr>
        <w:t xml:space="preserve"> </w:t>
      </w:r>
      <w:r w:rsidRPr="00823A2A">
        <w:rPr>
          <w:noProof/>
        </w:rPr>
        <w:t>Infringement</w:t>
      </w:r>
      <w:r w:rsidRPr="00FA2F63">
        <w:rPr>
          <w:noProof/>
        </w:rPr>
        <w:t xml:space="preserve">s of </w:t>
      </w:r>
      <w:r w:rsidRPr="0062516D">
        <w:rPr>
          <w:b/>
          <w:noProof/>
        </w:rPr>
        <w:t>public procurement</w:t>
      </w:r>
      <w:r w:rsidRPr="00FA2F63">
        <w:rPr>
          <w:noProof/>
        </w:rPr>
        <w:t xml:space="preserve"> r</w:t>
      </w:r>
      <w:r>
        <w:rPr>
          <w:noProof/>
        </w:rPr>
        <w:t>ules were the most reported non</w:t>
      </w:r>
      <w:r>
        <w:rPr>
          <w:noProof/>
        </w:rPr>
        <w:noBreakHyphen/>
      </w:r>
      <w:r w:rsidRPr="00FA2F63">
        <w:rPr>
          <w:noProof/>
        </w:rPr>
        <w:t>fraudulent irregularities</w:t>
      </w:r>
      <w:r w:rsidR="00975845">
        <w:rPr>
          <w:noProof/>
        </w:rPr>
        <w:t xml:space="preserve"> (reported in 38% of the non-fraudulent irregularities related to the programming period 2014-2020)</w:t>
      </w:r>
      <w:r>
        <w:rPr>
          <w:noProof/>
        </w:rPr>
        <w:t>, but t</w:t>
      </w:r>
      <w:r w:rsidRPr="00823A2A">
        <w:rPr>
          <w:noProof/>
        </w:rPr>
        <w:t>hey rarely led to a suspicion of fraud</w:t>
      </w:r>
      <w:r>
        <w:rPr>
          <w:noProof/>
        </w:rPr>
        <w:t>. This</w:t>
      </w:r>
      <w:r w:rsidRPr="00287A4B">
        <w:rPr>
          <w:noProof/>
        </w:rPr>
        <w:t xml:space="preserve"> suggests </w:t>
      </w:r>
      <w:r w:rsidR="005771D7">
        <w:rPr>
          <w:noProof/>
        </w:rPr>
        <w:t xml:space="preserve">that </w:t>
      </w:r>
      <w:r w:rsidRPr="00287A4B">
        <w:rPr>
          <w:noProof/>
        </w:rPr>
        <w:t>either fraud detection or the administrative capability of contracting authorities</w:t>
      </w:r>
      <w:r w:rsidR="005771D7">
        <w:rPr>
          <w:noProof/>
        </w:rPr>
        <w:t xml:space="preserve"> needs to improve</w:t>
      </w:r>
      <w:r w:rsidRPr="00287A4B">
        <w:rPr>
          <w:noProof/>
        </w:rPr>
        <w:t xml:space="preserve">. </w:t>
      </w:r>
      <w:r w:rsidRPr="00AD5FB4">
        <w:rPr>
          <w:noProof/>
        </w:rPr>
        <w:t>Most fra</w:t>
      </w:r>
      <w:r>
        <w:rPr>
          <w:noProof/>
        </w:rPr>
        <w:t>u</w:t>
      </w:r>
      <w:r w:rsidRPr="00AD5FB4">
        <w:rPr>
          <w:noProof/>
        </w:rPr>
        <w:t xml:space="preserve">dulent </w:t>
      </w:r>
      <w:r>
        <w:rPr>
          <w:noProof/>
        </w:rPr>
        <w:t>infringement</w:t>
      </w:r>
      <w:r w:rsidRPr="00AD5FB4">
        <w:rPr>
          <w:noProof/>
        </w:rPr>
        <w:t xml:space="preserve">s concerning </w:t>
      </w:r>
      <w:r w:rsidRPr="0062516D">
        <w:rPr>
          <w:b/>
          <w:noProof/>
        </w:rPr>
        <w:t>ethics and integrity</w:t>
      </w:r>
      <w:r w:rsidRPr="00AD5FB4">
        <w:rPr>
          <w:noProof/>
        </w:rPr>
        <w:t xml:space="preserve"> were </w:t>
      </w:r>
      <w:r>
        <w:rPr>
          <w:noProof/>
        </w:rPr>
        <w:t>related to</w:t>
      </w:r>
      <w:r w:rsidRPr="00AD5FB4">
        <w:rPr>
          <w:noProof/>
        </w:rPr>
        <w:t xml:space="preserve"> </w:t>
      </w:r>
      <w:r w:rsidRPr="00205BA2">
        <w:rPr>
          <w:noProof/>
        </w:rPr>
        <w:t>conflict of interest</w:t>
      </w:r>
      <w:r w:rsidR="003629F8">
        <w:rPr>
          <w:noProof/>
        </w:rPr>
        <w:t> (</w:t>
      </w:r>
      <w:r w:rsidR="008C64D5" w:rsidRPr="00814B72">
        <w:rPr>
          <w:rStyle w:val="FootnoteReference"/>
          <w:noProof/>
        </w:rPr>
        <w:footnoteReference w:id="92"/>
      </w:r>
      <w:r w:rsidR="003629F8">
        <w:rPr>
          <w:noProof/>
        </w:rPr>
        <w:t>)</w:t>
      </w:r>
      <w:r w:rsidR="008C64D5" w:rsidRPr="00814B72">
        <w:rPr>
          <w:noProof/>
        </w:rPr>
        <w:t>.</w:t>
      </w:r>
    </w:p>
    <w:p w14:paraId="610BE601" w14:textId="089CA233" w:rsidR="00924DFB" w:rsidRPr="00814B72" w:rsidRDefault="004E724E" w:rsidP="008A6DCE">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102" w:name="_Toc105777775"/>
      <w:bookmarkStart w:id="103" w:name="_Toc110444019"/>
      <w:r w:rsidRPr="00814B72">
        <w:rPr>
          <w:noProof/>
        </w:rPr>
        <w:t xml:space="preserve">Snapshot </w:t>
      </w:r>
      <w:r w:rsidR="00472123">
        <w:rPr>
          <w:noProof/>
        </w:rPr>
        <w:fldChar w:fldCharType="begin"/>
      </w:r>
      <w:r w:rsidR="00472123">
        <w:rPr>
          <w:noProof/>
        </w:rPr>
        <w:instrText xml:space="preserve"> SEQ Snapshot \* ARABIC </w:instrText>
      </w:r>
      <w:r w:rsidR="00472123">
        <w:rPr>
          <w:noProof/>
        </w:rPr>
        <w:fldChar w:fldCharType="separate"/>
      </w:r>
      <w:r w:rsidR="008B6005">
        <w:rPr>
          <w:noProof/>
        </w:rPr>
        <w:t>10</w:t>
      </w:r>
      <w:r w:rsidR="00472123">
        <w:rPr>
          <w:noProof/>
        </w:rPr>
        <w:fldChar w:fldCharType="end"/>
      </w:r>
      <w:r w:rsidRPr="00814B72">
        <w:rPr>
          <w:noProof/>
        </w:rPr>
        <w:t xml:space="preserve"> – </w:t>
      </w:r>
      <w:bookmarkEnd w:id="102"/>
      <w:bookmarkEnd w:id="103"/>
      <w:r w:rsidR="00EC7DBB" w:rsidRPr="00814B72">
        <w:rPr>
          <w:noProof/>
        </w:rPr>
        <w:t>Detecting fraud and irregularities</w:t>
      </w:r>
      <w:r w:rsidR="00EC1B1E" w:rsidRPr="00814B72">
        <w:rPr>
          <w:noProof/>
        </w:rPr>
        <w:t xml:space="preserve"> in cohesion policy</w:t>
      </w:r>
    </w:p>
    <w:p w14:paraId="20839E2A" w14:textId="686D2E7A" w:rsidR="00EC7DBB" w:rsidRPr="00814B72" w:rsidRDefault="00DD64FD" w:rsidP="00E12048">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During 2020</w:t>
      </w:r>
      <w:r w:rsidRPr="00FA2F63">
        <w:rPr>
          <w:noProof/>
        </w:rPr>
        <w:t>-202</w:t>
      </w:r>
      <w:r>
        <w:rPr>
          <w:noProof/>
        </w:rPr>
        <w:t>4</w:t>
      </w:r>
      <w:r w:rsidRPr="00FA2F63">
        <w:rPr>
          <w:noProof/>
        </w:rPr>
        <w:t xml:space="preserve">, </w:t>
      </w:r>
      <w:r w:rsidRPr="0062516D">
        <w:rPr>
          <w:b/>
          <w:noProof/>
        </w:rPr>
        <w:t>risk analysis</w:t>
      </w:r>
      <w:r w:rsidRPr="00FA2F63">
        <w:rPr>
          <w:noProof/>
        </w:rPr>
        <w:t xml:space="preserve"> still </w:t>
      </w:r>
      <w:r>
        <w:rPr>
          <w:noProof/>
        </w:rPr>
        <w:t>only</w:t>
      </w:r>
      <w:r w:rsidRPr="00FA2F63">
        <w:rPr>
          <w:noProof/>
        </w:rPr>
        <w:t xml:space="preserve"> marginal</w:t>
      </w:r>
      <w:r>
        <w:rPr>
          <w:noProof/>
        </w:rPr>
        <w:t>ly</w:t>
      </w:r>
      <w:r w:rsidRPr="00FA2F63">
        <w:rPr>
          <w:noProof/>
        </w:rPr>
        <w:t xml:space="preserve"> contribut</w:t>
      </w:r>
      <w:r>
        <w:rPr>
          <w:noProof/>
        </w:rPr>
        <w:t>ed to</w:t>
      </w:r>
      <w:r w:rsidRPr="00FA2F63">
        <w:rPr>
          <w:noProof/>
        </w:rPr>
        <w:t xml:space="preserve"> detecting fraud, </w:t>
      </w:r>
      <w:r w:rsidR="005771D7" w:rsidRPr="00FA2F63">
        <w:rPr>
          <w:noProof/>
        </w:rPr>
        <w:t>w</w:t>
      </w:r>
      <w:r w:rsidR="005771D7">
        <w:rPr>
          <w:noProof/>
        </w:rPr>
        <w:t xml:space="preserve">ith </w:t>
      </w:r>
      <w:r w:rsidRPr="004B4B1F">
        <w:rPr>
          <w:b/>
          <w:noProof/>
        </w:rPr>
        <w:t>civil society</w:t>
      </w:r>
      <w:r>
        <w:rPr>
          <w:noProof/>
        </w:rPr>
        <w:t xml:space="preserve"> </w:t>
      </w:r>
      <w:r w:rsidR="005771D7">
        <w:rPr>
          <w:noProof/>
        </w:rPr>
        <w:t>playing</w:t>
      </w:r>
      <w:r w:rsidR="005771D7" w:rsidRPr="00FA2F63">
        <w:rPr>
          <w:noProof/>
        </w:rPr>
        <w:t xml:space="preserve"> a</w:t>
      </w:r>
      <w:r w:rsidR="005771D7">
        <w:rPr>
          <w:noProof/>
        </w:rPr>
        <w:t xml:space="preserve"> larger </w:t>
      </w:r>
      <w:r w:rsidR="005771D7" w:rsidRPr="00FA2F63">
        <w:rPr>
          <w:noProof/>
        </w:rPr>
        <w:t>role</w:t>
      </w:r>
      <w:r w:rsidR="005771D7">
        <w:rPr>
          <w:noProof/>
        </w:rPr>
        <w:t xml:space="preserve"> overall </w:t>
      </w:r>
      <w:r>
        <w:rPr>
          <w:noProof/>
        </w:rPr>
        <w:t xml:space="preserve">(including </w:t>
      </w:r>
      <w:r w:rsidRPr="004B4B1F">
        <w:rPr>
          <w:noProof/>
        </w:rPr>
        <w:t>tips from informants, whistle</w:t>
      </w:r>
      <w:r>
        <w:rPr>
          <w:noProof/>
        </w:rPr>
        <w:t>-</w:t>
      </w:r>
      <w:r w:rsidRPr="004B4B1F">
        <w:rPr>
          <w:noProof/>
        </w:rPr>
        <w:t xml:space="preserve">blowers </w:t>
      </w:r>
      <w:r>
        <w:rPr>
          <w:noProof/>
        </w:rPr>
        <w:t>and</w:t>
      </w:r>
      <w:r w:rsidRPr="004B4B1F">
        <w:rPr>
          <w:noProof/>
        </w:rPr>
        <w:t xml:space="preserve"> information published in the media</w:t>
      </w:r>
      <w:r w:rsidR="00943162">
        <w:rPr>
          <w:noProof/>
        </w:rPr>
        <w:t>)</w:t>
      </w:r>
      <w:r w:rsidR="00943162" w:rsidRPr="00FA2F63">
        <w:rPr>
          <w:noProof/>
        </w:rPr>
        <w:t>.</w:t>
      </w:r>
      <w:r>
        <w:rPr>
          <w:noProof/>
        </w:rPr>
        <w:t xml:space="preserve"> </w:t>
      </w:r>
      <w:r w:rsidR="005771D7">
        <w:rPr>
          <w:noProof/>
        </w:rPr>
        <w:t>For</w:t>
      </w:r>
      <w:r w:rsidR="00EC7DBB" w:rsidRPr="00814B72">
        <w:rPr>
          <w:noProof/>
        </w:rPr>
        <w:t xml:space="preserve"> </w:t>
      </w:r>
      <w:r w:rsidR="00EC7DBB" w:rsidRPr="00FB12F8">
        <w:rPr>
          <w:b/>
          <w:noProof/>
        </w:rPr>
        <w:t>non</w:t>
      </w:r>
      <w:r w:rsidR="001F2A91" w:rsidRPr="00FB12F8">
        <w:rPr>
          <w:b/>
          <w:noProof/>
        </w:rPr>
        <w:noBreakHyphen/>
      </w:r>
      <w:r w:rsidR="00EC7DBB" w:rsidRPr="00FB12F8">
        <w:rPr>
          <w:b/>
          <w:noProof/>
        </w:rPr>
        <w:t>fraudulent irregularities, neither risk analysis nor information from civil society</w:t>
      </w:r>
      <w:r w:rsidR="00EC7DBB" w:rsidRPr="00814B72">
        <w:rPr>
          <w:noProof/>
        </w:rPr>
        <w:t xml:space="preserve"> played a noticeable role in detection.</w:t>
      </w:r>
    </w:p>
    <w:p w14:paraId="74577703" w14:textId="1D1988EE" w:rsidR="00EC7DBB" w:rsidRDefault="00EC7DBB" w:rsidP="00E12048">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814B72">
        <w:rPr>
          <w:noProof/>
        </w:rPr>
        <w:t xml:space="preserve">The </w:t>
      </w:r>
      <w:r w:rsidR="005771D7">
        <w:rPr>
          <w:b/>
          <w:noProof/>
        </w:rPr>
        <w:t>f</w:t>
      </w:r>
      <w:r w:rsidR="005771D7" w:rsidRPr="00814B72">
        <w:rPr>
          <w:b/>
          <w:noProof/>
        </w:rPr>
        <w:t xml:space="preserve">raud </w:t>
      </w:r>
      <w:r w:rsidR="005771D7">
        <w:rPr>
          <w:b/>
          <w:noProof/>
        </w:rPr>
        <w:t>d</w:t>
      </w:r>
      <w:r w:rsidR="005771D7" w:rsidRPr="00814B72">
        <w:rPr>
          <w:b/>
          <w:noProof/>
        </w:rPr>
        <w:t xml:space="preserve">etection </w:t>
      </w:r>
      <w:r w:rsidR="005771D7">
        <w:rPr>
          <w:b/>
          <w:noProof/>
        </w:rPr>
        <w:t>r</w:t>
      </w:r>
      <w:r w:rsidR="005771D7" w:rsidRPr="00814B72">
        <w:rPr>
          <w:b/>
          <w:noProof/>
        </w:rPr>
        <w:t>ate</w:t>
      </w:r>
      <w:r w:rsidR="005771D7">
        <w:rPr>
          <w:b/>
          <w:noProof/>
        </w:rPr>
        <w:t> </w:t>
      </w:r>
      <w:r w:rsidR="003629F8">
        <w:rPr>
          <w:b/>
          <w:noProof/>
        </w:rPr>
        <w:t>(</w:t>
      </w:r>
      <w:r w:rsidR="002F6AD7" w:rsidRPr="00814B72">
        <w:rPr>
          <w:rStyle w:val="FootnoteReference"/>
          <w:b/>
          <w:noProof/>
        </w:rPr>
        <w:footnoteReference w:id="93"/>
      </w:r>
      <w:r w:rsidR="003629F8">
        <w:rPr>
          <w:b/>
          <w:noProof/>
        </w:rPr>
        <w:t>)</w:t>
      </w:r>
      <w:r w:rsidRPr="00814B72">
        <w:rPr>
          <w:noProof/>
        </w:rPr>
        <w:t xml:space="preserve"> </w:t>
      </w:r>
      <w:r w:rsidR="00DD64FD" w:rsidRPr="00DD64FD">
        <w:rPr>
          <w:noProof/>
        </w:rPr>
        <w:t>for the programming period 2014-2020 is 0.22%, which is lower than th</w:t>
      </w:r>
      <w:r w:rsidR="00DD64FD">
        <w:rPr>
          <w:noProof/>
        </w:rPr>
        <w:t>at</w:t>
      </w:r>
      <w:r w:rsidR="00DD64FD" w:rsidRPr="00DD64FD">
        <w:rPr>
          <w:noProof/>
        </w:rPr>
        <w:t xml:space="preserve"> recorded for the programming period 2007-2013</w:t>
      </w:r>
      <w:r w:rsidR="005771D7">
        <w:rPr>
          <w:noProof/>
        </w:rPr>
        <w:t xml:space="preserve"> (0.4</w:t>
      </w:r>
      <w:r w:rsidR="002875CF">
        <w:rPr>
          <w:noProof/>
        </w:rPr>
        <w:t>2</w:t>
      </w:r>
      <w:r w:rsidR="005771D7">
        <w:rPr>
          <w:noProof/>
        </w:rPr>
        <w:t>%)</w:t>
      </w:r>
      <w:r w:rsidRPr="00814B72">
        <w:rPr>
          <w:noProof/>
        </w:rPr>
        <w:t xml:space="preserve">. The </w:t>
      </w:r>
      <w:r w:rsidR="005771D7">
        <w:rPr>
          <w:b/>
          <w:noProof/>
        </w:rPr>
        <w:t>i</w:t>
      </w:r>
      <w:r w:rsidR="005771D7" w:rsidRPr="00814B72">
        <w:rPr>
          <w:b/>
          <w:noProof/>
        </w:rPr>
        <w:t xml:space="preserve">rregularity </w:t>
      </w:r>
      <w:r w:rsidR="005771D7">
        <w:rPr>
          <w:b/>
          <w:noProof/>
        </w:rPr>
        <w:t>d</w:t>
      </w:r>
      <w:r w:rsidR="005771D7" w:rsidRPr="00814B72">
        <w:rPr>
          <w:b/>
          <w:noProof/>
        </w:rPr>
        <w:t>etection</w:t>
      </w:r>
      <w:r w:rsidR="005771D7" w:rsidRPr="00814B72">
        <w:rPr>
          <w:noProof/>
        </w:rPr>
        <w:t xml:space="preserve"> </w:t>
      </w:r>
      <w:r w:rsidR="005771D7">
        <w:rPr>
          <w:b/>
          <w:noProof/>
        </w:rPr>
        <w:t>r</w:t>
      </w:r>
      <w:r w:rsidR="005771D7" w:rsidRPr="00814B72">
        <w:rPr>
          <w:b/>
          <w:noProof/>
        </w:rPr>
        <w:t>ate</w:t>
      </w:r>
      <w:r w:rsidR="005771D7">
        <w:rPr>
          <w:b/>
          <w:noProof/>
        </w:rPr>
        <w:t> </w:t>
      </w:r>
      <w:r w:rsidR="00095CBF">
        <w:rPr>
          <w:b/>
          <w:noProof/>
        </w:rPr>
        <w:t>(</w:t>
      </w:r>
      <w:r w:rsidR="002F6AD7" w:rsidRPr="00814B72">
        <w:rPr>
          <w:rStyle w:val="FootnoteReference"/>
          <w:b/>
          <w:noProof/>
        </w:rPr>
        <w:footnoteReference w:id="94"/>
      </w:r>
      <w:r w:rsidR="00095CBF">
        <w:rPr>
          <w:b/>
          <w:noProof/>
        </w:rPr>
        <w:t>)</w:t>
      </w:r>
      <w:r w:rsidRPr="00814B72">
        <w:rPr>
          <w:noProof/>
        </w:rPr>
        <w:t xml:space="preserve"> </w:t>
      </w:r>
      <w:r w:rsidR="00DD64FD" w:rsidRPr="00DD64FD">
        <w:rPr>
          <w:noProof/>
        </w:rPr>
        <w:t>is 0.76%, which is much lower than the rate recorded for the programming period 2007 2013 (2.5%). Detection and reporting vary significantly between Member States</w:t>
      </w:r>
      <w:r w:rsidR="00A83DF0">
        <w:rPr>
          <w:noProof/>
        </w:rPr>
        <w:t>;</w:t>
      </w:r>
      <w:r w:rsidR="00AA05B6">
        <w:rPr>
          <w:noProof/>
        </w:rPr>
        <w:t xml:space="preserve"> </w:t>
      </w:r>
      <w:r w:rsidR="00A83DF0">
        <w:rPr>
          <w:noProof/>
        </w:rPr>
        <w:t xml:space="preserve">this </w:t>
      </w:r>
      <w:r w:rsidR="00AA05B6">
        <w:rPr>
          <w:noProof/>
        </w:rPr>
        <w:t>is an issue which needs to be addressed</w:t>
      </w:r>
      <w:r w:rsidR="00DD64FD" w:rsidRPr="00DD64FD">
        <w:rPr>
          <w:noProof/>
        </w:rPr>
        <w:t>.</w:t>
      </w:r>
    </w:p>
    <w:p w14:paraId="23325DF5" w14:textId="77777777" w:rsidR="00FB5CF5" w:rsidRPr="00C135E0" w:rsidRDefault="00242D48" w:rsidP="008C7C14">
      <w:pPr>
        <w:pStyle w:val="Heading3"/>
        <w:rPr>
          <w:noProof/>
        </w:rPr>
      </w:pPr>
      <w:bookmarkStart w:id="104" w:name="_Other_budgetary_areas"/>
      <w:bookmarkStart w:id="105" w:name="_Toc202011346"/>
      <w:bookmarkStart w:id="106" w:name="_Toc203477683"/>
      <w:bookmarkEnd w:id="104"/>
      <w:r w:rsidRPr="00C135E0">
        <w:rPr>
          <w:noProof/>
        </w:rPr>
        <w:t>Other budgetary areas</w:t>
      </w:r>
      <w:r w:rsidR="00095CBF" w:rsidRPr="00C135E0">
        <w:rPr>
          <w:noProof/>
        </w:rPr>
        <w:t> </w:t>
      </w:r>
      <w:r w:rsidR="00095CBF" w:rsidRPr="00C135E0">
        <w:rPr>
          <w:bCs/>
          <w:noProof/>
        </w:rPr>
        <w:t>(</w:t>
      </w:r>
      <w:r w:rsidR="00090FE0" w:rsidRPr="00C135E0">
        <w:rPr>
          <w:rStyle w:val="FootnoteReference"/>
          <w:b w:val="0"/>
          <w:bCs/>
          <w:noProof/>
        </w:rPr>
        <w:footnoteReference w:id="95"/>
      </w:r>
      <w:r w:rsidR="00095CBF" w:rsidRPr="00C135E0">
        <w:rPr>
          <w:bCs/>
          <w:noProof/>
        </w:rPr>
        <w:t>)</w:t>
      </w:r>
      <w:bookmarkEnd w:id="105"/>
      <w:bookmarkEnd w:id="106"/>
    </w:p>
    <w:p w14:paraId="5E4B447D" w14:textId="500A6F07" w:rsidR="002E7CF0" w:rsidRPr="00814B72" w:rsidRDefault="00C019E8" w:rsidP="00D933F0">
      <w:pPr>
        <w:rPr>
          <w:noProof/>
        </w:rPr>
      </w:pPr>
      <w:r w:rsidRPr="00814B72">
        <w:rPr>
          <w:noProof/>
        </w:rPr>
        <w:t>Several</w:t>
      </w:r>
      <w:r w:rsidR="00830A0E" w:rsidRPr="00814B72">
        <w:rPr>
          <w:noProof/>
        </w:rPr>
        <w:t xml:space="preserve"> funds, implemented under shared management, support </w:t>
      </w:r>
      <w:r w:rsidR="00830A0E" w:rsidRPr="00814B72">
        <w:rPr>
          <w:b/>
          <w:noProof/>
        </w:rPr>
        <w:t>other internal policies</w:t>
      </w:r>
      <w:r w:rsidR="00A83DF0">
        <w:rPr>
          <w:noProof/>
        </w:rPr>
        <w:t>. These include</w:t>
      </w:r>
      <w:r w:rsidR="00A83DF0" w:rsidRPr="00814B72">
        <w:rPr>
          <w:noProof/>
        </w:rPr>
        <w:t xml:space="preserve"> </w:t>
      </w:r>
      <w:r w:rsidR="009C0BF5" w:rsidRPr="00814B72">
        <w:rPr>
          <w:noProof/>
        </w:rPr>
        <w:t xml:space="preserve">the </w:t>
      </w:r>
      <w:r w:rsidR="009A2406">
        <w:rPr>
          <w:noProof/>
        </w:rPr>
        <w:t>Y</w:t>
      </w:r>
      <w:r w:rsidR="00830A0E" w:rsidRPr="00814B72">
        <w:rPr>
          <w:noProof/>
        </w:rPr>
        <w:t xml:space="preserve">outh </w:t>
      </w:r>
      <w:r w:rsidR="009A2406">
        <w:rPr>
          <w:noProof/>
        </w:rPr>
        <w:t>E</w:t>
      </w:r>
      <w:r w:rsidR="00830A0E" w:rsidRPr="00814B72">
        <w:rPr>
          <w:noProof/>
        </w:rPr>
        <w:t xml:space="preserve">mployment </w:t>
      </w:r>
      <w:r w:rsidR="009A2406">
        <w:rPr>
          <w:noProof/>
        </w:rPr>
        <w:t>I</w:t>
      </w:r>
      <w:r w:rsidR="009C0BF5" w:rsidRPr="00814B72">
        <w:rPr>
          <w:noProof/>
        </w:rPr>
        <w:t>nitiative</w:t>
      </w:r>
      <w:r w:rsidR="00361A7B">
        <w:rPr>
          <w:noProof/>
        </w:rPr>
        <w:t xml:space="preserve"> (YEI)</w:t>
      </w:r>
      <w:r w:rsidR="00095CBF">
        <w:rPr>
          <w:noProof/>
        </w:rPr>
        <w:t> (</w:t>
      </w:r>
      <w:r w:rsidR="00830A0E" w:rsidRPr="00814B72">
        <w:rPr>
          <w:rStyle w:val="FootnoteReference"/>
          <w:noProof/>
        </w:rPr>
        <w:footnoteReference w:id="96"/>
      </w:r>
      <w:r w:rsidR="00095CBF">
        <w:rPr>
          <w:noProof/>
        </w:rPr>
        <w:t>)</w:t>
      </w:r>
      <w:r w:rsidR="009C0BF5" w:rsidRPr="00814B72">
        <w:rPr>
          <w:noProof/>
        </w:rPr>
        <w:t xml:space="preserve">, the </w:t>
      </w:r>
      <w:r w:rsidR="009A2406">
        <w:rPr>
          <w:noProof/>
        </w:rPr>
        <w:t>F</w:t>
      </w:r>
      <w:r w:rsidR="009C0BF5" w:rsidRPr="00814B72">
        <w:rPr>
          <w:noProof/>
        </w:rPr>
        <w:t xml:space="preserve">und for </w:t>
      </w:r>
      <w:r w:rsidR="009A2406">
        <w:rPr>
          <w:noProof/>
        </w:rPr>
        <w:t>European A</w:t>
      </w:r>
      <w:r w:rsidR="009C0BF5" w:rsidRPr="00814B72">
        <w:rPr>
          <w:noProof/>
        </w:rPr>
        <w:t xml:space="preserve">id to the </w:t>
      </w:r>
      <w:r w:rsidR="009A2406">
        <w:rPr>
          <w:noProof/>
        </w:rPr>
        <w:t>M</w:t>
      </w:r>
      <w:r w:rsidR="009C0BF5" w:rsidRPr="00814B72">
        <w:rPr>
          <w:noProof/>
        </w:rPr>
        <w:t xml:space="preserve">ost </w:t>
      </w:r>
      <w:r w:rsidR="009A2406">
        <w:rPr>
          <w:noProof/>
        </w:rPr>
        <w:t>D</w:t>
      </w:r>
      <w:r w:rsidR="009C0BF5" w:rsidRPr="00814B72">
        <w:rPr>
          <w:noProof/>
        </w:rPr>
        <w:t xml:space="preserve">eprived (FEAD), </w:t>
      </w:r>
      <w:r w:rsidR="00900ADB">
        <w:rPr>
          <w:noProof/>
        </w:rPr>
        <w:t>the I</w:t>
      </w:r>
      <w:r w:rsidR="009C0BF5" w:rsidRPr="00814B72">
        <w:rPr>
          <w:noProof/>
        </w:rPr>
        <w:t xml:space="preserve">nternal </w:t>
      </w:r>
      <w:r w:rsidR="00900ADB">
        <w:rPr>
          <w:noProof/>
        </w:rPr>
        <w:t>S</w:t>
      </w:r>
      <w:r w:rsidR="009C0BF5" w:rsidRPr="00814B72">
        <w:rPr>
          <w:noProof/>
        </w:rPr>
        <w:t>ecurity</w:t>
      </w:r>
      <w:r w:rsidR="00900ADB">
        <w:rPr>
          <w:noProof/>
        </w:rPr>
        <w:t xml:space="preserve"> Fund</w:t>
      </w:r>
      <w:r w:rsidR="009C0BF5" w:rsidRPr="00814B72">
        <w:rPr>
          <w:noProof/>
        </w:rPr>
        <w:t xml:space="preserve">, the </w:t>
      </w:r>
      <w:r w:rsidR="00361A7B">
        <w:rPr>
          <w:noProof/>
        </w:rPr>
        <w:t>Just Transition Fund</w:t>
      </w:r>
      <w:r w:rsidR="009C0BF5" w:rsidRPr="00814B72">
        <w:rPr>
          <w:noProof/>
        </w:rPr>
        <w:t xml:space="preserve">, and the </w:t>
      </w:r>
      <w:r w:rsidR="00900ADB">
        <w:rPr>
          <w:noProof/>
        </w:rPr>
        <w:t>A</w:t>
      </w:r>
      <w:r w:rsidR="009C0BF5" w:rsidRPr="00814B72">
        <w:rPr>
          <w:noProof/>
        </w:rPr>
        <w:t xml:space="preserve">sylum, </w:t>
      </w:r>
      <w:r w:rsidR="00900ADB">
        <w:rPr>
          <w:noProof/>
        </w:rPr>
        <w:t>M</w:t>
      </w:r>
      <w:r w:rsidR="009C0BF5" w:rsidRPr="00814B72">
        <w:rPr>
          <w:noProof/>
        </w:rPr>
        <w:t xml:space="preserve">igration and </w:t>
      </w:r>
      <w:r w:rsidR="00900ADB">
        <w:rPr>
          <w:noProof/>
        </w:rPr>
        <w:t>I</w:t>
      </w:r>
      <w:r w:rsidR="009C0BF5" w:rsidRPr="00814B72">
        <w:rPr>
          <w:noProof/>
        </w:rPr>
        <w:t>ntegration</w:t>
      </w:r>
      <w:r w:rsidR="00900ADB">
        <w:rPr>
          <w:noProof/>
        </w:rPr>
        <w:t xml:space="preserve"> Fund</w:t>
      </w:r>
      <w:r w:rsidR="009C0BF5" w:rsidRPr="00814B72">
        <w:rPr>
          <w:noProof/>
        </w:rPr>
        <w:t xml:space="preserve">. </w:t>
      </w:r>
      <w:r w:rsidR="00361A7B">
        <w:rPr>
          <w:noProof/>
        </w:rPr>
        <w:t>Since 2016</w:t>
      </w:r>
      <w:r w:rsidR="009C0BF5" w:rsidRPr="00814B72">
        <w:rPr>
          <w:noProof/>
        </w:rPr>
        <w:t xml:space="preserve">, </w:t>
      </w:r>
      <w:r w:rsidR="00361A7B">
        <w:rPr>
          <w:noProof/>
        </w:rPr>
        <w:t xml:space="preserve">Member States reported </w:t>
      </w:r>
      <w:r w:rsidR="00553DBD">
        <w:rPr>
          <w:noProof/>
        </w:rPr>
        <w:t>340</w:t>
      </w:r>
      <w:r w:rsidR="002C4038" w:rsidRPr="00814B72">
        <w:rPr>
          <w:noProof/>
        </w:rPr>
        <w:t xml:space="preserve"> </w:t>
      </w:r>
      <w:r w:rsidR="009C0BF5" w:rsidRPr="00814B72">
        <w:rPr>
          <w:noProof/>
        </w:rPr>
        <w:t>irregularities</w:t>
      </w:r>
      <w:r w:rsidR="0069536E">
        <w:rPr>
          <w:noProof/>
        </w:rPr>
        <w:t xml:space="preserve"> </w:t>
      </w:r>
      <w:r w:rsidR="0069536E" w:rsidRPr="00814B72">
        <w:rPr>
          <w:noProof/>
        </w:rPr>
        <w:t>(of which 3</w:t>
      </w:r>
      <w:r w:rsidR="00553DBD">
        <w:rPr>
          <w:noProof/>
        </w:rPr>
        <w:t>5</w:t>
      </w:r>
      <w:r w:rsidR="0069536E" w:rsidRPr="00814B72">
        <w:rPr>
          <w:noProof/>
        </w:rPr>
        <w:t xml:space="preserve"> as fraudulent</w:t>
      </w:r>
      <w:r w:rsidR="00361A7B">
        <w:rPr>
          <w:noProof/>
        </w:rPr>
        <w:t>, mostly related to YEI and FEAD</w:t>
      </w:r>
      <w:r w:rsidR="0069536E" w:rsidRPr="00814B72">
        <w:rPr>
          <w:noProof/>
        </w:rPr>
        <w:t>)</w:t>
      </w:r>
      <w:r w:rsidR="009C0BF5" w:rsidRPr="00814B72">
        <w:rPr>
          <w:noProof/>
        </w:rPr>
        <w:t>, involving EUR 5</w:t>
      </w:r>
      <w:r w:rsidR="00553DBD">
        <w:rPr>
          <w:noProof/>
        </w:rPr>
        <w:t>8.8</w:t>
      </w:r>
      <w:r w:rsidR="009C0BF5" w:rsidRPr="00814B72">
        <w:rPr>
          <w:noProof/>
        </w:rPr>
        <w:t xml:space="preserve"> million </w:t>
      </w:r>
      <w:r w:rsidR="00A83DF0">
        <w:rPr>
          <w:noProof/>
        </w:rPr>
        <w:t>in</w:t>
      </w:r>
      <w:r w:rsidR="00A83DF0" w:rsidRPr="00814B72">
        <w:rPr>
          <w:noProof/>
        </w:rPr>
        <w:t xml:space="preserve"> </w:t>
      </w:r>
      <w:r w:rsidR="009C0BF5" w:rsidRPr="00814B72">
        <w:rPr>
          <w:noProof/>
        </w:rPr>
        <w:t xml:space="preserve">irregular amounts (of which </w:t>
      </w:r>
      <w:r w:rsidR="00A83DF0" w:rsidRPr="00814B72">
        <w:rPr>
          <w:noProof/>
        </w:rPr>
        <w:t>EUR</w:t>
      </w:r>
      <w:r w:rsidR="00A83DF0">
        <w:rPr>
          <w:noProof/>
        </w:rPr>
        <w:t> </w:t>
      </w:r>
      <w:r w:rsidR="009C0BF5" w:rsidRPr="00814B72">
        <w:rPr>
          <w:noProof/>
        </w:rPr>
        <w:t>8.</w:t>
      </w:r>
      <w:r w:rsidR="00553DBD">
        <w:rPr>
          <w:noProof/>
        </w:rPr>
        <w:t>4</w:t>
      </w:r>
      <w:r w:rsidR="009C0BF5" w:rsidRPr="00814B72">
        <w:rPr>
          <w:noProof/>
        </w:rPr>
        <w:t xml:space="preserve"> million </w:t>
      </w:r>
      <w:r w:rsidR="0013312B">
        <w:rPr>
          <w:noProof/>
        </w:rPr>
        <w:t xml:space="preserve">was </w:t>
      </w:r>
      <w:r w:rsidR="009C0BF5" w:rsidRPr="00814B72">
        <w:rPr>
          <w:noProof/>
        </w:rPr>
        <w:t xml:space="preserve">linked to fraudulent irregularities, mostly </w:t>
      </w:r>
      <w:r w:rsidR="00361A7B">
        <w:rPr>
          <w:noProof/>
        </w:rPr>
        <w:t xml:space="preserve">related to </w:t>
      </w:r>
      <w:r w:rsidR="009C0BF5" w:rsidRPr="00814B72">
        <w:rPr>
          <w:noProof/>
        </w:rPr>
        <w:t xml:space="preserve">FEAD). </w:t>
      </w:r>
      <w:r w:rsidR="007B65ED" w:rsidRPr="00814B72">
        <w:rPr>
          <w:noProof/>
        </w:rPr>
        <w:t>Of these, 4</w:t>
      </w:r>
      <w:r w:rsidR="0067576F">
        <w:rPr>
          <w:noProof/>
        </w:rPr>
        <w:t>2</w:t>
      </w:r>
      <w:r w:rsidR="007B65ED" w:rsidRPr="00814B72">
        <w:rPr>
          <w:noProof/>
        </w:rPr>
        <w:t xml:space="preserve"> irregularities were reported in 202</w:t>
      </w:r>
      <w:r w:rsidR="0067576F">
        <w:rPr>
          <w:noProof/>
        </w:rPr>
        <w:t>4</w:t>
      </w:r>
      <w:r w:rsidR="007B65ED" w:rsidRPr="00814B72">
        <w:rPr>
          <w:noProof/>
        </w:rPr>
        <w:t>, for a total irregular amount of EUR </w:t>
      </w:r>
      <w:r w:rsidR="0067576F">
        <w:rPr>
          <w:noProof/>
        </w:rPr>
        <w:t>3</w:t>
      </w:r>
      <w:r w:rsidR="007B65ED" w:rsidRPr="00814B72">
        <w:rPr>
          <w:noProof/>
        </w:rPr>
        <w:t>.</w:t>
      </w:r>
      <w:r w:rsidR="0067576F">
        <w:rPr>
          <w:noProof/>
        </w:rPr>
        <w:t>9</w:t>
      </w:r>
      <w:r w:rsidR="007B65ED" w:rsidRPr="00814B72">
        <w:rPr>
          <w:noProof/>
        </w:rPr>
        <w:t xml:space="preserve"> million.</w:t>
      </w:r>
    </w:p>
    <w:p w14:paraId="088F4A01" w14:textId="7F0A851C" w:rsidR="00D933F0" w:rsidRPr="00814B72" w:rsidRDefault="00A83DF0" w:rsidP="00D933F0">
      <w:pPr>
        <w:rPr>
          <w:noProof/>
        </w:rPr>
      </w:pPr>
      <w:r>
        <w:rPr>
          <w:noProof/>
        </w:rPr>
        <w:t xml:space="preserve">Since 2007, </w:t>
      </w:r>
      <w:r w:rsidR="00E36DED" w:rsidRPr="00814B72">
        <w:rPr>
          <w:noProof/>
        </w:rPr>
        <w:t xml:space="preserve">the EU has </w:t>
      </w:r>
      <w:r>
        <w:rPr>
          <w:noProof/>
        </w:rPr>
        <w:t xml:space="preserve">used </w:t>
      </w:r>
      <w:r w:rsidRPr="002326B8">
        <w:rPr>
          <w:b/>
          <w:bCs/>
          <w:noProof/>
        </w:rPr>
        <w:t>the Instrument for Pre-Accession Assistance</w:t>
      </w:r>
      <w:r w:rsidRPr="00A83DF0">
        <w:rPr>
          <w:noProof/>
        </w:rPr>
        <w:t xml:space="preserve"> (IPA) </w:t>
      </w:r>
      <w:r>
        <w:rPr>
          <w:noProof/>
        </w:rPr>
        <w:t xml:space="preserve">to provide financial and technical assistance to </w:t>
      </w:r>
      <w:r w:rsidR="00E36DED" w:rsidRPr="00814B72">
        <w:rPr>
          <w:noProof/>
        </w:rPr>
        <w:t xml:space="preserve">support reforms in the enlargement </w:t>
      </w:r>
      <w:r>
        <w:rPr>
          <w:noProof/>
        </w:rPr>
        <w:t>countries</w:t>
      </w:r>
      <w:r w:rsidR="00E36DED" w:rsidRPr="00814B72">
        <w:rPr>
          <w:noProof/>
        </w:rPr>
        <w:t xml:space="preserve">. Irregularities reported </w:t>
      </w:r>
      <w:r w:rsidR="00294DCB" w:rsidRPr="00814B72">
        <w:rPr>
          <w:noProof/>
        </w:rPr>
        <w:t xml:space="preserve">by the </w:t>
      </w:r>
      <w:r w:rsidR="00B9620C" w:rsidRPr="00814B72">
        <w:rPr>
          <w:noProof/>
        </w:rPr>
        <w:t>b</w:t>
      </w:r>
      <w:r w:rsidR="00294DCB" w:rsidRPr="00814B72">
        <w:rPr>
          <w:noProof/>
        </w:rPr>
        <w:t xml:space="preserve">eneficiary countries </w:t>
      </w:r>
      <w:r>
        <w:rPr>
          <w:noProof/>
        </w:rPr>
        <w:t xml:space="preserve">between </w:t>
      </w:r>
      <w:r w:rsidR="00E36DED" w:rsidRPr="00814B72">
        <w:rPr>
          <w:noProof/>
        </w:rPr>
        <w:t>20</w:t>
      </w:r>
      <w:r w:rsidR="0067576F">
        <w:rPr>
          <w:noProof/>
        </w:rPr>
        <w:t>20</w:t>
      </w:r>
      <w:r>
        <w:rPr>
          <w:noProof/>
        </w:rPr>
        <w:t xml:space="preserve"> and </w:t>
      </w:r>
      <w:r w:rsidR="00E36DED" w:rsidRPr="00814B72">
        <w:rPr>
          <w:noProof/>
        </w:rPr>
        <w:t>202</w:t>
      </w:r>
      <w:r w:rsidR="0067576F">
        <w:rPr>
          <w:noProof/>
        </w:rPr>
        <w:t>4</w:t>
      </w:r>
      <w:r w:rsidR="00E36DED" w:rsidRPr="00814B72">
        <w:rPr>
          <w:noProof/>
        </w:rPr>
        <w:t xml:space="preserve"> in relation to pre-accession mainly </w:t>
      </w:r>
      <w:r w:rsidR="001E3661">
        <w:rPr>
          <w:noProof/>
        </w:rPr>
        <w:t>involved</w:t>
      </w:r>
      <w:r w:rsidR="001E3661" w:rsidRPr="00814B72">
        <w:rPr>
          <w:noProof/>
        </w:rPr>
        <w:t xml:space="preserve"> </w:t>
      </w:r>
      <w:r w:rsidR="00E36DED" w:rsidRPr="00814B72">
        <w:rPr>
          <w:noProof/>
        </w:rPr>
        <w:t>funds distributed under the 2007-2013 Instrument for Pre-</w:t>
      </w:r>
      <w:r>
        <w:rPr>
          <w:noProof/>
        </w:rPr>
        <w:t>A</w:t>
      </w:r>
      <w:r w:rsidRPr="00814B72">
        <w:rPr>
          <w:noProof/>
        </w:rPr>
        <w:t xml:space="preserve">ccession </w:t>
      </w:r>
      <w:r w:rsidR="00E36DED" w:rsidRPr="00814B72">
        <w:rPr>
          <w:noProof/>
        </w:rPr>
        <w:t xml:space="preserve">Assistance I (IPA I) and the 2014-2020 IPA II. </w:t>
      </w:r>
      <w:r w:rsidR="00FE0E2B" w:rsidRPr="00814B72">
        <w:rPr>
          <w:noProof/>
        </w:rPr>
        <w:t>In 202</w:t>
      </w:r>
      <w:r w:rsidR="0067576F">
        <w:rPr>
          <w:noProof/>
        </w:rPr>
        <w:t>4</w:t>
      </w:r>
      <w:r w:rsidR="00294DCB" w:rsidRPr="00814B72">
        <w:rPr>
          <w:noProof/>
        </w:rPr>
        <w:t xml:space="preserve">, </w:t>
      </w:r>
      <w:r w:rsidR="0067576F">
        <w:rPr>
          <w:noProof/>
        </w:rPr>
        <w:t>17 irregularities were reported as fraudulent, involving EUR 2.</w:t>
      </w:r>
      <w:r w:rsidR="002875CF">
        <w:rPr>
          <w:noProof/>
        </w:rPr>
        <w:t>4 </w:t>
      </w:r>
      <w:r w:rsidR="0067576F">
        <w:rPr>
          <w:noProof/>
        </w:rPr>
        <w:t>million</w:t>
      </w:r>
      <w:r w:rsidR="00294DCB" w:rsidRPr="00814B72">
        <w:rPr>
          <w:noProof/>
        </w:rPr>
        <w:t>.</w:t>
      </w:r>
      <w:r w:rsidR="00FE0E2B" w:rsidRPr="00814B72">
        <w:rPr>
          <w:noProof/>
        </w:rPr>
        <w:t xml:space="preserve"> </w:t>
      </w:r>
      <w:r w:rsidR="00294DCB" w:rsidRPr="00814B72">
        <w:rPr>
          <w:noProof/>
        </w:rPr>
        <w:t>T</w:t>
      </w:r>
      <w:r w:rsidR="00FE0E2B" w:rsidRPr="00814B72">
        <w:rPr>
          <w:noProof/>
        </w:rPr>
        <w:t xml:space="preserve">he number of reported </w:t>
      </w:r>
      <w:r w:rsidR="00294DCB" w:rsidRPr="00814B72">
        <w:rPr>
          <w:noProof/>
        </w:rPr>
        <w:t xml:space="preserve">non-fraudulent </w:t>
      </w:r>
      <w:r w:rsidR="00FE0E2B" w:rsidRPr="00814B72">
        <w:rPr>
          <w:noProof/>
        </w:rPr>
        <w:t>irregularities</w:t>
      </w:r>
      <w:r w:rsidR="00294DCB" w:rsidRPr="00814B72">
        <w:rPr>
          <w:noProof/>
        </w:rPr>
        <w:t xml:space="preserve"> increased in 202</w:t>
      </w:r>
      <w:r w:rsidR="0067576F">
        <w:rPr>
          <w:noProof/>
        </w:rPr>
        <w:t>4 to 316 (</w:t>
      </w:r>
      <w:r>
        <w:rPr>
          <w:noProof/>
        </w:rPr>
        <w:t xml:space="preserve">up </w:t>
      </w:r>
      <w:r w:rsidR="0067576F">
        <w:rPr>
          <w:noProof/>
        </w:rPr>
        <w:t>from 242 in 2023), involving irregular financial amounts</w:t>
      </w:r>
      <w:r w:rsidR="00AC5708" w:rsidRPr="00814B72">
        <w:rPr>
          <w:noProof/>
        </w:rPr>
        <w:t xml:space="preserve"> </w:t>
      </w:r>
      <w:r w:rsidR="00A873F9">
        <w:rPr>
          <w:noProof/>
        </w:rPr>
        <w:t>worth EUR 22.5 million</w:t>
      </w:r>
      <w:r w:rsidR="00E36DED" w:rsidRPr="00814B72">
        <w:rPr>
          <w:noProof/>
        </w:rPr>
        <w:t>.</w:t>
      </w:r>
    </w:p>
    <w:p w14:paraId="7C16ACA0" w14:textId="51A17630" w:rsidR="00E36DED" w:rsidRDefault="002875CF" w:rsidP="00D933F0">
      <w:pPr>
        <w:rPr>
          <w:noProof/>
        </w:rPr>
      </w:pPr>
      <w:r>
        <w:rPr>
          <w:noProof/>
        </w:rPr>
        <w:t>On</w:t>
      </w:r>
      <w:r w:rsidR="00661094">
        <w:rPr>
          <w:noProof/>
        </w:rPr>
        <w:t xml:space="preserve"> </w:t>
      </w:r>
      <w:r w:rsidR="00FE0E2B" w:rsidRPr="00814B72">
        <w:rPr>
          <w:noProof/>
        </w:rPr>
        <w:t>e</w:t>
      </w:r>
      <w:r w:rsidR="00E36DED" w:rsidRPr="00814B72">
        <w:rPr>
          <w:noProof/>
        </w:rPr>
        <w:t xml:space="preserve">xpenditure disbursed under </w:t>
      </w:r>
      <w:r w:rsidR="00E36DED" w:rsidRPr="00814B72">
        <w:rPr>
          <w:b/>
          <w:noProof/>
        </w:rPr>
        <w:t>direct management</w:t>
      </w:r>
      <w:r w:rsidR="00076E19">
        <w:rPr>
          <w:b/>
          <w:noProof/>
        </w:rPr>
        <w:t xml:space="preserve"> </w:t>
      </w:r>
      <w:r w:rsidR="00076E19">
        <w:rPr>
          <w:noProof/>
        </w:rPr>
        <w:t>(non-RRF)</w:t>
      </w:r>
      <w:r w:rsidR="00661094">
        <w:rPr>
          <w:noProof/>
        </w:rPr>
        <w:t>, in 2024 1 040 recovery items classified as irregularities were recorded in ABAC, for a total value of EUR 135.4 million.</w:t>
      </w:r>
      <w:r w:rsidR="00E36DED" w:rsidRPr="00814B72">
        <w:rPr>
          <w:b/>
          <w:noProof/>
        </w:rPr>
        <w:t xml:space="preserve"> </w:t>
      </w:r>
      <w:r w:rsidR="00661094" w:rsidRPr="00661094">
        <w:rPr>
          <w:noProof/>
        </w:rPr>
        <w:t>Of these</w:t>
      </w:r>
      <w:r w:rsidR="00661094">
        <w:rPr>
          <w:noProof/>
        </w:rPr>
        <w:t>, 63 were reported as fraudulent, amounting to EUR 62.4 million. About</w:t>
      </w:r>
      <w:r w:rsidR="005B7BB0" w:rsidRPr="00814B72">
        <w:rPr>
          <w:noProof/>
        </w:rPr>
        <w:t xml:space="preserve"> </w:t>
      </w:r>
      <w:r w:rsidR="00661094">
        <w:rPr>
          <w:noProof/>
        </w:rPr>
        <w:t>90</w:t>
      </w:r>
      <w:r w:rsidR="005B7BB0" w:rsidRPr="00814B72">
        <w:rPr>
          <w:noProof/>
        </w:rPr>
        <w:t xml:space="preserve">% of the irregularities identified as potentially fraudulent were </w:t>
      </w:r>
      <w:r w:rsidR="005B7BB0" w:rsidRPr="00FB12F8">
        <w:rPr>
          <w:b/>
          <w:noProof/>
        </w:rPr>
        <w:t>detected following OLAF investigations</w:t>
      </w:r>
      <w:r w:rsidR="005B7BB0" w:rsidRPr="00814B72">
        <w:rPr>
          <w:noProof/>
        </w:rPr>
        <w:t>.</w:t>
      </w:r>
      <w:r w:rsidR="00076E19">
        <w:rPr>
          <w:noProof/>
        </w:rPr>
        <w:t xml:space="preserve"> T</w:t>
      </w:r>
      <w:r w:rsidR="00076E19" w:rsidRPr="005058FD">
        <w:rPr>
          <w:noProof/>
        </w:rPr>
        <w:t>he highest number of recovery items qualified as fraudulent irregularities was relat</w:t>
      </w:r>
      <w:r w:rsidR="00076E19">
        <w:rPr>
          <w:noProof/>
        </w:rPr>
        <w:t>ed</w:t>
      </w:r>
      <w:r w:rsidR="00076E19" w:rsidRPr="005058FD">
        <w:rPr>
          <w:noProof/>
        </w:rPr>
        <w:t xml:space="preserve"> to the budget heading ‘Single </w:t>
      </w:r>
      <w:r w:rsidR="00076E19">
        <w:rPr>
          <w:noProof/>
        </w:rPr>
        <w:t>m</w:t>
      </w:r>
      <w:r w:rsidR="00076E19" w:rsidRPr="005058FD">
        <w:rPr>
          <w:noProof/>
        </w:rPr>
        <w:t xml:space="preserve">arket, </w:t>
      </w:r>
      <w:r w:rsidR="00076E19">
        <w:rPr>
          <w:noProof/>
        </w:rPr>
        <w:t>i</w:t>
      </w:r>
      <w:r w:rsidR="00076E19" w:rsidRPr="005058FD">
        <w:rPr>
          <w:noProof/>
        </w:rPr>
        <w:t xml:space="preserve">nnovation and </w:t>
      </w:r>
      <w:r w:rsidR="00076E19">
        <w:rPr>
          <w:noProof/>
        </w:rPr>
        <w:t>d</w:t>
      </w:r>
      <w:r w:rsidR="00076E19" w:rsidRPr="005058FD">
        <w:rPr>
          <w:noProof/>
        </w:rPr>
        <w:t>igital’ (</w:t>
      </w:r>
      <w:r w:rsidR="00076E19">
        <w:rPr>
          <w:noProof/>
        </w:rPr>
        <w:t>43 items</w:t>
      </w:r>
      <w:r w:rsidR="00076E19" w:rsidRPr="005058FD">
        <w:rPr>
          <w:noProof/>
        </w:rPr>
        <w:t>)</w:t>
      </w:r>
      <w:r w:rsidR="00076E19">
        <w:rPr>
          <w:noProof/>
        </w:rPr>
        <w:t xml:space="preserve">, as well as the highest financial amounts </w:t>
      </w:r>
      <w:r w:rsidR="00076E19" w:rsidRPr="005058FD">
        <w:rPr>
          <w:noProof/>
        </w:rPr>
        <w:t>(EUR</w:t>
      </w:r>
      <w:r w:rsidR="00076E19">
        <w:rPr>
          <w:noProof/>
        </w:rPr>
        <w:t> </w:t>
      </w:r>
      <w:r w:rsidR="00076E19" w:rsidRPr="005058FD">
        <w:rPr>
          <w:noProof/>
        </w:rPr>
        <w:t>59</w:t>
      </w:r>
      <w:r w:rsidR="00076E19">
        <w:rPr>
          <w:noProof/>
        </w:rPr>
        <w:t>.7</w:t>
      </w:r>
      <w:r w:rsidR="00076E19" w:rsidRPr="005058FD">
        <w:rPr>
          <w:noProof/>
        </w:rPr>
        <w:t xml:space="preserve"> million)</w:t>
      </w:r>
      <w:r w:rsidR="00076E19">
        <w:rPr>
          <w:noProof/>
        </w:rPr>
        <w:t>.</w:t>
      </w:r>
    </w:p>
    <w:p w14:paraId="0CE97309" w14:textId="77777777" w:rsidR="0069536E" w:rsidRPr="002326B8" w:rsidRDefault="0069536E" w:rsidP="0069536E">
      <w:pPr>
        <w:pStyle w:val="Heading3"/>
        <w:rPr>
          <w:noProof/>
        </w:rPr>
      </w:pPr>
      <w:bookmarkStart w:id="107" w:name="_Toc202011347"/>
      <w:bookmarkStart w:id="108" w:name="_Toc203477684"/>
      <w:r w:rsidRPr="002326B8">
        <w:rPr>
          <w:noProof/>
        </w:rPr>
        <w:t>Recovery and Resilience Facility</w:t>
      </w:r>
      <w:bookmarkEnd w:id="107"/>
      <w:bookmarkEnd w:id="108"/>
    </w:p>
    <w:p w14:paraId="58A81BC6" w14:textId="407F9F5E" w:rsidR="00662FAB" w:rsidRPr="007854C6" w:rsidRDefault="00662FAB" w:rsidP="008E6751">
      <w:pPr>
        <w:rPr>
          <w:noProof/>
        </w:rPr>
      </w:pPr>
      <w:r w:rsidRPr="74B9D60F">
        <w:rPr>
          <w:noProof/>
        </w:rPr>
        <w:t xml:space="preserve">In 2024, the Commission continued to support Member States in the process of amending their </w:t>
      </w:r>
      <w:r w:rsidR="002875CF">
        <w:rPr>
          <w:noProof/>
        </w:rPr>
        <w:t>national recovery and resilience plans (</w:t>
      </w:r>
      <w:r w:rsidRPr="74B9D60F">
        <w:rPr>
          <w:noProof/>
        </w:rPr>
        <w:t>RRPs</w:t>
      </w:r>
      <w:r w:rsidR="002875CF">
        <w:rPr>
          <w:noProof/>
        </w:rPr>
        <w:t>)</w:t>
      </w:r>
      <w:r w:rsidRPr="74B9D60F">
        <w:rPr>
          <w:noProof/>
        </w:rPr>
        <w:t xml:space="preserve">. </w:t>
      </w:r>
      <w:r w:rsidR="00943162">
        <w:rPr>
          <w:noProof/>
        </w:rPr>
        <w:t>T</w:t>
      </w:r>
      <w:r w:rsidRPr="74B9D60F">
        <w:rPr>
          <w:noProof/>
        </w:rPr>
        <w:t>he Commission disbursed 41 payments to Member States for a total of EUR</w:t>
      </w:r>
      <w:r w:rsidR="008E6751">
        <w:rPr>
          <w:noProof/>
        </w:rPr>
        <w:t> </w:t>
      </w:r>
      <w:r w:rsidRPr="74B9D60F">
        <w:rPr>
          <w:noProof/>
        </w:rPr>
        <w:t>85.3 billion (out of which EUR</w:t>
      </w:r>
      <w:r w:rsidR="008E6751">
        <w:rPr>
          <w:noProof/>
        </w:rPr>
        <w:t> </w:t>
      </w:r>
      <w:r w:rsidRPr="74B9D60F">
        <w:rPr>
          <w:noProof/>
        </w:rPr>
        <w:t>29.4 billion in loans), bring</w:t>
      </w:r>
      <w:r w:rsidR="008E6751">
        <w:rPr>
          <w:noProof/>
        </w:rPr>
        <w:t>ing</w:t>
      </w:r>
      <w:r w:rsidRPr="74B9D60F">
        <w:rPr>
          <w:noProof/>
        </w:rPr>
        <w:t xml:space="preserve"> the total disbursements by </w:t>
      </w:r>
      <w:r w:rsidR="00943162">
        <w:rPr>
          <w:noProof/>
        </w:rPr>
        <w:t xml:space="preserve">the </w:t>
      </w:r>
      <w:r w:rsidRPr="74B9D60F">
        <w:rPr>
          <w:noProof/>
        </w:rPr>
        <w:t>end of 2024 to EUR</w:t>
      </w:r>
      <w:r w:rsidR="008E6751">
        <w:rPr>
          <w:noProof/>
        </w:rPr>
        <w:t> </w:t>
      </w:r>
      <w:r w:rsidRPr="74B9D60F">
        <w:rPr>
          <w:noProof/>
        </w:rPr>
        <w:t xml:space="preserve">306.1 billion, divided into </w:t>
      </w:r>
      <w:r w:rsidR="008E6751">
        <w:rPr>
          <w:noProof/>
        </w:rPr>
        <w:t>EUR </w:t>
      </w:r>
      <w:r w:rsidRPr="74B9D60F">
        <w:rPr>
          <w:noProof/>
        </w:rPr>
        <w:t>197.5 billion in grants (55% of total EUR</w:t>
      </w:r>
      <w:r w:rsidR="008E6751">
        <w:rPr>
          <w:noProof/>
        </w:rPr>
        <w:t> </w:t>
      </w:r>
      <w:r w:rsidRPr="74B9D60F">
        <w:rPr>
          <w:noProof/>
        </w:rPr>
        <w:t>359 billion RRF envelope) and EUR</w:t>
      </w:r>
      <w:r w:rsidR="008E6751">
        <w:rPr>
          <w:noProof/>
        </w:rPr>
        <w:t> </w:t>
      </w:r>
      <w:r w:rsidRPr="74B9D60F">
        <w:rPr>
          <w:noProof/>
        </w:rPr>
        <w:t>108.7 billion in loans (37% of total EUR</w:t>
      </w:r>
      <w:r w:rsidR="008E6751">
        <w:rPr>
          <w:noProof/>
        </w:rPr>
        <w:t> </w:t>
      </w:r>
      <w:r w:rsidRPr="74B9D60F">
        <w:rPr>
          <w:noProof/>
        </w:rPr>
        <w:t>291 billion RRF envelope).</w:t>
      </w:r>
    </w:p>
    <w:p w14:paraId="443E6F25" w14:textId="2286AD53" w:rsidR="00662FAB" w:rsidRDefault="00C36697" w:rsidP="00662FAB">
      <w:pPr>
        <w:rPr>
          <w:noProof/>
        </w:rPr>
      </w:pPr>
      <w:r>
        <w:rPr>
          <w:noProof/>
        </w:rPr>
        <w:t xml:space="preserve">From </w:t>
      </w:r>
      <w:r w:rsidR="00662FAB" w:rsidRPr="74B9D60F">
        <w:rPr>
          <w:noProof/>
        </w:rPr>
        <w:t>the start of the implementation of the R</w:t>
      </w:r>
      <w:r w:rsidR="00215DC5">
        <w:rPr>
          <w:noProof/>
        </w:rPr>
        <w:t>R</w:t>
      </w:r>
      <w:r w:rsidR="00662FAB" w:rsidRPr="74B9D60F">
        <w:rPr>
          <w:noProof/>
        </w:rPr>
        <w:t xml:space="preserve">F, </w:t>
      </w:r>
      <w:r w:rsidR="002875CF">
        <w:rPr>
          <w:noProof/>
        </w:rPr>
        <w:t>the Commission</w:t>
      </w:r>
      <w:r w:rsidR="00662FAB" w:rsidRPr="74B9D60F">
        <w:rPr>
          <w:noProof/>
        </w:rPr>
        <w:t xml:space="preserve"> took a dynamic approach to audit and control. Benefiting from the findings and recommendations from its own auditors, the Internal Audit Service, the European Court of Auditors, the Council and the European Parliament, </w:t>
      </w:r>
      <w:r w:rsidR="002875CF">
        <w:rPr>
          <w:noProof/>
        </w:rPr>
        <w:t>the Commission</w:t>
      </w:r>
      <w:r w:rsidR="00662FAB" w:rsidRPr="74B9D60F">
        <w:rPr>
          <w:noProof/>
        </w:rPr>
        <w:t xml:space="preserve"> continued to strengthen its audit and control framework for the RRF in the course of 2024. </w:t>
      </w:r>
    </w:p>
    <w:p w14:paraId="2A3AADB8" w14:textId="03A50597" w:rsidR="00662FAB" w:rsidRPr="001921E3" w:rsidRDefault="00662FAB" w:rsidP="00662FAB">
      <w:pPr>
        <w:rPr>
          <w:noProof/>
        </w:rPr>
      </w:pPr>
      <w:r w:rsidRPr="74B9D60F">
        <w:rPr>
          <w:noProof/>
        </w:rPr>
        <w:t xml:space="preserve">In total, by the end of May 2025, </w:t>
      </w:r>
      <w:r w:rsidR="008E6751">
        <w:rPr>
          <w:noProof/>
        </w:rPr>
        <w:t>the Commission</w:t>
      </w:r>
      <w:r w:rsidR="002875CF">
        <w:rPr>
          <w:noProof/>
        </w:rPr>
        <w:t xml:space="preserve"> </w:t>
      </w:r>
      <w:r w:rsidR="00C36697">
        <w:rPr>
          <w:noProof/>
        </w:rPr>
        <w:t xml:space="preserve">had </w:t>
      </w:r>
      <w:r w:rsidRPr="74B9D60F">
        <w:rPr>
          <w:noProof/>
        </w:rPr>
        <w:t>performed 113 audits, covering 358 milestones and targets, with 395 audited entities, resulting in 565 findings.</w:t>
      </w:r>
    </w:p>
    <w:p w14:paraId="28272611" w14:textId="07F6F31E" w:rsidR="00662FAB" w:rsidRPr="007854C6" w:rsidDel="003C2394" w:rsidRDefault="00662FAB" w:rsidP="00662FAB">
      <w:pPr>
        <w:rPr>
          <w:noProof/>
        </w:rPr>
      </w:pPr>
      <w:r w:rsidRPr="74B9D60F">
        <w:rPr>
          <w:noProof/>
        </w:rPr>
        <w:t xml:space="preserve">By the end of 2023, the Commission </w:t>
      </w:r>
      <w:r w:rsidR="008E6751">
        <w:rPr>
          <w:noProof/>
        </w:rPr>
        <w:t xml:space="preserve">had </w:t>
      </w:r>
      <w:r w:rsidRPr="74B9D60F">
        <w:rPr>
          <w:noProof/>
        </w:rPr>
        <w:t>audited each Member State through at least one system audit on the protection of financial interests of the Union (PFIU). In 2024, the Commission carried out two additional system audits on PFIU</w:t>
      </w:r>
      <w:r w:rsidR="002875CF" w:rsidRPr="002875CF">
        <w:rPr>
          <w:noProof/>
        </w:rPr>
        <w:t> (</w:t>
      </w:r>
      <w:r w:rsidR="002875CF">
        <w:rPr>
          <w:rStyle w:val="FootnoteReference"/>
          <w:noProof/>
        </w:rPr>
        <w:footnoteReference w:id="97"/>
      </w:r>
      <w:r w:rsidR="002875CF">
        <w:rPr>
          <w:noProof/>
        </w:rPr>
        <w:t>)</w:t>
      </w:r>
      <w:r w:rsidRPr="74B9D60F">
        <w:rPr>
          <w:noProof/>
        </w:rPr>
        <w:t xml:space="preserve">. In line with its revised </w:t>
      </w:r>
      <w:r w:rsidR="002875CF">
        <w:rPr>
          <w:noProof/>
        </w:rPr>
        <w:t>a</w:t>
      </w:r>
      <w:r w:rsidRPr="74B9D60F">
        <w:rPr>
          <w:noProof/>
        </w:rPr>
        <w:t xml:space="preserve">udit </w:t>
      </w:r>
      <w:r w:rsidR="002875CF">
        <w:rPr>
          <w:noProof/>
        </w:rPr>
        <w:t>s</w:t>
      </w:r>
      <w:r w:rsidRPr="74B9D60F">
        <w:rPr>
          <w:noProof/>
        </w:rPr>
        <w:t xml:space="preserve">trategy of December 2023, </w:t>
      </w:r>
      <w:r w:rsidR="002875CF">
        <w:rPr>
          <w:noProof/>
        </w:rPr>
        <w:t>the Commission</w:t>
      </w:r>
      <w:r w:rsidRPr="74B9D60F">
        <w:rPr>
          <w:noProof/>
        </w:rPr>
        <w:t xml:space="preserve"> has developed a risk assessment methodology to be implemented on an annual basis to select Member States for further system audits </w:t>
      </w:r>
      <w:r w:rsidR="00215DC5">
        <w:rPr>
          <w:noProof/>
        </w:rPr>
        <w:t xml:space="preserve">on </w:t>
      </w:r>
      <w:r w:rsidRPr="74B9D60F">
        <w:rPr>
          <w:noProof/>
        </w:rPr>
        <w:t>PFIU.</w:t>
      </w:r>
    </w:p>
    <w:p w14:paraId="00EC12D3" w14:textId="529B72CD" w:rsidR="00662FAB" w:rsidRPr="007854C6" w:rsidRDefault="00662FAB" w:rsidP="00662FAB">
      <w:pPr>
        <w:rPr>
          <w:noProof/>
        </w:rPr>
      </w:pPr>
      <w:r w:rsidRPr="74B9D60F">
        <w:rPr>
          <w:noProof/>
        </w:rPr>
        <w:t>Based on its ongoing audit work, the Commission observes a gradual overall improvement in the implementation of internal control systems across the audited implementing and coordinating bodies. In some cases, audit and control milestones have served as an additional incentive for timely follow-up on audit recommendations. As regards public procurement and State aid, the Commission continued to implement enhanced comprehensive checks</w:t>
      </w:r>
      <w:r w:rsidR="00600CD6" w:rsidRPr="00600CD6">
        <w:rPr>
          <w:noProof/>
        </w:rPr>
        <w:t> (</w:t>
      </w:r>
      <w:r w:rsidRPr="007854C6">
        <w:rPr>
          <w:rStyle w:val="FootnoteReference"/>
          <w:noProof/>
        </w:rPr>
        <w:footnoteReference w:id="98"/>
      </w:r>
      <w:r w:rsidR="00600CD6">
        <w:rPr>
          <w:noProof/>
        </w:rPr>
        <w:t>)</w:t>
      </w:r>
      <w:r w:rsidRPr="74B9D60F">
        <w:rPr>
          <w:noProof/>
        </w:rPr>
        <w:t xml:space="preserve"> in all types of audit work on the Member States’ internal control systems to verify how these systems ensure compliance with public procurement and State aid rules, including the effectiveness of such checks.</w:t>
      </w:r>
    </w:p>
    <w:p w14:paraId="7B9AE86A" w14:textId="13A42570" w:rsidR="00662FAB" w:rsidRDefault="00662FAB" w:rsidP="00662FAB">
      <w:pPr>
        <w:rPr>
          <w:noProof/>
        </w:rPr>
      </w:pPr>
      <w:r w:rsidRPr="74B9D60F">
        <w:rPr>
          <w:noProof/>
        </w:rPr>
        <w:t xml:space="preserve">The Commission's services also further </w:t>
      </w:r>
      <w:r w:rsidR="008E6751">
        <w:rPr>
          <w:noProof/>
        </w:rPr>
        <w:t xml:space="preserve">improved </w:t>
      </w:r>
      <w:r w:rsidRPr="74B9D60F">
        <w:rPr>
          <w:noProof/>
        </w:rPr>
        <w:t>the anti-fraud governance at EU level for the RRF, namely through increased cooperation with OLAF and the EPPO.</w:t>
      </w:r>
    </w:p>
    <w:p w14:paraId="04B9E621" w14:textId="6475FE89" w:rsidR="00820425" w:rsidRDefault="00820425" w:rsidP="00820425">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814B72">
        <w:rPr>
          <w:noProof/>
        </w:rPr>
        <w:t xml:space="preserve">Snapshot </w:t>
      </w:r>
      <w:r>
        <w:rPr>
          <w:noProof/>
        </w:rPr>
        <w:fldChar w:fldCharType="begin"/>
      </w:r>
      <w:r>
        <w:rPr>
          <w:noProof/>
        </w:rPr>
        <w:instrText xml:space="preserve"> SEQ Snapshot \* ARABIC </w:instrText>
      </w:r>
      <w:r>
        <w:rPr>
          <w:noProof/>
        </w:rPr>
        <w:fldChar w:fldCharType="separate"/>
      </w:r>
      <w:r w:rsidR="008B6005">
        <w:rPr>
          <w:noProof/>
        </w:rPr>
        <w:t>11</w:t>
      </w:r>
      <w:r>
        <w:rPr>
          <w:noProof/>
        </w:rPr>
        <w:fldChar w:fldCharType="end"/>
      </w:r>
      <w:r w:rsidRPr="00814B72">
        <w:rPr>
          <w:noProof/>
        </w:rPr>
        <w:t xml:space="preserve"> – </w:t>
      </w:r>
      <w:r>
        <w:rPr>
          <w:noProof/>
        </w:rPr>
        <w:t>Cooperation between the Commission, OLAF and the EPPO to fight f</w:t>
      </w:r>
      <w:r w:rsidRPr="00814B72">
        <w:rPr>
          <w:noProof/>
        </w:rPr>
        <w:t xml:space="preserve">raud and irregularities in </w:t>
      </w:r>
      <w:r>
        <w:rPr>
          <w:noProof/>
        </w:rPr>
        <w:t>the RRF</w:t>
      </w:r>
    </w:p>
    <w:p w14:paraId="2335E9A1" w14:textId="4F43C34A" w:rsidR="00820425" w:rsidRDefault="00820425" w:rsidP="00820425">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667A4210">
        <w:rPr>
          <w:noProof/>
        </w:rPr>
        <w:t>As of 27</w:t>
      </w:r>
      <w:r>
        <w:rPr>
          <w:noProof/>
        </w:rPr>
        <w:t> </w:t>
      </w:r>
      <w:r w:rsidRPr="667A4210">
        <w:rPr>
          <w:noProof/>
        </w:rPr>
        <w:t xml:space="preserve">May 2025, </w:t>
      </w:r>
      <w:r>
        <w:rPr>
          <w:noProof/>
        </w:rPr>
        <w:t>the Commission</w:t>
      </w:r>
      <w:r w:rsidRPr="667A4210">
        <w:rPr>
          <w:noProof/>
        </w:rPr>
        <w:t xml:space="preserve"> reported to OLAF 34 cases of potential irregularities identified during ex-post audits or from open sources in respect of RRF supported actions</w:t>
      </w:r>
      <w:r>
        <w:rPr>
          <w:noProof/>
        </w:rPr>
        <w:t xml:space="preserve">. </w:t>
      </w:r>
      <w:r w:rsidRPr="667A4210">
        <w:rPr>
          <w:noProof/>
        </w:rPr>
        <w:t xml:space="preserve">OLAF informed </w:t>
      </w:r>
      <w:r>
        <w:rPr>
          <w:noProof/>
        </w:rPr>
        <w:t>the Commission</w:t>
      </w:r>
      <w:r w:rsidRPr="667A4210">
        <w:rPr>
          <w:noProof/>
        </w:rPr>
        <w:t xml:space="preserve"> of other 40 cases, making a total of 74 potential irregularities.</w:t>
      </w:r>
    </w:p>
    <w:p w14:paraId="4D043F82" w14:textId="5CBE0856" w:rsidR="00820425" w:rsidRDefault="00820425" w:rsidP="00820425">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74B9D60F">
        <w:rPr>
          <w:noProof/>
        </w:rPr>
        <w:t xml:space="preserve">Since the start of the implementation of the RRF and up to 27 May 2025, </w:t>
      </w:r>
      <w:r w:rsidR="00591763">
        <w:rPr>
          <w:noProof/>
        </w:rPr>
        <w:t>the Commission</w:t>
      </w:r>
      <w:r w:rsidRPr="74B9D60F">
        <w:rPr>
          <w:noProof/>
        </w:rPr>
        <w:t xml:space="preserve"> received in total 75 notifications from the EPPO, of which 64 were active cases in </w:t>
      </w:r>
      <w:r w:rsidR="00943162">
        <w:rPr>
          <w:noProof/>
        </w:rPr>
        <w:t>c</w:t>
      </w:r>
      <w:r w:rsidRPr="74B9D60F">
        <w:rPr>
          <w:noProof/>
        </w:rPr>
        <w:t>ourt proceedings or on-going investigations</w:t>
      </w:r>
      <w:r w:rsidR="00591763" w:rsidRPr="00591763">
        <w:rPr>
          <w:noProof/>
        </w:rPr>
        <w:t> (</w:t>
      </w:r>
      <w:r w:rsidR="00591763">
        <w:rPr>
          <w:rStyle w:val="FootnoteReference"/>
          <w:noProof/>
        </w:rPr>
        <w:footnoteReference w:id="99"/>
      </w:r>
      <w:r w:rsidR="00591763">
        <w:rPr>
          <w:noProof/>
        </w:rPr>
        <w:t>)</w:t>
      </w:r>
      <w:r w:rsidRPr="74B9D60F">
        <w:rPr>
          <w:noProof/>
        </w:rPr>
        <w:t xml:space="preserve">. 80% of the on-going cases </w:t>
      </w:r>
      <w:r w:rsidR="00943162" w:rsidRPr="74B9D60F">
        <w:rPr>
          <w:noProof/>
        </w:rPr>
        <w:t xml:space="preserve">notified </w:t>
      </w:r>
      <w:r w:rsidRPr="74B9D60F">
        <w:rPr>
          <w:noProof/>
        </w:rPr>
        <w:t>by the EPPO to the Commission related to one measure in a single Member State.</w:t>
      </w:r>
    </w:p>
    <w:p w14:paraId="4E94EFEC" w14:textId="4939675E" w:rsidR="00820425" w:rsidRDefault="00820425" w:rsidP="00820425">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74B9D60F">
        <w:rPr>
          <w:noProof/>
        </w:rPr>
        <w:t xml:space="preserve">On 8 May 2025, following one of the OLAF recommendations, the Commission adopted its first implementing </w:t>
      </w:r>
      <w:r w:rsidR="00943162">
        <w:rPr>
          <w:noProof/>
        </w:rPr>
        <w:t>d</w:t>
      </w:r>
      <w:r w:rsidRPr="74B9D60F">
        <w:rPr>
          <w:noProof/>
        </w:rPr>
        <w:t xml:space="preserve">ecision on the reduction of support by EUR 1.225 million for Slovakia in accordance with Articles 22(5) of the RRF Regulation and Article 19(1) and (2)(a) of the Financing Agreement pursuant to the framework for </w:t>
      </w:r>
      <w:r>
        <w:rPr>
          <w:noProof/>
        </w:rPr>
        <w:t>‘</w:t>
      </w:r>
      <w:r w:rsidRPr="74B9D60F">
        <w:rPr>
          <w:noProof/>
        </w:rPr>
        <w:t>Reductions and Recoveries under the Recovery and Resilience Facility</w:t>
      </w:r>
      <w:r>
        <w:rPr>
          <w:noProof/>
        </w:rPr>
        <w:t>’</w:t>
      </w:r>
      <w:r w:rsidRPr="00600CD6">
        <w:rPr>
          <w:noProof/>
        </w:rPr>
        <w:t> (</w:t>
      </w:r>
      <w:r w:rsidRPr="74B9D60F">
        <w:rPr>
          <w:rStyle w:val="FootnoteReference"/>
          <w:noProof/>
        </w:rPr>
        <w:footnoteReference w:id="100"/>
      </w:r>
      <w:r>
        <w:rPr>
          <w:noProof/>
        </w:rPr>
        <w:t>)</w:t>
      </w:r>
      <w:r w:rsidRPr="74B9D60F">
        <w:rPr>
          <w:noProof/>
        </w:rPr>
        <w:t>.</w:t>
      </w:r>
    </w:p>
    <w:p w14:paraId="143536F0" w14:textId="08EB3544" w:rsidR="00820425" w:rsidRPr="00820425" w:rsidRDefault="00820425" w:rsidP="002326B8">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74B9D60F">
        <w:rPr>
          <w:noProof/>
        </w:rPr>
        <w:t>These numbers demonstrate that national and EU level control systems are effective in detecting conflict of interest, fraud, or corruption.</w:t>
      </w:r>
    </w:p>
    <w:p w14:paraId="4E132582" w14:textId="77777777" w:rsidR="00FB5CF5" w:rsidRPr="004B2BB7" w:rsidRDefault="00242D48" w:rsidP="00FA377B">
      <w:pPr>
        <w:pStyle w:val="Heading2"/>
        <w:rPr>
          <w:noProof/>
        </w:rPr>
      </w:pPr>
      <w:bookmarkStart w:id="109" w:name="_Organised_crime,_corruption"/>
      <w:bookmarkStart w:id="110" w:name="_Toc134557994"/>
      <w:bookmarkStart w:id="111" w:name="_Toc202011348"/>
      <w:bookmarkStart w:id="112" w:name="_Toc203477685"/>
      <w:bookmarkEnd w:id="109"/>
      <w:r w:rsidRPr="004B2BB7">
        <w:rPr>
          <w:noProof/>
        </w:rPr>
        <w:t>Organised crime, corruption and conflict</w:t>
      </w:r>
      <w:r w:rsidR="002662C1" w:rsidRPr="004B2BB7">
        <w:rPr>
          <w:noProof/>
        </w:rPr>
        <w:t>s</w:t>
      </w:r>
      <w:r w:rsidRPr="004B2BB7">
        <w:rPr>
          <w:noProof/>
        </w:rPr>
        <w:t xml:space="preserve"> of interest</w:t>
      </w:r>
      <w:bookmarkEnd w:id="110"/>
      <w:bookmarkEnd w:id="111"/>
      <w:bookmarkEnd w:id="112"/>
    </w:p>
    <w:p w14:paraId="4F92CC5C" w14:textId="341BD233" w:rsidR="00542122" w:rsidRPr="00814B72" w:rsidRDefault="00242D48" w:rsidP="001623A1">
      <w:pPr>
        <w:rPr>
          <w:noProof/>
        </w:rPr>
      </w:pPr>
      <w:r w:rsidRPr="00814B72">
        <w:rPr>
          <w:noProof/>
        </w:rPr>
        <w:t xml:space="preserve">Information </w:t>
      </w:r>
      <w:r w:rsidR="00CA3A5A">
        <w:rPr>
          <w:noProof/>
        </w:rPr>
        <w:t>on</w:t>
      </w:r>
      <w:r w:rsidR="00CA3A5A" w:rsidRPr="00814B72">
        <w:rPr>
          <w:noProof/>
        </w:rPr>
        <w:t xml:space="preserve"> </w:t>
      </w:r>
      <w:r w:rsidRPr="00814B72">
        <w:rPr>
          <w:b/>
          <w:noProof/>
        </w:rPr>
        <w:t>organised crime</w:t>
      </w:r>
      <w:r w:rsidRPr="00814B72">
        <w:rPr>
          <w:noProof/>
        </w:rPr>
        <w:t xml:space="preserve"> </w:t>
      </w:r>
      <w:r w:rsidRPr="00E00E97">
        <w:rPr>
          <w:b/>
          <w:bCs/>
          <w:noProof/>
        </w:rPr>
        <w:t>activity</w:t>
      </w:r>
      <w:r w:rsidRPr="00814B72">
        <w:rPr>
          <w:noProof/>
        </w:rPr>
        <w:t xml:space="preserve"> against the financial interests of the EU is available in the EPPO</w:t>
      </w:r>
      <w:r w:rsidR="004C0DC2">
        <w:rPr>
          <w:noProof/>
        </w:rPr>
        <w:t>’s</w:t>
      </w:r>
      <w:r w:rsidRPr="00814B72">
        <w:rPr>
          <w:noProof/>
        </w:rPr>
        <w:t xml:space="preserve"> </w:t>
      </w:r>
      <w:r w:rsidR="00820425">
        <w:rPr>
          <w:noProof/>
        </w:rPr>
        <w:t>a</w:t>
      </w:r>
      <w:r w:rsidR="00820425" w:rsidRPr="00814B72">
        <w:rPr>
          <w:noProof/>
        </w:rPr>
        <w:t xml:space="preserve">nnual </w:t>
      </w:r>
      <w:r w:rsidR="00820425">
        <w:rPr>
          <w:noProof/>
        </w:rPr>
        <w:t>r</w:t>
      </w:r>
      <w:r w:rsidR="00820425" w:rsidRPr="00814B72">
        <w:rPr>
          <w:noProof/>
        </w:rPr>
        <w:t>eport</w:t>
      </w:r>
      <w:r w:rsidR="00CA3A5A">
        <w:rPr>
          <w:noProof/>
        </w:rPr>
        <w:t xml:space="preserve">. </w:t>
      </w:r>
      <w:r w:rsidR="00820425">
        <w:rPr>
          <w:noProof/>
        </w:rPr>
        <w:t xml:space="preserve">The EPPO </w:t>
      </w:r>
      <w:r w:rsidR="00CB4054">
        <w:rPr>
          <w:noProof/>
        </w:rPr>
        <w:t>indicated</w:t>
      </w:r>
      <w:r w:rsidR="00820425">
        <w:rPr>
          <w:noProof/>
        </w:rPr>
        <w:t xml:space="preserve"> </w:t>
      </w:r>
      <w:r w:rsidR="007E366E">
        <w:rPr>
          <w:noProof/>
        </w:rPr>
        <w:t>385</w:t>
      </w:r>
      <w:r w:rsidR="007336AC">
        <w:rPr>
          <w:noProof/>
        </w:rPr>
        <w:t xml:space="preserve"> </w:t>
      </w:r>
      <w:r w:rsidRPr="00814B72">
        <w:rPr>
          <w:noProof/>
        </w:rPr>
        <w:t xml:space="preserve">investigated offences </w:t>
      </w:r>
      <w:r w:rsidR="002662C1" w:rsidRPr="00814B72">
        <w:rPr>
          <w:noProof/>
        </w:rPr>
        <w:t xml:space="preserve">concerning </w:t>
      </w:r>
      <w:r w:rsidRPr="00814B72">
        <w:rPr>
          <w:noProof/>
        </w:rPr>
        <w:t xml:space="preserve">PIF-focused criminal organisations in </w:t>
      </w:r>
      <w:r w:rsidR="002662C1" w:rsidRPr="00814B72">
        <w:rPr>
          <w:noProof/>
        </w:rPr>
        <w:t xml:space="preserve">its </w:t>
      </w:r>
      <w:r w:rsidRPr="00814B72">
        <w:rPr>
          <w:noProof/>
        </w:rPr>
        <w:t xml:space="preserve">active investigations </w:t>
      </w:r>
      <w:r w:rsidR="00CA3A5A">
        <w:rPr>
          <w:noProof/>
        </w:rPr>
        <w:t>up to</w:t>
      </w:r>
      <w:r w:rsidR="00CA3A5A" w:rsidRPr="00814B72">
        <w:rPr>
          <w:noProof/>
        </w:rPr>
        <w:t xml:space="preserve"> </w:t>
      </w:r>
      <w:r w:rsidRPr="00814B72">
        <w:rPr>
          <w:noProof/>
        </w:rPr>
        <w:t>the end of 202</w:t>
      </w:r>
      <w:r w:rsidR="007E366E">
        <w:rPr>
          <w:noProof/>
        </w:rPr>
        <w:t>4</w:t>
      </w:r>
      <w:r w:rsidR="007E366E" w:rsidRPr="007E366E">
        <w:rPr>
          <w:noProof/>
        </w:rPr>
        <w:t> (</w:t>
      </w:r>
      <w:r w:rsidR="007E366E">
        <w:rPr>
          <w:rStyle w:val="FootnoteReference"/>
          <w:noProof/>
        </w:rPr>
        <w:footnoteReference w:id="101"/>
      </w:r>
      <w:r w:rsidR="007E366E">
        <w:rPr>
          <w:noProof/>
        </w:rPr>
        <w:t>)</w:t>
      </w:r>
      <w:r w:rsidRPr="00814B72">
        <w:rPr>
          <w:noProof/>
        </w:rPr>
        <w:t>.</w:t>
      </w:r>
      <w:r w:rsidR="007E366E">
        <w:rPr>
          <w:noProof/>
        </w:rPr>
        <w:t xml:space="preserve"> </w:t>
      </w:r>
    </w:p>
    <w:p w14:paraId="4DB6C0FC" w14:textId="626DFE38" w:rsidR="001623A1" w:rsidRPr="00814B72" w:rsidRDefault="00CB4054" w:rsidP="001623A1">
      <w:pPr>
        <w:rPr>
          <w:noProof/>
        </w:rPr>
      </w:pPr>
      <w:r>
        <w:rPr>
          <w:noProof/>
        </w:rPr>
        <w:t>On</w:t>
      </w:r>
      <w:r w:rsidR="00242D48" w:rsidRPr="00814B72">
        <w:rPr>
          <w:noProof/>
        </w:rPr>
        <w:t xml:space="preserve"> </w:t>
      </w:r>
      <w:r w:rsidR="00242D48" w:rsidRPr="00814B72">
        <w:rPr>
          <w:b/>
          <w:noProof/>
        </w:rPr>
        <w:t>corruption</w:t>
      </w:r>
      <w:r w:rsidR="00242D48" w:rsidRPr="00E00E97">
        <w:rPr>
          <w:b/>
          <w:bCs/>
          <w:noProof/>
        </w:rPr>
        <w:t xml:space="preserve"> cases</w:t>
      </w:r>
      <w:r w:rsidR="00242D48" w:rsidRPr="00814B72">
        <w:rPr>
          <w:noProof/>
        </w:rPr>
        <w:t xml:space="preserve">, the EPPO reported </w:t>
      </w:r>
      <w:r w:rsidR="00241CF8" w:rsidRPr="00814B72">
        <w:rPr>
          <w:noProof/>
        </w:rPr>
        <w:t>1</w:t>
      </w:r>
      <w:r w:rsidR="007E366E">
        <w:rPr>
          <w:noProof/>
        </w:rPr>
        <w:t>9</w:t>
      </w:r>
      <w:r w:rsidR="00241CF8" w:rsidRPr="00814B72">
        <w:rPr>
          <w:noProof/>
        </w:rPr>
        <w:t>1</w:t>
      </w:r>
      <w:r w:rsidR="00242D48" w:rsidRPr="00814B72">
        <w:rPr>
          <w:noProof/>
        </w:rPr>
        <w:t xml:space="preserve"> investigated offences</w:t>
      </w:r>
      <w:r w:rsidR="00372B5B">
        <w:rPr>
          <w:noProof/>
        </w:rPr>
        <w:t> (</w:t>
      </w:r>
      <w:r w:rsidR="00372B5B">
        <w:rPr>
          <w:rStyle w:val="FootnoteReference"/>
          <w:noProof/>
        </w:rPr>
        <w:footnoteReference w:id="102"/>
      </w:r>
      <w:r w:rsidR="00372B5B">
        <w:rPr>
          <w:noProof/>
        </w:rPr>
        <w:t>)</w:t>
      </w:r>
      <w:r w:rsidR="00C11A01">
        <w:rPr>
          <w:noProof/>
        </w:rPr>
        <w:t xml:space="preserve"> up to</w:t>
      </w:r>
      <w:r w:rsidR="00242D48" w:rsidRPr="00814B72">
        <w:rPr>
          <w:noProof/>
        </w:rPr>
        <w:t xml:space="preserve"> the end of 202</w:t>
      </w:r>
      <w:r w:rsidR="00C145D2">
        <w:rPr>
          <w:noProof/>
        </w:rPr>
        <w:t>4</w:t>
      </w:r>
      <w:r w:rsidR="00242D48" w:rsidRPr="00814B72">
        <w:rPr>
          <w:noProof/>
        </w:rPr>
        <w:t xml:space="preserve">. </w:t>
      </w:r>
      <w:r>
        <w:rPr>
          <w:noProof/>
        </w:rPr>
        <w:t xml:space="preserve">From </w:t>
      </w:r>
      <w:r w:rsidR="00242D48" w:rsidRPr="00814B72">
        <w:rPr>
          <w:noProof/>
        </w:rPr>
        <w:t>20</w:t>
      </w:r>
      <w:r w:rsidR="007E366E">
        <w:rPr>
          <w:noProof/>
        </w:rPr>
        <w:t>20</w:t>
      </w:r>
      <w:r>
        <w:rPr>
          <w:noProof/>
        </w:rPr>
        <w:t xml:space="preserve"> to </w:t>
      </w:r>
      <w:r w:rsidR="00242D48" w:rsidRPr="00814B72">
        <w:rPr>
          <w:noProof/>
        </w:rPr>
        <w:t>202</w:t>
      </w:r>
      <w:r w:rsidR="007E366E">
        <w:rPr>
          <w:noProof/>
        </w:rPr>
        <w:t>4</w:t>
      </w:r>
      <w:r w:rsidR="00242D48" w:rsidRPr="00814B72">
        <w:rPr>
          <w:noProof/>
        </w:rPr>
        <w:t xml:space="preserve">, </w:t>
      </w:r>
      <w:r w:rsidR="00C145D2">
        <w:rPr>
          <w:noProof/>
        </w:rPr>
        <w:t>56</w:t>
      </w:r>
      <w:r w:rsidR="00F6294E" w:rsidRPr="00814B72">
        <w:rPr>
          <w:noProof/>
        </w:rPr>
        <w:t xml:space="preserve"> </w:t>
      </w:r>
      <w:r w:rsidR="00242D48" w:rsidRPr="00814B72">
        <w:rPr>
          <w:noProof/>
        </w:rPr>
        <w:t xml:space="preserve">cases </w:t>
      </w:r>
      <w:r w:rsidR="00C11A01">
        <w:rPr>
          <w:noProof/>
        </w:rPr>
        <w:t>were</w:t>
      </w:r>
      <w:r w:rsidR="00242D48" w:rsidRPr="00814B72">
        <w:rPr>
          <w:noProof/>
        </w:rPr>
        <w:t xml:space="preserve"> reported </w:t>
      </w:r>
      <w:r w:rsidR="004C0DC2">
        <w:rPr>
          <w:noProof/>
        </w:rPr>
        <w:t xml:space="preserve">to the Commission </w:t>
      </w:r>
      <w:r w:rsidR="00242D48" w:rsidRPr="00814B72">
        <w:rPr>
          <w:noProof/>
        </w:rPr>
        <w:t xml:space="preserve">via IMS by </w:t>
      </w:r>
      <w:r w:rsidR="00C145D2">
        <w:rPr>
          <w:noProof/>
        </w:rPr>
        <w:t>seven</w:t>
      </w:r>
      <w:r w:rsidR="00C11A01" w:rsidRPr="00814B72">
        <w:rPr>
          <w:noProof/>
        </w:rPr>
        <w:t xml:space="preserve"> </w:t>
      </w:r>
      <w:r w:rsidR="00242D48" w:rsidRPr="00814B72">
        <w:rPr>
          <w:noProof/>
        </w:rPr>
        <w:t>countries.</w:t>
      </w:r>
      <w:r w:rsidR="007E366E">
        <w:rPr>
          <w:noProof/>
        </w:rPr>
        <w:t xml:space="preserve"> </w:t>
      </w:r>
      <w:r w:rsidR="007E366E" w:rsidRPr="007E366E">
        <w:rPr>
          <w:noProof/>
        </w:rPr>
        <w:t>An analysis based on data from 2007 to 2023 suggests insufficient reporting</w:t>
      </w:r>
      <w:r w:rsidR="00C145D2" w:rsidRPr="00C145D2">
        <w:rPr>
          <w:noProof/>
        </w:rPr>
        <w:t> (</w:t>
      </w:r>
      <w:r w:rsidR="00C145D2">
        <w:rPr>
          <w:rStyle w:val="FootnoteReference"/>
          <w:noProof/>
        </w:rPr>
        <w:footnoteReference w:id="103"/>
      </w:r>
      <w:r w:rsidR="00C145D2">
        <w:rPr>
          <w:noProof/>
        </w:rPr>
        <w:t>)</w:t>
      </w:r>
      <w:r w:rsidR="007E366E" w:rsidRPr="007E366E">
        <w:rPr>
          <w:noProof/>
        </w:rPr>
        <w:t xml:space="preserve"> of fraudulent irregularities related to corruption. Where reported, corruption mostly concerned public procurement </w:t>
      </w:r>
      <w:r>
        <w:rPr>
          <w:noProof/>
        </w:rPr>
        <w:t>(</w:t>
      </w:r>
      <w:r w:rsidR="007E366E" w:rsidRPr="007E366E">
        <w:rPr>
          <w:noProof/>
        </w:rPr>
        <w:t>both simplified/restricted and open procedures</w:t>
      </w:r>
      <w:r>
        <w:rPr>
          <w:noProof/>
        </w:rPr>
        <w:t>)</w:t>
      </w:r>
      <w:r w:rsidR="007E366E" w:rsidRPr="007E366E">
        <w:rPr>
          <w:noProof/>
        </w:rPr>
        <w:t xml:space="preserve">, including cases </w:t>
      </w:r>
      <w:r w:rsidRPr="007E366E">
        <w:rPr>
          <w:noProof/>
        </w:rPr>
        <w:t>involv</w:t>
      </w:r>
      <w:r>
        <w:rPr>
          <w:noProof/>
        </w:rPr>
        <w:t>ing</w:t>
      </w:r>
      <w:r w:rsidRPr="007E366E">
        <w:rPr>
          <w:noProof/>
        </w:rPr>
        <w:t xml:space="preserve"> </w:t>
      </w:r>
      <w:r w:rsidR="007E366E" w:rsidRPr="007E366E">
        <w:rPr>
          <w:noProof/>
        </w:rPr>
        <w:t>managers or external experts. This confirms</w:t>
      </w:r>
      <w:r>
        <w:rPr>
          <w:noProof/>
        </w:rPr>
        <w:t xml:space="preserve"> that</w:t>
      </w:r>
      <w:r w:rsidR="007E366E" w:rsidRPr="007E366E">
        <w:rPr>
          <w:noProof/>
        </w:rPr>
        <w:t xml:space="preserve"> public procurement </w:t>
      </w:r>
      <w:r>
        <w:rPr>
          <w:noProof/>
        </w:rPr>
        <w:t>i</w:t>
      </w:r>
      <w:r w:rsidRPr="007E366E">
        <w:rPr>
          <w:noProof/>
        </w:rPr>
        <w:t xml:space="preserve">s </w:t>
      </w:r>
      <w:r w:rsidR="007E366E" w:rsidRPr="007E366E">
        <w:rPr>
          <w:noProof/>
        </w:rPr>
        <w:t xml:space="preserve">an activity at risk of fraud, so irregularities in this field should be investigated accordingly. About 20% of these cases of corruption followed </w:t>
      </w:r>
      <w:r>
        <w:rPr>
          <w:noProof/>
        </w:rPr>
        <w:t>checks</w:t>
      </w:r>
      <w:r w:rsidR="007E366E" w:rsidRPr="007E366E">
        <w:rPr>
          <w:noProof/>
        </w:rPr>
        <w:t xml:space="preserve"> started </w:t>
      </w:r>
      <w:r>
        <w:rPr>
          <w:noProof/>
        </w:rPr>
        <w:t>in response to</w:t>
      </w:r>
      <w:r w:rsidR="007E366E" w:rsidRPr="007E366E">
        <w:rPr>
          <w:noProof/>
        </w:rPr>
        <w:t xml:space="preserve"> tips from informants or information published in the media.</w:t>
      </w:r>
    </w:p>
    <w:p w14:paraId="77165C09" w14:textId="079A2720" w:rsidR="00242D48" w:rsidRPr="00814B72" w:rsidRDefault="00242D48" w:rsidP="001623A1">
      <w:pPr>
        <w:rPr>
          <w:noProof/>
        </w:rPr>
      </w:pPr>
      <w:r w:rsidRPr="00814B72">
        <w:rPr>
          <w:noProof/>
        </w:rPr>
        <w:t xml:space="preserve">Over the same period, </w:t>
      </w:r>
      <w:r w:rsidR="00C145D2">
        <w:rPr>
          <w:noProof/>
        </w:rPr>
        <w:t>418</w:t>
      </w:r>
      <w:r w:rsidR="00F6294E" w:rsidRPr="00814B72">
        <w:rPr>
          <w:noProof/>
        </w:rPr>
        <w:t xml:space="preserve"> </w:t>
      </w:r>
      <w:r w:rsidRPr="00814B72">
        <w:rPr>
          <w:noProof/>
        </w:rPr>
        <w:t xml:space="preserve">cases related to </w:t>
      </w:r>
      <w:r w:rsidRPr="00814B72">
        <w:rPr>
          <w:b/>
          <w:noProof/>
        </w:rPr>
        <w:t>conflict</w:t>
      </w:r>
      <w:r w:rsidR="002662C1" w:rsidRPr="00814B72">
        <w:rPr>
          <w:b/>
          <w:noProof/>
        </w:rPr>
        <w:t>s</w:t>
      </w:r>
      <w:r w:rsidRPr="00814B72">
        <w:rPr>
          <w:b/>
          <w:noProof/>
        </w:rPr>
        <w:t xml:space="preserve"> of interest </w:t>
      </w:r>
      <w:r w:rsidRPr="00814B72">
        <w:rPr>
          <w:noProof/>
        </w:rPr>
        <w:t xml:space="preserve">were reported via </w:t>
      </w:r>
      <w:r w:rsidRPr="00C145D2">
        <w:rPr>
          <w:noProof/>
        </w:rPr>
        <w:t>IMS (</w:t>
      </w:r>
      <w:r w:rsidR="00C145D2" w:rsidRPr="00C145D2">
        <w:rPr>
          <w:noProof/>
        </w:rPr>
        <w:t>92</w:t>
      </w:r>
      <w:r w:rsidRPr="00C145D2">
        <w:rPr>
          <w:noProof/>
        </w:rPr>
        <w:t xml:space="preserve">% referred to cohesion, </w:t>
      </w:r>
      <w:r w:rsidR="00C145D2" w:rsidRPr="00C145D2">
        <w:rPr>
          <w:noProof/>
        </w:rPr>
        <w:t>3</w:t>
      </w:r>
      <w:r w:rsidRPr="00C145D2">
        <w:rPr>
          <w:noProof/>
        </w:rPr>
        <w:t xml:space="preserve">% to agriculture and </w:t>
      </w:r>
      <w:r w:rsidR="00C145D2" w:rsidRPr="00C145D2">
        <w:rPr>
          <w:noProof/>
        </w:rPr>
        <w:t>3</w:t>
      </w:r>
      <w:r w:rsidRPr="00C145D2">
        <w:rPr>
          <w:noProof/>
        </w:rPr>
        <w:t xml:space="preserve">% to pre-accession) </w:t>
      </w:r>
      <w:r w:rsidR="002662C1" w:rsidRPr="00C145D2">
        <w:rPr>
          <w:noProof/>
        </w:rPr>
        <w:t xml:space="preserve">involving </w:t>
      </w:r>
      <w:r w:rsidR="00EC7DBB" w:rsidRPr="00C145D2">
        <w:rPr>
          <w:noProof/>
        </w:rPr>
        <w:t>approximately</w:t>
      </w:r>
      <w:r w:rsidRPr="00C145D2">
        <w:rPr>
          <w:noProof/>
        </w:rPr>
        <w:t xml:space="preserve"> EUR</w:t>
      </w:r>
      <w:r w:rsidR="002662C1" w:rsidRPr="00C145D2">
        <w:rPr>
          <w:noProof/>
        </w:rPr>
        <w:t> </w:t>
      </w:r>
      <w:r w:rsidRPr="00C145D2">
        <w:rPr>
          <w:noProof/>
        </w:rPr>
        <w:t>1</w:t>
      </w:r>
      <w:r w:rsidR="00C145D2" w:rsidRPr="00C145D2">
        <w:rPr>
          <w:noProof/>
        </w:rPr>
        <w:t>59</w:t>
      </w:r>
      <w:r w:rsidRPr="00C145D2">
        <w:rPr>
          <w:noProof/>
        </w:rPr>
        <w:t xml:space="preserve"> million.</w:t>
      </w:r>
      <w:r w:rsidRPr="00814B72">
        <w:rPr>
          <w:noProof/>
        </w:rPr>
        <w:t xml:space="preserve"> </w:t>
      </w:r>
    </w:p>
    <w:p w14:paraId="2FD5B2F7" w14:textId="77777777" w:rsidR="004E2A2E" w:rsidRPr="00814B72" w:rsidRDefault="004E2A2E">
      <w:pPr>
        <w:spacing w:after="0" w:line="240" w:lineRule="auto"/>
        <w:jc w:val="left"/>
        <w:rPr>
          <w:b/>
          <w:smallCaps/>
          <w:noProof/>
          <w:sz w:val="26"/>
        </w:rPr>
      </w:pPr>
      <w:bookmarkStart w:id="113" w:name="_Toc134557995"/>
      <w:r w:rsidRPr="00814B72">
        <w:rPr>
          <w:noProof/>
        </w:rPr>
        <w:br w:type="page"/>
      </w:r>
    </w:p>
    <w:p w14:paraId="343F8493" w14:textId="77777777" w:rsidR="00FB5CF5" w:rsidRPr="0077133F" w:rsidRDefault="00FD31CE" w:rsidP="00B147F9">
      <w:pPr>
        <w:pStyle w:val="Heading1"/>
        <w:rPr>
          <w:noProof/>
        </w:rPr>
      </w:pPr>
      <w:bookmarkStart w:id="114" w:name="_Conclusions_and_recommendations"/>
      <w:bookmarkStart w:id="115" w:name="_Toc202011349"/>
      <w:bookmarkStart w:id="116" w:name="_Toc203477686"/>
      <w:bookmarkEnd w:id="114"/>
      <w:r w:rsidRPr="0077133F">
        <w:rPr>
          <w:noProof/>
        </w:rPr>
        <w:t>Conclusions and recommendations</w:t>
      </w:r>
      <w:bookmarkEnd w:id="113"/>
      <w:bookmarkEnd w:id="115"/>
      <w:bookmarkEnd w:id="116"/>
    </w:p>
    <w:p w14:paraId="03CDC2E3" w14:textId="5F0F2EC1" w:rsidR="003F3100" w:rsidRDefault="003F3100" w:rsidP="003F3100">
      <w:pPr>
        <w:rPr>
          <w:noProof/>
        </w:rPr>
      </w:pPr>
      <w:r w:rsidRPr="00905478">
        <w:rPr>
          <w:noProof/>
        </w:rPr>
        <w:t xml:space="preserve">The protection of the EU’s financial interests faces significant challenges in an increasingly complex and rapidly evolving landscape. Rapid developments in technology, financial systems, and global crime networks require the EU to adapt swiftly to emerging threats. </w:t>
      </w:r>
    </w:p>
    <w:p w14:paraId="07BA3CE2" w14:textId="289474C9" w:rsidR="00864950" w:rsidRDefault="00340BED" w:rsidP="00864950">
      <w:pPr>
        <w:rPr>
          <w:noProof/>
        </w:rPr>
      </w:pPr>
      <w:r>
        <w:rPr>
          <w:noProof/>
        </w:rPr>
        <w:t>On 16 July 2025, the Commission has adopted a Communication on a White Paper for the anti-fraud architecture</w:t>
      </w:r>
      <w:r w:rsidR="00D15AA7">
        <w:rPr>
          <w:noProof/>
        </w:rPr>
        <w:t xml:space="preserve"> review. This Communication</w:t>
      </w:r>
      <w:r>
        <w:rPr>
          <w:noProof/>
        </w:rPr>
        <w:t xml:space="preserve"> launch</w:t>
      </w:r>
      <w:r w:rsidR="00D15AA7">
        <w:rPr>
          <w:noProof/>
        </w:rPr>
        <w:t>ed</w:t>
      </w:r>
      <w:r w:rsidR="00CF6347">
        <w:rPr>
          <w:noProof/>
        </w:rPr>
        <w:t xml:space="preserve"> </w:t>
      </w:r>
      <w:r>
        <w:rPr>
          <w:noProof/>
        </w:rPr>
        <w:t xml:space="preserve">a </w:t>
      </w:r>
      <w:r w:rsidR="00D15AA7">
        <w:rPr>
          <w:noProof/>
        </w:rPr>
        <w:t xml:space="preserve">reflection </w:t>
      </w:r>
      <w:r>
        <w:rPr>
          <w:noProof/>
        </w:rPr>
        <w:t>process to</w:t>
      </w:r>
      <w:r w:rsidR="00864950">
        <w:rPr>
          <w:noProof/>
        </w:rPr>
        <w:t xml:space="preserve"> review the overall </w:t>
      </w:r>
      <w:r>
        <w:rPr>
          <w:noProof/>
        </w:rPr>
        <w:t xml:space="preserve">EU </w:t>
      </w:r>
      <w:r w:rsidR="00864950">
        <w:rPr>
          <w:noProof/>
        </w:rPr>
        <w:t xml:space="preserve">anti-fraud architecture </w:t>
      </w:r>
      <w:r>
        <w:rPr>
          <w:noProof/>
        </w:rPr>
        <w:t>with a view to better address challenges and bridge existing gaps in the protection of the EU’s financial interests</w:t>
      </w:r>
      <w:r w:rsidR="00CB4054">
        <w:rPr>
          <w:noProof/>
        </w:rPr>
        <w:t xml:space="preserve">. This review </w:t>
      </w:r>
      <w:r w:rsidRPr="00340BED">
        <w:rPr>
          <w:noProof/>
        </w:rPr>
        <w:t>process will also be an opportunity to improve and streamline cooperation between the various actors</w:t>
      </w:r>
      <w:r>
        <w:rPr>
          <w:noProof/>
        </w:rPr>
        <w:t xml:space="preserve">, </w:t>
      </w:r>
      <w:r w:rsidR="00CB4054">
        <w:rPr>
          <w:noProof/>
        </w:rPr>
        <w:t>draw</w:t>
      </w:r>
      <w:r>
        <w:rPr>
          <w:noProof/>
        </w:rPr>
        <w:t>ing</w:t>
      </w:r>
      <w:r w:rsidR="00CB4054">
        <w:rPr>
          <w:noProof/>
        </w:rPr>
        <w:t xml:space="preserve"> on</w:t>
      </w:r>
      <w:r w:rsidR="00864950">
        <w:rPr>
          <w:noProof/>
        </w:rPr>
        <w:t xml:space="preserve"> the </w:t>
      </w:r>
      <w:r w:rsidR="00C36697">
        <w:rPr>
          <w:noProof/>
        </w:rPr>
        <w:t xml:space="preserve">outcomes </w:t>
      </w:r>
      <w:r w:rsidR="00864950">
        <w:rPr>
          <w:noProof/>
        </w:rPr>
        <w:t>of relevant ongoing evaluations</w:t>
      </w:r>
      <w:r w:rsidR="00D15AA7">
        <w:rPr>
          <w:noProof/>
        </w:rPr>
        <w:t xml:space="preserve"> of the legal frameworks applicable to certain actors relevant to the anti-fraud architecture</w:t>
      </w:r>
      <w:r w:rsidR="00864950">
        <w:rPr>
          <w:noProof/>
        </w:rPr>
        <w:t xml:space="preserve"> </w:t>
      </w:r>
      <w:r w:rsidR="00CB4054">
        <w:rPr>
          <w:noProof/>
        </w:rPr>
        <w:t>(</w:t>
      </w:r>
      <w:r w:rsidR="00D15AA7">
        <w:rPr>
          <w:noProof/>
        </w:rPr>
        <w:t xml:space="preserve">e.g. Eurojust, Europol, </w:t>
      </w:r>
      <w:r w:rsidR="00CB4054">
        <w:rPr>
          <w:noProof/>
        </w:rPr>
        <w:t>OLAF and the EPPO)</w:t>
      </w:r>
      <w:r w:rsidR="00864950">
        <w:rPr>
          <w:noProof/>
        </w:rPr>
        <w:t>.</w:t>
      </w:r>
    </w:p>
    <w:p w14:paraId="44A174E7" w14:textId="77777777" w:rsidR="00C054F9" w:rsidRDefault="00D15AA7" w:rsidP="003F3100">
      <w:pPr>
        <w:rPr>
          <w:noProof/>
        </w:rPr>
      </w:pPr>
      <w:r w:rsidRPr="00D15AA7">
        <w:rPr>
          <w:noProof/>
        </w:rPr>
        <w:t>The AFA review complements the preparatory work on the next multiannual financial framework (the MFF). The aim is to ensure that the next MFF can benefit from a strengthened and more efficient anti-fraud architecture to protect the EU’s financial interests by making the best possible use of resources (particularly as regards the complementarity and coordination of the functions and activities of all relevant actors).</w:t>
      </w:r>
    </w:p>
    <w:p w14:paraId="2FCA2BD9" w14:textId="0BAB1BD1" w:rsidR="00C054F9" w:rsidRDefault="00C054F9" w:rsidP="003F3100">
      <w:pPr>
        <w:rPr>
          <w:noProof/>
        </w:rPr>
      </w:pPr>
      <w:r>
        <w:rPr>
          <w:noProof/>
        </w:rPr>
        <w:t xml:space="preserve">At national level also, </w:t>
      </w:r>
      <w:r w:rsidRPr="00905478">
        <w:rPr>
          <w:noProof/>
        </w:rPr>
        <w:t xml:space="preserve">reinforced frameworks are essential for </w:t>
      </w:r>
      <w:r>
        <w:rPr>
          <w:noProof/>
        </w:rPr>
        <w:t xml:space="preserve">the </w:t>
      </w:r>
      <w:r w:rsidRPr="00905478">
        <w:rPr>
          <w:noProof/>
        </w:rPr>
        <w:t xml:space="preserve">effective implementation of EU anti-fraud measures. The complexity of transnational investigations, particularly in tracking financial flows, underscores the importance of a strong cooperation </w:t>
      </w:r>
      <w:r>
        <w:rPr>
          <w:noProof/>
        </w:rPr>
        <w:t>between the EU and national actors in the anti-fraud architecture</w:t>
      </w:r>
      <w:r w:rsidRPr="00905478">
        <w:rPr>
          <w:noProof/>
        </w:rPr>
        <w:t>.</w:t>
      </w:r>
      <w:r>
        <w:rPr>
          <w:noProof/>
        </w:rPr>
        <w:t xml:space="preserve"> </w:t>
      </w:r>
    </w:p>
    <w:p w14:paraId="3FA9962E" w14:textId="345F7657" w:rsidR="00C054F9" w:rsidRPr="00864950" w:rsidRDefault="00C054F9" w:rsidP="003F3100">
      <w:pPr>
        <w:rPr>
          <w:noProof/>
        </w:rPr>
      </w:pPr>
      <w:r>
        <w:rPr>
          <w:noProof/>
        </w:rPr>
        <w:t>To this end and without prejudice to the future review of the AFA, based on the analysis and findings presented in this PIF report, the Commission has identified some areas, highlighted in the next paragraphs, where Member States’ action can help addressing identified weaknesses and exploit concrete opportunities to strengthen the protection of the EU’s financial interests.</w:t>
      </w:r>
    </w:p>
    <w:p w14:paraId="39DC1422" w14:textId="2449CD10" w:rsidR="00C35D42" w:rsidRDefault="00FA286D" w:rsidP="003E2F7E">
      <w:pPr>
        <w:pStyle w:val="Heading2"/>
        <w:rPr>
          <w:noProof/>
        </w:rPr>
      </w:pPr>
      <w:bookmarkStart w:id="117" w:name="_Toc203477687"/>
      <w:r>
        <w:rPr>
          <w:noProof/>
        </w:rPr>
        <w:t>Improved reporting and more effective communication channels</w:t>
      </w:r>
      <w:bookmarkEnd w:id="117"/>
    </w:p>
    <w:p w14:paraId="4AFD3AE9" w14:textId="022BA5E9" w:rsidR="00864950" w:rsidRPr="00814B72" w:rsidRDefault="00864950" w:rsidP="00864950">
      <w:pPr>
        <w:rPr>
          <w:noProof/>
        </w:rPr>
      </w:pPr>
      <w:r>
        <w:rPr>
          <w:noProof/>
        </w:rPr>
        <w:t>The exchange of timely, accurate and complete information between the different components of the EU</w:t>
      </w:r>
      <w:r w:rsidR="00CB4054">
        <w:rPr>
          <w:noProof/>
        </w:rPr>
        <w:t>’s anti-fraud architecture</w:t>
      </w:r>
      <w:r>
        <w:rPr>
          <w:noProof/>
        </w:rPr>
        <w:t xml:space="preserve"> is key. </w:t>
      </w:r>
      <w:r w:rsidRPr="00E965A7">
        <w:rPr>
          <w:noProof/>
        </w:rPr>
        <w:t>The reporting and</w:t>
      </w:r>
      <w:r w:rsidR="00C36697">
        <w:rPr>
          <w:noProof/>
        </w:rPr>
        <w:t xml:space="preserve"> </w:t>
      </w:r>
      <w:r w:rsidRPr="00E965A7">
        <w:rPr>
          <w:noProof/>
        </w:rPr>
        <w:t xml:space="preserve">follow-up of cases of </w:t>
      </w:r>
      <w:r w:rsidR="00C36697">
        <w:rPr>
          <w:noProof/>
        </w:rPr>
        <w:t xml:space="preserve">irregularities and </w:t>
      </w:r>
      <w:r w:rsidRPr="00E965A7">
        <w:rPr>
          <w:noProof/>
        </w:rPr>
        <w:t xml:space="preserve">suspected fraud remains an area where more improvements are needed. </w:t>
      </w:r>
    </w:p>
    <w:p w14:paraId="6FC9DF53" w14:textId="07343768" w:rsidR="00864950" w:rsidRPr="00814B72" w:rsidRDefault="00864950" w:rsidP="00864950">
      <w:pPr>
        <w:pStyle w:val="Caption"/>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sidRPr="00814B72">
        <w:rPr>
          <w:noProof/>
        </w:rPr>
        <w:t xml:space="preserve">Recommendation </w:t>
      </w:r>
      <w:r w:rsidR="00472123">
        <w:rPr>
          <w:noProof/>
        </w:rPr>
        <w:fldChar w:fldCharType="begin"/>
      </w:r>
      <w:r w:rsidR="00472123">
        <w:rPr>
          <w:noProof/>
        </w:rPr>
        <w:instrText xml:space="preserve"> SEQ Recommendation \* ARABIC </w:instrText>
      </w:r>
      <w:r w:rsidR="00472123">
        <w:rPr>
          <w:noProof/>
        </w:rPr>
        <w:fldChar w:fldCharType="separate"/>
      </w:r>
      <w:r w:rsidR="00947EF7">
        <w:rPr>
          <w:noProof/>
        </w:rPr>
        <w:t>1</w:t>
      </w:r>
      <w:r w:rsidR="00472123">
        <w:rPr>
          <w:noProof/>
        </w:rPr>
        <w:fldChar w:fldCharType="end"/>
      </w:r>
      <w:r w:rsidRPr="00814B72">
        <w:rPr>
          <w:noProof/>
        </w:rPr>
        <w:t xml:space="preserve">: </w:t>
      </w:r>
      <w:r w:rsidR="00F60113">
        <w:rPr>
          <w:noProof/>
        </w:rPr>
        <w:t xml:space="preserve">Closing the </w:t>
      </w:r>
      <w:r w:rsidR="007C4F7B">
        <w:rPr>
          <w:noProof/>
        </w:rPr>
        <w:t xml:space="preserve">reporting </w:t>
      </w:r>
      <w:r w:rsidR="00F60113">
        <w:rPr>
          <w:noProof/>
        </w:rPr>
        <w:t xml:space="preserve">gap in </w:t>
      </w:r>
      <w:r w:rsidR="007C4F7B">
        <w:rPr>
          <w:noProof/>
        </w:rPr>
        <w:t xml:space="preserve">relation to </w:t>
      </w:r>
      <w:r w:rsidRPr="0076144A">
        <w:rPr>
          <w:noProof/>
        </w:rPr>
        <w:t>suspected fraud</w:t>
      </w:r>
      <w:r w:rsidR="00EB0FB2">
        <w:rPr>
          <w:noProof/>
        </w:rPr>
        <w:t xml:space="preserve"> and irregularities</w:t>
      </w:r>
    </w:p>
    <w:p w14:paraId="606A9596" w14:textId="416455F9" w:rsidR="00EB0FB2" w:rsidRDefault="00EB0FB2" w:rsidP="00864950">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Member States are </w:t>
      </w:r>
      <w:r w:rsidRPr="00EB0FB2">
        <w:rPr>
          <w:noProof/>
        </w:rPr>
        <w:t>reminded of the need to report all irregularities and suspect fraud to the Commission in a timely and complete manner in accordance with the obligations set down in sectoral regulations. This will provide for a more complete dataset at EU level facilitating better trend analysis and more timely prevention and investigation interventions.</w:t>
      </w:r>
    </w:p>
    <w:p w14:paraId="3A0B81C9" w14:textId="625876BC" w:rsidR="00EB0FB2" w:rsidRDefault="00EB0FB2" w:rsidP="00FC72EB">
      <w:pPr>
        <w:rPr>
          <w:noProof/>
        </w:rPr>
      </w:pPr>
      <w:r w:rsidRPr="00E965A7">
        <w:rPr>
          <w:noProof/>
        </w:rPr>
        <w:t xml:space="preserve">This is </w:t>
      </w:r>
      <w:r>
        <w:rPr>
          <w:noProof/>
        </w:rPr>
        <w:t xml:space="preserve">also </w:t>
      </w:r>
      <w:r w:rsidRPr="00E965A7">
        <w:rPr>
          <w:noProof/>
        </w:rPr>
        <w:t xml:space="preserve">the area where </w:t>
      </w:r>
      <w:r>
        <w:rPr>
          <w:noProof/>
        </w:rPr>
        <w:t xml:space="preserve">synergies between </w:t>
      </w:r>
      <w:r w:rsidRPr="00E965A7">
        <w:rPr>
          <w:noProof/>
        </w:rPr>
        <w:t xml:space="preserve">administrative and judicial </w:t>
      </w:r>
      <w:r>
        <w:rPr>
          <w:noProof/>
        </w:rPr>
        <w:t xml:space="preserve">bodies can lead to the optimisation of the twin objectives of prosecuting fraudsters and protecting the EU budget, recovering the sums unduly paid. More effective channels of communication need to be put in place so that the various parts </w:t>
      </w:r>
      <w:r w:rsidRPr="00E965A7">
        <w:rPr>
          <w:noProof/>
        </w:rPr>
        <w:t xml:space="preserve">of the EU AFA </w:t>
      </w:r>
      <w:r>
        <w:rPr>
          <w:noProof/>
        </w:rPr>
        <w:t>can seamlessly exchange the necessary information and data.</w:t>
      </w:r>
    </w:p>
    <w:p w14:paraId="58733E44" w14:textId="2C9CF053" w:rsidR="00EB0FB2" w:rsidRPr="00FC72EB" w:rsidRDefault="00947EF7" w:rsidP="00947EF7">
      <w:pPr>
        <w:pStyle w:val="Caption"/>
        <w:pBdr>
          <w:top w:val="single" w:sz="4" w:space="1" w:color="auto"/>
          <w:left w:val="single" w:sz="4" w:space="0" w:color="auto"/>
          <w:bottom w:val="single" w:sz="4" w:space="1" w:color="auto"/>
          <w:right w:val="single" w:sz="4" w:space="1" w:color="auto"/>
        </w:pBdr>
        <w:shd w:val="clear" w:color="auto" w:fill="FFF2CC" w:themeFill="accent4" w:themeFillTint="33"/>
        <w:rPr>
          <w:b w:val="0"/>
          <w:bCs/>
          <w:i w:val="0"/>
          <w:iCs/>
          <w:noProof/>
          <w:lang w:val="en-IE"/>
        </w:rPr>
      </w:pPr>
      <w:r>
        <w:rPr>
          <w:noProof/>
        </w:rPr>
        <w:t xml:space="preserve">Recommendation </w:t>
      </w:r>
      <w:r>
        <w:rPr>
          <w:noProof/>
        </w:rPr>
        <w:fldChar w:fldCharType="begin"/>
      </w:r>
      <w:r>
        <w:rPr>
          <w:noProof/>
        </w:rPr>
        <w:instrText xml:space="preserve"> SEQ Recommendation \* ARABIC </w:instrText>
      </w:r>
      <w:r>
        <w:rPr>
          <w:noProof/>
        </w:rPr>
        <w:fldChar w:fldCharType="separate"/>
      </w:r>
      <w:r>
        <w:rPr>
          <w:noProof/>
        </w:rPr>
        <w:t>2</w:t>
      </w:r>
      <w:r>
        <w:rPr>
          <w:noProof/>
        </w:rPr>
        <w:fldChar w:fldCharType="end"/>
      </w:r>
      <w:r w:rsidR="00EB0FB2" w:rsidRPr="00FC72EB">
        <w:rPr>
          <w:bCs/>
          <w:iCs/>
          <w:noProof/>
          <w:lang w:val="en-IE"/>
        </w:rPr>
        <w:t>: Establishing more effective communication channels</w:t>
      </w:r>
    </w:p>
    <w:p w14:paraId="2E895576" w14:textId="5F8895A3" w:rsidR="00864950" w:rsidRDefault="00EB0FB2"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Better </w:t>
      </w:r>
      <w:r w:rsidR="00864950">
        <w:rPr>
          <w:noProof/>
        </w:rPr>
        <w:t xml:space="preserve">coordination between national authorities, OLAF and the EPPO is </w:t>
      </w:r>
      <w:r>
        <w:rPr>
          <w:noProof/>
        </w:rPr>
        <w:t xml:space="preserve">also </w:t>
      </w:r>
      <w:r w:rsidR="00864950">
        <w:rPr>
          <w:noProof/>
        </w:rPr>
        <w:t>necessary to ensure that cases investigated by EU bodies are duly reported at the earliest possible moment in compliance with the relevant EU sectoral legislation.</w:t>
      </w:r>
    </w:p>
    <w:p w14:paraId="65A04F54" w14:textId="3D7F3507" w:rsidR="00864950" w:rsidRDefault="00864950"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National authorities must correctly identify and address existing loopholes in the information flow in relation to suspected fraud, the moment </w:t>
      </w:r>
      <w:r w:rsidR="00FA28FD">
        <w:rPr>
          <w:noProof/>
        </w:rPr>
        <w:t xml:space="preserve">they are first reported, and </w:t>
      </w:r>
      <w:r>
        <w:rPr>
          <w:noProof/>
        </w:rPr>
        <w:t>even more</w:t>
      </w:r>
      <w:r w:rsidR="00FA28FD">
        <w:rPr>
          <w:noProof/>
        </w:rPr>
        <w:t xml:space="preserve"> so</w:t>
      </w:r>
      <w:r>
        <w:rPr>
          <w:noProof/>
        </w:rPr>
        <w:t xml:space="preserve">, </w:t>
      </w:r>
      <w:r w:rsidR="00FA28FD">
        <w:rPr>
          <w:noProof/>
        </w:rPr>
        <w:t xml:space="preserve">when following-up on them </w:t>
      </w:r>
      <w:r>
        <w:rPr>
          <w:noProof/>
        </w:rPr>
        <w:t>both in judicial and administrative proceedings at national level.</w:t>
      </w:r>
    </w:p>
    <w:p w14:paraId="521043F3" w14:textId="3E841E4E" w:rsidR="00864950" w:rsidRPr="00814B72" w:rsidRDefault="00864950"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The Commission is committed to </w:t>
      </w:r>
      <w:r w:rsidR="00FA28FD">
        <w:rPr>
          <w:noProof/>
        </w:rPr>
        <w:t>further</w:t>
      </w:r>
      <w:r>
        <w:rPr>
          <w:noProof/>
        </w:rPr>
        <w:t xml:space="preserve"> developing and </w:t>
      </w:r>
      <w:r w:rsidR="00FA28FD">
        <w:rPr>
          <w:noProof/>
        </w:rPr>
        <w:t xml:space="preserve">providing </w:t>
      </w:r>
      <w:r>
        <w:rPr>
          <w:noProof/>
        </w:rPr>
        <w:t>the necessary guidelines, IT tools and support. The Commission will also facilitate to the maximum extent possible the necessary coordination between the bodies involved.</w:t>
      </w:r>
    </w:p>
    <w:p w14:paraId="26E6E8FB" w14:textId="09857C04" w:rsidR="00FA28FD" w:rsidRDefault="002B22B6" w:rsidP="00BB000D">
      <w:pPr>
        <w:pStyle w:val="Heading2"/>
        <w:spacing w:before="360"/>
        <w:rPr>
          <w:noProof/>
        </w:rPr>
      </w:pPr>
      <w:bookmarkStart w:id="118" w:name="_Toc202011351"/>
      <w:bookmarkStart w:id="119" w:name="_Toc203477688"/>
      <w:r>
        <w:rPr>
          <w:noProof/>
        </w:rPr>
        <w:t xml:space="preserve">National anti-fraud strategies as a key element of the anti-fraud </w:t>
      </w:r>
      <w:r w:rsidR="00943162">
        <w:rPr>
          <w:noProof/>
        </w:rPr>
        <w:t>governance</w:t>
      </w:r>
      <w:bookmarkEnd w:id="118"/>
      <w:bookmarkEnd w:id="119"/>
    </w:p>
    <w:p w14:paraId="5B9B5D36" w14:textId="2672F7BB" w:rsidR="002B22B6" w:rsidRDefault="002B22B6" w:rsidP="002B22B6">
      <w:pPr>
        <w:rPr>
          <w:noProof/>
        </w:rPr>
      </w:pPr>
      <w:r w:rsidRPr="002B22B6">
        <w:rPr>
          <w:noProof/>
        </w:rPr>
        <w:t>The Commission has constantly pressed the case for the widespread adoption of national anti-fraud strategies to protect the EU’s financial interests. Those strategies can ensure that the various national actors involved take a common approach and can facilitate cooperation with the EU level.</w:t>
      </w:r>
      <w:r>
        <w:rPr>
          <w:noProof/>
        </w:rPr>
        <w:t xml:space="preserve"> Their role appears even more pivotal with the progressive adoption of national plans (for instance the national recovery and resilience plans or the national agricultural plans) underpinning the spending of EU financial resources.</w:t>
      </w:r>
    </w:p>
    <w:p w14:paraId="360F0D05" w14:textId="35AB9EBD" w:rsidR="002B22B6" w:rsidRDefault="002B22B6" w:rsidP="00947EF7">
      <w:pPr>
        <w:pStyle w:val="Caption"/>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Recommendation </w:t>
      </w:r>
      <w:r>
        <w:rPr>
          <w:noProof/>
        </w:rPr>
        <w:fldChar w:fldCharType="begin"/>
      </w:r>
      <w:r>
        <w:rPr>
          <w:noProof/>
        </w:rPr>
        <w:instrText xml:space="preserve"> SEQ Recommendation \* ARABIC </w:instrText>
      </w:r>
      <w:r>
        <w:rPr>
          <w:noProof/>
        </w:rPr>
        <w:fldChar w:fldCharType="separate"/>
      </w:r>
      <w:r w:rsidR="00947EF7">
        <w:rPr>
          <w:noProof/>
        </w:rPr>
        <w:t>3</w:t>
      </w:r>
      <w:r>
        <w:rPr>
          <w:noProof/>
        </w:rPr>
        <w:fldChar w:fldCharType="end"/>
      </w:r>
      <w:r w:rsidRPr="00814B72">
        <w:rPr>
          <w:noProof/>
        </w:rPr>
        <w:t xml:space="preserve">: </w:t>
      </w:r>
      <w:r>
        <w:rPr>
          <w:noProof/>
        </w:rPr>
        <w:t>adoption of a national anti-fraud strategy</w:t>
      </w:r>
    </w:p>
    <w:p w14:paraId="36B662D2" w14:textId="156DA039" w:rsidR="002B22B6" w:rsidRDefault="002B22B6"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The Commission reiterates </w:t>
      </w:r>
      <w:r w:rsidR="00021EDE" w:rsidRPr="00021EDE">
        <w:rPr>
          <w:noProof/>
        </w:rPr>
        <w:t>its recommendation that the Member States which have not yet adopted a NAFS should do so</w:t>
      </w:r>
      <w:r w:rsidR="00021EDE">
        <w:rPr>
          <w:noProof/>
        </w:rPr>
        <w:t>.</w:t>
      </w:r>
    </w:p>
    <w:p w14:paraId="3A5D3712" w14:textId="77777777" w:rsidR="00021EDE" w:rsidRDefault="00021EDE"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sidRPr="00021EDE">
        <w:rPr>
          <w:noProof/>
        </w:rPr>
        <w:t xml:space="preserve">National anti-fraud networks have been developing in several Member States, </w:t>
      </w:r>
      <w:r>
        <w:rPr>
          <w:noProof/>
        </w:rPr>
        <w:t xml:space="preserve">often </w:t>
      </w:r>
      <w:r w:rsidRPr="00021EDE">
        <w:rPr>
          <w:noProof/>
        </w:rPr>
        <w:t>with the national AFCOS playing a key role. The</w:t>
      </w:r>
      <w:r>
        <w:rPr>
          <w:noProof/>
        </w:rPr>
        <w:t xml:space="preserve">se networks provide the ideal structure for conducting nation-wide fraud risk assessment and consequently developing national strategies. </w:t>
      </w:r>
    </w:p>
    <w:p w14:paraId="3347CCD0" w14:textId="2255849A" w:rsidR="00021EDE" w:rsidRPr="002B22B6" w:rsidRDefault="00021EDE"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The</w:t>
      </w:r>
      <w:r w:rsidRPr="00021EDE">
        <w:rPr>
          <w:noProof/>
        </w:rPr>
        <w:t xml:space="preserve"> Commission supports and encourages this process.</w:t>
      </w:r>
    </w:p>
    <w:p w14:paraId="550B9379" w14:textId="0D3E3794" w:rsidR="00F86360" w:rsidRPr="00814B72" w:rsidRDefault="00C35D42" w:rsidP="00BB000D">
      <w:pPr>
        <w:pStyle w:val="Heading2"/>
        <w:spacing w:before="360"/>
        <w:rPr>
          <w:noProof/>
        </w:rPr>
      </w:pPr>
      <w:bookmarkStart w:id="120" w:name="_Toc202011352"/>
      <w:bookmarkStart w:id="121" w:name="_Toc203477689"/>
      <w:r>
        <w:rPr>
          <w:noProof/>
        </w:rPr>
        <w:t>Use of innovative technologies</w:t>
      </w:r>
      <w:bookmarkEnd w:id="120"/>
      <w:bookmarkEnd w:id="121"/>
    </w:p>
    <w:p w14:paraId="38256CC3" w14:textId="23A3A592" w:rsidR="00AD0D22" w:rsidRPr="00814B72" w:rsidRDefault="003F3100" w:rsidP="007C6AB4">
      <w:pPr>
        <w:rPr>
          <w:noProof/>
        </w:rPr>
      </w:pPr>
      <w:r>
        <w:rPr>
          <w:noProof/>
        </w:rPr>
        <w:t>T</w:t>
      </w:r>
      <w:r w:rsidR="00905478" w:rsidRPr="00905478">
        <w:rPr>
          <w:noProof/>
        </w:rPr>
        <w:t xml:space="preserve">he rise in cybercrime and the use of AI by criminals pose unprecedented risks to the EU budget. </w:t>
      </w:r>
      <w:r>
        <w:rPr>
          <w:noProof/>
        </w:rPr>
        <w:t>T</w:t>
      </w:r>
      <w:r w:rsidR="00905478" w:rsidRPr="00905478">
        <w:rPr>
          <w:noProof/>
        </w:rPr>
        <w:t xml:space="preserve">he </w:t>
      </w:r>
      <w:r w:rsidR="00FA28FD" w:rsidRPr="00905478">
        <w:rPr>
          <w:noProof/>
        </w:rPr>
        <w:t xml:space="preserve">anti-fraud architecture </w:t>
      </w:r>
      <w:r w:rsidR="00905478" w:rsidRPr="00905478">
        <w:rPr>
          <w:noProof/>
        </w:rPr>
        <w:t>must keep pace with these developments by developing cutting-edge tools and strategies.</w:t>
      </w:r>
      <w:r>
        <w:rPr>
          <w:noProof/>
        </w:rPr>
        <w:t xml:space="preserve"> While the Commission </w:t>
      </w:r>
      <w:r w:rsidR="00FA28FD">
        <w:rPr>
          <w:noProof/>
        </w:rPr>
        <w:t xml:space="preserve">implements </w:t>
      </w:r>
      <w:r>
        <w:rPr>
          <w:noProof/>
        </w:rPr>
        <w:t xml:space="preserve">the action plan accompanying its anti-fraud strategy, with a particular attention to the </w:t>
      </w:r>
      <w:r w:rsidR="00FA28FD">
        <w:rPr>
          <w:noProof/>
        </w:rPr>
        <w:t xml:space="preserve">actions dedicated to </w:t>
      </w:r>
      <w:r w:rsidRPr="003F3100">
        <w:rPr>
          <w:noProof/>
        </w:rPr>
        <w:t>digitalisation and the use of IT tools to fight fraud</w:t>
      </w:r>
      <w:r>
        <w:rPr>
          <w:noProof/>
        </w:rPr>
        <w:t xml:space="preserve">, it is </w:t>
      </w:r>
      <w:r w:rsidR="00FA28FD">
        <w:rPr>
          <w:noProof/>
        </w:rPr>
        <w:t xml:space="preserve">also </w:t>
      </w:r>
      <w:r>
        <w:rPr>
          <w:noProof/>
        </w:rPr>
        <w:t xml:space="preserve">important that Member States </w:t>
      </w:r>
      <w:r w:rsidR="00FA28FD">
        <w:rPr>
          <w:noProof/>
        </w:rPr>
        <w:t xml:space="preserve">continue to introduce </w:t>
      </w:r>
      <w:r w:rsidR="00F71323">
        <w:rPr>
          <w:noProof/>
        </w:rPr>
        <w:t xml:space="preserve">and </w:t>
      </w:r>
      <w:r w:rsidR="00FA28FD">
        <w:rPr>
          <w:noProof/>
        </w:rPr>
        <w:t xml:space="preserve">develop </w:t>
      </w:r>
      <w:r w:rsidR="00F71323">
        <w:rPr>
          <w:noProof/>
        </w:rPr>
        <w:t>the use of innovative technologies in their control systems</w:t>
      </w:r>
      <w:r w:rsidR="00FA28FD">
        <w:rPr>
          <w:noProof/>
        </w:rPr>
        <w:t xml:space="preserve"> at a fast pace</w:t>
      </w:r>
      <w:r w:rsidR="00F71323">
        <w:rPr>
          <w:noProof/>
        </w:rPr>
        <w:t>.</w:t>
      </w:r>
    </w:p>
    <w:p w14:paraId="0ECA4C96" w14:textId="24804573" w:rsidR="00AD0D22" w:rsidRDefault="002B22B6" w:rsidP="00947EF7">
      <w:pPr>
        <w:pStyle w:val="Caption"/>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Recommendation </w:t>
      </w:r>
      <w:r>
        <w:rPr>
          <w:noProof/>
        </w:rPr>
        <w:fldChar w:fldCharType="begin"/>
      </w:r>
      <w:r>
        <w:rPr>
          <w:noProof/>
        </w:rPr>
        <w:instrText xml:space="preserve"> SEQ Recommendation \* ARABIC </w:instrText>
      </w:r>
      <w:r>
        <w:rPr>
          <w:noProof/>
        </w:rPr>
        <w:fldChar w:fldCharType="separate"/>
      </w:r>
      <w:r w:rsidR="00947EF7">
        <w:rPr>
          <w:noProof/>
        </w:rPr>
        <w:t>4</w:t>
      </w:r>
      <w:r>
        <w:rPr>
          <w:noProof/>
        </w:rPr>
        <w:fldChar w:fldCharType="end"/>
      </w:r>
      <w:r w:rsidR="00AD0D22" w:rsidRPr="00814B72">
        <w:rPr>
          <w:noProof/>
        </w:rPr>
        <w:t xml:space="preserve">: </w:t>
      </w:r>
      <w:r w:rsidR="00F60113">
        <w:rPr>
          <w:noProof/>
        </w:rPr>
        <w:t>digitalisation as a pillar of the national anti-fraud strategy</w:t>
      </w:r>
    </w:p>
    <w:p w14:paraId="01E8BE82" w14:textId="00718511" w:rsidR="00F42DC6" w:rsidRDefault="00F71323"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The Commission reiterates its call </w:t>
      </w:r>
      <w:r w:rsidR="00F42DC6">
        <w:rPr>
          <w:noProof/>
        </w:rPr>
        <w:t>to</w:t>
      </w:r>
      <w:r>
        <w:rPr>
          <w:noProof/>
        </w:rPr>
        <w:t xml:space="preserve"> national authorities to </w:t>
      </w:r>
      <w:r w:rsidR="00FA28FD">
        <w:rPr>
          <w:noProof/>
        </w:rPr>
        <w:t xml:space="preserve">embed </w:t>
      </w:r>
      <w:r>
        <w:rPr>
          <w:noProof/>
        </w:rPr>
        <w:t>the digitalisation of the fight against fraud in their national anti-fraud strategies, with the aim of</w:t>
      </w:r>
      <w:r w:rsidR="00F42DC6">
        <w:rPr>
          <w:noProof/>
        </w:rPr>
        <w:t>:</w:t>
      </w:r>
    </w:p>
    <w:p w14:paraId="58E1348D" w14:textId="77777777" w:rsidR="00413689" w:rsidRDefault="00F42DC6"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a)</w:t>
      </w:r>
      <w:r w:rsidR="00F71323">
        <w:rPr>
          <w:noProof/>
        </w:rPr>
        <w:t xml:space="preserve"> assessing the level of threat posed </w:t>
      </w:r>
      <w:r>
        <w:rPr>
          <w:noProof/>
        </w:rPr>
        <w:t xml:space="preserve">to the EU budget </w:t>
      </w:r>
      <w:r w:rsidR="00F71323">
        <w:rPr>
          <w:noProof/>
        </w:rPr>
        <w:t xml:space="preserve">by the </w:t>
      </w:r>
      <w:r>
        <w:rPr>
          <w:noProof/>
        </w:rPr>
        <w:t>rise in cybercrime and the use of AI and other innovative technologies, in particular by organised crime;</w:t>
      </w:r>
    </w:p>
    <w:p w14:paraId="52A9EF53" w14:textId="77777777" w:rsidR="00F42DC6" w:rsidRDefault="00F42DC6"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b) identifying their knowledge and skill gaps in relation to the deployment, development and use of innovative technologies to fight fraud more effectively;</w:t>
      </w:r>
    </w:p>
    <w:p w14:paraId="5C4F156C" w14:textId="569C8F2E" w:rsidR="00F42DC6" w:rsidRPr="00814B72" w:rsidRDefault="00F42DC6" w:rsidP="00947EF7">
      <w:pPr>
        <w:pBdr>
          <w:top w:val="single" w:sz="4" w:space="1" w:color="auto"/>
          <w:left w:val="single" w:sz="4" w:space="0" w:color="auto"/>
          <w:bottom w:val="single" w:sz="4" w:space="1" w:color="auto"/>
          <w:right w:val="single" w:sz="4" w:space="1" w:color="auto"/>
        </w:pBdr>
        <w:shd w:val="clear" w:color="auto" w:fill="FFF2CC" w:themeFill="accent4" w:themeFillTint="33"/>
        <w:rPr>
          <w:noProof/>
        </w:rPr>
      </w:pPr>
      <w:r>
        <w:rPr>
          <w:noProof/>
        </w:rPr>
        <w:t xml:space="preserve">c) </w:t>
      </w:r>
      <w:r w:rsidR="00FA28FD">
        <w:rPr>
          <w:noProof/>
        </w:rPr>
        <w:t xml:space="preserve">identifying </w:t>
      </w:r>
      <w:r>
        <w:rPr>
          <w:noProof/>
        </w:rPr>
        <w:t>the actions needed to address such threats and vulnerabilities.</w:t>
      </w:r>
    </w:p>
    <w:sectPr w:rsidR="00F42DC6" w:rsidRPr="00814B72" w:rsidSect="00EA6E77">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F5D5" w14:textId="77777777" w:rsidR="00DC2A4D" w:rsidRDefault="00DC2A4D">
      <w:pPr>
        <w:spacing w:after="0" w:line="240" w:lineRule="auto"/>
      </w:pPr>
      <w:r>
        <w:separator/>
      </w:r>
    </w:p>
  </w:endnote>
  <w:endnote w:type="continuationSeparator" w:id="0">
    <w:p w14:paraId="261AE099" w14:textId="77777777" w:rsidR="00DC2A4D" w:rsidRDefault="00DC2A4D">
      <w:pPr>
        <w:spacing w:after="0" w:line="240" w:lineRule="auto"/>
      </w:pPr>
      <w:r>
        <w:continuationSeparator/>
      </w:r>
    </w:p>
  </w:endnote>
  <w:endnote w:type="continuationNotice" w:id="1">
    <w:p w14:paraId="27909DE2" w14:textId="77777777" w:rsidR="00DC2A4D" w:rsidRDefault="00DC2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5E1D" w14:textId="49F61149" w:rsidR="00E70746" w:rsidRPr="00E70746" w:rsidRDefault="00E70746" w:rsidP="00E70746">
    <w:pPr>
      <w:pStyle w:val="FooterCoverPage"/>
      <w:rPr>
        <w:rFonts w:ascii="Arial" w:hAnsi="Arial" w:cs="Arial"/>
        <w:b/>
        <w:sz w:val="48"/>
      </w:rPr>
    </w:pPr>
    <w:r w:rsidRPr="00E70746">
      <w:rPr>
        <w:rFonts w:ascii="Arial" w:hAnsi="Arial" w:cs="Arial"/>
        <w:b/>
        <w:sz w:val="48"/>
      </w:rPr>
      <w:t>EN</w:t>
    </w:r>
    <w:r w:rsidRPr="00E70746">
      <w:rPr>
        <w:rFonts w:ascii="Arial" w:hAnsi="Arial" w:cs="Arial"/>
        <w:b/>
        <w:sz w:val="48"/>
      </w:rPr>
      <w:tab/>
    </w:r>
    <w:r w:rsidRPr="00E70746">
      <w:rPr>
        <w:rFonts w:ascii="Arial" w:hAnsi="Arial" w:cs="Arial"/>
        <w:b/>
        <w:sz w:val="48"/>
      </w:rPr>
      <w:tab/>
    </w:r>
    <w:r w:rsidRPr="00E70746">
      <w:tab/>
    </w:r>
    <w:r w:rsidRPr="00E7074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9C65" w14:textId="698B6123" w:rsidR="00E70746" w:rsidRPr="00E70746" w:rsidRDefault="00E70746" w:rsidP="00E70746">
    <w:pPr>
      <w:pStyle w:val="FooterCoverPage"/>
      <w:rPr>
        <w:rFonts w:ascii="Arial" w:hAnsi="Arial" w:cs="Arial"/>
        <w:b/>
        <w:sz w:val="48"/>
      </w:rPr>
    </w:pPr>
    <w:r w:rsidRPr="00E70746">
      <w:rPr>
        <w:rFonts w:ascii="Arial" w:hAnsi="Arial" w:cs="Arial"/>
        <w:b/>
        <w:sz w:val="48"/>
      </w:rPr>
      <w:t>EN</w:t>
    </w:r>
    <w:r w:rsidRPr="00E70746">
      <w:rPr>
        <w:rFonts w:ascii="Arial" w:hAnsi="Arial" w:cs="Arial"/>
        <w:b/>
        <w:sz w:val="48"/>
      </w:rPr>
      <w:tab/>
    </w:r>
    <w:r w:rsidRPr="00E70746">
      <w:rPr>
        <w:rFonts w:ascii="Arial" w:hAnsi="Arial" w:cs="Arial"/>
        <w:b/>
        <w:sz w:val="48"/>
      </w:rPr>
      <w:tab/>
    </w:r>
    <w:r w:rsidRPr="00E70746">
      <w:tab/>
    </w:r>
    <w:r w:rsidRPr="00E7074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DFC89" w14:textId="77777777" w:rsidR="00E70746" w:rsidRPr="00E70746" w:rsidRDefault="00E70746" w:rsidP="00E7074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4E53" w14:textId="77777777" w:rsidR="00E15719" w:rsidRDefault="00E157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CF6" w14:textId="77777777" w:rsidR="00E15719" w:rsidRPr="00301BBE" w:rsidRDefault="00E15719" w:rsidP="00301BBE">
    <w:pPr>
      <w:pStyle w:val="FooterCoverPage"/>
      <w:rPr>
        <w:rFonts w:ascii="Arial" w:hAnsi="Arial" w:cs="Arial"/>
        <w:b/>
        <w:sz w:val="48"/>
      </w:rPr>
    </w:pPr>
    <w:r w:rsidRPr="00301BBE">
      <w:rPr>
        <w:rFonts w:ascii="Arial" w:hAnsi="Arial" w:cs="Arial"/>
        <w:b/>
        <w:sz w:val="48"/>
      </w:rPr>
      <w:t>EN</w:t>
    </w:r>
    <w:r w:rsidRPr="00301BBE">
      <w:rPr>
        <w:rFonts w:ascii="Arial" w:hAnsi="Arial" w:cs="Arial"/>
        <w:b/>
        <w:sz w:val="48"/>
      </w:rPr>
      <w:tab/>
    </w:r>
    <w:r w:rsidRPr="00301BBE">
      <w:rPr>
        <w:rFonts w:ascii="Arial" w:hAnsi="Arial" w:cs="Arial"/>
        <w:b/>
        <w:sz w:val="48"/>
      </w:rPr>
      <w:tab/>
    </w:r>
    <w:r w:rsidRPr="00301BBE">
      <w:tab/>
    </w:r>
    <w:r w:rsidRPr="00301BBE">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D0D9" w14:textId="77777777" w:rsidR="00E15719" w:rsidRDefault="00E157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3229" w14:textId="77777777" w:rsidR="00E15719" w:rsidRDefault="00E70746">
    <w:pPr>
      <w:pStyle w:val="FooterLine"/>
    </w:pPr>
    <w:sdt>
      <w:sdtPr>
        <w:id w:val="929782339"/>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E15719">
          <w:t>35th Annual Report on the protection of the EU financial interests and the fight against fraud</w:t>
        </w:r>
      </w:sdtContent>
    </w:sdt>
    <w:r w:rsidR="00E15719">
      <w:t xml:space="preserve"> - </w:t>
    </w:r>
    <w:sdt>
      <w:sdtPr>
        <w:id w:val="236066760"/>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E15719">
          <w:t>2021</w:t>
        </w:r>
      </w:sdtContent>
    </w:sdt>
    <w:r w:rsidR="00E15719">
      <w:tab/>
      <w:t xml:space="preserve">Page </w:t>
    </w:r>
    <w:r w:rsidR="00E15719">
      <w:fldChar w:fldCharType="begin"/>
    </w:r>
    <w:r w:rsidR="00E15719">
      <w:instrText>PAGE</w:instrText>
    </w:r>
    <w:r w:rsidR="00E15719">
      <w:fldChar w:fldCharType="separate"/>
    </w:r>
    <w:r w:rsidR="00E15719">
      <w:rPr>
        <w:noProof/>
      </w:rPr>
      <w:t>3</w:t>
    </w:r>
    <w:r w:rsidR="00E15719">
      <w:fldChar w:fldCharType="end"/>
    </w:r>
    <w:r w:rsidR="00E15719">
      <w:t xml:space="preserve"> / </w:t>
    </w:r>
    <w:r w:rsidR="00E15719">
      <w:fldChar w:fldCharType="begin"/>
    </w:r>
    <w:r w:rsidR="00E15719">
      <w:instrText>NUMPAGES</w:instrText>
    </w:r>
    <w:r w:rsidR="00E15719">
      <w:fldChar w:fldCharType="separate"/>
    </w:r>
    <w:r w:rsidR="00E15719">
      <w:rPr>
        <w:noProof/>
      </w:rPr>
      <w:t>43</w:t>
    </w:r>
    <w:r w:rsidR="00E15719">
      <w:fldChar w:fldCharType="end"/>
    </w:r>
  </w:p>
  <w:p w14:paraId="17833134" w14:textId="77777777" w:rsidR="00E15719" w:rsidRDefault="00E70746">
    <w:pPr>
      <w:pStyle w:val="Footer"/>
    </w:pPr>
    <w:sdt>
      <w:sdtPr>
        <w:id w:val="-1900276477"/>
        <w:dataBinding w:xpath="/Texts/TechFooterVersion" w:storeItemID="{4EF90DE6-88B6-4264-9629-4D8DFDFE87D2}"/>
        <w:text w:multiLine="1"/>
      </w:sdtPr>
      <w:sdtEndPr/>
      <w:sdtContent>
        <w:r w:rsidR="00E15719">
          <w:t>Document Version</w:t>
        </w:r>
      </w:sdtContent>
    </w:sdt>
    <w:r w:rsidR="00E15719">
      <w:t xml:space="preserve"> </w:t>
    </w:r>
    <w:sdt>
      <w:sdtPr>
        <w:alias w:val="Version"/>
        <w:id w:val="1579563643"/>
        <w:dataBinding w:xpath="/EurolookProperties/DocumentVersion" w:storeItemID="{D3EA5527-7367-4268-9D83-5125C98D0ED2}"/>
        <w:text w:multiLine="1"/>
      </w:sdtPr>
      <w:sdtEndPr/>
      <w:sdtContent>
        <w:r w:rsidR="00E15719">
          <w:t>1.1</w:t>
        </w:r>
      </w:sdtContent>
    </w:sdt>
    <w:r w:rsidR="00E15719">
      <w:t xml:space="preserve"> </w:t>
    </w:r>
    <w:sdt>
      <w:sdtPr>
        <w:id w:val="-513918892"/>
        <w:dataBinding w:xpath="/Texts/TechFooterDated" w:storeItemID="{4EF90DE6-88B6-4264-9629-4D8DFDFE87D2}"/>
        <w:text w:multiLine="1"/>
      </w:sdtPr>
      <w:sdtEndPr/>
      <w:sdtContent>
        <w:r w:rsidR="00E15719">
          <w:t>dated</w:t>
        </w:r>
      </w:sdtContent>
    </w:sdt>
    <w:r w:rsidR="00E15719">
      <w:t xml:space="preserve"> </w:t>
    </w:r>
    <w:sdt>
      <w:sdtPr>
        <w:alias w:val=""/>
        <w:id w:val="957213610"/>
        <w:dataBinding w:xpath="/EurolookProperties/DocumentDate" w:storeItemID="{D3EA5527-7367-4268-9D83-5125C98D0ED2}"/>
        <w:date w:fullDate="2022-06-20T00:00:00Z">
          <w:dateFormat w:val="dd/MM/yyyy"/>
          <w:lid w:val="en-GB"/>
          <w:storeMappedDataAs w:val="dateTime"/>
          <w:calendar w:val="gregorian"/>
        </w:date>
      </w:sdtPr>
      <w:sdtEndPr/>
      <w:sdtContent>
        <w:r w:rsidR="00E15719">
          <w:t>20/06/2022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1220" w14:textId="5BFA54DD" w:rsidR="00E15719" w:rsidRDefault="00E15719">
    <w:pPr>
      <w:pStyle w:val="FooterLine"/>
    </w:pPr>
    <w:r>
      <w:tab/>
      <w:t xml:space="preserve">Page </w:t>
    </w:r>
    <w:r>
      <w:fldChar w:fldCharType="begin"/>
    </w:r>
    <w:r>
      <w:instrText>PAGE</w:instrText>
    </w:r>
    <w:r>
      <w:fldChar w:fldCharType="separate"/>
    </w:r>
    <w:r w:rsidR="00E70746">
      <w:rPr>
        <w:noProof/>
      </w:rPr>
      <w:t>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940F" w14:textId="77777777" w:rsidR="00E15719" w:rsidRPr="00727AB1" w:rsidRDefault="00E15719" w:rsidP="0072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8BE17" w14:textId="77777777" w:rsidR="00DC2A4D" w:rsidRDefault="00DC2A4D">
      <w:pPr>
        <w:spacing w:after="0" w:line="240" w:lineRule="auto"/>
      </w:pPr>
      <w:r>
        <w:separator/>
      </w:r>
    </w:p>
  </w:footnote>
  <w:footnote w:type="continuationSeparator" w:id="0">
    <w:p w14:paraId="054F83CD" w14:textId="77777777" w:rsidR="00DC2A4D" w:rsidRDefault="00DC2A4D">
      <w:pPr>
        <w:spacing w:after="0" w:line="240" w:lineRule="auto"/>
      </w:pPr>
      <w:r>
        <w:continuationSeparator/>
      </w:r>
    </w:p>
  </w:footnote>
  <w:footnote w:type="continuationNotice" w:id="1">
    <w:p w14:paraId="09F4FF52" w14:textId="77777777" w:rsidR="00DC2A4D" w:rsidRDefault="00DC2A4D">
      <w:pPr>
        <w:spacing w:after="0" w:line="240" w:lineRule="auto"/>
      </w:pPr>
    </w:p>
  </w:footnote>
  <w:footnote w:id="2">
    <w:p w14:paraId="7CA72BA4" w14:textId="5EC328DA" w:rsidR="00600CD6" w:rsidRPr="006A17D1" w:rsidRDefault="00600CD6">
      <w:pPr>
        <w:pStyle w:val="FootnoteText"/>
      </w:pPr>
      <w:r w:rsidRPr="006A17D1">
        <w:t>(</w:t>
      </w:r>
      <w:r w:rsidRPr="006A17D1">
        <w:rPr>
          <w:rStyle w:val="FootnoteReference"/>
        </w:rPr>
        <w:footnoteRef/>
      </w:r>
      <w:r w:rsidRPr="006A17D1">
        <w:t>)</w:t>
      </w:r>
      <w:r w:rsidRPr="006A17D1">
        <w:tab/>
        <w:t>Multiannual financial framework ceilings in million EUR, at current prices. Source: OJ L, 2024/207, 22.2.2024.</w:t>
      </w:r>
    </w:p>
  </w:footnote>
  <w:footnote w:id="3">
    <w:p w14:paraId="06721A33" w14:textId="77777777" w:rsidR="00E15719" w:rsidRPr="006A17D1" w:rsidRDefault="00E15719" w:rsidP="00DE46ED">
      <w:pPr>
        <w:pStyle w:val="FootnoteText"/>
        <w:rPr>
          <w:sz w:val="18"/>
        </w:rPr>
      </w:pPr>
      <w:r w:rsidRPr="006A17D1">
        <w:t>(</w:t>
      </w:r>
      <w:r w:rsidRPr="006A17D1">
        <w:rPr>
          <w:rStyle w:val="FootnoteReference"/>
          <w:sz w:val="18"/>
        </w:rPr>
        <w:footnoteRef/>
      </w:r>
      <w:r w:rsidRPr="006A17D1">
        <w:t xml:space="preserve">) </w:t>
      </w:r>
      <w:r w:rsidRPr="006A17D1">
        <w:tab/>
        <w:t>Article 310(6) TFEU.</w:t>
      </w:r>
    </w:p>
  </w:footnote>
  <w:footnote w:id="4">
    <w:p w14:paraId="6263BDA3" w14:textId="4BF988A1" w:rsidR="00E15719" w:rsidRPr="006A17D1" w:rsidRDefault="00E15719" w:rsidP="007868A2">
      <w:pPr>
        <w:pStyle w:val="FootnoteText"/>
        <w:rPr>
          <w:sz w:val="18"/>
        </w:rPr>
      </w:pPr>
      <w:r w:rsidRPr="006A17D1">
        <w:t>(</w:t>
      </w:r>
      <w:r w:rsidRPr="006A17D1">
        <w:rPr>
          <w:rStyle w:val="FootnoteReference"/>
          <w:sz w:val="18"/>
        </w:rPr>
        <w:footnoteRef/>
      </w:r>
      <w:r w:rsidRPr="006A17D1">
        <w:t xml:space="preserve">) </w:t>
      </w:r>
      <w:r w:rsidRPr="006A17D1">
        <w:tab/>
        <w:t>Th</w:t>
      </w:r>
      <w:r w:rsidR="00E070A6" w:rsidRPr="006A17D1">
        <w:t>e</w:t>
      </w:r>
      <w:r w:rsidRPr="006A17D1">
        <w:t xml:space="preserve"> seven Commission staff working documents</w:t>
      </w:r>
      <w:r w:rsidR="00E070A6" w:rsidRPr="006A17D1">
        <w:t xml:space="preserve"> are</w:t>
      </w:r>
      <w:r w:rsidRPr="006A17D1">
        <w:t>:</w:t>
      </w:r>
    </w:p>
    <w:p w14:paraId="276F0F60" w14:textId="77777777" w:rsidR="00E15719" w:rsidRPr="006A17D1" w:rsidRDefault="00E15719" w:rsidP="00405188">
      <w:pPr>
        <w:pStyle w:val="FootnoteText"/>
        <w:numPr>
          <w:ilvl w:val="0"/>
          <w:numId w:val="15"/>
        </w:numPr>
        <w:spacing w:before="40" w:after="0" w:line="240" w:lineRule="auto"/>
        <w:jc w:val="left"/>
      </w:pPr>
      <w:r w:rsidRPr="006A17D1">
        <w:t>National anti-fraud strategies (NAFS) state of play and assessment;</w:t>
      </w:r>
    </w:p>
    <w:p w14:paraId="6AADA4B3" w14:textId="77777777" w:rsidR="00E15719" w:rsidRPr="006A17D1" w:rsidRDefault="00E15719" w:rsidP="00405188">
      <w:pPr>
        <w:pStyle w:val="FootnoteText"/>
        <w:numPr>
          <w:ilvl w:val="0"/>
          <w:numId w:val="15"/>
        </w:numPr>
        <w:spacing w:before="40" w:after="0" w:line="240" w:lineRule="auto"/>
        <w:jc w:val="left"/>
      </w:pPr>
      <w:r w:rsidRPr="006A17D1">
        <w:t>Measures adopted by Member States to protect the EU’s financial interests in 2024;</w:t>
      </w:r>
    </w:p>
    <w:p w14:paraId="2294442A" w14:textId="77777777" w:rsidR="00E15719" w:rsidRPr="006A17D1" w:rsidRDefault="00E15719" w:rsidP="00405188">
      <w:pPr>
        <w:pStyle w:val="FootnoteText"/>
        <w:numPr>
          <w:ilvl w:val="0"/>
          <w:numId w:val="15"/>
        </w:numPr>
        <w:spacing w:before="40" w:after="0" w:line="240" w:lineRule="auto"/>
        <w:jc w:val="left"/>
      </w:pPr>
      <w:r w:rsidRPr="006A17D1">
        <w:t>Follow-up on recommendations to the Commission report on the protection of the EU’s financial interests and the fight against fraud – 2023;</w:t>
      </w:r>
    </w:p>
    <w:p w14:paraId="2D07D0A2" w14:textId="77777777" w:rsidR="00E15719" w:rsidRPr="006A17D1" w:rsidRDefault="00E15719" w:rsidP="00405188">
      <w:pPr>
        <w:pStyle w:val="FootnoteText"/>
        <w:numPr>
          <w:ilvl w:val="0"/>
          <w:numId w:val="15"/>
        </w:numPr>
        <w:spacing w:before="40" w:after="0" w:line="240" w:lineRule="auto"/>
        <w:jc w:val="left"/>
      </w:pPr>
      <w:r w:rsidRPr="006A17D1">
        <w:t>Statistical evaluation of irregularities reported for own resources, natural resources, cohesion policy, pre-accession assistance and direct expenditure in 2024;</w:t>
      </w:r>
    </w:p>
    <w:p w14:paraId="1FDB945F" w14:textId="286201C4" w:rsidR="00E15719" w:rsidRPr="006A17D1" w:rsidRDefault="00E15719" w:rsidP="00405188">
      <w:pPr>
        <w:pStyle w:val="FootnoteText"/>
        <w:numPr>
          <w:ilvl w:val="0"/>
          <w:numId w:val="15"/>
        </w:numPr>
        <w:spacing w:before="40" w:after="0" w:line="240" w:lineRule="auto"/>
        <w:jc w:val="left"/>
      </w:pPr>
      <w:r w:rsidRPr="006A17D1">
        <w:t xml:space="preserve">Commission </w:t>
      </w:r>
      <w:r w:rsidR="005279A4" w:rsidRPr="006A17D1">
        <w:t>anti-fraud s</w:t>
      </w:r>
      <w:r w:rsidRPr="006A17D1">
        <w:t>trategy (CAFS) action plan implementation monitoring: state-of-play 31 May 2025;</w:t>
      </w:r>
    </w:p>
    <w:p w14:paraId="45D7B8DC" w14:textId="77777777" w:rsidR="00E15719" w:rsidRPr="006A17D1" w:rsidRDefault="00E15719" w:rsidP="00405188">
      <w:pPr>
        <w:pStyle w:val="FootnoteText"/>
        <w:numPr>
          <w:ilvl w:val="0"/>
          <w:numId w:val="15"/>
        </w:numPr>
        <w:spacing w:before="40" w:after="0" w:line="240" w:lineRule="auto"/>
        <w:jc w:val="left"/>
      </w:pPr>
      <w:r w:rsidRPr="006A17D1">
        <w:t>Early Detection and Exclusion System (EDES) – Panel referred to in Article 143 of the Financial Regulation;</w:t>
      </w:r>
    </w:p>
    <w:p w14:paraId="7FDB9A2C" w14:textId="77777777" w:rsidR="00E15719" w:rsidRPr="006A17D1" w:rsidRDefault="00E15719" w:rsidP="00405188">
      <w:pPr>
        <w:pStyle w:val="FootnoteText"/>
        <w:numPr>
          <w:ilvl w:val="0"/>
          <w:numId w:val="15"/>
        </w:numPr>
        <w:spacing w:before="40" w:after="0" w:line="240" w:lineRule="auto"/>
        <w:jc w:val="left"/>
      </w:pPr>
      <w:r w:rsidRPr="006A17D1">
        <w:t>Annual overview with information on the results of the Union anti-fraud programme in 2024.</w:t>
      </w:r>
    </w:p>
  </w:footnote>
  <w:footnote w:id="5">
    <w:p w14:paraId="26B68A6A" w14:textId="77777777" w:rsidR="00E15719" w:rsidRPr="006A17D1" w:rsidRDefault="00E15719" w:rsidP="005F0550">
      <w:pPr>
        <w:pStyle w:val="FootnoteText"/>
      </w:pPr>
      <w:r w:rsidRPr="006A17D1">
        <w:t>(</w:t>
      </w:r>
      <w:r w:rsidRPr="006A17D1">
        <w:rPr>
          <w:rStyle w:val="FootnoteReference"/>
          <w:sz w:val="18"/>
        </w:rPr>
        <w:footnoteRef/>
      </w:r>
      <w:r w:rsidRPr="006A17D1">
        <w:t xml:space="preserve">) </w:t>
      </w:r>
      <w:r w:rsidRPr="006A17D1">
        <w:tab/>
        <w:t xml:space="preserve">Procedure file </w:t>
      </w:r>
      <w:hyperlink r:id="rId1" w:history="1">
        <w:r w:rsidRPr="006A17D1">
          <w:rPr>
            <w:rStyle w:val="Hyperlink"/>
          </w:rPr>
          <w:t>2024/2083(INI)</w:t>
        </w:r>
      </w:hyperlink>
      <w:r w:rsidRPr="006A17D1">
        <w:rPr>
          <w:rStyle w:val="Hyperlink"/>
          <w:u w:val="none"/>
        </w:rPr>
        <w:t>.</w:t>
      </w:r>
    </w:p>
  </w:footnote>
  <w:footnote w:id="6">
    <w:p w14:paraId="43E8C4DF" w14:textId="52EEE098" w:rsidR="00E15719" w:rsidRPr="006A17D1" w:rsidRDefault="00E15719">
      <w:pPr>
        <w:pStyle w:val="FootnoteText"/>
      </w:pPr>
      <w:r w:rsidRPr="006A17D1">
        <w:t>(</w:t>
      </w:r>
      <w:r w:rsidRPr="006A17D1">
        <w:rPr>
          <w:rStyle w:val="FootnoteReference"/>
        </w:rPr>
        <w:footnoteRef/>
      </w:r>
      <w:r w:rsidRPr="006A17D1">
        <w:t>)</w:t>
      </w:r>
      <w:r w:rsidRPr="006A17D1">
        <w:tab/>
      </w:r>
      <w:r w:rsidR="00E05475" w:rsidRPr="006A17D1">
        <w:t xml:space="preserve">The questionnaires concern the measures adopted by the Member States to protect the EU’s financial interests and the follow-up to the recommendations in the 2023 PIF report. </w:t>
      </w:r>
    </w:p>
  </w:footnote>
  <w:footnote w:id="7">
    <w:p w14:paraId="53D579F9" w14:textId="77777777" w:rsidR="00E15719" w:rsidRPr="006A17D1" w:rsidRDefault="00E15719" w:rsidP="00DE46ED">
      <w:pPr>
        <w:pStyle w:val="FootnoteText"/>
      </w:pPr>
      <w:r w:rsidRPr="006A17D1">
        <w:t>(</w:t>
      </w:r>
      <w:r w:rsidRPr="006A17D1">
        <w:rPr>
          <w:rStyle w:val="FootnoteReference"/>
        </w:rPr>
        <w:footnoteRef/>
      </w:r>
      <w:r w:rsidRPr="006A17D1">
        <w:t xml:space="preserve">) </w:t>
      </w:r>
      <w:r w:rsidRPr="006A17D1">
        <w:tab/>
        <w:t xml:space="preserve">See, in particular, Box 2 of the </w:t>
      </w:r>
      <w:hyperlink r:id="rId2" w:history="1">
        <w:r w:rsidRPr="006A17D1">
          <w:rPr>
            <w:rStyle w:val="Hyperlink"/>
          </w:rPr>
          <w:t>2021 PIF Report</w:t>
        </w:r>
      </w:hyperlink>
      <w:r w:rsidRPr="006A17D1">
        <w:t>, Section 6.1, p. 31.</w:t>
      </w:r>
    </w:p>
  </w:footnote>
  <w:footnote w:id="8">
    <w:p w14:paraId="3FB532ED" w14:textId="77777777" w:rsidR="00E15719" w:rsidRPr="006A17D1" w:rsidRDefault="00E15719" w:rsidP="00DE46ED">
      <w:pPr>
        <w:pStyle w:val="FootnoteText"/>
      </w:pPr>
      <w:r w:rsidRPr="006A17D1">
        <w:t>(</w:t>
      </w:r>
      <w:r w:rsidRPr="006A17D1">
        <w:rPr>
          <w:rStyle w:val="FootnoteReference"/>
        </w:rPr>
        <w:footnoteRef/>
      </w:r>
      <w:r w:rsidRPr="006A17D1">
        <w:t xml:space="preserve">) </w:t>
      </w:r>
      <w:r w:rsidRPr="006A17D1">
        <w:tab/>
        <w:t>Reported to the Commission via the Irregularity Management System (IMS).</w:t>
      </w:r>
    </w:p>
  </w:footnote>
  <w:footnote w:id="9">
    <w:p w14:paraId="256F9666" w14:textId="77777777" w:rsidR="00E15719" w:rsidRPr="006A17D1" w:rsidRDefault="00E15719" w:rsidP="00DE46ED">
      <w:pPr>
        <w:pStyle w:val="FootnoteText"/>
      </w:pPr>
      <w:r w:rsidRPr="006A17D1">
        <w:t>(</w:t>
      </w:r>
      <w:r w:rsidRPr="006A17D1">
        <w:rPr>
          <w:rStyle w:val="FootnoteReference"/>
        </w:rPr>
        <w:footnoteRef/>
      </w:r>
      <w:r w:rsidRPr="006A17D1">
        <w:t xml:space="preserve">) </w:t>
      </w:r>
      <w:r w:rsidRPr="006A17D1">
        <w:tab/>
        <w:t>Data are extracted from ABAC for the last year, as the system has been replaced by SUMMA.</w:t>
      </w:r>
    </w:p>
  </w:footnote>
  <w:footnote w:id="10">
    <w:p w14:paraId="44E99AE6" w14:textId="77777777" w:rsidR="00E15719" w:rsidRPr="006A17D1" w:rsidRDefault="00E15719" w:rsidP="00DE46ED">
      <w:pPr>
        <w:pStyle w:val="FootnoteText"/>
      </w:pPr>
      <w:r w:rsidRPr="006A17D1">
        <w:t>(</w:t>
      </w:r>
      <w:r w:rsidRPr="006A17D1">
        <w:rPr>
          <w:rStyle w:val="FootnoteReference"/>
        </w:rPr>
        <w:footnoteRef/>
      </w:r>
      <w:r w:rsidRPr="006A17D1">
        <w:t xml:space="preserve">) </w:t>
      </w:r>
      <w:r w:rsidRPr="006A17D1">
        <w:tab/>
        <w:t xml:space="preserve">For a description of these limitations, see Box 3 in the </w:t>
      </w:r>
      <w:hyperlink r:id="rId3" w:history="1">
        <w:r w:rsidRPr="006A17D1">
          <w:rPr>
            <w:rStyle w:val="Hyperlink"/>
          </w:rPr>
          <w:t>2021 PIF Report</w:t>
        </w:r>
      </w:hyperlink>
      <w:r w:rsidRPr="006A17D1">
        <w:t>, Section 6.1, p. 32.</w:t>
      </w:r>
    </w:p>
  </w:footnote>
  <w:footnote w:id="11">
    <w:p w14:paraId="50E84D35" w14:textId="6714784A" w:rsidR="00E15719" w:rsidRPr="006A17D1" w:rsidRDefault="00E15719" w:rsidP="00BC3C4F">
      <w:pPr>
        <w:pStyle w:val="FootnoteText"/>
      </w:pPr>
      <w:r w:rsidRPr="006A17D1">
        <w:t>(</w:t>
      </w:r>
      <w:r w:rsidRPr="006A17D1">
        <w:rPr>
          <w:rStyle w:val="FootnoteReference"/>
        </w:rPr>
        <w:footnoteRef/>
      </w:r>
      <w:r w:rsidRPr="006A17D1">
        <w:t xml:space="preserve">) </w:t>
      </w:r>
      <w:r w:rsidRPr="006A17D1">
        <w:tab/>
      </w:r>
      <w:r w:rsidR="004145AB" w:rsidRPr="006A17D1">
        <w:t>‘</w:t>
      </w:r>
      <w:r w:rsidR="005A6B8A" w:rsidRPr="006A17D1">
        <w:t>Fraudulent irregularities’ are those the reporting country has classified as fraud in traditional own resources, suspected fraud or established fraud in relation to shared management and pre-accession</w:t>
      </w:r>
      <w:r w:rsidR="00943162" w:rsidRPr="006A17D1">
        <w:t>.</w:t>
      </w:r>
    </w:p>
  </w:footnote>
  <w:footnote w:id="12">
    <w:p w14:paraId="7AE6DA6B" w14:textId="77777777" w:rsidR="00E15719" w:rsidRPr="006A17D1" w:rsidRDefault="00E15719" w:rsidP="00BC3C4F">
      <w:pPr>
        <w:pStyle w:val="FootnoteText"/>
      </w:pPr>
      <w:r w:rsidRPr="006A17D1">
        <w:t>(</w:t>
      </w:r>
      <w:r w:rsidRPr="006A17D1">
        <w:rPr>
          <w:rStyle w:val="FootnoteReference"/>
        </w:rPr>
        <w:footnoteRef/>
      </w:r>
      <w:r w:rsidRPr="006A17D1">
        <w:t xml:space="preserve">) </w:t>
      </w:r>
      <w:r w:rsidRPr="006A17D1">
        <w:tab/>
        <w:t>All irregularities that have not been classified as fraudulent are considered as non-fraudulent.</w:t>
      </w:r>
    </w:p>
  </w:footnote>
  <w:footnote w:id="13">
    <w:p w14:paraId="055637DB" w14:textId="583EE408" w:rsidR="00E15719" w:rsidRPr="006A17D1" w:rsidRDefault="00E15719" w:rsidP="00BC3C4F">
      <w:pPr>
        <w:pStyle w:val="FootnoteText"/>
      </w:pPr>
      <w:r w:rsidRPr="006A17D1">
        <w:t>(</w:t>
      </w:r>
      <w:r w:rsidRPr="006A17D1">
        <w:rPr>
          <w:rStyle w:val="FootnoteReference"/>
        </w:rPr>
        <w:footnoteRef/>
      </w:r>
      <w:r w:rsidRPr="006A17D1">
        <w:t xml:space="preserve">) </w:t>
      </w:r>
      <w:r w:rsidRPr="006A17D1">
        <w:tab/>
        <w:t xml:space="preserve">The </w:t>
      </w:r>
      <w:hyperlink r:id="rId4" w:history="1">
        <w:r w:rsidRPr="006A17D1">
          <w:rPr>
            <w:rStyle w:val="Hyperlink"/>
          </w:rPr>
          <w:t>OLAF 2024 annual report</w:t>
        </w:r>
      </w:hyperlink>
      <w:r w:rsidRPr="006A17D1">
        <w:t xml:space="preserve"> </w:t>
      </w:r>
      <w:r w:rsidR="005A6B8A" w:rsidRPr="006A17D1">
        <w:t>and</w:t>
      </w:r>
      <w:r w:rsidRPr="006A17D1">
        <w:t xml:space="preserve"> </w:t>
      </w:r>
      <w:r w:rsidR="005A6B8A" w:rsidRPr="006A17D1">
        <w:t>t</w:t>
      </w:r>
      <w:r w:rsidRPr="006A17D1">
        <w:t xml:space="preserve">he </w:t>
      </w:r>
      <w:hyperlink r:id="rId5" w:history="1">
        <w:r w:rsidRPr="006A17D1">
          <w:rPr>
            <w:rStyle w:val="Hyperlink"/>
          </w:rPr>
          <w:t>EPPO 2024 annual report</w:t>
        </w:r>
      </w:hyperlink>
      <w:r w:rsidRPr="006A17D1">
        <w:t xml:space="preserve"> </w:t>
      </w:r>
      <w:r w:rsidR="005A6B8A" w:rsidRPr="006A17D1">
        <w:t xml:space="preserve">present significant </w:t>
      </w:r>
      <w:r w:rsidRPr="006A17D1">
        <w:t xml:space="preserve">differences in nature and scope </w:t>
      </w:r>
      <w:r w:rsidR="005A6B8A" w:rsidRPr="006A17D1">
        <w:t>with</w:t>
      </w:r>
      <w:r w:rsidRPr="006A17D1">
        <w:t xml:space="preserve"> the PIF report. The</w:t>
      </w:r>
      <w:r w:rsidR="00DB29D3" w:rsidRPr="006A17D1">
        <w:t>se</w:t>
      </w:r>
      <w:r w:rsidRPr="006A17D1">
        <w:t xml:space="preserve"> have been extensively explained in </w:t>
      </w:r>
      <w:hyperlink r:id="rId6" w:anchor="subchapter1-2" w:history="1">
        <w:r w:rsidRPr="006A17D1">
          <w:rPr>
            <w:rStyle w:val="Hyperlink"/>
          </w:rPr>
          <w:t>Section 1.2</w:t>
        </w:r>
      </w:hyperlink>
      <w:r w:rsidRPr="006A17D1">
        <w:t xml:space="preserve"> of the 2023 PIF report.</w:t>
      </w:r>
    </w:p>
  </w:footnote>
  <w:footnote w:id="14">
    <w:p w14:paraId="1C7F2C7F" w14:textId="55A031A9" w:rsidR="00E15719" w:rsidRPr="006A17D1" w:rsidRDefault="00E15719" w:rsidP="00F60113">
      <w:pPr>
        <w:pStyle w:val="FootnoteText"/>
      </w:pPr>
      <w:r w:rsidRPr="006A17D1">
        <w:rPr>
          <w:sz w:val="18"/>
        </w:rPr>
        <w:t>(</w:t>
      </w:r>
      <w:r w:rsidRPr="006A17D1">
        <w:rPr>
          <w:rStyle w:val="FootnoteReference"/>
          <w:sz w:val="18"/>
        </w:rPr>
        <w:footnoteRef/>
      </w:r>
      <w:r w:rsidRPr="006A17D1">
        <w:rPr>
          <w:sz w:val="18"/>
        </w:rPr>
        <w:t xml:space="preserve">) </w:t>
      </w:r>
      <w:r w:rsidRPr="006A17D1">
        <w:rPr>
          <w:sz w:val="18"/>
        </w:rPr>
        <w:tab/>
      </w:r>
      <w:r w:rsidRPr="006A17D1">
        <w:t xml:space="preserve">The reporting workflow from the Member States and, ultimately, the availability of complete data </w:t>
      </w:r>
      <w:r w:rsidR="00DB29D3" w:rsidRPr="006A17D1">
        <w:t xml:space="preserve">to prepare </w:t>
      </w:r>
      <w:r w:rsidRPr="006A17D1">
        <w:t xml:space="preserve">this report depend heavily on information from the authorities detecting and investigating the irregularity or fraud. Reporting bodies in the Member States (mainly managing authorities or paying agencies in shared management and customs authorities in relation to traditional own resources) may report </w:t>
      </w:r>
      <w:r w:rsidR="00DB29D3" w:rsidRPr="006A17D1">
        <w:t xml:space="preserve">on </w:t>
      </w:r>
      <w:r w:rsidRPr="006A17D1">
        <w:t xml:space="preserve">criminal investigations only when the relevant judicial or law enforcement authorities provide them with the authorisation and the necessary information. This implies that while the EPPO, OLAF or national law enforcement are actively investigating a case, bodies responsible for reporting irregularities and fraud to the Commission might not be </w:t>
      </w:r>
      <w:r w:rsidR="00DB29D3" w:rsidRPr="006A17D1">
        <w:t xml:space="preserve">able </w:t>
      </w:r>
      <w:r w:rsidRPr="006A17D1">
        <w:t>to do so in certain cases</w:t>
      </w:r>
      <w:r w:rsidR="00DB29D3" w:rsidRPr="006A17D1">
        <w:t xml:space="preserve"> due to investigations possibly being </w:t>
      </w:r>
      <w:r w:rsidRPr="006A17D1">
        <w:t xml:space="preserve">confidential. In such cases, this information will only become available when the investigation is completed and </w:t>
      </w:r>
      <w:r w:rsidR="00DB29D3" w:rsidRPr="006A17D1">
        <w:t xml:space="preserve">will only be </w:t>
      </w:r>
      <w:r w:rsidRPr="006A17D1">
        <w:t xml:space="preserve">included in the PIF Report </w:t>
      </w:r>
      <w:r w:rsidR="00DB29D3" w:rsidRPr="006A17D1">
        <w:t>once this has happened</w:t>
      </w:r>
      <w:r w:rsidRPr="006A17D1">
        <w:t xml:space="preserve">. </w:t>
      </w:r>
    </w:p>
  </w:footnote>
  <w:footnote w:id="15">
    <w:p w14:paraId="55DAC240" w14:textId="606272C6" w:rsidR="00E15719" w:rsidRPr="006A17D1" w:rsidRDefault="00E15719" w:rsidP="00F60113">
      <w:pPr>
        <w:pStyle w:val="FootnoteText"/>
      </w:pPr>
      <w:r w:rsidRPr="006A17D1">
        <w:t>(</w:t>
      </w:r>
      <w:r w:rsidRPr="006A17D1">
        <w:rPr>
          <w:rStyle w:val="FootnoteReference"/>
        </w:rPr>
        <w:footnoteRef/>
      </w:r>
      <w:r w:rsidRPr="006A17D1">
        <w:t xml:space="preserve">) </w:t>
      </w:r>
      <w:r w:rsidRPr="006A17D1">
        <w:rPr>
          <w:sz w:val="18"/>
        </w:rPr>
        <w:tab/>
      </w:r>
      <w:r w:rsidRPr="006A17D1">
        <w:t xml:space="preserve">These financial amounts </w:t>
      </w:r>
      <w:r w:rsidR="00C019E8" w:rsidRPr="006A17D1">
        <w:t>largely tend</w:t>
      </w:r>
      <w:r w:rsidRPr="006A17D1">
        <w:t xml:space="preserve"> to be those for which recovery is </w:t>
      </w:r>
      <w:r w:rsidR="00DB29D3" w:rsidRPr="006A17D1">
        <w:t xml:space="preserve">actually </w:t>
      </w:r>
      <w:r w:rsidRPr="006A17D1">
        <w:t>pursued.</w:t>
      </w:r>
    </w:p>
  </w:footnote>
  <w:footnote w:id="16">
    <w:p w14:paraId="5D3E6AC2" w14:textId="22088BAB" w:rsidR="00D06331" w:rsidRPr="006A17D1" w:rsidRDefault="00D06331">
      <w:pPr>
        <w:pStyle w:val="FootnoteText"/>
      </w:pPr>
      <w:r w:rsidRPr="006A17D1">
        <w:t>(</w:t>
      </w:r>
      <w:r w:rsidRPr="006A17D1">
        <w:rPr>
          <w:rStyle w:val="FootnoteReference"/>
        </w:rPr>
        <w:footnoteRef/>
      </w:r>
      <w:r w:rsidRPr="006A17D1">
        <w:t xml:space="preserve"> )</w:t>
      </w:r>
      <w:r w:rsidRPr="006A17D1">
        <w:tab/>
        <w:t>See, in particular, the proposal for a regulation of the European Parliament and of the Council establishing the Union Customs Code and the European Union Customs Authority, and repealing Regulation (EU) No 952/2013, COM/2023/258 final. The proposal is with the co-legislators.</w:t>
      </w:r>
    </w:p>
  </w:footnote>
  <w:footnote w:id="17">
    <w:p w14:paraId="2425FB47" w14:textId="77777777" w:rsidR="00D06331" w:rsidRPr="006A17D1" w:rsidRDefault="00D06331" w:rsidP="00D06331">
      <w:pPr>
        <w:pStyle w:val="FootnoteText"/>
      </w:pPr>
      <w:r w:rsidRPr="006A17D1">
        <w:t>(</w:t>
      </w:r>
      <w:r w:rsidRPr="006A17D1">
        <w:rPr>
          <w:rStyle w:val="FootnoteReference"/>
        </w:rPr>
        <w:footnoteRef/>
      </w:r>
      <w:r w:rsidRPr="006A17D1">
        <w:t>) Council Regulation (EU) No 904/2010 of 7 October 2010 on administrative cooperation and combating fraud in the field of value added tax (recast), OJ L 268, 12.10.2010, p. 1–18.</w:t>
      </w:r>
    </w:p>
  </w:footnote>
  <w:footnote w:id="18">
    <w:p w14:paraId="77817BEF" w14:textId="5E08FEAD" w:rsidR="00D06331" w:rsidRPr="006A17D1" w:rsidRDefault="00D06331" w:rsidP="00D06331">
      <w:pPr>
        <w:pStyle w:val="FootnoteText"/>
      </w:pPr>
      <w:r w:rsidRPr="006A17D1">
        <w:t>(</w:t>
      </w:r>
      <w:r w:rsidRPr="006A17D1">
        <w:rPr>
          <w:rStyle w:val="FootnoteReference"/>
        </w:rPr>
        <w:footnoteRef/>
      </w:r>
      <w:r w:rsidRPr="006A17D1">
        <w:t>) Europol, Eurojust and Eurofisc are still characterised by the ‘intergovernmental third pillar spirit’ in that they depend on the final decision taken by national authorities, which they are not intended to replace.</w:t>
      </w:r>
    </w:p>
  </w:footnote>
  <w:footnote w:id="19">
    <w:p w14:paraId="18FA280C" w14:textId="040859FF" w:rsidR="00A57A8E" w:rsidRPr="006A17D1" w:rsidRDefault="00A57A8E">
      <w:pPr>
        <w:pStyle w:val="FootnoteText"/>
      </w:pPr>
      <w:r w:rsidRPr="006A17D1">
        <w:t>(</w:t>
      </w:r>
      <w:r w:rsidRPr="006A17D1">
        <w:rPr>
          <w:rStyle w:val="FootnoteReference"/>
        </w:rPr>
        <w:footnoteRef/>
      </w:r>
      <w:r w:rsidRPr="006A17D1">
        <w:t>)</w:t>
      </w:r>
      <w:r w:rsidRPr="006A17D1">
        <w:tab/>
        <w:t xml:space="preserve">White paper for the Anti-Fraud Architecture Review, </w:t>
      </w:r>
      <w:r w:rsidR="00F74B37" w:rsidRPr="006A17D1">
        <w:t>COM</w:t>
      </w:r>
      <w:r w:rsidRPr="006A17D1">
        <w:t xml:space="preserve">(2025) </w:t>
      </w:r>
      <w:r w:rsidR="00F74B37" w:rsidRPr="006A17D1">
        <w:t>546</w:t>
      </w:r>
      <w:r w:rsidR="00BA6BBE" w:rsidRPr="006A17D1">
        <w:t>.</w:t>
      </w:r>
      <w:r w:rsidRPr="006A17D1">
        <w:t xml:space="preserve"> </w:t>
      </w:r>
    </w:p>
  </w:footnote>
  <w:footnote w:id="20">
    <w:p w14:paraId="445B0158" w14:textId="4197FE45" w:rsidR="00E15719" w:rsidRPr="006A17D1" w:rsidRDefault="00E15719" w:rsidP="00851473">
      <w:pPr>
        <w:pStyle w:val="FootnoteText"/>
      </w:pPr>
      <w:r w:rsidRPr="006A17D1">
        <w:t>(</w:t>
      </w:r>
      <w:r w:rsidRPr="006A17D1">
        <w:rPr>
          <w:rStyle w:val="FootnoteReference"/>
        </w:rPr>
        <w:footnoteRef/>
      </w:r>
      <w:r w:rsidRPr="006A17D1">
        <w:t>)</w:t>
      </w:r>
      <w:r w:rsidRPr="006A17D1">
        <w:tab/>
      </w:r>
      <w:r w:rsidR="006C6590" w:rsidRPr="006A17D1">
        <w:t xml:space="preserve">The </w:t>
      </w:r>
      <w:r w:rsidRPr="006A17D1">
        <w:t xml:space="preserve">report is named after the CONT rapporteur. For </w:t>
      </w:r>
      <w:hyperlink r:id="rId7" w:history="1">
        <w:r w:rsidRPr="006A17D1">
          <w:rPr>
            <w:rStyle w:val="Hyperlink"/>
          </w:rPr>
          <w:t>procedure 2024/2083(INI)</w:t>
        </w:r>
      </w:hyperlink>
      <w:r w:rsidRPr="006A17D1">
        <w:t>, linked to the 2023 PIF report, the rapporteur was MEP Gilles Boyer.</w:t>
      </w:r>
    </w:p>
  </w:footnote>
  <w:footnote w:id="21">
    <w:p w14:paraId="50EDD6A2" w14:textId="77777777" w:rsidR="00520961" w:rsidRPr="006A17D1" w:rsidRDefault="00520961" w:rsidP="00520961">
      <w:pPr>
        <w:pStyle w:val="FootnoteText"/>
      </w:pPr>
      <w:r w:rsidRPr="006A17D1">
        <w:t>(</w:t>
      </w:r>
      <w:r w:rsidRPr="006A17D1">
        <w:rPr>
          <w:rStyle w:val="FootnoteReference"/>
        </w:rPr>
        <w:footnoteRef/>
      </w:r>
      <w:r w:rsidRPr="006A17D1">
        <w:t>)</w:t>
      </w:r>
      <w:r w:rsidRPr="006A17D1">
        <w:tab/>
        <w:t>Regulation (EU, Euratom) No 883/2013 of the European Parliament and of the Council of 11 September 2013, amended by Regulation (EU, Euratom) 2016/2030 of the European Parliament and of the Council of 26 October 2016 and by Regulation (EU, Euratom) 2020/2223 of the European Parliament and of the Council of 23 December 2020.</w:t>
      </w:r>
    </w:p>
  </w:footnote>
  <w:footnote w:id="22">
    <w:p w14:paraId="60ABF1E4" w14:textId="72AA6A91" w:rsidR="00390539" w:rsidRPr="006A17D1" w:rsidRDefault="00390539">
      <w:pPr>
        <w:pStyle w:val="FootnoteText"/>
      </w:pPr>
      <w:r w:rsidRPr="006A17D1">
        <w:t>(</w:t>
      </w:r>
      <w:r w:rsidRPr="006A17D1">
        <w:rPr>
          <w:rStyle w:val="FootnoteReference"/>
        </w:rPr>
        <w:footnoteRef/>
      </w:r>
      <w:r w:rsidRPr="006A17D1">
        <w:t>)</w:t>
      </w:r>
      <w:r w:rsidRPr="006A17D1">
        <w:tab/>
        <w:t xml:space="preserve">2024 EPPO annual report, </w:t>
      </w:r>
      <w:r w:rsidRPr="006A17D1">
        <w:rPr>
          <w:i/>
        </w:rPr>
        <w:t>cit.</w:t>
      </w:r>
      <w:r w:rsidRPr="006A17D1">
        <w:t>, p. 107.</w:t>
      </w:r>
    </w:p>
  </w:footnote>
  <w:footnote w:id="23">
    <w:p w14:paraId="563C296A" w14:textId="6357101F" w:rsidR="00390539" w:rsidRPr="006A17D1" w:rsidRDefault="00390539">
      <w:pPr>
        <w:pStyle w:val="FootnoteText"/>
      </w:pPr>
      <w:r w:rsidRPr="006A17D1">
        <w:t>(</w:t>
      </w:r>
      <w:r w:rsidRPr="006A17D1">
        <w:rPr>
          <w:rStyle w:val="FootnoteReference"/>
        </w:rPr>
        <w:footnoteRef/>
      </w:r>
      <w:r w:rsidRPr="006A17D1">
        <w:t>)</w:t>
      </w:r>
      <w:r w:rsidRPr="006A17D1">
        <w:tab/>
      </w:r>
      <w:hyperlink r:id="rId8" w:anchor="eppo" w:history="1">
        <w:r w:rsidRPr="006A17D1">
          <w:rPr>
            <w:rStyle w:val="Hyperlink"/>
          </w:rPr>
          <w:t>2024 OLAF annual report</w:t>
        </w:r>
      </w:hyperlink>
      <w:r w:rsidRPr="006A17D1">
        <w:t xml:space="preserve">, </w:t>
      </w:r>
      <w:r w:rsidRPr="006A17D1">
        <w:rPr>
          <w:i/>
        </w:rPr>
        <w:t>cit.</w:t>
      </w:r>
    </w:p>
  </w:footnote>
  <w:footnote w:id="24">
    <w:p w14:paraId="69A0F675" w14:textId="0E99FB37" w:rsidR="00E15719" w:rsidRPr="006A17D1" w:rsidRDefault="00E15719">
      <w:pPr>
        <w:pStyle w:val="FootnoteText"/>
      </w:pPr>
      <w:r w:rsidRPr="006A17D1">
        <w:t>(</w:t>
      </w:r>
      <w:r w:rsidRPr="006A17D1">
        <w:rPr>
          <w:rStyle w:val="FootnoteReference"/>
        </w:rPr>
        <w:footnoteRef/>
      </w:r>
      <w:r w:rsidRPr="006A17D1">
        <w:t>)</w:t>
      </w:r>
      <w:r w:rsidRPr="006A17D1">
        <w:tab/>
        <w:t xml:space="preserve">See </w:t>
      </w:r>
      <w:r w:rsidR="007D7850" w:rsidRPr="006A17D1">
        <w:t xml:space="preserve">the </w:t>
      </w:r>
      <w:r w:rsidRPr="006A17D1">
        <w:t xml:space="preserve">‘Commission </w:t>
      </w:r>
      <w:r w:rsidR="004145AB" w:rsidRPr="006A17D1">
        <w:t>a</w:t>
      </w:r>
      <w:r w:rsidRPr="006A17D1">
        <w:t>nti-</w:t>
      </w:r>
      <w:r w:rsidR="004145AB" w:rsidRPr="006A17D1">
        <w:t>f</w:t>
      </w:r>
      <w:r w:rsidRPr="006A17D1">
        <w:t xml:space="preserve">raud </w:t>
      </w:r>
      <w:r w:rsidR="004145AB" w:rsidRPr="006A17D1">
        <w:t>s</w:t>
      </w:r>
      <w:r w:rsidRPr="006A17D1">
        <w:t>trategy (CAFS) action plan implementation monitoring: state-of-play 31 May 2025’ accompanying this report.</w:t>
      </w:r>
    </w:p>
  </w:footnote>
  <w:footnote w:id="25">
    <w:p w14:paraId="5F1BD76B" w14:textId="3E4270A3" w:rsidR="00E15719" w:rsidRPr="006A17D1" w:rsidRDefault="00E15719">
      <w:pPr>
        <w:pStyle w:val="FootnoteText"/>
      </w:pPr>
      <w:r w:rsidRPr="006A17D1">
        <w:t>(</w:t>
      </w:r>
      <w:r w:rsidRPr="006A17D1">
        <w:rPr>
          <w:rStyle w:val="FootnoteReference"/>
        </w:rPr>
        <w:footnoteRef/>
      </w:r>
      <w:r w:rsidRPr="006A17D1">
        <w:t>)</w:t>
      </w:r>
      <w:r w:rsidRPr="006A17D1">
        <w:tab/>
      </w:r>
      <w:r w:rsidR="007D7850" w:rsidRPr="006A17D1">
        <w:t xml:space="preserve">See </w:t>
      </w:r>
      <w:r w:rsidR="004145AB" w:rsidRPr="006A17D1">
        <w:t>foot</w:t>
      </w:r>
      <w:r w:rsidR="007D7850" w:rsidRPr="006A17D1">
        <w:t xml:space="preserve">note </w:t>
      </w:r>
      <w:r w:rsidR="008B6005" w:rsidRPr="006A17D1">
        <w:rPr>
          <w:iCs/>
        </w:rPr>
        <w:t>2</w:t>
      </w:r>
      <w:r w:rsidR="0052274C" w:rsidRPr="006A17D1">
        <w:rPr>
          <w:iCs/>
        </w:rPr>
        <w:t>3</w:t>
      </w:r>
      <w:r w:rsidRPr="006A17D1">
        <w:rPr>
          <w:i/>
        </w:rPr>
        <w:t xml:space="preserve">, </w:t>
      </w:r>
      <w:r w:rsidRPr="006A17D1">
        <w:t>actions from 12 to 19.</w:t>
      </w:r>
    </w:p>
  </w:footnote>
  <w:footnote w:id="26">
    <w:p w14:paraId="4A2419CF" w14:textId="7C546468" w:rsidR="00E15719" w:rsidRPr="006A17D1" w:rsidRDefault="00E15719">
      <w:pPr>
        <w:pStyle w:val="FootnoteText"/>
      </w:pPr>
      <w:r w:rsidRPr="006A17D1">
        <w:t>(</w:t>
      </w:r>
      <w:r w:rsidRPr="006A17D1">
        <w:rPr>
          <w:rStyle w:val="FootnoteReference"/>
        </w:rPr>
        <w:footnoteRef/>
      </w:r>
      <w:r w:rsidRPr="006A17D1">
        <w:t>)</w:t>
      </w:r>
      <w:r w:rsidRPr="006A17D1">
        <w:tab/>
      </w:r>
      <w:r w:rsidR="007D7850" w:rsidRPr="006A17D1">
        <w:t xml:space="preserve">See </w:t>
      </w:r>
      <w:r w:rsidR="004145AB" w:rsidRPr="006A17D1">
        <w:t xml:space="preserve">footnote </w:t>
      </w:r>
      <w:r w:rsidR="008B6005" w:rsidRPr="006A17D1">
        <w:rPr>
          <w:iCs/>
        </w:rPr>
        <w:t>2</w:t>
      </w:r>
      <w:r w:rsidR="0052274C" w:rsidRPr="006A17D1">
        <w:rPr>
          <w:iCs/>
        </w:rPr>
        <w:t>3</w:t>
      </w:r>
      <w:r w:rsidRPr="006A17D1">
        <w:rPr>
          <w:i/>
        </w:rPr>
        <w:t xml:space="preserve">, </w:t>
      </w:r>
      <w:r w:rsidRPr="006A17D1">
        <w:t>actions from 30 to 33.</w:t>
      </w:r>
    </w:p>
  </w:footnote>
  <w:footnote w:id="27">
    <w:p w14:paraId="65FEF04A" w14:textId="379BBED2" w:rsidR="00E15719" w:rsidRPr="006A17D1" w:rsidRDefault="00E15719">
      <w:pPr>
        <w:pStyle w:val="FootnoteText"/>
      </w:pPr>
      <w:r w:rsidRPr="006A17D1">
        <w:t>(</w:t>
      </w:r>
      <w:r w:rsidRPr="006A17D1">
        <w:rPr>
          <w:rStyle w:val="FootnoteReference"/>
        </w:rPr>
        <w:footnoteRef/>
      </w:r>
      <w:r w:rsidRPr="006A17D1">
        <w:t>)</w:t>
      </w:r>
      <w:r w:rsidRPr="006A17D1">
        <w:tab/>
      </w:r>
      <w:r w:rsidR="007D7850" w:rsidRPr="006A17D1">
        <w:t xml:space="preserve">See </w:t>
      </w:r>
      <w:r w:rsidR="004145AB" w:rsidRPr="006A17D1">
        <w:t>foot</w:t>
      </w:r>
      <w:r w:rsidR="007D7850" w:rsidRPr="006A17D1">
        <w:t xml:space="preserve">note </w:t>
      </w:r>
      <w:r w:rsidR="008B6005" w:rsidRPr="006A17D1">
        <w:rPr>
          <w:iCs/>
        </w:rPr>
        <w:t>2</w:t>
      </w:r>
      <w:r w:rsidR="0052274C" w:rsidRPr="006A17D1">
        <w:rPr>
          <w:iCs/>
        </w:rPr>
        <w:t>3</w:t>
      </w:r>
      <w:r w:rsidRPr="006A17D1">
        <w:t>, actions from 34 to 39.</w:t>
      </w:r>
    </w:p>
  </w:footnote>
  <w:footnote w:id="28">
    <w:p w14:paraId="00553BC6" w14:textId="78C66FC9" w:rsidR="00E15719" w:rsidRPr="006A17D1" w:rsidRDefault="00E15719">
      <w:pPr>
        <w:pStyle w:val="FootnoteText"/>
      </w:pPr>
      <w:r w:rsidRPr="006A17D1">
        <w:t>(</w:t>
      </w:r>
      <w:r w:rsidRPr="006A17D1">
        <w:rPr>
          <w:rStyle w:val="FootnoteReference"/>
        </w:rPr>
        <w:footnoteRef/>
      </w:r>
      <w:r w:rsidRPr="006A17D1">
        <w:t>)</w:t>
      </w:r>
      <w:r w:rsidRPr="006A17D1">
        <w:tab/>
      </w:r>
      <w:hyperlink r:id="rId9" w:history="1">
        <w:r w:rsidRPr="006A17D1">
          <w:rPr>
            <w:rStyle w:val="Hyperlink"/>
          </w:rPr>
          <w:t>The study</w:t>
        </w:r>
      </w:hyperlink>
      <w:r w:rsidRPr="006A17D1">
        <w:t xml:space="preserve"> was presented and discussed at the </w:t>
      </w:r>
      <w:hyperlink r:id="rId10" w:anchor="second-plenary-meeting-of-the-eu-network-against-corruption" w:history="1">
        <w:r w:rsidRPr="006A17D1">
          <w:rPr>
            <w:rStyle w:val="Hyperlink"/>
          </w:rPr>
          <w:t>2nd plenary meeting of the EU network against corruption</w:t>
        </w:r>
      </w:hyperlink>
      <w:r w:rsidRPr="006A17D1">
        <w:t xml:space="preserve"> on 3 October 2024</w:t>
      </w:r>
      <w:r w:rsidR="007D7850" w:rsidRPr="006A17D1">
        <w:t>. P</w:t>
      </w:r>
      <w:r w:rsidRPr="006A17D1">
        <w:t xml:space="preserve">ublic procurement, construction and infrastructure, and health care were </w:t>
      </w:r>
      <w:r w:rsidR="007D7850" w:rsidRPr="006A17D1">
        <w:t xml:space="preserve">deemed </w:t>
      </w:r>
      <w:r w:rsidRPr="006A17D1">
        <w:t xml:space="preserve">to be among the areas most at risk. A follow-up study will investigate actions that mitigate corruption in these high-risk areas. As announced in the 2023 Joint Communication on the fight against corruption, the research will feed into the first EU strategy against corruption, setting out actions to prevent and fight corruption in </w:t>
      </w:r>
      <w:r w:rsidR="00E1631B" w:rsidRPr="006A17D1">
        <w:t>high-risk</w:t>
      </w:r>
      <w:r w:rsidRPr="006A17D1">
        <w:t xml:space="preserve"> areas.</w:t>
      </w:r>
    </w:p>
  </w:footnote>
  <w:footnote w:id="29">
    <w:p w14:paraId="7A2625A8" w14:textId="48972C5F" w:rsidR="00E15719" w:rsidRPr="006A17D1" w:rsidRDefault="00E15719">
      <w:pPr>
        <w:pStyle w:val="FootnoteText"/>
      </w:pPr>
      <w:r w:rsidRPr="006A17D1">
        <w:t>(</w:t>
      </w:r>
      <w:r w:rsidRPr="006A17D1">
        <w:rPr>
          <w:rStyle w:val="FootnoteReference"/>
        </w:rPr>
        <w:footnoteRef/>
      </w:r>
      <w:r w:rsidRPr="006A17D1">
        <w:t>)</w:t>
      </w:r>
      <w:r w:rsidRPr="006A17D1">
        <w:tab/>
        <w:t>Regulation (EU) 2024/1620 of the European Parliament and of the Council of 31 May 2024, OJ L, 2024/1620, 19.6.2024</w:t>
      </w:r>
      <w:r w:rsidR="00E1631B" w:rsidRPr="006A17D1">
        <w:t>.</w:t>
      </w:r>
    </w:p>
  </w:footnote>
  <w:footnote w:id="30">
    <w:p w14:paraId="247F8ECD" w14:textId="01B52920" w:rsidR="00E15719" w:rsidRPr="006A17D1" w:rsidRDefault="00E15719">
      <w:pPr>
        <w:pStyle w:val="FootnoteText"/>
      </w:pPr>
      <w:r w:rsidRPr="006A17D1">
        <w:t>(</w:t>
      </w:r>
      <w:r w:rsidRPr="006A17D1">
        <w:rPr>
          <w:rStyle w:val="FootnoteReference"/>
        </w:rPr>
        <w:footnoteRef/>
      </w:r>
      <w:r w:rsidRPr="006A17D1">
        <w:t>)</w:t>
      </w:r>
      <w:r w:rsidRPr="006A17D1">
        <w:tab/>
      </w:r>
      <w:r w:rsidR="00DD44EC" w:rsidRPr="006A17D1">
        <w:t xml:space="preserve">Information about progress on this and the other recommendations in the 2023 PIF report has been collected via a specific questionnaire. </w:t>
      </w:r>
      <w:r w:rsidRPr="006A17D1">
        <w:t xml:space="preserve">For the complete replies to this questionnaire, see </w:t>
      </w:r>
      <w:r w:rsidR="00DD44EC" w:rsidRPr="006A17D1">
        <w:t xml:space="preserve">the </w:t>
      </w:r>
      <w:r w:rsidRPr="006A17D1">
        <w:t>‘Follow-up on recommendations to the Commission report on the protection of the EU’s financial interests and the fight against fraud – 2023’ accompanying this report.</w:t>
      </w:r>
    </w:p>
  </w:footnote>
  <w:footnote w:id="31">
    <w:p w14:paraId="4C96102F" w14:textId="3E3787C0" w:rsidR="00E15719" w:rsidRPr="006A17D1" w:rsidRDefault="00E15719" w:rsidP="002F1F7B">
      <w:pPr>
        <w:pStyle w:val="FootnoteText"/>
      </w:pPr>
      <w:r w:rsidRPr="006A17D1">
        <w:t>(</w:t>
      </w:r>
      <w:r w:rsidRPr="006A17D1">
        <w:rPr>
          <w:rStyle w:val="FootnoteReference"/>
        </w:rPr>
        <w:footnoteRef/>
      </w:r>
      <w:r w:rsidRPr="006A17D1">
        <w:t>)</w:t>
      </w:r>
      <w:r w:rsidRPr="006A17D1">
        <w:tab/>
        <w:t>Cyprus, Latvia, Luxembourg, Netherlands, Italy, Spain</w:t>
      </w:r>
      <w:r w:rsidR="00E1631B" w:rsidRPr="006A17D1">
        <w:t>.</w:t>
      </w:r>
      <w:r w:rsidRPr="006A17D1">
        <w:t xml:space="preserve"> </w:t>
      </w:r>
    </w:p>
  </w:footnote>
  <w:footnote w:id="32">
    <w:p w14:paraId="14CE2DA3" w14:textId="6972D820" w:rsidR="00E15719" w:rsidRPr="006A17D1" w:rsidRDefault="00E15719">
      <w:pPr>
        <w:pStyle w:val="FootnoteText"/>
        <w:rPr>
          <w:sz w:val="22"/>
        </w:rPr>
      </w:pPr>
      <w:r w:rsidRPr="006A17D1">
        <w:t>(</w:t>
      </w:r>
      <w:r w:rsidRPr="006A17D1">
        <w:rPr>
          <w:rStyle w:val="FootnoteReference"/>
        </w:rPr>
        <w:footnoteRef/>
      </w:r>
      <w:r w:rsidRPr="006A17D1">
        <w:t>)</w:t>
      </w:r>
      <w:r w:rsidRPr="006A17D1">
        <w:tab/>
      </w:r>
      <w:r w:rsidRPr="006A17D1">
        <w:rPr>
          <w:sz w:val="22"/>
        </w:rPr>
        <w:t xml:space="preserve">For a complete overview of the measures reported by the Member States see </w:t>
      </w:r>
      <w:r w:rsidR="00DE4548" w:rsidRPr="006A17D1">
        <w:rPr>
          <w:sz w:val="22"/>
        </w:rPr>
        <w:t xml:space="preserve">the </w:t>
      </w:r>
      <w:r w:rsidRPr="006A17D1">
        <w:rPr>
          <w:sz w:val="22"/>
        </w:rPr>
        <w:t>‘</w:t>
      </w:r>
      <w:r w:rsidRPr="006A17D1">
        <w:t>Measures adopted by Member States to protect the EU’s financial interests in 2024</w:t>
      </w:r>
      <w:r w:rsidRPr="006A17D1">
        <w:rPr>
          <w:sz w:val="22"/>
        </w:rPr>
        <w:t xml:space="preserve">’ accompanying this report. Specific measures are presented in </w:t>
      </w:r>
      <w:r w:rsidRPr="006A17D1">
        <w:rPr>
          <w:sz w:val="22"/>
        </w:rPr>
        <w:fldChar w:fldCharType="begin"/>
      </w:r>
      <w:r w:rsidRPr="006A17D1">
        <w:rPr>
          <w:sz w:val="22"/>
        </w:rPr>
        <w:instrText xml:space="preserve"> REF _Ref197687390 \h </w:instrText>
      </w:r>
      <w:r w:rsidR="00943162" w:rsidRPr="006A17D1">
        <w:rPr>
          <w:sz w:val="22"/>
        </w:rPr>
        <w:instrText xml:space="preserve"> \* MERGEFORMAT </w:instrText>
      </w:r>
      <w:r w:rsidRPr="006A17D1">
        <w:rPr>
          <w:sz w:val="22"/>
        </w:rPr>
      </w:r>
      <w:r w:rsidRPr="006A17D1">
        <w:rPr>
          <w:sz w:val="22"/>
        </w:rPr>
        <w:fldChar w:fldCharType="separate"/>
      </w:r>
      <w:r w:rsidRPr="006A17D1">
        <w:rPr>
          <w:sz w:val="22"/>
        </w:rPr>
        <w:t>Snapshot 1</w:t>
      </w:r>
      <w:r w:rsidRPr="006A17D1">
        <w:rPr>
          <w:sz w:val="22"/>
        </w:rPr>
        <w:fldChar w:fldCharType="end"/>
      </w:r>
      <w:r w:rsidRPr="006A17D1">
        <w:rPr>
          <w:sz w:val="22"/>
        </w:rPr>
        <w:t xml:space="preserve"> (conflict of interest), </w:t>
      </w:r>
      <w:hyperlink w:anchor="_Enhanced_cooperation_and" w:history="1">
        <w:r w:rsidRPr="006A17D1">
          <w:rPr>
            <w:rStyle w:val="Hyperlink"/>
            <w:sz w:val="22"/>
          </w:rPr>
          <w:t>Section 2.2.4</w:t>
        </w:r>
      </w:hyperlink>
      <w:r w:rsidRPr="006A17D1">
        <w:rPr>
          <w:sz w:val="22"/>
        </w:rPr>
        <w:t xml:space="preserve"> (cooperation and information exchange), </w:t>
      </w:r>
      <w:hyperlink w:anchor="_National_measures_to" w:history="1">
        <w:r w:rsidRPr="006A17D1">
          <w:rPr>
            <w:rStyle w:val="Hyperlink"/>
            <w:sz w:val="22"/>
          </w:rPr>
          <w:t>Section 2.3.3</w:t>
        </w:r>
      </w:hyperlink>
      <w:r w:rsidRPr="006A17D1">
        <w:rPr>
          <w:sz w:val="22"/>
        </w:rPr>
        <w:t xml:space="preserve"> (cooperation between the internal and external layer of the EU AFA) and </w:t>
      </w:r>
      <w:hyperlink w:anchor="_Digitalisation_and_the" w:history="1">
        <w:r w:rsidRPr="006A17D1">
          <w:rPr>
            <w:rStyle w:val="Hyperlink"/>
            <w:sz w:val="22"/>
          </w:rPr>
          <w:t>Section 3.2.2</w:t>
        </w:r>
      </w:hyperlink>
      <w:r w:rsidRPr="006A17D1">
        <w:rPr>
          <w:sz w:val="22"/>
        </w:rPr>
        <w:t xml:space="preserve"> (digitalisation and the use of new technologies).</w:t>
      </w:r>
    </w:p>
  </w:footnote>
  <w:footnote w:id="33">
    <w:p w14:paraId="788DA3DE" w14:textId="77777777" w:rsidR="00E15719" w:rsidRPr="006A17D1" w:rsidRDefault="00E15719">
      <w:pPr>
        <w:pStyle w:val="FootnoteText"/>
        <w:rPr>
          <w:sz w:val="22"/>
        </w:rPr>
      </w:pPr>
      <w:r w:rsidRPr="006A17D1">
        <w:t>(</w:t>
      </w:r>
      <w:r w:rsidRPr="006A17D1">
        <w:rPr>
          <w:rStyle w:val="FootnoteReference"/>
        </w:rPr>
        <w:footnoteRef/>
      </w:r>
      <w:r w:rsidRPr="006A17D1">
        <w:t>)</w:t>
      </w:r>
      <w:r w:rsidRPr="006A17D1">
        <w:tab/>
      </w:r>
      <w:r w:rsidRPr="006A17D1">
        <w:rPr>
          <w:sz w:val="22"/>
        </w:rPr>
        <w:t>A measure can target more than one stage of the anti-fraud cycle and more than one budgetary area/sector.</w:t>
      </w:r>
    </w:p>
  </w:footnote>
  <w:footnote w:id="34">
    <w:p w14:paraId="2FB9DF45" w14:textId="3877CAF1" w:rsidR="00E15719" w:rsidRPr="006A17D1" w:rsidRDefault="00E15719">
      <w:pPr>
        <w:pStyle w:val="FootnoteText"/>
      </w:pPr>
      <w:r w:rsidRPr="006A17D1">
        <w:t>(</w:t>
      </w:r>
      <w:r w:rsidRPr="006A17D1">
        <w:rPr>
          <w:rStyle w:val="FootnoteReference"/>
        </w:rPr>
        <w:footnoteRef/>
      </w:r>
      <w:r w:rsidRPr="006A17D1">
        <w:t>)</w:t>
      </w:r>
      <w:r w:rsidRPr="006A17D1">
        <w:tab/>
        <w:t xml:space="preserve">Austria, Bulgaria, Croatia, Cyprus, Estonia, Finland, Germany, Greece, Italy, Latvia, Luxembourg, Netherlands, Poland, Portugal, Romania, Slovakia, </w:t>
      </w:r>
      <w:r w:rsidR="00C019E8" w:rsidRPr="006A17D1">
        <w:t>Slovenia,</w:t>
      </w:r>
      <w:r w:rsidRPr="006A17D1">
        <w:t xml:space="preserve"> and Sweden.</w:t>
      </w:r>
    </w:p>
  </w:footnote>
  <w:footnote w:id="35">
    <w:p w14:paraId="08B72646" w14:textId="77777777" w:rsidR="00E15719" w:rsidRPr="006A17D1" w:rsidRDefault="00E15719">
      <w:pPr>
        <w:pStyle w:val="FootnoteText"/>
      </w:pPr>
      <w:r w:rsidRPr="006A17D1">
        <w:t>(</w:t>
      </w:r>
      <w:r w:rsidRPr="006A17D1">
        <w:rPr>
          <w:rStyle w:val="FootnoteReference"/>
        </w:rPr>
        <w:footnoteRef/>
      </w:r>
      <w:r w:rsidRPr="006A17D1">
        <w:t>)</w:t>
      </w:r>
      <w:r w:rsidRPr="006A17D1">
        <w:tab/>
        <w:t>Austria, Belgium, Bulgaria, Croatia, Cyprus, Estonia, Finland, Germany, Greece, Italy, Lithuania, Poland, Portugal, Slovakia, Slovenia and Sweden.</w:t>
      </w:r>
    </w:p>
  </w:footnote>
  <w:footnote w:id="36">
    <w:p w14:paraId="7543F47D" w14:textId="77777777" w:rsidR="00E15719" w:rsidRPr="006A17D1" w:rsidRDefault="00E15719">
      <w:pPr>
        <w:pStyle w:val="FootnoteText"/>
      </w:pPr>
      <w:r w:rsidRPr="006A17D1">
        <w:t>(</w:t>
      </w:r>
      <w:r w:rsidRPr="006A17D1">
        <w:rPr>
          <w:rStyle w:val="FootnoteReference"/>
        </w:rPr>
        <w:footnoteRef/>
      </w:r>
      <w:r w:rsidRPr="006A17D1">
        <w:t>)</w:t>
      </w:r>
      <w:r w:rsidRPr="006A17D1">
        <w:tab/>
        <w:t>Austria, Belgium, Bulgaria, Croatia, Cyprus, Estonia, Germany, Greece, Hungary, Italy, Lithuania, Slovakia and Slovenia.</w:t>
      </w:r>
    </w:p>
  </w:footnote>
  <w:footnote w:id="37">
    <w:p w14:paraId="4B074DEE" w14:textId="77777777" w:rsidR="00E15719" w:rsidRPr="006A17D1" w:rsidRDefault="00E15719">
      <w:pPr>
        <w:pStyle w:val="FootnoteText"/>
      </w:pPr>
      <w:r w:rsidRPr="006A17D1">
        <w:t>(</w:t>
      </w:r>
      <w:r w:rsidRPr="006A17D1">
        <w:rPr>
          <w:rStyle w:val="FootnoteReference"/>
        </w:rPr>
        <w:footnoteRef/>
      </w:r>
      <w:r w:rsidRPr="006A17D1">
        <w:t>)</w:t>
      </w:r>
      <w:r w:rsidRPr="006A17D1">
        <w:tab/>
        <w:t>Austria, Belgium, Cyprus, Czechia, Finland, Germany, Greece, Hungary, Italy, Netherlands, Portugal, Slovakia and Slovenia.</w:t>
      </w:r>
    </w:p>
  </w:footnote>
  <w:footnote w:id="38">
    <w:p w14:paraId="6E71C9D1" w14:textId="36F8E8EC" w:rsidR="00E15719" w:rsidRPr="006A17D1" w:rsidRDefault="00E15719">
      <w:pPr>
        <w:pStyle w:val="FootnoteText"/>
      </w:pPr>
      <w:r w:rsidRPr="006A17D1">
        <w:t>(</w:t>
      </w:r>
      <w:r w:rsidRPr="006A17D1">
        <w:rPr>
          <w:rStyle w:val="FootnoteReference"/>
        </w:rPr>
        <w:footnoteRef/>
      </w:r>
      <w:r w:rsidRPr="006A17D1">
        <w:t>)</w:t>
      </w:r>
      <w:r w:rsidRPr="006A17D1">
        <w:tab/>
        <w:t xml:space="preserve">For </w:t>
      </w:r>
      <w:r w:rsidR="00B351D2" w:rsidRPr="006A17D1">
        <w:t xml:space="preserve">a </w:t>
      </w:r>
      <w:r w:rsidRPr="006A17D1">
        <w:t>description of the related measures, see Sections 1.6.1.1, 1.6.1.2 and 1.6.1.3 respectively of the ‘Measures adopted by Member States to protect the EU’s financial interests in 2024’ accompanying this report.</w:t>
      </w:r>
    </w:p>
  </w:footnote>
  <w:footnote w:id="39">
    <w:p w14:paraId="1E583BDB" w14:textId="77777777" w:rsidR="00E15719" w:rsidRPr="006A17D1" w:rsidRDefault="00E15719">
      <w:pPr>
        <w:pStyle w:val="FootnoteText"/>
      </w:pPr>
      <w:r w:rsidRPr="006A17D1">
        <w:t>(</w:t>
      </w:r>
      <w:r w:rsidRPr="006A17D1">
        <w:rPr>
          <w:rStyle w:val="FootnoteReference"/>
        </w:rPr>
        <w:footnoteRef/>
      </w:r>
      <w:r w:rsidRPr="006A17D1">
        <w:t>)</w:t>
      </w:r>
      <w:r w:rsidRPr="006A17D1">
        <w:tab/>
        <w:t>Estonia, Finland, Lithuania and Germany (Bremen).</w:t>
      </w:r>
    </w:p>
  </w:footnote>
  <w:footnote w:id="40">
    <w:p w14:paraId="39FD0DCF" w14:textId="77777777" w:rsidR="00E15719" w:rsidRPr="006A17D1" w:rsidRDefault="00E15719">
      <w:pPr>
        <w:pStyle w:val="FootnoteText"/>
      </w:pPr>
      <w:r w:rsidRPr="006A17D1">
        <w:t>(</w:t>
      </w:r>
      <w:r w:rsidRPr="006A17D1">
        <w:rPr>
          <w:rStyle w:val="FootnoteReference"/>
        </w:rPr>
        <w:footnoteRef/>
      </w:r>
      <w:r w:rsidRPr="006A17D1">
        <w:t>)</w:t>
      </w:r>
      <w:r w:rsidRPr="006A17D1">
        <w:tab/>
        <w:t>Belgium.</w:t>
      </w:r>
    </w:p>
  </w:footnote>
  <w:footnote w:id="41">
    <w:p w14:paraId="3C07A274" w14:textId="4D699BBA" w:rsidR="00E15719" w:rsidRPr="006A17D1" w:rsidRDefault="00E15719">
      <w:pPr>
        <w:pStyle w:val="FootnoteText"/>
      </w:pPr>
      <w:r w:rsidRPr="006A17D1">
        <w:t>(</w:t>
      </w:r>
      <w:r w:rsidRPr="006A17D1">
        <w:rPr>
          <w:rStyle w:val="FootnoteReference"/>
        </w:rPr>
        <w:footnoteRef/>
      </w:r>
      <w:r w:rsidRPr="006A17D1">
        <w:t>)</w:t>
      </w:r>
      <w:r w:rsidRPr="006A17D1">
        <w:tab/>
        <w:t>Germany (Baden-</w:t>
      </w:r>
      <w:r w:rsidR="00943162" w:rsidRPr="006A17D1">
        <w:t>Württemberg</w:t>
      </w:r>
      <w:r w:rsidRPr="006A17D1">
        <w:t>).</w:t>
      </w:r>
    </w:p>
  </w:footnote>
  <w:footnote w:id="42">
    <w:p w14:paraId="0BF01755" w14:textId="77777777" w:rsidR="00E15719" w:rsidRPr="006A17D1" w:rsidRDefault="00E15719">
      <w:pPr>
        <w:pStyle w:val="FootnoteText"/>
      </w:pPr>
      <w:r w:rsidRPr="006A17D1">
        <w:t>(</w:t>
      </w:r>
      <w:r w:rsidRPr="006A17D1">
        <w:rPr>
          <w:rStyle w:val="FootnoteReference"/>
        </w:rPr>
        <w:footnoteRef/>
      </w:r>
      <w:r w:rsidRPr="006A17D1">
        <w:t>)</w:t>
      </w:r>
      <w:r w:rsidRPr="006A17D1">
        <w:tab/>
        <w:t>Poland (SAMPLER Tool).</w:t>
      </w:r>
    </w:p>
  </w:footnote>
  <w:footnote w:id="43">
    <w:p w14:paraId="14BBCD88" w14:textId="77777777" w:rsidR="00E15719" w:rsidRPr="006A17D1" w:rsidRDefault="00E15719">
      <w:pPr>
        <w:pStyle w:val="FootnoteText"/>
      </w:pPr>
      <w:r w:rsidRPr="006A17D1">
        <w:t>(</w:t>
      </w:r>
      <w:r w:rsidRPr="006A17D1">
        <w:rPr>
          <w:rStyle w:val="FootnoteReference"/>
        </w:rPr>
        <w:footnoteRef/>
      </w:r>
      <w:r w:rsidRPr="006A17D1">
        <w:t>)</w:t>
      </w:r>
      <w:r w:rsidRPr="006A17D1">
        <w:tab/>
        <w:t>Slovakia.</w:t>
      </w:r>
    </w:p>
  </w:footnote>
  <w:footnote w:id="44">
    <w:p w14:paraId="03C88FFC" w14:textId="77777777" w:rsidR="00E15719" w:rsidRPr="006A17D1" w:rsidRDefault="00E15719">
      <w:pPr>
        <w:pStyle w:val="FootnoteText"/>
      </w:pPr>
      <w:r w:rsidRPr="006A17D1">
        <w:t>(</w:t>
      </w:r>
      <w:r w:rsidRPr="006A17D1">
        <w:rPr>
          <w:rStyle w:val="FootnoteReference"/>
        </w:rPr>
        <w:footnoteRef/>
      </w:r>
      <w:r w:rsidRPr="006A17D1">
        <w:t>)</w:t>
      </w:r>
      <w:r w:rsidRPr="006A17D1">
        <w:tab/>
        <w:t>Bulgaria, Croatia, Cyprus, Poland and Slovakia.</w:t>
      </w:r>
    </w:p>
  </w:footnote>
  <w:footnote w:id="45">
    <w:p w14:paraId="40486527" w14:textId="77777777" w:rsidR="00E15719" w:rsidRPr="006A17D1" w:rsidRDefault="00E15719">
      <w:pPr>
        <w:pStyle w:val="FootnoteText"/>
      </w:pPr>
      <w:r w:rsidRPr="006A17D1">
        <w:t>(</w:t>
      </w:r>
      <w:r w:rsidRPr="006A17D1">
        <w:rPr>
          <w:rStyle w:val="FootnoteReference"/>
        </w:rPr>
        <w:footnoteRef/>
      </w:r>
      <w:r w:rsidRPr="006A17D1">
        <w:t>)</w:t>
      </w:r>
      <w:r w:rsidRPr="006A17D1">
        <w:tab/>
        <w:t xml:space="preserve">For the implementation of this recommendation, see </w:t>
      </w:r>
      <w:hyperlink w:anchor="_Strengthening_the_governance" w:history="1">
        <w:r w:rsidRPr="006A17D1">
          <w:rPr>
            <w:rStyle w:val="Hyperlink"/>
          </w:rPr>
          <w:t>Section 2.2.1</w:t>
        </w:r>
      </w:hyperlink>
      <w:r w:rsidRPr="006A17D1">
        <w:t>.</w:t>
      </w:r>
    </w:p>
  </w:footnote>
  <w:footnote w:id="46">
    <w:p w14:paraId="345D6242" w14:textId="502838C7" w:rsidR="00E15719" w:rsidRPr="006A17D1" w:rsidRDefault="00E15719">
      <w:pPr>
        <w:pStyle w:val="FootnoteText"/>
      </w:pPr>
      <w:r w:rsidRPr="006A17D1">
        <w:t>(</w:t>
      </w:r>
      <w:r w:rsidRPr="006A17D1">
        <w:rPr>
          <w:rStyle w:val="FootnoteReference"/>
        </w:rPr>
        <w:footnoteRef/>
      </w:r>
      <w:r w:rsidRPr="006A17D1">
        <w:t>)</w:t>
      </w:r>
      <w:r w:rsidRPr="006A17D1">
        <w:tab/>
        <w:t>Commission Decision 94/140/EC of 23 February 1994 setting up an advisory committee for the coordination of fraud prevention, OJ L 61, 4.3.1994, p. 27–28, as amended by Commission Decision 2005/223/EC of 25 February 2005 amending Decision 94/140/EC setting up an advisory committee for the coordination of fraud prevention, OJ L 71, 17.3.2005, p. 67–68</w:t>
      </w:r>
      <w:r w:rsidR="00E1631B" w:rsidRPr="006A17D1">
        <w:t>.</w:t>
      </w:r>
    </w:p>
  </w:footnote>
  <w:footnote w:id="47">
    <w:p w14:paraId="7D8F56B0" w14:textId="77777777" w:rsidR="00E15719" w:rsidRPr="006A17D1" w:rsidRDefault="00E15719">
      <w:pPr>
        <w:pStyle w:val="FootnoteText"/>
      </w:pPr>
      <w:r w:rsidRPr="006A17D1">
        <w:t>(</w:t>
      </w:r>
      <w:r w:rsidRPr="006A17D1">
        <w:rPr>
          <w:rStyle w:val="FootnoteReference"/>
        </w:rPr>
        <w:footnoteRef/>
      </w:r>
      <w:r w:rsidRPr="006A17D1">
        <w:t>)</w:t>
      </w:r>
      <w:r w:rsidRPr="006A17D1">
        <w:tab/>
        <w:t>Both documents are expected to be finalised before the summer 2025.</w:t>
      </w:r>
    </w:p>
  </w:footnote>
  <w:footnote w:id="48">
    <w:p w14:paraId="7EFDA089" w14:textId="77777777" w:rsidR="00E15719" w:rsidRPr="006A17D1" w:rsidRDefault="00E15719">
      <w:pPr>
        <w:pStyle w:val="FootnoteText"/>
      </w:pPr>
      <w:r w:rsidRPr="006A17D1">
        <w:t>(</w:t>
      </w:r>
      <w:r w:rsidRPr="006A17D1">
        <w:rPr>
          <w:rStyle w:val="FootnoteReference"/>
        </w:rPr>
        <w:footnoteRef/>
      </w:r>
      <w:r w:rsidRPr="006A17D1">
        <w:t>)</w:t>
      </w:r>
      <w:r w:rsidRPr="006A17D1">
        <w:tab/>
        <w:t>A description of the initiatives financed via the UAFP is available in the ‘Annual overview with information on the results of the Union anti-fraud programme in 2024’ accompanying this report.</w:t>
      </w:r>
    </w:p>
  </w:footnote>
  <w:footnote w:id="49">
    <w:p w14:paraId="630498AF" w14:textId="77777777" w:rsidR="00E15719" w:rsidRPr="006A17D1" w:rsidRDefault="00E15719">
      <w:pPr>
        <w:pStyle w:val="FootnoteText"/>
      </w:pPr>
      <w:r w:rsidRPr="006A17D1">
        <w:t>(</w:t>
      </w:r>
      <w:r w:rsidRPr="006A17D1">
        <w:rPr>
          <w:rStyle w:val="FootnoteReference"/>
        </w:rPr>
        <w:footnoteRef/>
      </w:r>
      <w:r w:rsidRPr="006A17D1">
        <w:t>)</w:t>
      </w:r>
      <w:r w:rsidRPr="006A17D1">
        <w:tab/>
        <w:t>Via the Joint Research Centre.</w:t>
      </w:r>
    </w:p>
  </w:footnote>
  <w:footnote w:id="50">
    <w:p w14:paraId="42626796" w14:textId="27284BDB" w:rsidR="00E15719" w:rsidRPr="006A17D1" w:rsidRDefault="00E15719">
      <w:pPr>
        <w:pStyle w:val="FootnoteText"/>
      </w:pPr>
      <w:r w:rsidRPr="006A17D1">
        <w:t>(</w:t>
      </w:r>
      <w:r w:rsidRPr="006A17D1">
        <w:rPr>
          <w:rStyle w:val="FootnoteReference"/>
        </w:rPr>
        <w:footnoteRef/>
      </w:r>
      <w:r w:rsidRPr="006A17D1">
        <w:t>)</w:t>
      </w:r>
      <w:r w:rsidRPr="006A17D1">
        <w:tab/>
        <w:t xml:space="preserve">See </w:t>
      </w:r>
      <w:r w:rsidR="00883795" w:rsidRPr="006A17D1">
        <w:t xml:space="preserve">the </w:t>
      </w:r>
      <w:r w:rsidRPr="006A17D1">
        <w:t xml:space="preserve">‘Follow-up on recommendations to the Commission report on the protection of the EU’s financial interests and the fight against fraud – 2023’ accompanying this report, in particular Section </w:t>
      </w:r>
      <w:r w:rsidR="00883795" w:rsidRPr="006A17D1">
        <w:t>1</w:t>
      </w:r>
      <w:r w:rsidRPr="006A17D1">
        <w:t>.</w:t>
      </w:r>
      <w:r w:rsidR="00883795" w:rsidRPr="006A17D1">
        <w:t>1</w:t>
      </w:r>
      <w:r w:rsidRPr="006A17D1">
        <w:t>.</w:t>
      </w:r>
    </w:p>
  </w:footnote>
  <w:footnote w:id="51">
    <w:p w14:paraId="542CC28D" w14:textId="73FA1229" w:rsidR="00E15719" w:rsidRPr="006A17D1" w:rsidRDefault="00E15719">
      <w:pPr>
        <w:pStyle w:val="FootnoteText"/>
      </w:pPr>
      <w:r w:rsidRPr="006A17D1">
        <w:t>(</w:t>
      </w:r>
      <w:r w:rsidRPr="006A17D1">
        <w:rPr>
          <w:rStyle w:val="FootnoteReference"/>
        </w:rPr>
        <w:footnoteRef/>
      </w:r>
      <w:r w:rsidRPr="006A17D1">
        <w:t>)</w:t>
      </w:r>
      <w:r w:rsidRPr="006A17D1">
        <w:tab/>
        <w:t>Austria, Czechia, Estonia, Finland, France, Germany, Luxembourg, Malta, Poland, Romania, Slovakia</w:t>
      </w:r>
      <w:r w:rsidR="00BF4A19" w:rsidRPr="006A17D1">
        <w:t>.</w:t>
      </w:r>
    </w:p>
  </w:footnote>
  <w:footnote w:id="52">
    <w:p w14:paraId="54308BFD" w14:textId="5B979445" w:rsidR="00E15719" w:rsidRPr="006A17D1" w:rsidRDefault="00E15719" w:rsidP="0023699A">
      <w:pPr>
        <w:pStyle w:val="FootnoteText"/>
      </w:pPr>
      <w:r w:rsidRPr="006A17D1">
        <w:t>(</w:t>
      </w:r>
      <w:r w:rsidRPr="006A17D1">
        <w:rPr>
          <w:rStyle w:val="FootnoteReference"/>
        </w:rPr>
        <w:footnoteRef/>
      </w:r>
      <w:r w:rsidRPr="006A17D1">
        <w:t>)</w:t>
      </w:r>
      <w:r w:rsidRPr="006A17D1">
        <w:tab/>
        <w:t>Belgium, Bulgaria, Croatia, Denmark, Hungary, Italy, Latvia, Slovenia, Sweden</w:t>
      </w:r>
      <w:r w:rsidR="00BF4A19" w:rsidRPr="006A17D1">
        <w:t>.</w:t>
      </w:r>
    </w:p>
  </w:footnote>
  <w:footnote w:id="53">
    <w:p w14:paraId="657750E9" w14:textId="61201220" w:rsidR="00E15719" w:rsidRPr="006A17D1" w:rsidRDefault="00E15719" w:rsidP="0023699A">
      <w:pPr>
        <w:pStyle w:val="FootnoteText"/>
      </w:pPr>
      <w:r w:rsidRPr="006A17D1">
        <w:t>(</w:t>
      </w:r>
      <w:r w:rsidRPr="006A17D1">
        <w:rPr>
          <w:rStyle w:val="FootnoteReference"/>
        </w:rPr>
        <w:footnoteRef/>
      </w:r>
      <w:r w:rsidRPr="006A17D1">
        <w:t>)</w:t>
      </w:r>
      <w:r w:rsidRPr="006A17D1">
        <w:tab/>
        <w:t>Bulgaria, Cyprus, Czechia, Denmark, Estonia, Germany, Hungary, Italy, Latvia, Lithuania, Malta, Poland, Portugal, Romania, Slovakia, Slovenia, Spain</w:t>
      </w:r>
      <w:r w:rsidR="00BF4A19" w:rsidRPr="006A17D1">
        <w:t>.</w:t>
      </w:r>
    </w:p>
  </w:footnote>
  <w:footnote w:id="54">
    <w:p w14:paraId="2D67D8FB" w14:textId="26644785" w:rsidR="00E15719" w:rsidRPr="006A17D1" w:rsidRDefault="00E15719" w:rsidP="00F341E5">
      <w:pPr>
        <w:pStyle w:val="FootnoteText"/>
      </w:pPr>
      <w:r w:rsidRPr="006A17D1">
        <w:t>(</w:t>
      </w:r>
      <w:r w:rsidRPr="006A17D1">
        <w:rPr>
          <w:rStyle w:val="FootnoteReference"/>
        </w:rPr>
        <w:footnoteRef/>
      </w:r>
      <w:r w:rsidRPr="006A17D1">
        <w:t>)</w:t>
      </w:r>
      <w:r w:rsidRPr="006A17D1">
        <w:tab/>
        <w:t>Bulgaria, Croatia, Cyprus, Denmark, Estonia, Hungary, Lithuania, Poland, Portugal, Romania, Slovakia, Slovenia, Spain</w:t>
      </w:r>
      <w:r w:rsidR="00BF4A19" w:rsidRPr="006A17D1">
        <w:t>.</w:t>
      </w:r>
    </w:p>
  </w:footnote>
  <w:footnote w:id="55">
    <w:p w14:paraId="03FBE2F7" w14:textId="749C7335" w:rsidR="00E15719" w:rsidRPr="006A17D1" w:rsidRDefault="00E15719" w:rsidP="00F341E5">
      <w:pPr>
        <w:pStyle w:val="FootnoteText"/>
      </w:pPr>
      <w:r w:rsidRPr="006A17D1">
        <w:t>(</w:t>
      </w:r>
      <w:r w:rsidRPr="006A17D1">
        <w:rPr>
          <w:rStyle w:val="FootnoteReference"/>
        </w:rPr>
        <w:footnoteRef/>
      </w:r>
      <w:r w:rsidRPr="006A17D1">
        <w:t>)</w:t>
      </w:r>
      <w:r w:rsidRPr="006A17D1">
        <w:tab/>
        <w:t>Bulgaria, Czechia, Denmark, Estonia, Germany, Hungary, Italy, Latvia, Lithuania, Luxembourg, Malta, Netherlands, Poland, Portugal, Romania, Slovakia, Spain</w:t>
      </w:r>
      <w:r w:rsidR="00BF4A19" w:rsidRPr="006A17D1">
        <w:t>.</w:t>
      </w:r>
    </w:p>
  </w:footnote>
  <w:footnote w:id="56">
    <w:p w14:paraId="713EBFAC" w14:textId="71620423" w:rsidR="00E15719" w:rsidRPr="006A17D1" w:rsidRDefault="00E15719">
      <w:pPr>
        <w:pStyle w:val="FootnoteText"/>
      </w:pPr>
      <w:r w:rsidRPr="006A17D1">
        <w:t>(</w:t>
      </w:r>
      <w:r w:rsidRPr="006A17D1">
        <w:rPr>
          <w:rStyle w:val="FootnoteReference"/>
        </w:rPr>
        <w:footnoteRef/>
      </w:r>
      <w:r w:rsidRPr="006A17D1">
        <w:t>)</w:t>
      </w:r>
      <w:r w:rsidRPr="006A17D1">
        <w:tab/>
        <w:t>See footnote</w:t>
      </w:r>
      <w:r w:rsidR="00BB2EC8" w:rsidRPr="006A17D1">
        <w:t xml:space="preserve"> </w:t>
      </w:r>
      <w:r w:rsidR="0052274C" w:rsidRPr="006A17D1">
        <w:t>90</w:t>
      </w:r>
      <w:r w:rsidRPr="006A17D1">
        <w:t>.</w:t>
      </w:r>
    </w:p>
  </w:footnote>
  <w:footnote w:id="57">
    <w:p w14:paraId="7E1E2910" w14:textId="44D8AE09" w:rsidR="00AC38CE" w:rsidRPr="006A17D1" w:rsidRDefault="00AC38CE">
      <w:pPr>
        <w:pStyle w:val="FootnoteText"/>
      </w:pPr>
      <w:r w:rsidRPr="006A17D1">
        <w:t>(</w:t>
      </w:r>
      <w:r w:rsidRPr="006A17D1">
        <w:rPr>
          <w:rStyle w:val="FootnoteReference"/>
        </w:rPr>
        <w:footnoteRef/>
      </w:r>
      <w:r w:rsidRPr="006A17D1">
        <w:t>)</w:t>
      </w:r>
      <w:r w:rsidRPr="006A17D1">
        <w:tab/>
        <w:t>See the ‘Commission anti-fraud strategy (CAFS) action plan implementation monitoring: state-of-play 31 May 2025’ accompanying this report, actions 26 to 29.</w:t>
      </w:r>
    </w:p>
  </w:footnote>
  <w:footnote w:id="58">
    <w:p w14:paraId="2C65713C" w14:textId="5845A415" w:rsidR="00AC38CE" w:rsidRPr="006A17D1" w:rsidRDefault="00AC38CE">
      <w:pPr>
        <w:pStyle w:val="FootnoteText"/>
      </w:pPr>
      <w:r w:rsidRPr="006A17D1">
        <w:t>(</w:t>
      </w:r>
      <w:r w:rsidRPr="006A17D1">
        <w:rPr>
          <w:rStyle w:val="FootnoteReference"/>
        </w:rPr>
        <w:footnoteRef/>
      </w:r>
      <w:r w:rsidRPr="006A17D1">
        <w:t>)</w:t>
      </w:r>
      <w:r w:rsidRPr="006A17D1">
        <w:tab/>
        <w:t>See footnote 5</w:t>
      </w:r>
      <w:r w:rsidR="0052274C" w:rsidRPr="006A17D1">
        <w:t>6</w:t>
      </w:r>
      <w:r w:rsidRPr="006A17D1">
        <w:t>, action 26.</w:t>
      </w:r>
    </w:p>
  </w:footnote>
  <w:footnote w:id="59">
    <w:p w14:paraId="0F4C0E31" w14:textId="4FF2C7A1" w:rsidR="00E15719" w:rsidRPr="006A17D1" w:rsidRDefault="00E15719" w:rsidP="000233A9">
      <w:pPr>
        <w:pStyle w:val="FootnoteText"/>
      </w:pPr>
      <w:r w:rsidRPr="006A17D1">
        <w:t>(</w:t>
      </w:r>
      <w:r w:rsidRPr="006A17D1">
        <w:rPr>
          <w:rStyle w:val="FootnoteReference"/>
        </w:rPr>
        <w:footnoteRef/>
      </w:r>
      <w:r w:rsidRPr="006A17D1">
        <w:t>)</w:t>
      </w:r>
      <w:r w:rsidRPr="006A17D1">
        <w:tab/>
      </w:r>
      <w:r w:rsidR="001B67F1" w:rsidRPr="006A17D1">
        <w:t xml:space="preserve">The Commission collected information about progress on this recommendation collected via a specific questionnaire. </w:t>
      </w:r>
      <w:r w:rsidRPr="006A17D1">
        <w:t>For the complete replies to this questionnaire, see ‘Follow-up on recommendations to the Commission report on the protection of the EU’s financial interests and the fight against fraud – 2023’ accompanying this report.</w:t>
      </w:r>
    </w:p>
  </w:footnote>
  <w:footnote w:id="60">
    <w:p w14:paraId="6709BA86" w14:textId="3CD11EC9" w:rsidR="00E15719" w:rsidRPr="006A17D1" w:rsidRDefault="00E15719" w:rsidP="0053563A">
      <w:pPr>
        <w:pStyle w:val="FootnoteText"/>
      </w:pPr>
      <w:r w:rsidRPr="006A17D1">
        <w:t>(</w:t>
      </w:r>
      <w:r w:rsidRPr="006A17D1">
        <w:rPr>
          <w:rStyle w:val="FootnoteReference"/>
        </w:rPr>
        <w:footnoteRef/>
      </w:r>
      <w:r w:rsidRPr="006A17D1">
        <w:t>)</w:t>
      </w:r>
      <w:r w:rsidRPr="006A17D1">
        <w:tab/>
        <w:t>Austria, Belgium, Bulgaria, Cyprus, Czechia, Germany, Greece, Hungary, Italy, Lithuania, Malta, Romania, Slovakia, Slovenia, Spain, Sweden, Finland</w:t>
      </w:r>
      <w:r w:rsidR="00BF4A19" w:rsidRPr="006A17D1">
        <w:t>.</w:t>
      </w:r>
    </w:p>
  </w:footnote>
  <w:footnote w:id="61">
    <w:p w14:paraId="04E491C7" w14:textId="10CBECB2" w:rsidR="00E15719" w:rsidRPr="006A17D1" w:rsidRDefault="00E15719" w:rsidP="00830B7A">
      <w:pPr>
        <w:pStyle w:val="FootnoteText"/>
      </w:pPr>
      <w:r w:rsidRPr="006A17D1">
        <w:t>(</w:t>
      </w:r>
      <w:r w:rsidRPr="006A17D1">
        <w:rPr>
          <w:rStyle w:val="FootnoteReference"/>
        </w:rPr>
        <w:footnoteRef/>
      </w:r>
      <w:r w:rsidRPr="006A17D1">
        <w:t>)</w:t>
      </w:r>
      <w:r w:rsidRPr="006A17D1">
        <w:tab/>
        <w:t>Internal assessment: Czechia, Denmark, Estonia, Germany, Greece, Italy, Luxembourg, Romania</w:t>
      </w:r>
      <w:r w:rsidRPr="006A17D1">
        <w:br/>
        <w:t>Gap Analysis: Belgium, Czechia, Germany, Italy, Romania, Slovakia, Slovenia, Spain</w:t>
      </w:r>
      <w:r w:rsidR="00BF4A19" w:rsidRPr="006A17D1">
        <w:t>.</w:t>
      </w:r>
    </w:p>
  </w:footnote>
  <w:footnote w:id="62">
    <w:p w14:paraId="4FB926B4" w14:textId="228AFC28" w:rsidR="00E15719" w:rsidRPr="006A17D1" w:rsidRDefault="00E15719" w:rsidP="00830B7A">
      <w:pPr>
        <w:pStyle w:val="FootnoteText"/>
      </w:pPr>
      <w:r w:rsidRPr="006A17D1">
        <w:t>(</w:t>
      </w:r>
      <w:r w:rsidRPr="006A17D1">
        <w:rPr>
          <w:rStyle w:val="FootnoteReference"/>
        </w:rPr>
        <w:footnoteRef/>
      </w:r>
      <w:r w:rsidRPr="006A17D1">
        <w:t>)</w:t>
      </w:r>
      <w:r w:rsidRPr="006A17D1">
        <w:tab/>
        <w:t>Partially successful: Austria, Belgium, Bulgaria, Denmark, Estonia, Finland, France, Greece, Lithuania, Latvia, Netherlands, Portugal, Slovakia, Slovenia, Spain, Sweden</w:t>
      </w:r>
      <w:r w:rsidR="00BF4A19" w:rsidRPr="006A17D1">
        <w:t>.</w:t>
      </w:r>
      <w:r w:rsidRPr="006A17D1">
        <w:tab/>
      </w:r>
      <w:r w:rsidRPr="006A17D1">
        <w:br/>
        <w:t>Totally successful: Hungary, Italy, Malta, Poland</w:t>
      </w:r>
      <w:r w:rsidR="00BF4A19" w:rsidRPr="006A17D1">
        <w:t>.</w:t>
      </w:r>
    </w:p>
  </w:footnote>
  <w:footnote w:id="63">
    <w:p w14:paraId="1D1BB2CB" w14:textId="3DFCA91B" w:rsidR="00BF4A19" w:rsidRPr="006A17D1" w:rsidRDefault="00E15719" w:rsidP="009925E8">
      <w:pPr>
        <w:pStyle w:val="FootnoteText"/>
      </w:pPr>
      <w:r w:rsidRPr="006A17D1">
        <w:t>(</w:t>
      </w:r>
      <w:r w:rsidRPr="006A17D1">
        <w:rPr>
          <w:rStyle w:val="FootnoteReference"/>
        </w:rPr>
        <w:footnoteRef/>
      </w:r>
      <w:r w:rsidRPr="006A17D1">
        <w:t>)</w:t>
      </w:r>
      <w:r w:rsidRPr="006A17D1">
        <w:tab/>
        <w:t>External (In use</w:t>
      </w:r>
      <w:r w:rsidR="00E1631B" w:rsidRPr="006A17D1">
        <w:t>): Austria</w:t>
      </w:r>
      <w:r w:rsidRPr="006A17D1">
        <w:t>, Belgium, Croatia, Cyprus, Czechia, Denmark, Estonia, France, Germany, Greece, Hungary, Italy, Latvia, Lithuania, Luxembourg, Malta, Netherlands, Poland, Romania, Slovakia, Slovenia, Spain, Sweden</w:t>
      </w:r>
      <w:r w:rsidR="00E1631B" w:rsidRPr="006A17D1">
        <w:t>.</w:t>
      </w:r>
    </w:p>
    <w:p w14:paraId="00996E91" w14:textId="19335E16" w:rsidR="00BF4A19" w:rsidRPr="006A17D1" w:rsidRDefault="00E15719" w:rsidP="00BF4A19">
      <w:pPr>
        <w:pStyle w:val="FootnoteText"/>
        <w:ind w:firstLine="0"/>
      </w:pPr>
      <w:r w:rsidRPr="006A17D1">
        <w:t>External (Planned): Portugal</w:t>
      </w:r>
      <w:r w:rsidR="00BF4A19" w:rsidRPr="006A17D1">
        <w:t>.</w:t>
      </w:r>
    </w:p>
    <w:p w14:paraId="27F084DB" w14:textId="6EFBBD88" w:rsidR="00BF4A19" w:rsidRPr="006A17D1" w:rsidRDefault="00E15719" w:rsidP="00BF4A19">
      <w:pPr>
        <w:pStyle w:val="FootnoteText"/>
        <w:ind w:firstLine="0"/>
      </w:pPr>
      <w:r w:rsidRPr="006A17D1">
        <w:t>Integrated (In use): Belgium, Czechia, France, Germany, Hungary, Italy, Lithuania, Netherlands, Poland, Romania, Slovakia, Slovenia, Sweden</w:t>
      </w:r>
      <w:r w:rsidR="00E1631B" w:rsidRPr="006A17D1">
        <w:t>.</w:t>
      </w:r>
    </w:p>
    <w:p w14:paraId="0D0EB610" w14:textId="45B4AE95" w:rsidR="00E15719" w:rsidRPr="006A17D1" w:rsidRDefault="00E15719" w:rsidP="00BF4A19">
      <w:pPr>
        <w:pStyle w:val="FootnoteText"/>
        <w:ind w:firstLine="0"/>
      </w:pPr>
      <w:r w:rsidRPr="006A17D1">
        <w:t>Integrated (Planned): Bulgaria, Denmark, Estonia, Finland, Greece, Latvia, Luxembourg, Malta, Portugal, Spain</w:t>
      </w:r>
      <w:r w:rsidR="00BF4A19" w:rsidRPr="006A17D1">
        <w:t>.</w:t>
      </w:r>
    </w:p>
  </w:footnote>
  <w:footnote w:id="64">
    <w:p w14:paraId="6B6C13BA" w14:textId="77777777" w:rsidR="00947EF7" w:rsidRPr="006A17D1" w:rsidRDefault="00947EF7" w:rsidP="00947EF7">
      <w:pPr>
        <w:pStyle w:val="FootnoteText"/>
      </w:pPr>
      <w:r w:rsidRPr="006A17D1">
        <w:t>(</w:t>
      </w:r>
      <w:r w:rsidRPr="006A17D1">
        <w:rPr>
          <w:rStyle w:val="FootnoteReference"/>
        </w:rPr>
        <w:footnoteRef/>
      </w:r>
      <w:r w:rsidRPr="006A17D1">
        <w:t>)</w:t>
      </w:r>
      <w:r w:rsidRPr="006A17D1">
        <w:tab/>
        <w:t>Austria, Belgium, Czechia, Estonia, France, Hungary, Ireland, Italy, Luxembourg, Malta, Netherlands, Poland, Portugal, Romania, Slovakia, Slovenia.</w:t>
      </w:r>
    </w:p>
  </w:footnote>
  <w:footnote w:id="65">
    <w:p w14:paraId="41EC921F" w14:textId="14B6E97D" w:rsidR="00E15719" w:rsidRPr="006A17D1" w:rsidRDefault="00E15719" w:rsidP="009925E8">
      <w:pPr>
        <w:pStyle w:val="FootnoteText"/>
      </w:pPr>
      <w:r w:rsidRPr="006A17D1">
        <w:t>(</w:t>
      </w:r>
      <w:r w:rsidRPr="006A17D1">
        <w:rPr>
          <w:rStyle w:val="FootnoteReference"/>
        </w:rPr>
        <w:footnoteRef/>
      </w:r>
      <w:r w:rsidRPr="006A17D1">
        <w:t>)</w:t>
      </w:r>
      <w:r w:rsidRPr="006A17D1">
        <w:tab/>
        <w:t>Austria, Belgium, Bulgaria, Croatia, Cyprus, Czechia, Estonia, France, Greece, Hungary, Ireland, Italy, Latvia, Lithuania, Luxembourg, Malta, Poland, Portugal, Romania, Slovakia, Slovenia, Spain</w:t>
      </w:r>
      <w:r w:rsidR="00EC6482" w:rsidRPr="006A17D1">
        <w:t>.</w:t>
      </w:r>
    </w:p>
  </w:footnote>
  <w:footnote w:id="66">
    <w:p w14:paraId="2BAE8D73" w14:textId="21C60996" w:rsidR="00E15719" w:rsidRPr="006A17D1" w:rsidRDefault="00E15719" w:rsidP="00E37D4C">
      <w:pPr>
        <w:pStyle w:val="FootnoteText"/>
      </w:pPr>
      <w:r w:rsidRPr="006A17D1">
        <w:t>(</w:t>
      </w:r>
      <w:r w:rsidRPr="006A17D1">
        <w:rPr>
          <w:rStyle w:val="FootnoteReference"/>
        </w:rPr>
        <w:footnoteRef/>
      </w:r>
      <w:r w:rsidRPr="006A17D1">
        <w:t>)</w:t>
      </w:r>
      <w:r w:rsidRPr="006A17D1">
        <w:tab/>
        <w:t>Moderate improvement: Austria, Belgium, Czechia, Malta, Portugal, Romania, Slovakia, Spain Significant improvement: Cyprus, Greece, Italy</w:t>
      </w:r>
      <w:r w:rsidR="00BF4A19" w:rsidRPr="006A17D1">
        <w:t>.</w:t>
      </w:r>
    </w:p>
  </w:footnote>
  <w:footnote w:id="67">
    <w:p w14:paraId="6275349D" w14:textId="2FE158BC" w:rsidR="00E15719" w:rsidRPr="006A17D1" w:rsidRDefault="00E15719">
      <w:pPr>
        <w:pStyle w:val="FootnoteText"/>
      </w:pPr>
      <w:r w:rsidRPr="006A17D1">
        <w:t>(</w:t>
      </w:r>
      <w:r w:rsidRPr="006A17D1">
        <w:rPr>
          <w:rStyle w:val="FootnoteReference"/>
        </w:rPr>
        <w:footnoteRef/>
      </w:r>
      <w:r w:rsidRPr="006A17D1">
        <w:t>)</w:t>
      </w:r>
      <w:r w:rsidRPr="006A17D1">
        <w:tab/>
        <w:t xml:space="preserve">For an overview of all measures reported and additional details on those in the table, see </w:t>
      </w:r>
      <w:r w:rsidR="00214074" w:rsidRPr="006A17D1">
        <w:t xml:space="preserve">the </w:t>
      </w:r>
      <w:r w:rsidRPr="006A17D1">
        <w:t>‘Measures adopted by Member States to protect the EU’s financial interests in 2024’, accompanying this report.</w:t>
      </w:r>
    </w:p>
  </w:footnote>
  <w:footnote w:id="68">
    <w:p w14:paraId="457061F2" w14:textId="2CCC2183" w:rsidR="00E15719" w:rsidRPr="006A17D1" w:rsidRDefault="00E15719">
      <w:pPr>
        <w:pStyle w:val="FootnoteText"/>
      </w:pPr>
      <w:r w:rsidRPr="006A17D1">
        <w:t>(</w:t>
      </w:r>
      <w:r w:rsidRPr="006A17D1">
        <w:rPr>
          <w:rStyle w:val="FootnoteReference"/>
        </w:rPr>
        <w:footnoteRef/>
      </w:r>
      <w:r w:rsidRPr="006A17D1">
        <w:t xml:space="preserve">) </w:t>
      </w:r>
      <w:r w:rsidRPr="006A17D1">
        <w:tab/>
        <w:t xml:space="preserve">Irregularities were reported by the Member States and non-EU countries in IMS in relation to expenditure and in OWNRES in relation to </w:t>
      </w:r>
      <w:r w:rsidR="00200D23" w:rsidRPr="006A17D1">
        <w:t>traditional own resources</w:t>
      </w:r>
      <w:r w:rsidRPr="006A17D1">
        <w:t>. Irregularities related to direct management are extracted from the Commission</w:t>
      </w:r>
      <w:r w:rsidR="00200D23" w:rsidRPr="006A17D1">
        <w:t>’s ABAC</w:t>
      </w:r>
      <w:r w:rsidRPr="006A17D1">
        <w:t xml:space="preserve"> accounting system.</w:t>
      </w:r>
    </w:p>
  </w:footnote>
  <w:footnote w:id="69">
    <w:p w14:paraId="036A64DF" w14:textId="344B992B" w:rsidR="00E15719" w:rsidRPr="006A17D1" w:rsidRDefault="00E15719">
      <w:pPr>
        <w:pStyle w:val="FootnoteText"/>
      </w:pPr>
      <w:r w:rsidRPr="006A17D1">
        <w:t>(</w:t>
      </w:r>
      <w:r w:rsidRPr="006A17D1">
        <w:rPr>
          <w:rStyle w:val="FootnoteReference"/>
        </w:rPr>
        <w:footnoteRef/>
      </w:r>
      <w:r w:rsidRPr="006A17D1">
        <w:t>)</w:t>
      </w:r>
      <w:r w:rsidRPr="006A17D1">
        <w:tab/>
        <w:t xml:space="preserve">This increase is the result of the updates received during 2024 </w:t>
      </w:r>
      <w:r w:rsidR="00EC027B" w:rsidRPr="006A17D1">
        <w:t>on</w:t>
      </w:r>
      <w:r w:rsidRPr="006A17D1">
        <w:t xml:space="preserve"> irregularities reported in 2023. These updates are normal, as they indicate the progress made in </w:t>
      </w:r>
      <w:r w:rsidR="00EC027B" w:rsidRPr="006A17D1">
        <w:t xml:space="preserve">implementing </w:t>
      </w:r>
      <w:r w:rsidRPr="006A17D1">
        <w:t xml:space="preserve">corrective measures. In the </w:t>
      </w:r>
      <w:hyperlink r:id="rId11" w:anchor="subchapter4-1" w:history="1">
        <w:r w:rsidRPr="006A17D1">
          <w:rPr>
            <w:rStyle w:val="Hyperlink"/>
          </w:rPr>
          <w:t>2023 PIF report</w:t>
        </w:r>
      </w:hyperlink>
      <w:r w:rsidRPr="006A17D1">
        <w:t xml:space="preserve"> the financial value of the irregularities reported in 2023 amounted to EUR 1.90 billion, indicating a stable situation compared to 2024. All variations indicated in this paragraph are calculated </w:t>
      </w:r>
      <w:r w:rsidR="00C019E8" w:rsidRPr="006A17D1">
        <w:t>based on</w:t>
      </w:r>
      <w:r w:rsidRPr="006A17D1">
        <w:t xml:space="preserve"> the updated values for all relevant years.</w:t>
      </w:r>
    </w:p>
  </w:footnote>
  <w:footnote w:id="70">
    <w:p w14:paraId="23AC7E54" w14:textId="5AAD3F39" w:rsidR="00E15719" w:rsidRPr="006A17D1" w:rsidRDefault="00E15719">
      <w:pPr>
        <w:pStyle w:val="FootnoteText"/>
      </w:pPr>
      <w:r w:rsidRPr="006A17D1">
        <w:t>(</w:t>
      </w:r>
      <w:r w:rsidRPr="006A17D1">
        <w:rPr>
          <w:rStyle w:val="FootnoteReference"/>
        </w:rPr>
        <w:footnoteRef/>
      </w:r>
      <w:r w:rsidRPr="006A17D1">
        <w:t>)</w:t>
      </w:r>
      <w:r w:rsidRPr="006A17D1">
        <w:tab/>
      </w:r>
      <w:r w:rsidR="00EC027B" w:rsidRPr="006A17D1">
        <w:t>For</w:t>
      </w:r>
      <w:r w:rsidRPr="006A17D1">
        <w:t xml:space="preserve"> financial amounts linked to fraudulent irregularities</w:t>
      </w:r>
      <w:r w:rsidR="00EC027B" w:rsidRPr="006A17D1">
        <w:t>,</w:t>
      </w:r>
      <w:r w:rsidRPr="006A17D1">
        <w:t xml:space="preserve"> the updates </w:t>
      </w:r>
      <w:r w:rsidR="00EC027B" w:rsidRPr="006A17D1">
        <w:t xml:space="preserve">that </w:t>
      </w:r>
      <w:r w:rsidRPr="006A17D1">
        <w:t xml:space="preserve">occurred in 2024 in relation to older data </w:t>
      </w:r>
      <w:r w:rsidR="00EC027B" w:rsidRPr="006A17D1">
        <w:t xml:space="preserve">had </w:t>
      </w:r>
      <w:r w:rsidRPr="006A17D1">
        <w:t xml:space="preserve">an even higher impact. If the value published in the </w:t>
      </w:r>
      <w:hyperlink r:id="rId12" w:anchor="subchapter4-1" w:history="1">
        <w:r w:rsidRPr="006A17D1">
          <w:rPr>
            <w:rStyle w:val="Hyperlink"/>
          </w:rPr>
          <w:t>2023 PIF report</w:t>
        </w:r>
      </w:hyperlink>
      <w:r w:rsidRPr="006A17D1">
        <w:t xml:space="preserve"> (EUR 585.8 million) </w:t>
      </w:r>
      <w:r w:rsidR="00EC027B" w:rsidRPr="006A17D1">
        <w:t xml:space="preserve">had been used, the </w:t>
      </w:r>
      <w:r w:rsidRPr="006A17D1">
        <w:t xml:space="preserve">financial amounts </w:t>
      </w:r>
      <w:r w:rsidR="00EC027B" w:rsidRPr="006A17D1">
        <w:t xml:space="preserve">related to cases </w:t>
      </w:r>
      <w:r w:rsidRPr="006A17D1">
        <w:t>reported in 2024 would have decreased by 6.6% in comparison with 2023.</w:t>
      </w:r>
    </w:p>
  </w:footnote>
  <w:footnote w:id="71">
    <w:p w14:paraId="2B7722A6" w14:textId="1F744090" w:rsidR="00E15719" w:rsidRPr="006A17D1" w:rsidRDefault="00E15719">
      <w:pPr>
        <w:pStyle w:val="FootnoteText"/>
      </w:pPr>
      <w:r w:rsidRPr="006A17D1">
        <w:t>(</w:t>
      </w:r>
      <w:r w:rsidRPr="006A17D1">
        <w:rPr>
          <w:rStyle w:val="FootnoteReference"/>
        </w:rPr>
        <w:footnoteRef/>
      </w:r>
      <w:r w:rsidRPr="006A17D1">
        <w:t>)</w:t>
      </w:r>
      <w:r w:rsidRPr="006A17D1">
        <w:tab/>
        <w:t xml:space="preserve">No significant </w:t>
      </w:r>
      <w:r w:rsidR="00EC027B" w:rsidRPr="006A17D1">
        <w:t xml:space="preserve">variation </w:t>
      </w:r>
      <w:r w:rsidRPr="006A17D1">
        <w:t xml:space="preserve">was visible in relation to the financial amounts linked to non-fraudulent irregularities as published in the </w:t>
      </w:r>
      <w:hyperlink r:id="rId13" w:anchor="subchapter4-1" w:history="1">
        <w:r w:rsidRPr="006A17D1">
          <w:rPr>
            <w:rStyle w:val="Hyperlink"/>
          </w:rPr>
          <w:t>2023 PIF report</w:t>
        </w:r>
      </w:hyperlink>
      <w:r w:rsidRPr="006A17D1">
        <w:t>.</w:t>
      </w:r>
    </w:p>
  </w:footnote>
  <w:footnote w:id="72">
    <w:p w14:paraId="147914BF" w14:textId="0966BBE5" w:rsidR="00E15719" w:rsidRPr="006A17D1" w:rsidRDefault="00E15719">
      <w:pPr>
        <w:pStyle w:val="FootnoteText"/>
      </w:pPr>
      <w:r w:rsidRPr="006A17D1">
        <w:rPr>
          <w:sz w:val="18"/>
        </w:rPr>
        <w:t>(</w:t>
      </w:r>
      <w:r w:rsidRPr="006A17D1">
        <w:rPr>
          <w:rStyle w:val="FootnoteReference"/>
          <w:sz w:val="18"/>
        </w:rPr>
        <w:footnoteRef/>
      </w:r>
      <w:r w:rsidRPr="006A17D1">
        <w:rPr>
          <w:sz w:val="18"/>
        </w:rPr>
        <w:t>)</w:t>
      </w:r>
      <w:r w:rsidRPr="006A17D1">
        <w:rPr>
          <w:sz w:val="18"/>
        </w:rPr>
        <w:tab/>
      </w:r>
      <w:r w:rsidRPr="006A17D1">
        <w:t xml:space="preserve">The data reported in this section are included in the </w:t>
      </w:r>
      <w:hyperlink r:id="rId14" w:history="1">
        <w:r w:rsidRPr="006A17D1">
          <w:rPr>
            <w:rStyle w:val="Hyperlink"/>
          </w:rPr>
          <w:t>OLAF</w:t>
        </w:r>
        <w:r w:rsidR="00EC027B" w:rsidRPr="006A17D1">
          <w:rPr>
            <w:rStyle w:val="Hyperlink"/>
          </w:rPr>
          <w:t>’s 2024</w:t>
        </w:r>
        <w:r w:rsidRPr="006A17D1">
          <w:rPr>
            <w:rStyle w:val="Hyperlink"/>
          </w:rPr>
          <w:t xml:space="preserve"> Annual Report</w:t>
        </w:r>
      </w:hyperlink>
      <w:r w:rsidRPr="006A17D1">
        <w:t>.</w:t>
      </w:r>
    </w:p>
  </w:footnote>
  <w:footnote w:id="73">
    <w:p w14:paraId="041DA015" w14:textId="33AA82E2" w:rsidR="00E15719" w:rsidRPr="006A17D1" w:rsidRDefault="00E15719">
      <w:pPr>
        <w:pStyle w:val="FootnoteText"/>
      </w:pPr>
      <w:r w:rsidRPr="006A17D1">
        <w:rPr>
          <w:sz w:val="18"/>
        </w:rPr>
        <w:t>(</w:t>
      </w:r>
      <w:r w:rsidRPr="006A17D1">
        <w:rPr>
          <w:rStyle w:val="FootnoteReference"/>
          <w:sz w:val="18"/>
        </w:rPr>
        <w:footnoteRef/>
      </w:r>
      <w:r w:rsidRPr="006A17D1">
        <w:rPr>
          <w:sz w:val="18"/>
        </w:rPr>
        <w:t>)</w:t>
      </w:r>
      <w:r w:rsidRPr="006A17D1">
        <w:rPr>
          <w:sz w:val="18"/>
        </w:rPr>
        <w:tab/>
      </w:r>
      <w:r w:rsidRPr="006A17D1">
        <w:t>The sum of the investigations opened per budgetary area is higher than the total number of investigations opened in 2024 (</w:t>
      </w:r>
      <w:r w:rsidR="00456FD0" w:rsidRPr="006A17D1">
        <w:t>230</w:t>
      </w:r>
      <w:r w:rsidRPr="006A17D1">
        <w:t>)</w:t>
      </w:r>
      <w:r w:rsidR="000E544E" w:rsidRPr="006A17D1">
        <w:t>. This is because</w:t>
      </w:r>
      <w:r w:rsidRPr="006A17D1">
        <w:t xml:space="preserve"> an investigation can cover more than one sector.</w:t>
      </w:r>
    </w:p>
  </w:footnote>
  <w:footnote w:id="74">
    <w:p w14:paraId="7F92FE0C" w14:textId="77777777" w:rsidR="00E15719" w:rsidRPr="006A17D1" w:rsidRDefault="00E15719" w:rsidP="006027D7">
      <w:pPr>
        <w:pStyle w:val="FootnoteText"/>
      </w:pPr>
      <w:r w:rsidRPr="006A17D1">
        <w:t>(</w:t>
      </w:r>
      <w:r w:rsidRPr="006A17D1">
        <w:rPr>
          <w:rStyle w:val="FootnoteReference"/>
          <w:sz w:val="18"/>
        </w:rPr>
        <w:footnoteRef/>
      </w:r>
      <w:r w:rsidRPr="006A17D1">
        <w:t xml:space="preserve">) </w:t>
      </w:r>
      <w:r w:rsidRPr="006A17D1">
        <w:tab/>
        <w:t xml:space="preserve">The data reported in this section are included in the </w:t>
      </w:r>
      <w:hyperlink r:id="rId15" w:history="1">
        <w:r w:rsidRPr="006A17D1">
          <w:rPr>
            <w:rStyle w:val="Hyperlink"/>
          </w:rPr>
          <w:t>EPPO Annual Report 2024</w:t>
        </w:r>
      </w:hyperlink>
      <w:r w:rsidRPr="006A17D1">
        <w:t>.</w:t>
      </w:r>
    </w:p>
  </w:footnote>
  <w:footnote w:id="75">
    <w:p w14:paraId="452909F2" w14:textId="77777777" w:rsidR="00E15719" w:rsidRPr="006A17D1" w:rsidRDefault="00E15719">
      <w:pPr>
        <w:pStyle w:val="FootnoteText"/>
      </w:pPr>
      <w:r w:rsidRPr="006A17D1">
        <w:t>(</w:t>
      </w:r>
      <w:r w:rsidRPr="006A17D1">
        <w:rPr>
          <w:rStyle w:val="FootnoteReference"/>
        </w:rPr>
        <w:footnoteRef/>
      </w:r>
      <w:r w:rsidRPr="006A17D1">
        <w:t>)</w:t>
      </w:r>
      <w:r w:rsidRPr="006A17D1">
        <w:tab/>
        <w:t>Data provided by the EPPO.</w:t>
      </w:r>
    </w:p>
  </w:footnote>
  <w:footnote w:id="76">
    <w:p w14:paraId="526F5EDB" w14:textId="7F1C3936" w:rsidR="00E15719" w:rsidRPr="006A17D1" w:rsidRDefault="00E15719">
      <w:pPr>
        <w:pStyle w:val="FootnoteText"/>
      </w:pPr>
      <w:r w:rsidRPr="006A17D1">
        <w:t>(</w:t>
      </w:r>
      <w:r w:rsidRPr="006A17D1">
        <w:rPr>
          <w:rStyle w:val="FootnoteReference"/>
        </w:rPr>
        <w:footnoteRef/>
      </w:r>
      <w:r w:rsidRPr="006A17D1">
        <w:t>)</w:t>
      </w:r>
      <w:r w:rsidRPr="006A17D1">
        <w:tab/>
        <w:t xml:space="preserve">Each case can lead to the investigation of more than one offence. See page 13 of the </w:t>
      </w:r>
      <w:hyperlink r:id="rId16" w:history="1">
        <w:r w:rsidRPr="006A17D1">
          <w:rPr>
            <w:rStyle w:val="Hyperlink"/>
          </w:rPr>
          <w:t>EPPO annual report 2024</w:t>
        </w:r>
      </w:hyperlink>
      <w:r w:rsidRPr="006A17D1">
        <w:t>.</w:t>
      </w:r>
    </w:p>
  </w:footnote>
  <w:footnote w:id="77">
    <w:p w14:paraId="1596DE83" w14:textId="77777777" w:rsidR="00E15719" w:rsidRPr="006A17D1" w:rsidRDefault="00E15719">
      <w:pPr>
        <w:pStyle w:val="FootnoteText"/>
      </w:pPr>
      <w:r w:rsidRPr="006A17D1">
        <w:t>(</w:t>
      </w:r>
      <w:r w:rsidRPr="006A17D1">
        <w:rPr>
          <w:rStyle w:val="FootnoteReference"/>
        </w:rPr>
        <w:footnoteRef/>
      </w:r>
      <w:r w:rsidRPr="006A17D1">
        <w:t>)</w:t>
      </w:r>
      <w:r w:rsidRPr="006A17D1">
        <w:tab/>
        <w:t>Commission’s calculations on data provided by the EPPO.</w:t>
      </w:r>
    </w:p>
  </w:footnote>
  <w:footnote w:id="78">
    <w:p w14:paraId="57E31118" w14:textId="54054FCC" w:rsidR="00E15719" w:rsidRPr="006A17D1" w:rsidRDefault="00E15719">
      <w:pPr>
        <w:pStyle w:val="FootnoteText"/>
      </w:pPr>
      <w:r w:rsidRPr="006A17D1">
        <w:t>(</w:t>
      </w:r>
      <w:r w:rsidRPr="006A17D1">
        <w:rPr>
          <w:rStyle w:val="FootnoteReference"/>
        </w:rPr>
        <w:footnoteRef/>
      </w:r>
      <w:r w:rsidRPr="006A17D1">
        <w:t>)</w:t>
      </w:r>
      <w:r w:rsidRPr="006A17D1">
        <w:tab/>
      </w:r>
      <w:r w:rsidR="000E544E" w:rsidRPr="006A17D1">
        <w:t>European Commission</w:t>
      </w:r>
      <w:r w:rsidRPr="006A17D1">
        <w:t xml:space="preserve">, </w:t>
      </w:r>
      <w:hyperlink r:id="rId17" w:history="1">
        <w:r w:rsidRPr="006A17D1">
          <w:rPr>
            <w:rStyle w:val="Hyperlink"/>
            <w:i/>
          </w:rPr>
          <w:t>VAT gap in the EU – 2024 report</w:t>
        </w:r>
      </w:hyperlink>
      <w:r w:rsidRPr="006A17D1">
        <w:t>.</w:t>
      </w:r>
    </w:p>
  </w:footnote>
  <w:footnote w:id="79">
    <w:p w14:paraId="3D13A6D4" w14:textId="77777777" w:rsidR="00E15719" w:rsidRPr="006A17D1" w:rsidRDefault="00E15719" w:rsidP="00DF7FEA">
      <w:pPr>
        <w:pStyle w:val="FootnoteText"/>
      </w:pPr>
      <w:r w:rsidRPr="006A17D1">
        <w:rPr>
          <w:sz w:val="18"/>
        </w:rPr>
        <w:t>(</w:t>
      </w:r>
      <w:r w:rsidRPr="006A17D1">
        <w:rPr>
          <w:rStyle w:val="FootnoteReference"/>
          <w:sz w:val="18"/>
        </w:rPr>
        <w:footnoteRef/>
      </w:r>
      <w:r w:rsidRPr="006A17D1">
        <w:rPr>
          <w:sz w:val="18"/>
        </w:rPr>
        <w:t xml:space="preserve">) </w:t>
      </w:r>
      <w:r w:rsidRPr="006A17D1">
        <w:rPr>
          <w:sz w:val="18"/>
        </w:rPr>
        <w:tab/>
      </w:r>
      <w:r w:rsidRPr="006A17D1">
        <w:t xml:space="preserve">For the period 2021-2027, a uniform call rate of 0.3% is being applied on each Member State’s </w:t>
      </w:r>
      <w:hyperlink r:id="rId18" w:history="1">
        <w:r w:rsidRPr="006A17D1">
          <w:rPr>
            <w:rStyle w:val="Hyperlink"/>
          </w:rPr>
          <w:t>VAT base</w:t>
        </w:r>
      </w:hyperlink>
      <w:r w:rsidRPr="006A17D1">
        <w:t>.</w:t>
      </w:r>
    </w:p>
  </w:footnote>
  <w:footnote w:id="80">
    <w:p w14:paraId="35F3D614" w14:textId="22F0C064" w:rsidR="00E15719" w:rsidRPr="006A17D1" w:rsidRDefault="00E15719">
      <w:pPr>
        <w:pStyle w:val="FootnoteText"/>
        <w:rPr>
          <w:sz w:val="22"/>
        </w:rPr>
      </w:pPr>
      <w:r w:rsidRPr="006A17D1">
        <w:t>(</w:t>
      </w:r>
      <w:r w:rsidRPr="006A17D1">
        <w:rPr>
          <w:rStyle w:val="FootnoteReference"/>
          <w:sz w:val="18"/>
        </w:rPr>
        <w:footnoteRef/>
      </w:r>
      <w:r w:rsidRPr="006A17D1">
        <w:t xml:space="preserve">) </w:t>
      </w:r>
      <w:r w:rsidRPr="006A17D1">
        <w:tab/>
        <w:t xml:space="preserve">For a detailed analysis of irregularities reported by the Member States in relation to TOR, see </w:t>
      </w:r>
      <w:r w:rsidR="00371C1C" w:rsidRPr="006A17D1">
        <w:t xml:space="preserve">the </w:t>
      </w:r>
      <w:r w:rsidRPr="006A17D1">
        <w:t>‘Statistical evaluation of irregularities reported for own resources, natural resources, cohesion policy, pre-accession assistance and direct expenditure in 2024’ accompanying this report, Section 2.</w:t>
      </w:r>
    </w:p>
  </w:footnote>
  <w:footnote w:id="81">
    <w:p w14:paraId="6668868B" w14:textId="77777777" w:rsidR="00E15719" w:rsidRPr="006A17D1" w:rsidRDefault="00E15719">
      <w:pPr>
        <w:pStyle w:val="FootnoteText"/>
      </w:pPr>
      <w:r w:rsidRPr="006A17D1">
        <w:t>(</w:t>
      </w:r>
      <w:r w:rsidRPr="006A17D1">
        <w:rPr>
          <w:rStyle w:val="FootnoteReference"/>
        </w:rPr>
        <w:footnoteRef/>
      </w:r>
      <w:r w:rsidRPr="006A17D1">
        <w:t>)</w:t>
      </w:r>
      <w:r w:rsidRPr="006A17D1">
        <w:tab/>
        <w:t>Belgium, Bulgaria, Estonia, Greece, France, Croatia, Lithuania, Poland and Romania.</w:t>
      </w:r>
    </w:p>
  </w:footnote>
  <w:footnote w:id="82">
    <w:p w14:paraId="52FE7510" w14:textId="77777777" w:rsidR="00E15719" w:rsidRPr="006A17D1" w:rsidRDefault="00E15719">
      <w:pPr>
        <w:pStyle w:val="FootnoteText"/>
      </w:pPr>
      <w:r w:rsidRPr="006A17D1">
        <w:t>(</w:t>
      </w:r>
      <w:r w:rsidRPr="006A17D1">
        <w:rPr>
          <w:rStyle w:val="FootnoteReference"/>
        </w:rPr>
        <w:footnoteRef/>
      </w:r>
      <w:r w:rsidRPr="006A17D1">
        <w:t>)</w:t>
      </w:r>
      <w:r w:rsidRPr="006A17D1">
        <w:tab/>
        <w:t>Slovenia and Sweden.</w:t>
      </w:r>
    </w:p>
  </w:footnote>
  <w:footnote w:id="83">
    <w:p w14:paraId="06DDB63E" w14:textId="2F6BD9AA" w:rsidR="00E15719" w:rsidRPr="006A17D1" w:rsidRDefault="00E15719">
      <w:pPr>
        <w:pStyle w:val="FootnoteText"/>
      </w:pPr>
      <w:r w:rsidRPr="006A17D1">
        <w:rPr>
          <w:sz w:val="18"/>
        </w:rPr>
        <w:t>(</w:t>
      </w:r>
      <w:r w:rsidRPr="006A17D1">
        <w:rPr>
          <w:rStyle w:val="FootnoteReference"/>
          <w:sz w:val="18"/>
        </w:rPr>
        <w:footnoteRef/>
      </w:r>
      <w:r w:rsidRPr="006A17D1">
        <w:rPr>
          <w:sz w:val="18"/>
        </w:rPr>
        <w:t xml:space="preserve">) </w:t>
      </w:r>
      <w:r w:rsidRPr="006A17D1">
        <w:rPr>
          <w:sz w:val="18"/>
        </w:rPr>
        <w:tab/>
      </w:r>
      <w:r w:rsidRPr="006A17D1">
        <w:t>See OLAF</w:t>
      </w:r>
      <w:r w:rsidR="00371C1C" w:rsidRPr="006A17D1">
        <w:t>’s</w:t>
      </w:r>
      <w:r w:rsidRPr="006A17D1">
        <w:t xml:space="preserve"> </w:t>
      </w:r>
      <w:hyperlink r:id="rId19" w:history="1">
        <w:r w:rsidR="00371C1C" w:rsidRPr="006A17D1">
          <w:rPr>
            <w:rStyle w:val="Hyperlink"/>
          </w:rPr>
          <w:t xml:space="preserve">2024 </w:t>
        </w:r>
        <w:r w:rsidRPr="006A17D1">
          <w:rPr>
            <w:rStyle w:val="Hyperlink"/>
          </w:rPr>
          <w:t>Annual Report</w:t>
        </w:r>
      </w:hyperlink>
      <w:r w:rsidRPr="006A17D1">
        <w:t xml:space="preserve">. </w:t>
      </w:r>
    </w:p>
  </w:footnote>
  <w:footnote w:id="84">
    <w:p w14:paraId="02A50A52" w14:textId="77777777" w:rsidR="00E15719" w:rsidRPr="006A17D1" w:rsidRDefault="00E15719">
      <w:pPr>
        <w:pStyle w:val="FootnoteText"/>
      </w:pPr>
      <w:r w:rsidRPr="006A17D1">
        <w:t>(</w:t>
      </w:r>
      <w:r w:rsidRPr="006A17D1">
        <w:rPr>
          <w:rStyle w:val="FootnoteReference"/>
        </w:rPr>
        <w:footnoteRef/>
      </w:r>
      <w:r w:rsidRPr="006A17D1">
        <w:t>)</w:t>
      </w:r>
      <w:r w:rsidRPr="006A17D1">
        <w:tab/>
        <w:t>Commission’s calculations on data provided by the EPPO.</w:t>
      </w:r>
    </w:p>
  </w:footnote>
  <w:footnote w:id="85">
    <w:p w14:paraId="10899C32" w14:textId="77777777" w:rsidR="00E15719" w:rsidRPr="006A17D1" w:rsidRDefault="00E15719">
      <w:pPr>
        <w:pStyle w:val="FootnoteText"/>
      </w:pPr>
      <w:r w:rsidRPr="006A17D1">
        <w:t>(</w:t>
      </w:r>
      <w:r w:rsidRPr="006A17D1">
        <w:rPr>
          <w:rStyle w:val="FootnoteReference"/>
        </w:rPr>
        <w:footnoteRef/>
      </w:r>
      <w:r w:rsidRPr="006A17D1">
        <w:t>)</w:t>
      </w:r>
      <w:r w:rsidRPr="006A17D1">
        <w:tab/>
        <w:t>Corrective measures are financial corrections and recoveries. Preventive measures are interruptions and suspensions of payments.</w:t>
      </w:r>
    </w:p>
  </w:footnote>
  <w:footnote w:id="86">
    <w:p w14:paraId="0A39EAAF" w14:textId="6A289B06" w:rsidR="00E15719" w:rsidRPr="006A17D1" w:rsidRDefault="00E15719">
      <w:pPr>
        <w:pStyle w:val="FootnoteText"/>
      </w:pPr>
      <w:r w:rsidRPr="006A17D1">
        <w:t>(</w:t>
      </w:r>
      <w:r w:rsidRPr="006A17D1">
        <w:rPr>
          <w:rStyle w:val="FootnoteReference"/>
        </w:rPr>
        <w:footnoteRef/>
      </w:r>
      <w:r w:rsidRPr="006A17D1">
        <w:t>)</w:t>
      </w:r>
      <w:r w:rsidRPr="006A17D1">
        <w:tab/>
        <w:t xml:space="preserve">These corrective and preventive measures </w:t>
      </w:r>
      <w:r w:rsidR="004F3C9E" w:rsidRPr="006A17D1">
        <w:t xml:space="preserve">were </w:t>
      </w:r>
      <w:r w:rsidRPr="006A17D1">
        <w:t xml:space="preserve">implemented in </w:t>
      </w:r>
      <w:r w:rsidR="00BF4A19" w:rsidRPr="006A17D1">
        <w:t>2024 but</w:t>
      </w:r>
      <w:r w:rsidRPr="006A17D1">
        <w:t xml:space="preserve"> may refer to expenditure </w:t>
      </w:r>
      <w:r w:rsidR="004F3C9E" w:rsidRPr="006A17D1">
        <w:t xml:space="preserve">that </w:t>
      </w:r>
      <w:r w:rsidRPr="006A17D1">
        <w:t xml:space="preserve">occurred in previous years. </w:t>
      </w:r>
    </w:p>
  </w:footnote>
  <w:footnote w:id="87">
    <w:p w14:paraId="6AECEEBF" w14:textId="0B593F6F" w:rsidR="00E15719" w:rsidRPr="006A17D1" w:rsidRDefault="00E15719">
      <w:pPr>
        <w:pStyle w:val="FootnoteText"/>
      </w:pPr>
      <w:r w:rsidRPr="006A17D1">
        <w:t>(</w:t>
      </w:r>
      <w:r w:rsidRPr="006A17D1">
        <w:rPr>
          <w:rStyle w:val="FootnoteReference"/>
        </w:rPr>
        <w:footnoteRef/>
      </w:r>
      <w:r w:rsidRPr="006A17D1">
        <w:t>)</w:t>
      </w:r>
      <w:r w:rsidRPr="006A17D1">
        <w:tab/>
        <w:t xml:space="preserve">See Vol. III, Annex 5, Section 5.4, Table G, of the Commission’s </w:t>
      </w:r>
      <w:r w:rsidR="004F3C9E" w:rsidRPr="006A17D1">
        <w:t xml:space="preserve">annual management </w:t>
      </w:r>
      <w:r w:rsidRPr="006A17D1">
        <w:t xml:space="preserve">and </w:t>
      </w:r>
      <w:r w:rsidR="004F3C9E" w:rsidRPr="006A17D1">
        <w:t xml:space="preserve">performance report </w:t>
      </w:r>
      <w:r w:rsidRPr="006A17D1">
        <w:t>2024.</w:t>
      </w:r>
    </w:p>
  </w:footnote>
  <w:footnote w:id="88">
    <w:p w14:paraId="1E9017EA" w14:textId="0C9B84E6" w:rsidR="00E15719" w:rsidRPr="006A17D1" w:rsidRDefault="00E15719">
      <w:pPr>
        <w:pStyle w:val="FootnoteText"/>
        <w:rPr>
          <w:sz w:val="22"/>
        </w:rPr>
      </w:pPr>
      <w:r w:rsidRPr="006A17D1">
        <w:rPr>
          <w:sz w:val="18"/>
        </w:rPr>
        <w:t>(</w:t>
      </w:r>
      <w:r w:rsidRPr="006A17D1">
        <w:rPr>
          <w:rStyle w:val="FootnoteReference"/>
          <w:sz w:val="18"/>
        </w:rPr>
        <w:footnoteRef/>
      </w:r>
      <w:r w:rsidRPr="006A17D1">
        <w:rPr>
          <w:sz w:val="18"/>
        </w:rPr>
        <w:t xml:space="preserve">) </w:t>
      </w:r>
      <w:r w:rsidRPr="006A17D1">
        <w:rPr>
          <w:sz w:val="18"/>
        </w:rPr>
        <w:tab/>
      </w:r>
      <w:r w:rsidRPr="006A17D1">
        <w:t xml:space="preserve">For a detailed analysis of irregularities reported by the Member States in relation to agriculture, see </w:t>
      </w:r>
      <w:r w:rsidR="004F3C9E" w:rsidRPr="006A17D1">
        <w:t xml:space="preserve">the </w:t>
      </w:r>
      <w:r w:rsidRPr="006A17D1">
        <w:t>‘Statistical evaluation of irregularities reported for own resources, natural resources, cohesion policy, pre-accession assistance and direct expenditure in 2024’ accompanying this report, Section 3.</w:t>
      </w:r>
    </w:p>
  </w:footnote>
  <w:footnote w:id="89">
    <w:p w14:paraId="1E1B8DC9" w14:textId="77777777" w:rsidR="00E15719" w:rsidRPr="006A17D1" w:rsidRDefault="00E15719">
      <w:pPr>
        <w:pStyle w:val="FootnoteText"/>
        <w:rPr>
          <w:sz w:val="18"/>
        </w:rPr>
      </w:pPr>
      <w:r w:rsidRPr="006A17D1">
        <w:t>(</w:t>
      </w:r>
      <w:r w:rsidRPr="006A17D1">
        <w:rPr>
          <w:rStyle w:val="FootnoteReference"/>
          <w:sz w:val="18"/>
        </w:rPr>
        <w:footnoteRef/>
      </w:r>
      <w:r w:rsidRPr="006A17D1">
        <w:t xml:space="preserve">) </w:t>
      </w:r>
      <w:r w:rsidRPr="006A17D1">
        <w:tab/>
        <w:t>For a detailed analysis of irregularities reported by the Member States in relation to cohesion policy, see ‘Statistical evaluation of irregularities reported for own resources, natural resources, cohesion policy, pre-accession assistance and direct expenditure in 2024’ accompanying this report, Section 4.</w:t>
      </w:r>
    </w:p>
  </w:footnote>
  <w:footnote w:id="90">
    <w:p w14:paraId="3C774825" w14:textId="18D1DF8B" w:rsidR="00975845" w:rsidRPr="006A17D1" w:rsidRDefault="00975845">
      <w:pPr>
        <w:pStyle w:val="FootnoteText"/>
      </w:pPr>
      <w:r w:rsidRPr="006A17D1">
        <w:t>(</w:t>
      </w:r>
      <w:r w:rsidRPr="006A17D1">
        <w:rPr>
          <w:rStyle w:val="FootnoteReference"/>
        </w:rPr>
        <w:footnoteRef/>
      </w:r>
      <w:r w:rsidRPr="006A17D1">
        <w:t>)</w:t>
      </w:r>
      <w:r w:rsidRPr="006A17D1">
        <w:tab/>
        <w:t>This means that there is fraud (or a suspicion of fraud), but this concerns just part of the operation/project, while the remaining part is considered legal and regular and funding is confirmed.</w:t>
      </w:r>
    </w:p>
  </w:footnote>
  <w:footnote w:id="91">
    <w:p w14:paraId="221B299E" w14:textId="77777777" w:rsidR="00E15719" w:rsidRPr="006A17D1" w:rsidRDefault="00E15719">
      <w:pPr>
        <w:pStyle w:val="FootnoteText"/>
      </w:pPr>
      <w:r w:rsidRPr="006A17D1">
        <w:t>(</w:t>
      </w:r>
      <w:r w:rsidRPr="006A17D1">
        <w:rPr>
          <w:rStyle w:val="FootnoteReference"/>
          <w:sz w:val="18"/>
        </w:rPr>
        <w:footnoteRef/>
      </w:r>
      <w:r w:rsidRPr="006A17D1">
        <w:t xml:space="preserve">) </w:t>
      </w:r>
      <w:r w:rsidRPr="006A17D1">
        <w:tab/>
        <w:t xml:space="preserve">In the framework of the ‘structured dialogue’ mentioned in </w:t>
      </w:r>
      <w:hyperlink w:anchor="_Improving_the_reporting" w:history="1">
        <w:r w:rsidRPr="006A17D1">
          <w:rPr>
            <w:rStyle w:val="Hyperlink"/>
          </w:rPr>
          <w:t>Section 2.3.4</w:t>
        </w:r>
      </w:hyperlink>
      <w:r w:rsidRPr="006A17D1">
        <w:t xml:space="preserve"> a backlog of about one thousand irregularities has been identified in relation to Spain. Half of it has been absorbed by the end April 2025 and the second part is expected to be redressed by the end of the year.</w:t>
      </w:r>
    </w:p>
  </w:footnote>
  <w:footnote w:id="92">
    <w:p w14:paraId="071864D3" w14:textId="77777777" w:rsidR="00E15719" w:rsidRPr="006A17D1" w:rsidRDefault="00E15719" w:rsidP="008C64D5">
      <w:pPr>
        <w:pStyle w:val="FootnoteText"/>
      </w:pPr>
      <w:r w:rsidRPr="006A17D1">
        <w:t>(</w:t>
      </w:r>
      <w:r w:rsidRPr="006A17D1">
        <w:rPr>
          <w:rStyle w:val="FootnoteReference"/>
          <w:sz w:val="18"/>
        </w:rPr>
        <w:footnoteRef/>
      </w:r>
      <w:r w:rsidRPr="006A17D1">
        <w:t xml:space="preserve">) </w:t>
      </w:r>
      <w:r w:rsidRPr="006A17D1">
        <w:tab/>
        <w:t xml:space="preserve">See also </w:t>
      </w:r>
      <w:hyperlink w:anchor="_Organised_crime,_corruption" w:history="1">
        <w:r w:rsidRPr="006A17D1">
          <w:rPr>
            <w:rStyle w:val="Hyperlink"/>
          </w:rPr>
          <w:t>Section 4.4</w:t>
        </w:r>
      </w:hyperlink>
      <w:r w:rsidRPr="006A17D1">
        <w:t>.</w:t>
      </w:r>
    </w:p>
  </w:footnote>
  <w:footnote w:id="93">
    <w:p w14:paraId="4DE09EA2" w14:textId="034DF12B" w:rsidR="00E15719" w:rsidRPr="006A17D1" w:rsidRDefault="00E15719">
      <w:pPr>
        <w:pStyle w:val="FootnoteText"/>
      </w:pPr>
      <w:r w:rsidRPr="006A17D1">
        <w:t>(</w:t>
      </w:r>
      <w:r w:rsidRPr="006A17D1">
        <w:rPr>
          <w:rStyle w:val="FootnoteReference"/>
          <w:sz w:val="18"/>
        </w:rPr>
        <w:footnoteRef/>
      </w:r>
      <w:r w:rsidRPr="006A17D1">
        <w:t xml:space="preserve">) </w:t>
      </w:r>
      <w:r w:rsidRPr="006A17D1">
        <w:tab/>
      </w:r>
      <w:r w:rsidR="004145AB" w:rsidRPr="006A17D1">
        <w:t xml:space="preserve">The fraud detection rate is calculated as the percentage of financial irregular amounts linked to fraudulent irregularities on the total payments. </w:t>
      </w:r>
    </w:p>
  </w:footnote>
  <w:footnote w:id="94">
    <w:p w14:paraId="3D329E98" w14:textId="19F75BFC" w:rsidR="00E15719" w:rsidRPr="006A17D1" w:rsidRDefault="00E15719">
      <w:pPr>
        <w:pStyle w:val="FootnoteText"/>
      </w:pPr>
      <w:r w:rsidRPr="006A17D1">
        <w:t>(</w:t>
      </w:r>
      <w:r w:rsidRPr="006A17D1">
        <w:rPr>
          <w:rStyle w:val="FootnoteReference"/>
          <w:sz w:val="18"/>
        </w:rPr>
        <w:footnoteRef/>
      </w:r>
      <w:r w:rsidRPr="006A17D1">
        <w:t xml:space="preserve">) </w:t>
      </w:r>
      <w:r w:rsidRPr="006A17D1">
        <w:tab/>
      </w:r>
      <w:r w:rsidR="004145AB" w:rsidRPr="006A17D1">
        <w:t>The irregularity detection rate is calculated as the percentage of financial irregular amounts linked to non-fraudulent irregularities on the total payments.</w:t>
      </w:r>
    </w:p>
  </w:footnote>
  <w:footnote w:id="95">
    <w:p w14:paraId="59FAFCB7" w14:textId="77777777" w:rsidR="00E15719" w:rsidRPr="006A17D1" w:rsidRDefault="00E15719">
      <w:pPr>
        <w:pStyle w:val="FootnoteText"/>
      </w:pPr>
      <w:r w:rsidRPr="006A17D1">
        <w:t>(</w:t>
      </w:r>
      <w:r w:rsidRPr="006A17D1">
        <w:rPr>
          <w:rStyle w:val="FootnoteReference"/>
          <w:sz w:val="18"/>
        </w:rPr>
        <w:footnoteRef/>
      </w:r>
      <w:r w:rsidRPr="006A17D1">
        <w:t xml:space="preserve">) </w:t>
      </w:r>
      <w:r w:rsidRPr="006A17D1">
        <w:tab/>
        <w:t>For a detailed analysis of irregularities reported by the Member States in relation to pre-accession and direct management, see ‘Statistical evaluation of irregularities reported for own resources, natural resources, cohesion policy, pre-accession assistance and direct expenditure in 2024’ accompanying this report, Sections 5 and 6.</w:t>
      </w:r>
    </w:p>
  </w:footnote>
  <w:footnote w:id="96">
    <w:p w14:paraId="0CBDEDF9" w14:textId="77777777" w:rsidR="00E15719" w:rsidRPr="006A17D1" w:rsidRDefault="00E15719">
      <w:pPr>
        <w:pStyle w:val="FootnoteText"/>
        <w:rPr>
          <w:sz w:val="22"/>
        </w:rPr>
      </w:pPr>
      <w:r w:rsidRPr="006A17D1">
        <w:t>(</w:t>
      </w:r>
      <w:r w:rsidRPr="006A17D1">
        <w:rPr>
          <w:rStyle w:val="FootnoteReference"/>
          <w:sz w:val="18"/>
        </w:rPr>
        <w:footnoteRef/>
      </w:r>
      <w:r w:rsidRPr="006A17D1">
        <w:t xml:space="preserve">) </w:t>
      </w:r>
      <w:r w:rsidRPr="006A17D1">
        <w:tab/>
        <w:t>Under the multiannual financial framework 2021-2027, the initiative is part of the European Structural and Investment Funds.</w:t>
      </w:r>
    </w:p>
  </w:footnote>
  <w:footnote w:id="97">
    <w:p w14:paraId="334ACA9C" w14:textId="3FF07CE4" w:rsidR="002875CF" w:rsidRPr="006A17D1" w:rsidRDefault="002875CF">
      <w:pPr>
        <w:pStyle w:val="FootnoteText"/>
      </w:pPr>
      <w:r w:rsidRPr="006A17D1">
        <w:t>(</w:t>
      </w:r>
      <w:r w:rsidRPr="006A17D1">
        <w:rPr>
          <w:rStyle w:val="FootnoteReference"/>
        </w:rPr>
        <w:footnoteRef/>
      </w:r>
      <w:r w:rsidRPr="006A17D1">
        <w:t>)</w:t>
      </w:r>
      <w:r w:rsidRPr="006A17D1">
        <w:tab/>
        <w:t>Belgium and Lithuania.</w:t>
      </w:r>
    </w:p>
  </w:footnote>
  <w:footnote w:id="98">
    <w:p w14:paraId="1A5903C9" w14:textId="3AD10F68" w:rsidR="00662FAB" w:rsidRPr="006A17D1" w:rsidRDefault="00600CD6" w:rsidP="00662FAB">
      <w:pPr>
        <w:pStyle w:val="FootnoteText"/>
      </w:pPr>
      <w:r w:rsidRPr="006A17D1">
        <w:t>(</w:t>
      </w:r>
      <w:r w:rsidR="00662FAB" w:rsidRPr="006A17D1">
        <w:rPr>
          <w:rStyle w:val="FootnoteReference"/>
        </w:rPr>
        <w:footnoteRef/>
      </w:r>
      <w:r w:rsidRPr="006A17D1">
        <w:t>)</w:t>
      </w:r>
      <w:r w:rsidR="00662FAB" w:rsidRPr="006A17D1">
        <w:t xml:space="preserve"> In particular, the Commission use</w:t>
      </w:r>
      <w:r w:rsidR="00215DC5" w:rsidRPr="006A17D1">
        <w:t>s</w:t>
      </w:r>
      <w:r w:rsidR="00662FAB" w:rsidRPr="006A17D1">
        <w:t xml:space="preserve"> comprehensive checklists on public procurement and State aid which were rolled out in April 2023 and approved in September 2023.</w:t>
      </w:r>
    </w:p>
  </w:footnote>
  <w:footnote w:id="99">
    <w:p w14:paraId="14C17383" w14:textId="521BCAD1" w:rsidR="00591763" w:rsidRPr="006A17D1" w:rsidRDefault="00591763">
      <w:pPr>
        <w:pStyle w:val="FootnoteText"/>
      </w:pPr>
      <w:r w:rsidRPr="006A17D1">
        <w:t>(</w:t>
      </w:r>
      <w:r w:rsidRPr="006A17D1">
        <w:rPr>
          <w:rStyle w:val="FootnoteReference"/>
        </w:rPr>
        <w:footnoteRef/>
      </w:r>
      <w:r w:rsidRPr="006A17D1">
        <w:t>)</w:t>
      </w:r>
      <w:r w:rsidRPr="006A17D1">
        <w:tab/>
        <w:t xml:space="preserve">For investigations of the EPPO see also </w:t>
      </w:r>
      <w:hyperlink w:anchor="_Investigations_by_the" w:history="1">
        <w:r w:rsidRPr="006A17D1">
          <w:rPr>
            <w:rStyle w:val="Hyperlink"/>
          </w:rPr>
          <w:t>Section 4.1.2</w:t>
        </w:r>
      </w:hyperlink>
      <w:r w:rsidRPr="006A17D1">
        <w:t>.</w:t>
      </w:r>
    </w:p>
  </w:footnote>
  <w:footnote w:id="100">
    <w:p w14:paraId="2053C2B6" w14:textId="77777777" w:rsidR="00820425" w:rsidRPr="006A17D1" w:rsidRDefault="00820425" w:rsidP="00820425">
      <w:pPr>
        <w:pStyle w:val="FootnoteText"/>
      </w:pPr>
      <w:r w:rsidRPr="006A17D1">
        <w:t>(</w:t>
      </w:r>
      <w:r w:rsidRPr="006A17D1">
        <w:rPr>
          <w:rStyle w:val="FootnoteReference"/>
        </w:rPr>
        <w:footnoteRef/>
      </w:r>
      <w:r w:rsidRPr="006A17D1">
        <w:t>) C/2024/4618 Commission Notice – Guidance on recovery and resilience plans</w:t>
      </w:r>
    </w:p>
  </w:footnote>
  <w:footnote w:id="101">
    <w:p w14:paraId="6D5F15BD" w14:textId="77777777" w:rsidR="00E15719" w:rsidRPr="006A17D1" w:rsidRDefault="00E15719">
      <w:pPr>
        <w:pStyle w:val="FootnoteText"/>
      </w:pPr>
      <w:r w:rsidRPr="006A17D1">
        <w:t>(</w:t>
      </w:r>
      <w:r w:rsidRPr="006A17D1">
        <w:rPr>
          <w:rStyle w:val="FootnoteReference"/>
        </w:rPr>
        <w:footnoteRef/>
      </w:r>
      <w:r w:rsidRPr="006A17D1">
        <w:t>)</w:t>
      </w:r>
      <w:r w:rsidRPr="006A17D1">
        <w:tab/>
        <w:t xml:space="preserve">Representing 6% of the offences investigated by the EPPO. See </w:t>
      </w:r>
      <w:hyperlink w:anchor="_Investigations_by_the" w:history="1">
        <w:r w:rsidRPr="006A17D1">
          <w:rPr>
            <w:rStyle w:val="Hyperlink"/>
            <w:sz w:val="18"/>
          </w:rPr>
          <w:t>Section 4.1.2</w:t>
        </w:r>
      </w:hyperlink>
      <w:r w:rsidRPr="006A17D1">
        <w:rPr>
          <w:sz w:val="18"/>
        </w:rPr>
        <w:t>.</w:t>
      </w:r>
    </w:p>
  </w:footnote>
  <w:footnote w:id="102">
    <w:p w14:paraId="73D1DAE9" w14:textId="77777777" w:rsidR="00E15719" w:rsidRPr="006A17D1" w:rsidRDefault="00E15719">
      <w:pPr>
        <w:pStyle w:val="FootnoteText"/>
        <w:rPr>
          <w:sz w:val="18"/>
        </w:rPr>
      </w:pPr>
      <w:r w:rsidRPr="006A17D1">
        <w:t>(</w:t>
      </w:r>
      <w:r w:rsidRPr="006A17D1">
        <w:rPr>
          <w:rStyle w:val="FootnoteReference"/>
        </w:rPr>
        <w:footnoteRef/>
      </w:r>
      <w:r w:rsidRPr="006A17D1">
        <w:t>)</w:t>
      </w:r>
      <w:r w:rsidRPr="006A17D1">
        <w:tab/>
        <w:t xml:space="preserve">Representing 3% of the offences investigated by the EPPO. See </w:t>
      </w:r>
      <w:hyperlink w:anchor="_Investigations_by_the" w:history="1">
        <w:r w:rsidRPr="006A17D1">
          <w:rPr>
            <w:rStyle w:val="Hyperlink"/>
          </w:rPr>
          <w:t>Section 4.1.2</w:t>
        </w:r>
      </w:hyperlink>
      <w:r w:rsidRPr="006A17D1">
        <w:t>.</w:t>
      </w:r>
      <w:r w:rsidRPr="006A17D1">
        <w:rPr>
          <w:sz w:val="18"/>
        </w:rPr>
        <w:t xml:space="preserve"> </w:t>
      </w:r>
    </w:p>
  </w:footnote>
  <w:footnote w:id="103">
    <w:p w14:paraId="4DCA2BF5" w14:textId="2A97239D" w:rsidR="00C145D2" w:rsidRPr="006A17D1" w:rsidRDefault="00C145D2">
      <w:pPr>
        <w:pStyle w:val="FootnoteText"/>
      </w:pPr>
      <w:r w:rsidRPr="006A17D1">
        <w:t>(</w:t>
      </w:r>
      <w:r w:rsidRPr="006A17D1">
        <w:rPr>
          <w:rStyle w:val="FootnoteReference"/>
        </w:rPr>
        <w:footnoteRef/>
      </w:r>
      <w:r w:rsidRPr="006A17D1">
        <w:t>)</w:t>
      </w:r>
      <w:r w:rsidRPr="006A17D1">
        <w:tab/>
        <w:t xml:space="preserve">The analysis showed that reporting by the Member States on corruption is not entirely reliable, as </w:t>
      </w:r>
      <w:r w:rsidR="00147914" w:rsidRPr="006A17D1">
        <w:t xml:space="preserve">several </w:t>
      </w:r>
      <w:r w:rsidRPr="006A17D1">
        <w:t xml:space="preserve">cases reported </w:t>
      </w:r>
      <w:r w:rsidR="00147914" w:rsidRPr="006A17D1">
        <w:t xml:space="preserve">may not </w:t>
      </w:r>
      <w:r w:rsidRPr="006A17D1">
        <w:t>effectively relate to corruption.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CB9C" w14:textId="77777777" w:rsidR="00E70746" w:rsidRPr="00E70746" w:rsidRDefault="00E70746" w:rsidP="00E7074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148" w14:textId="77777777" w:rsidR="00E70746" w:rsidRPr="00E70746" w:rsidRDefault="00E70746" w:rsidP="00E7074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0A86" w14:textId="77777777" w:rsidR="00E70746" w:rsidRPr="00E70746" w:rsidRDefault="00E70746" w:rsidP="00E7074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E12A" w14:textId="77777777" w:rsidR="00E15719" w:rsidRDefault="00E15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D74F" w14:textId="77777777" w:rsidR="00E15719" w:rsidRDefault="00E157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5F12" w14:textId="77777777" w:rsidR="00E15719" w:rsidRDefault="00E157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CDD7" w14:textId="77777777" w:rsidR="00E15719" w:rsidRDefault="00E157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8349" w14:textId="77777777" w:rsidR="00E15719" w:rsidRDefault="00E157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44E2" w14:textId="77777777" w:rsidR="00E15719" w:rsidRDefault="00E1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FEC1A4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82E70A8"/>
    <w:lvl w:ilvl="0">
      <w:start w:val="1"/>
      <w:numFmt w:val="decimal"/>
      <w:pStyle w:val="ListNumber2"/>
      <w:lvlText w:val="%1."/>
      <w:lvlJc w:val="left"/>
      <w:pPr>
        <w:tabs>
          <w:tab w:val="num" w:pos="643"/>
        </w:tabs>
        <w:ind w:left="643" w:hanging="360"/>
      </w:pPr>
    </w:lvl>
  </w:abstractNum>
  <w:abstractNum w:abstractNumId="2"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2"/>
    <w:multiLevelType w:val="singleLevel"/>
    <w:tmpl w:val="B53C7698"/>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01602E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DB6C62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76E86"/>
    <w:multiLevelType w:val="multilevel"/>
    <w:tmpl w:val="8E18D24C"/>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7201"/>
    <w:multiLevelType w:val="multilevel"/>
    <w:tmpl w:val="95541ED8"/>
    <w:name w:val="ListNumberNumbering"/>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0B8345"/>
    <w:multiLevelType w:val="multilevel"/>
    <w:tmpl w:val="05B2BA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D92638"/>
    <w:multiLevelType w:val="hybridMultilevel"/>
    <w:tmpl w:val="78FAAA78"/>
    <w:lvl w:ilvl="0" w:tplc="48B8313C">
      <w:start w:val="1"/>
      <w:numFmt w:val="decimal"/>
      <w:pStyle w:val="Style2"/>
      <w:lvlText w:val="%1."/>
      <w:lvlJc w:val="left"/>
      <w:pPr>
        <w:ind w:left="720" w:hanging="360"/>
      </w:pPr>
    </w:lvl>
    <w:lvl w:ilvl="1" w:tplc="3ED253FE">
      <w:start w:val="1"/>
      <w:numFmt w:val="lowerLetter"/>
      <w:pStyle w:val="Style1"/>
      <w:lvlText w:val="%2."/>
      <w:lvlJc w:val="left"/>
      <w:pPr>
        <w:ind w:left="1440" w:hanging="360"/>
      </w:pPr>
      <w:rPr>
        <w:rFonts w:hint="default"/>
      </w:rPr>
    </w:lvl>
    <w:lvl w:ilvl="2" w:tplc="1809001B">
      <w:start w:val="1"/>
      <w:numFmt w:val="lowerRoman"/>
      <w:lvlText w:val="%3."/>
      <w:lvlJc w:val="right"/>
      <w:pPr>
        <w:ind w:left="2160" w:hanging="180"/>
      </w:pPr>
    </w:lvl>
    <w:lvl w:ilvl="3" w:tplc="ED2898A0">
      <w:start w:val="1"/>
      <w:numFmt w:val="lowerRoman"/>
      <w:lvlText w:val="(%4)"/>
      <w:lvlJc w:val="left"/>
      <w:pPr>
        <w:ind w:left="3240" w:hanging="72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4205A3"/>
    <w:multiLevelType w:val="hybridMultilevel"/>
    <w:tmpl w:val="AA8A0778"/>
    <w:lvl w:ilvl="0" w:tplc="14929F14">
      <w:numFmt w:val="bullet"/>
      <w:lvlText w:val="-"/>
      <w:lvlJc w:val="left"/>
      <w:pPr>
        <w:ind w:left="360" w:hanging="360"/>
      </w:pPr>
      <w:rPr>
        <w:rFonts w:ascii="Times New Roman" w:hAnsi="Times New Roman" w:hint="default"/>
      </w:rPr>
    </w:lvl>
    <w:lvl w:ilvl="1" w:tplc="563C97F2" w:tentative="1">
      <w:start w:val="1"/>
      <w:numFmt w:val="bullet"/>
      <w:lvlText w:val="o"/>
      <w:lvlJc w:val="left"/>
      <w:pPr>
        <w:ind w:left="1080" w:hanging="360"/>
      </w:pPr>
      <w:rPr>
        <w:rFonts w:ascii="Courier New" w:hAnsi="Courier New" w:hint="default"/>
      </w:rPr>
    </w:lvl>
    <w:lvl w:ilvl="2" w:tplc="9240084E" w:tentative="1">
      <w:start w:val="1"/>
      <w:numFmt w:val="bullet"/>
      <w:lvlText w:val=""/>
      <w:lvlJc w:val="left"/>
      <w:pPr>
        <w:ind w:left="1800" w:hanging="360"/>
      </w:pPr>
      <w:rPr>
        <w:rFonts w:ascii="Wingdings" w:hAnsi="Wingdings" w:hint="default"/>
      </w:rPr>
    </w:lvl>
    <w:lvl w:ilvl="3" w:tplc="0AAE31F8" w:tentative="1">
      <w:start w:val="1"/>
      <w:numFmt w:val="bullet"/>
      <w:lvlText w:val=""/>
      <w:lvlJc w:val="left"/>
      <w:pPr>
        <w:ind w:left="2520" w:hanging="360"/>
      </w:pPr>
      <w:rPr>
        <w:rFonts w:ascii="Symbol" w:hAnsi="Symbol" w:hint="default"/>
      </w:rPr>
    </w:lvl>
    <w:lvl w:ilvl="4" w:tplc="40429618" w:tentative="1">
      <w:start w:val="1"/>
      <w:numFmt w:val="bullet"/>
      <w:lvlText w:val="o"/>
      <w:lvlJc w:val="left"/>
      <w:pPr>
        <w:ind w:left="3240" w:hanging="360"/>
      </w:pPr>
      <w:rPr>
        <w:rFonts w:ascii="Courier New" w:hAnsi="Courier New" w:hint="default"/>
      </w:rPr>
    </w:lvl>
    <w:lvl w:ilvl="5" w:tplc="9666526E" w:tentative="1">
      <w:start w:val="1"/>
      <w:numFmt w:val="bullet"/>
      <w:lvlText w:val=""/>
      <w:lvlJc w:val="left"/>
      <w:pPr>
        <w:ind w:left="3960" w:hanging="360"/>
      </w:pPr>
      <w:rPr>
        <w:rFonts w:ascii="Wingdings" w:hAnsi="Wingdings" w:hint="default"/>
      </w:rPr>
    </w:lvl>
    <w:lvl w:ilvl="6" w:tplc="D3F28C2E" w:tentative="1">
      <w:start w:val="1"/>
      <w:numFmt w:val="bullet"/>
      <w:lvlText w:val=""/>
      <w:lvlJc w:val="left"/>
      <w:pPr>
        <w:ind w:left="4680" w:hanging="360"/>
      </w:pPr>
      <w:rPr>
        <w:rFonts w:ascii="Symbol" w:hAnsi="Symbol" w:hint="default"/>
      </w:rPr>
    </w:lvl>
    <w:lvl w:ilvl="7" w:tplc="4BA4539E" w:tentative="1">
      <w:start w:val="1"/>
      <w:numFmt w:val="bullet"/>
      <w:lvlText w:val="o"/>
      <w:lvlJc w:val="left"/>
      <w:pPr>
        <w:ind w:left="5400" w:hanging="360"/>
      </w:pPr>
      <w:rPr>
        <w:rFonts w:ascii="Courier New" w:hAnsi="Courier New" w:hint="default"/>
      </w:rPr>
    </w:lvl>
    <w:lvl w:ilvl="8" w:tplc="2CA2A6D2" w:tentative="1">
      <w:start w:val="1"/>
      <w:numFmt w:val="bullet"/>
      <w:lvlText w:val=""/>
      <w:lvlJc w:val="left"/>
      <w:pPr>
        <w:ind w:left="6120" w:hanging="360"/>
      </w:pPr>
      <w:rPr>
        <w:rFonts w:ascii="Wingdings" w:hAnsi="Wingdings" w:hint="default"/>
      </w:rPr>
    </w:lvl>
  </w:abstractNum>
  <w:abstractNum w:abstractNumId="11" w15:restartNumberingAfterBreak="0">
    <w:nsid w:val="19B15997"/>
    <w:multiLevelType w:val="hybridMultilevel"/>
    <w:tmpl w:val="679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621EE"/>
    <w:multiLevelType w:val="hybridMultilevel"/>
    <w:tmpl w:val="975AF556"/>
    <w:lvl w:ilvl="0" w:tplc="1E145CA4">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3" w15:restartNumberingAfterBreak="0">
    <w:nsid w:val="1B037D98"/>
    <w:multiLevelType w:val="multilevel"/>
    <w:tmpl w:val="95541ED8"/>
    <w:name w:val="ListNumberNumbering2"/>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35C3481"/>
    <w:multiLevelType w:val="hybridMultilevel"/>
    <w:tmpl w:val="EFDA1926"/>
    <w:lvl w:ilvl="0" w:tplc="0062EA0E">
      <w:numFmt w:val="bullet"/>
      <w:lvlText w:val="-"/>
      <w:lvlJc w:val="left"/>
      <w:pPr>
        <w:ind w:left="720" w:hanging="360"/>
      </w:pPr>
      <w:rPr>
        <w:rFonts w:ascii="Arial" w:eastAsia="Arial" w:hAnsi="Arial" w:cs="Arial" w:hint="default"/>
        <w:b w:val="0"/>
        <w:bCs w:val="0"/>
        <w:i w:val="0"/>
        <w:iCs w:val="0"/>
        <w:spacing w:val="0"/>
        <w:w w:val="102"/>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03CDD"/>
    <w:multiLevelType w:val="hybridMultilevel"/>
    <w:tmpl w:val="AC26C5DC"/>
    <w:lvl w:ilvl="0" w:tplc="46020C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122CE9"/>
    <w:multiLevelType w:val="hybridMultilevel"/>
    <w:tmpl w:val="8EF0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293CE3"/>
    <w:multiLevelType w:val="multilevel"/>
    <w:tmpl w:val="F8BA989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8" w15:restartNumberingAfterBreak="0">
    <w:nsid w:val="2D293CF4"/>
    <w:multiLevelType w:val="multilevel"/>
    <w:tmpl w:val="B5DC329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9" w15:restartNumberingAfterBreak="0">
    <w:nsid w:val="375C029D"/>
    <w:multiLevelType w:val="hybridMultilevel"/>
    <w:tmpl w:val="D710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99640B2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8E18D24C"/>
    <w:name w:val="ListBulletNumbering"/>
    <w:lvl w:ilvl="0">
      <w:start w:val="1"/>
      <w:numFmt w:val="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8548BA90"/>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A74482D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CC5A8D"/>
    <w:multiLevelType w:val="hybridMultilevel"/>
    <w:tmpl w:val="5A3A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860ED"/>
    <w:multiLevelType w:val="hybridMultilevel"/>
    <w:tmpl w:val="4F38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E5C0C"/>
    <w:multiLevelType w:val="hybridMultilevel"/>
    <w:tmpl w:val="1F2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511B5"/>
    <w:multiLevelType w:val="hybridMultilevel"/>
    <w:tmpl w:val="FF5E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D26E3"/>
    <w:multiLevelType w:val="hybridMultilevel"/>
    <w:tmpl w:val="36F247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C32794"/>
    <w:multiLevelType w:val="hybridMultilevel"/>
    <w:tmpl w:val="467ECA9C"/>
    <w:lvl w:ilvl="0" w:tplc="08090001">
      <w:start w:val="1"/>
      <w:numFmt w:val="bullet"/>
      <w:lvlText w:val=""/>
      <w:lvlJc w:val="left"/>
      <w:pPr>
        <w:ind w:left="720" w:hanging="360"/>
      </w:pPr>
      <w:rPr>
        <w:rFonts w:ascii="Symbol" w:hAnsi="Symbol" w:hint="default"/>
        <w:b w:val="0"/>
        <w:bCs w:val="0"/>
        <w:i w:val="0"/>
        <w:iCs w:val="0"/>
        <w:spacing w:val="0"/>
        <w:w w:val="102"/>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5145E"/>
    <w:multiLevelType w:val="multilevel"/>
    <w:tmpl w:val="FFFC2320"/>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3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1"/>
  </w:num>
  <w:num w:numId="2">
    <w:abstractNumId w:val="18"/>
  </w:num>
  <w:num w:numId="3">
    <w:abstractNumId w:val="17"/>
  </w:num>
  <w:num w:numId="4">
    <w:abstractNumId w:val="8"/>
  </w:num>
  <w:num w:numId="5">
    <w:abstractNumId w:val="23"/>
  </w:num>
  <w:num w:numId="6">
    <w:abstractNumId w:val="20"/>
  </w:num>
  <w:num w:numId="7">
    <w:abstractNumId w:val="22"/>
  </w:num>
  <w:num w:numId="8">
    <w:abstractNumId w:val="30"/>
  </w:num>
  <w:num w:numId="9">
    <w:abstractNumId w:val="0"/>
  </w:num>
  <w:num w:numId="10">
    <w:abstractNumId w:val="1"/>
  </w:num>
  <w:num w:numId="11">
    <w:abstractNumId w:val="3"/>
  </w:num>
  <w:num w:numId="12">
    <w:abstractNumId w:val="4"/>
  </w:num>
  <w:num w:numId="13">
    <w:abstractNumId w:val="13"/>
  </w:num>
  <w:num w:numId="14">
    <w:abstractNumId w:val="6"/>
  </w:num>
  <w:num w:numId="15">
    <w:abstractNumId w:val="15"/>
  </w:num>
  <w:num w:numId="16">
    <w:abstractNumId w:val="2"/>
  </w:num>
  <w:num w:numId="17">
    <w:abstractNumId w:val="16"/>
  </w:num>
  <w:num w:numId="18">
    <w:abstractNumId w:val="27"/>
  </w:num>
  <w:num w:numId="19">
    <w:abstractNumId w:val="19"/>
  </w:num>
  <w:num w:numId="20">
    <w:abstractNumId w:val="11"/>
  </w:num>
  <w:num w:numId="21">
    <w:abstractNumId w:val="25"/>
  </w:num>
  <w:num w:numId="22">
    <w:abstractNumId w:val="24"/>
  </w:num>
  <w:num w:numId="23">
    <w:abstractNumId w:val="26"/>
  </w:num>
  <w:num w:numId="24">
    <w:abstractNumId w:val="5"/>
  </w:num>
  <w:num w:numId="25">
    <w:abstractNumId w:val="14"/>
  </w:num>
  <w:num w:numId="26">
    <w:abstractNumId w:val="29"/>
  </w:num>
  <w:num w:numId="27">
    <w:abstractNumId w:val="12"/>
  </w:num>
  <w:num w:numId="28">
    <w:abstractNumId w:val="28"/>
  </w:num>
  <w:num w:numId="29">
    <w:abstractNumId w:val="9"/>
  </w:num>
  <w:num w:numId="3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pt-PT" w:vendorID="64" w:dllVersion="6" w:nlCheck="1" w:checkStyle="0"/>
  <w:activeWritingStyle w:appName="MSWord" w:lang="it-IT" w:vendorID="64" w:dllVersion="6" w:nlCheck="1" w:checkStyle="0"/>
  <w:activeWritingStyle w:appName="MSWord" w:lang="en-GB" w:vendorID="64" w:dllVersion="0" w:nlCheck="1" w:checkStyle="0"/>
  <w:activeWritingStyle w:appName="MSWord" w:lang="en-IE" w:vendorID="64" w:dllVersion="0" w:nlCheck="1" w:checkStyle="0"/>
  <w:activeWritingStyle w:appName="MSWord" w:lang="es-US" w:vendorID="64" w:dllVersion="6" w:nlCheck="1" w:checkStyle="0"/>
  <w:activeWritingStyle w:appName="MSWord" w:lang="it-IT" w:vendorID="64" w:dllVersion="0" w:nlCheck="1" w:checkStyle="0"/>
  <w:activeWritingStyle w:appName="MSWord" w:lang="fr-BE"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F2F6440-BA4C-449F-B18D-319AB26D6E1C"/>
    <w:docVar w:name="LW_COVERPAGE_TYPE" w:val="1"/>
    <w:docVar w:name="LW_CROSSREFERENCE" w:val="{SWD(2025) 196 final} - {SWD(2025) 197 final} - {SWD(2025) 198 final} - {SWD(2025) 199 final} - {SWD(2025) 228 final} - {SWD(2025) 229 final} - {SWD(2025) 230 final}"/>
    <w:docVar w:name="LW_DocType" w:val="EUROLOOK"/>
    <w:docVar w:name="LW_EMISSION" w:val="25.7.2025"/>
    <w:docVar w:name="LW_EMISSION_ISODATE" w:val="2025-07-25"/>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5)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36th Annual Report on the protection of the European Union\u8217?s financial interests and the fight against fraud \u8211? 2024"/>
    <w:docVar w:name="LW_TYPE.DOC.CP" w:val="REPORT FROM THE COMMISSION TO THE COUNCIL AND THE EUROPEAN PARLIAMENT"/>
    <w:docVar w:name="LwApiVersions" w:val="LW4CoDe 1.24.5.0; LW 9.0, Build 20240221"/>
  </w:docVars>
  <w:rsids>
    <w:rsidRoot w:val="0048430C"/>
    <w:rsid w:val="0000055F"/>
    <w:rsid w:val="000005EB"/>
    <w:rsid w:val="00000AC3"/>
    <w:rsid w:val="00000C60"/>
    <w:rsid w:val="00001F93"/>
    <w:rsid w:val="000020B7"/>
    <w:rsid w:val="00002D17"/>
    <w:rsid w:val="00003B53"/>
    <w:rsid w:val="00003CCB"/>
    <w:rsid w:val="00003E62"/>
    <w:rsid w:val="000060D9"/>
    <w:rsid w:val="00007B7A"/>
    <w:rsid w:val="000114A4"/>
    <w:rsid w:val="00011890"/>
    <w:rsid w:val="000128E2"/>
    <w:rsid w:val="000139E7"/>
    <w:rsid w:val="00013C06"/>
    <w:rsid w:val="00014908"/>
    <w:rsid w:val="00014C50"/>
    <w:rsid w:val="00015D00"/>
    <w:rsid w:val="00016146"/>
    <w:rsid w:val="0002001A"/>
    <w:rsid w:val="00020962"/>
    <w:rsid w:val="00021742"/>
    <w:rsid w:val="00021EDE"/>
    <w:rsid w:val="00023111"/>
    <w:rsid w:val="000233A9"/>
    <w:rsid w:val="00024493"/>
    <w:rsid w:val="00026DA3"/>
    <w:rsid w:val="00027025"/>
    <w:rsid w:val="00030F3C"/>
    <w:rsid w:val="000322ED"/>
    <w:rsid w:val="00033303"/>
    <w:rsid w:val="00034451"/>
    <w:rsid w:val="00034841"/>
    <w:rsid w:val="000355BF"/>
    <w:rsid w:val="00035C35"/>
    <w:rsid w:val="00036A83"/>
    <w:rsid w:val="000424C7"/>
    <w:rsid w:val="00043A19"/>
    <w:rsid w:val="000440B2"/>
    <w:rsid w:val="00053CB1"/>
    <w:rsid w:val="00053EF7"/>
    <w:rsid w:val="00054768"/>
    <w:rsid w:val="00055B42"/>
    <w:rsid w:val="00055D47"/>
    <w:rsid w:val="00055F5E"/>
    <w:rsid w:val="000579D4"/>
    <w:rsid w:val="0006466C"/>
    <w:rsid w:val="00064AA5"/>
    <w:rsid w:val="00065265"/>
    <w:rsid w:val="000654C3"/>
    <w:rsid w:val="000662AA"/>
    <w:rsid w:val="000665BD"/>
    <w:rsid w:val="00067531"/>
    <w:rsid w:val="00071FAB"/>
    <w:rsid w:val="000721C4"/>
    <w:rsid w:val="00074D46"/>
    <w:rsid w:val="00075DEC"/>
    <w:rsid w:val="0007683F"/>
    <w:rsid w:val="00076D14"/>
    <w:rsid w:val="00076E19"/>
    <w:rsid w:val="00077949"/>
    <w:rsid w:val="00080A74"/>
    <w:rsid w:val="000810E6"/>
    <w:rsid w:val="000824E6"/>
    <w:rsid w:val="00083137"/>
    <w:rsid w:val="000842E0"/>
    <w:rsid w:val="0008494C"/>
    <w:rsid w:val="0008651F"/>
    <w:rsid w:val="00086DC2"/>
    <w:rsid w:val="000902B5"/>
    <w:rsid w:val="00090FE0"/>
    <w:rsid w:val="0009125D"/>
    <w:rsid w:val="00091F1E"/>
    <w:rsid w:val="000937D0"/>
    <w:rsid w:val="0009468A"/>
    <w:rsid w:val="000946F0"/>
    <w:rsid w:val="000949A1"/>
    <w:rsid w:val="00094F84"/>
    <w:rsid w:val="00095CBF"/>
    <w:rsid w:val="00096604"/>
    <w:rsid w:val="000966C7"/>
    <w:rsid w:val="0009789D"/>
    <w:rsid w:val="000A022B"/>
    <w:rsid w:val="000A06C5"/>
    <w:rsid w:val="000A08F3"/>
    <w:rsid w:val="000A2CB4"/>
    <w:rsid w:val="000A2ED7"/>
    <w:rsid w:val="000A4A0B"/>
    <w:rsid w:val="000A5AB9"/>
    <w:rsid w:val="000A6206"/>
    <w:rsid w:val="000B2F1B"/>
    <w:rsid w:val="000B4605"/>
    <w:rsid w:val="000B4633"/>
    <w:rsid w:val="000B59B8"/>
    <w:rsid w:val="000B5B91"/>
    <w:rsid w:val="000C1CC0"/>
    <w:rsid w:val="000C3F92"/>
    <w:rsid w:val="000C5685"/>
    <w:rsid w:val="000C5EE8"/>
    <w:rsid w:val="000C6DBD"/>
    <w:rsid w:val="000D0271"/>
    <w:rsid w:val="000D182F"/>
    <w:rsid w:val="000D20B8"/>
    <w:rsid w:val="000D2E3E"/>
    <w:rsid w:val="000E2826"/>
    <w:rsid w:val="000E544E"/>
    <w:rsid w:val="000F021F"/>
    <w:rsid w:val="000F3137"/>
    <w:rsid w:val="000F3A16"/>
    <w:rsid w:val="000F48CB"/>
    <w:rsid w:val="000F605C"/>
    <w:rsid w:val="000F6B25"/>
    <w:rsid w:val="00101327"/>
    <w:rsid w:val="001021FB"/>
    <w:rsid w:val="0010227F"/>
    <w:rsid w:val="0010271E"/>
    <w:rsid w:val="00103F7E"/>
    <w:rsid w:val="00104913"/>
    <w:rsid w:val="0010512B"/>
    <w:rsid w:val="001057C4"/>
    <w:rsid w:val="0010609B"/>
    <w:rsid w:val="001063B3"/>
    <w:rsid w:val="00110A80"/>
    <w:rsid w:val="00110F22"/>
    <w:rsid w:val="001112B1"/>
    <w:rsid w:val="00112FC8"/>
    <w:rsid w:val="001149B4"/>
    <w:rsid w:val="00114B8E"/>
    <w:rsid w:val="001151BE"/>
    <w:rsid w:val="00115776"/>
    <w:rsid w:val="001157CA"/>
    <w:rsid w:val="00117EDE"/>
    <w:rsid w:val="00117F6D"/>
    <w:rsid w:val="00121C8F"/>
    <w:rsid w:val="00122A72"/>
    <w:rsid w:val="00124D3E"/>
    <w:rsid w:val="00125AC6"/>
    <w:rsid w:val="001262CB"/>
    <w:rsid w:val="0012637C"/>
    <w:rsid w:val="00130C18"/>
    <w:rsid w:val="00131B72"/>
    <w:rsid w:val="00132C29"/>
    <w:rsid w:val="0013312B"/>
    <w:rsid w:val="001336E9"/>
    <w:rsid w:val="00133B36"/>
    <w:rsid w:val="00134B8F"/>
    <w:rsid w:val="00136BB2"/>
    <w:rsid w:val="001371B9"/>
    <w:rsid w:val="00143FB2"/>
    <w:rsid w:val="00145F43"/>
    <w:rsid w:val="001474C3"/>
    <w:rsid w:val="00147914"/>
    <w:rsid w:val="00147DAC"/>
    <w:rsid w:val="00147F82"/>
    <w:rsid w:val="00153076"/>
    <w:rsid w:val="00153135"/>
    <w:rsid w:val="00153F9B"/>
    <w:rsid w:val="00154772"/>
    <w:rsid w:val="001576E8"/>
    <w:rsid w:val="00162277"/>
    <w:rsid w:val="001623A1"/>
    <w:rsid w:val="00164166"/>
    <w:rsid w:val="0016548A"/>
    <w:rsid w:val="00165D91"/>
    <w:rsid w:val="00167262"/>
    <w:rsid w:val="00170442"/>
    <w:rsid w:val="001708D2"/>
    <w:rsid w:val="00172456"/>
    <w:rsid w:val="00175B78"/>
    <w:rsid w:val="0017619B"/>
    <w:rsid w:val="001775C8"/>
    <w:rsid w:val="001800D1"/>
    <w:rsid w:val="0018066F"/>
    <w:rsid w:val="0018120D"/>
    <w:rsid w:val="00182088"/>
    <w:rsid w:val="00185671"/>
    <w:rsid w:val="00186CF7"/>
    <w:rsid w:val="00190177"/>
    <w:rsid w:val="0019185C"/>
    <w:rsid w:val="001950F8"/>
    <w:rsid w:val="001A09DB"/>
    <w:rsid w:val="001A0D64"/>
    <w:rsid w:val="001A1798"/>
    <w:rsid w:val="001A2746"/>
    <w:rsid w:val="001A321D"/>
    <w:rsid w:val="001A3BBE"/>
    <w:rsid w:val="001A5190"/>
    <w:rsid w:val="001A58E7"/>
    <w:rsid w:val="001A64E8"/>
    <w:rsid w:val="001A7AA9"/>
    <w:rsid w:val="001B0643"/>
    <w:rsid w:val="001B0C43"/>
    <w:rsid w:val="001B1DBF"/>
    <w:rsid w:val="001B43B7"/>
    <w:rsid w:val="001B5E7B"/>
    <w:rsid w:val="001B67F1"/>
    <w:rsid w:val="001B7DA5"/>
    <w:rsid w:val="001C0369"/>
    <w:rsid w:val="001C1B5D"/>
    <w:rsid w:val="001C1C5A"/>
    <w:rsid w:val="001C1E89"/>
    <w:rsid w:val="001C2CCC"/>
    <w:rsid w:val="001C2F67"/>
    <w:rsid w:val="001C4F6B"/>
    <w:rsid w:val="001C50AD"/>
    <w:rsid w:val="001C6639"/>
    <w:rsid w:val="001C7027"/>
    <w:rsid w:val="001D4286"/>
    <w:rsid w:val="001D4CE3"/>
    <w:rsid w:val="001D4F2E"/>
    <w:rsid w:val="001D5510"/>
    <w:rsid w:val="001D7986"/>
    <w:rsid w:val="001E0212"/>
    <w:rsid w:val="001E18A9"/>
    <w:rsid w:val="001E21E5"/>
    <w:rsid w:val="001E2344"/>
    <w:rsid w:val="001E2DAE"/>
    <w:rsid w:val="001E3661"/>
    <w:rsid w:val="001E5249"/>
    <w:rsid w:val="001E5FDE"/>
    <w:rsid w:val="001E6A55"/>
    <w:rsid w:val="001F2A91"/>
    <w:rsid w:val="001F4147"/>
    <w:rsid w:val="00200417"/>
    <w:rsid w:val="00200D23"/>
    <w:rsid w:val="00202312"/>
    <w:rsid w:val="00203106"/>
    <w:rsid w:val="0021032E"/>
    <w:rsid w:val="0021104D"/>
    <w:rsid w:val="002118BA"/>
    <w:rsid w:val="00211E8B"/>
    <w:rsid w:val="0021263B"/>
    <w:rsid w:val="00214074"/>
    <w:rsid w:val="00215DC5"/>
    <w:rsid w:val="002166CE"/>
    <w:rsid w:val="002174DB"/>
    <w:rsid w:val="0021784F"/>
    <w:rsid w:val="00217A3A"/>
    <w:rsid w:val="00217DCF"/>
    <w:rsid w:val="00217FCB"/>
    <w:rsid w:val="00220D73"/>
    <w:rsid w:val="00221CD0"/>
    <w:rsid w:val="00221EE2"/>
    <w:rsid w:val="00222841"/>
    <w:rsid w:val="002233B0"/>
    <w:rsid w:val="002246F1"/>
    <w:rsid w:val="00225A0C"/>
    <w:rsid w:val="00225A3F"/>
    <w:rsid w:val="00225B20"/>
    <w:rsid w:val="002303B4"/>
    <w:rsid w:val="00231369"/>
    <w:rsid w:val="002326B8"/>
    <w:rsid w:val="00233228"/>
    <w:rsid w:val="00233792"/>
    <w:rsid w:val="0023699A"/>
    <w:rsid w:val="002369AB"/>
    <w:rsid w:val="002407B4"/>
    <w:rsid w:val="00241CF8"/>
    <w:rsid w:val="00242095"/>
    <w:rsid w:val="00242925"/>
    <w:rsid w:val="00242D48"/>
    <w:rsid w:val="002436C2"/>
    <w:rsid w:val="00244204"/>
    <w:rsid w:val="00250B2C"/>
    <w:rsid w:val="0025186D"/>
    <w:rsid w:val="00251FD2"/>
    <w:rsid w:val="00252E0F"/>
    <w:rsid w:val="002549A2"/>
    <w:rsid w:val="00255A67"/>
    <w:rsid w:val="002571D1"/>
    <w:rsid w:val="00257B88"/>
    <w:rsid w:val="0026185E"/>
    <w:rsid w:val="00261CD5"/>
    <w:rsid w:val="00262A80"/>
    <w:rsid w:val="00264C2B"/>
    <w:rsid w:val="002652D8"/>
    <w:rsid w:val="002654B3"/>
    <w:rsid w:val="00265D65"/>
    <w:rsid w:val="002662C1"/>
    <w:rsid w:val="0026701D"/>
    <w:rsid w:val="002705A4"/>
    <w:rsid w:val="00273DEC"/>
    <w:rsid w:val="0027485E"/>
    <w:rsid w:val="00277B52"/>
    <w:rsid w:val="002802EB"/>
    <w:rsid w:val="002817F9"/>
    <w:rsid w:val="002829F3"/>
    <w:rsid w:val="00282D64"/>
    <w:rsid w:val="00283228"/>
    <w:rsid w:val="00283EE7"/>
    <w:rsid w:val="0028453C"/>
    <w:rsid w:val="00284BC4"/>
    <w:rsid w:val="00285F1D"/>
    <w:rsid w:val="002862C1"/>
    <w:rsid w:val="002871C5"/>
    <w:rsid w:val="002875CF"/>
    <w:rsid w:val="002875E9"/>
    <w:rsid w:val="002923C2"/>
    <w:rsid w:val="00292801"/>
    <w:rsid w:val="00294C59"/>
    <w:rsid w:val="00294DCB"/>
    <w:rsid w:val="00295D72"/>
    <w:rsid w:val="00296A29"/>
    <w:rsid w:val="00296A4E"/>
    <w:rsid w:val="002A0AAD"/>
    <w:rsid w:val="002A173F"/>
    <w:rsid w:val="002A4350"/>
    <w:rsid w:val="002A44EC"/>
    <w:rsid w:val="002A670B"/>
    <w:rsid w:val="002A7F35"/>
    <w:rsid w:val="002B1B19"/>
    <w:rsid w:val="002B2011"/>
    <w:rsid w:val="002B22B6"/>
    <w:rsid w:val="002B68AE"/>
    <w:rsid w:val="002B725D"/>
    <w:rsid w:val="002C0680"/>
    <w:rsid w:val="002C12B4"/>
    <w:rsid w:val="002C22D6"/>
    <w:rsid w:val="002C4038"/>
    <w:rsid w:val="002C49B8"/>
    <w:rsid w:val="002C508D"/>
    <w:rsid w:val="002C5B6B"/>
    <w:rsid w:val="002C630F"/>
    <w:rsid w:val="002D3866"/>
    <w:rsid w:val="002D3EEE"/>
    <w:rsid w:val="002D44B2"/>
    <w:rsid w:val="002D6EFC"/>
    <w:rsid w:val="002D70E1"/>
    <w:rsid w:val="002E0944"/>
    <w:rsid w:val="002E1591"/>
    <w:rsid w:val="002E36C4"/>
    <w:rsid w:val="002E36EB"/>
    <w:rsid w:val="002E5660"/>
    <w:rsid w:val="002E5B23"/>
    <w:rsid w:val="002E7CF0"/>
    <w:rsid w:val="002E7D4F"/>
    <w:rsid w:val="002F0397"/>
    <w:rsid w:val="002F1A7D"/>
    <w:rsid w:val="002F1F7B"/>
    <w:rsid w:val="002F29CA"/>
    <w:rsid w:val="002F38C4"/>
    <w:rsid w:val="002F3A1F"/>
    <w:rsid w:val="002F5456"/>
    <w:rsid w:val="002F6383"/>
    <w:rsid w:val="002F6533"/>
    <w:rsid w:val="002F6AD7"/>
    <w:rsid w:val="002F71B1"/>
    <w:rsid w:val="003005F8"/>
    <w:rsid w:val="00301BBE"/>
    <w:rsid w:val="003037ED"/>
    <w:rsid w:val="0030472D"/>
    <w:rsid w:val="00304C76"/>
    <w:rsid w:val="00304DA3"/>
    <w:rsid w:val="00305360"/>
    <w:rsid w:val="00306548"/>
    <w:rsid w:val="0030721B"/>
    <w:rsid w:val="00307B43"/>
    <w:rsid w:val="00311514"/>
    <w:rsid w:val="003116B9"/>
    <w:rsid w:val="00311FBC"/>
    <w:rsid w:val="003126BD"/>
    <w:rsid w:val="00316E71"/>
    <w:rsid w:val="00317335"/>
    <w:rsid w:val="00320870"/>
    <w:rsid w:val="0032133D"/>
    <w:rsid w:val="0032188D"/>
    <w:rsid w:val="00322192"/>
    <w:rsid w:val="00324591"/>
    <w:rsid w:val="0032494D"/>
    <w:rsid w:val="00324AAC"/>
    <w:rsid w:val="00324E4A"/>
    <w:rsid w:val="003264EE"/>
    <w:rsid w:val="003304B1"/>
    <w:rsid w:val="00331089"/>
    <w:rsid w:val="00332405"/>
    <w:rsid w:val="00332BEE"/>
    <w:rsid w:val="00332CB0"/>
    <w:rsid w:val="00334E16"/>
    <w:rsid w:val="00336DDA"/>
    <w:rsid w:val="00340BED"/>
    <w:rsid w:val="00342DB6"/>
    <w:rsid w:val="003430DC"/>
    <w:rsid w:val="00343467"/>
    <w:rsid w:val="003458DB"/>
    <w:rsid w:val="003462B0"/>
    <w:rsid w:val="003556F9"/>
    <w:rsid w:val="00355967"/>
    <w:rsid w:val="003602ED"/>
    <w:rsid w:val="003612AD"/>
    <w:rsid w:val="00361A7B"/>
    <w:rsid w:val="003629F8"/>
    <w:rsid w:val="00362AF6"/>
    <w:rsid w:val="00363877"/>
    <w:rsid w:val="0036425D"/>
    <w:rsid w:val="003647F1"/>
    <w:rsid w:val="00371C1C"/>
    <w:rsid w:val="00372B5B"/>
    <w:rsid w:val="00373899"/>
    <w:rsid w:val="00374350"/>
    <w:rsid w:val="0037452E"/>
    <w:rsid w:val="00374AD8"/>
    <w:rsid w:val="00375D9B"/>
    <w:rsid w:val="0037635D"/>
    <w:rsid w:val="00377AB4"/>
    <w:rsid w:val="00377E11"/>
    <w:rsid w:val="00380E56"/>
    <w:rsid w:val="00381C79"/>
    <w:rsid w:val="003820D0"/>
    <w:rsid w:val="0038425F"/>
    <w:rsid w:val="003844F9"/>
    <w:rsid w:val="003849B5"/>
    <w:rsid w:val="00387ED0"/>
    <w:rsid w:val="00390539"/>
    <w:rsid w:val="003913C6"/>
    <w:rsid w:val="00392854"/>
    <w:rsid w:val="00395FFA"/>
    <w:rsid w:val="00396C5E"/>
    <w:rsid w:val="003973AA"/>
    <w:rsid w:val="00397A63"/>
    <w:rsid w:val="00397E5E"/>
    <w:rsid w:val="003A0D01"/>
    <w:rsid w:val="003A27A1"/>
    <w:rsid w:val="003A6490"/>
    <w:rsid w:val="003B073B"/>
    <w:rsid w:val="003B0E5D"/>
    <w:rsid w:val="003B13D6"/>
    <w:rsid w:val="003B5612"/>
    <w:rsid w:val="003B731C"/>
    <w:rsid w:val="003B74C5"/>
    <w:rsid w:val="003C05B9"/>
    <w:rsid w:val="003C075E"/>
    <w:rsid w:val="003C0959"/>
    <w:rsid w:val="003C2425"/>
    <w:rsid w:val="003C2803"/>
    <w:rsid w:val="003C2C40"/>
    <w:rsid w:val="003D2DBB"/>
    <w:rsid w:val="003D4A31"/>
    <w:rsid w:val="003D59C9"/>
    <w:rsid w:val="003D701B"/>
    <w:rsid w:val="003E1E43"/>
    <w:rsid w:val="003E2F7E"/>
    <w:rsid w:val="003E303F"/>
    <w:rsid w:val="003E629E"/>
    <w:rsid w:val="003F1846"/>
    <w:rsid w:val="003F2008"/>
    <w:rsid w:val="003F3100"/>
    <w:rsid w:val="003F5E77"/>
    <w:rsid w:val="003F7418"/>
    <w:rsid w:val="003F7D3E"/>
    <w:rsid w:val="00400194"/>
    <w:rsid w:val="004014A9"/>
    <w:rsid w:val="00401EB3"/>
    <w:rsid w:val="00401F3D"/>
    <w:rsid w:val="00402352"/>
    <w:rsid w:val="00403CC9"/>
    <w:rsid w:val="00405188"/>
    <w:rsid w:val="00410711"/>
    <w:rsid w:val="00413689"/>
    <w:rsid w:val="004145AB"/>
    <w:rsid w:val="00414774"/>
    <w:rsid w:val="0041566F"/>
    <w:rsid w:val="00421B1A"/>
    <w:rsid w:val="004224B3"/>
    <w:rsid w:val="0042561B"/>
    <w:rsid w:val="004264C2"/>
    <w:rsid w:val="00426647"/>
    <w:rsid w:val="00426CCC"/>
    <w:rsid w:val="00426FAD"/>
    <w:rsid w:val="00427B23"/>
    <w:rsid w:val="00430917"/>
    <w:rsid w:val="0043307E"/>
    <w:rsid w:val="00433436"/>
    <w:rsid w:val="004357DA"/>
    <w:rsid w:val="00436D20"/>
    <w:rsid w:val="0043798B"/>
    <w:rsid w:val="00440F24"/>
    <w:rsid w:val="004427E3"/>
    <w:rsid w:val="00442C1B"/>
    <w:rsid w:val="00442E63"/>
    <w:rsid w:val="004432BF"/>
    <w:rsid w:val="004434D5"/>
    <w:rsid w:val="0044433F"/>
    <w:rsid w:val="00446E09"/>
    <w:rsid w:val="00450ADC"/>
    <w:rsid w:val="00451339"/>
    <w:rsid w:val="00452524"/>
    <w:rsid w:val="0045480B"/>
    <w:rsid w:val="004554A9"/>
    <w:rsid w:val="00455988"/>
    <w:rsid w:val="00455A14"/>
    <w:rsid w:val="00456FD0"/>
    <w:rsid w:val="00457E8C"/>
    <w:rsid w:val="00461003"/>
    <w:rsid w:val="004617FC"/>
    <w:rsid w:val="0046212A"/>
    <w:rsid w:val="00462D8F"/>
    <w:rsid w:val="00462E25"/>
    <w:rsid w:val="004635F1"/>
    <w:rsid w:val="00463C7A"/>
    <w:rsid w:val="004668AF"/>
    <w:rsid w:val="00467997"/>
    <w:rsid w:val="00467ABB"/>
    <w:rsid w:val="0047180A"/>
    <w:rsid w:val="00471E85"/>
    <w:rsid w:val="00472123"/>
    <w:rsid w:val="004756FE"/>
    <w:rsid w:val="00476096"/>
    <w:rsid w:val="00483A00"/>
    <w:rsid w:val="0048430C"/>
    <w:rsid w:val="004843E8"/>
    <w:rsid w:val="004872A8"/>
    <w:rsid w:val="004874FF"/>
    <w:rsid w:val="00487B09"/>
    <w:rsid w:val="00490041"/>
    <w:rsid w:val="004907B1"/>
    <w:rsid w:val="00490854"/>
    <w:rsid w:val="00492078"/>
    <w:rsid w:val="00492D0E"/>
    <w:rsid w:val="00492F2C"/>
    <w:rsid w:val="004943A5"/>
    <w:rsid w:val="004964E6"/>
    <w:rsid w:val="004966D2"/>
    <w:rsid w:val="00497133"/>
    <w:rsid w:val="004A0C76"/>
    <w:rsid w:val="004A30BE"/>
    <w:rsid w:val="004A4CBD"/>
    <w:rsid w:val="004A502D"/>
    <w:rsid w:val="004A5098"/>
    <w:rsid w:val="004A6E18"/>
    <w:rsid w:val="004B0501"/>
    <w:rsid w:val="004B051F"/>
    <w:rsid w:val="004B138B"/>
    <w:rsid w:val="004B2BB7"/>
    <w:rsid w:val="004B65D2"/>
    <w:rsid w:val="004C0757"/>
    <w:rsid w:val="004C0DC2"/>
    <w:rsid w:val="004C1FAE"/>
    <w:rsid w:val="004C2053"/>
    <w:rsid w:val="004C2A2B"/>
    <w:rsid w:val="004C5B6C"/>
    <w:rsid w:val="004C6129"/>
    <w:rsid w:val="004C66EB"/>
    <w:rsid w:val="004D0A64"/>
    <w:rsid w:val="004D17E6"/>
    <w:rsid w:val="004D2B33"/>
    <w:rsid w:val="004D2FD4"/>
    <w:rsid w:val="004D5ABC"/>
    <w:rsid w:val="004D6064"/>
    <w:rsid w:val="004D621A"/>
    <w:rsid w:val="004D76BA"/>
    <w:rsid w:val="004E2A2E"/>
    <w:rsid w:val="004E3903"/>
    <w:rsid w:val="004E4BCD"/>
    <w:rsid w:val="004E5323"/>
    <w:rsid w:val="004E5BD0"/>
    <w:rsid w:val="004E724E"/>
    <w:rsid w:val="004F0A44"/>
    <w:rsid w:val="004F1017"/>
    <w:rsid w:val="004F109F"/>
    <w:rsid w:val="004F15F4"/>
    <w:rsid w:val="004F3C9E"/>
    <w:rsid w:val="004F47F4"/>
    <w:rsid w:val="004F4F39"/>
    <w:rsid w:val="004F5047"/>
    <w:rsid w:val="004F60DF"/>
    <w:rsid w:val="004F6F3F"/>
    <w:rsid w:val="004F7A4F"/>
    <w:rsid w:val="004F7E44"/>
    <w:rsid w:val="005006C4"/>
    <w:rsid w:val="005008E8"/>
    <w:rsid w:val="00500C58"/>
    <w:rsid w:val="00502169"/>
    <w:rsid w:val="00502284"/>
    <w:rsid w:val="005029F4"/>
    <w:rsid w:val="00503469"/>
    <w:rsid w:val="0050435C"/>
    <w:rsid w:val="0050564E"/>
    <w:rsid w:val="00505DEA"/>
    <w:rsid w:val="00506097"/>
    <w:rsid w:val="00510127"/>
    <w:rsid w:val="00513355"/>
    <w:rsid w:val="00520961"/>
    <w:rsid w:val="0052274C"/>
    <w:rsid w:val="00522C2E"/>
    <w:rsid w:val="0052445C"/>
    <w:rsid w:val="00525783"/>
    <w:rsid w:val="00526CF9"/>
    <w:rsid w:val="005271FD"/>
    <w:rsid w:val="005279A4"/>
    <w:rsid w:val="00527F78"/>
    <w:rsid w:val="005316EA"/>
    <w:rsid w:val="0053270E"/>
    <w:rsid w:val="005351BA"/>
    <w:rsid w:val="0053563A"/>
    <w:rsid w:val="005367A9"/>
    <w:rsid w:val="00540A1F"/>
    <w:rsid w:val="00540CF0"/>
    <w:rsid w:val="00541D13"/>
    <w:rsid w:val="00542122"/>
    <w:rsid w:val="005440DB"/>
    <w:rsid w:val="005446A6"/>
    <w:rsid w:val="00544A1D"/>
    <w:rsid w:val="00546560"/>
    <w:rsid w:val="005467AC"/>
    <w:rsid w:val="0054782A"/>
    <w:rsid w:val="00550114"/>
    <w:rsid w:val="0055155F"/>
    <w:rsid w:val="005533AE"/>
    <w:rsid w:val="00553DBD"/>
    <w:rsid w:val="00555B98"/>
    <w:rsid w:val="00555EE5"/>
    <w:rsid w:val="0055738B"/>
    <w:rsid w:val="005613B3"/>
    <w:rsid w:val="00563CF5"/>
    <w:rsid w:val="0056407C"/>
    <w:rsid w:val="005643FC"/>
    <w:rsid w:val="00564FA6"/>
    <w:rsid w:val="00566BA5"/>
    <w:rsid w:val="00566CC1"/>
    <w:rsid w:val="00567C07"/>
    <w:rsid w:val="005771D7"/>
    <w:rsid w:val="005778D8"/>
    <w:rsid w:val="00577F91"/>
    <w:rsid w:val="00581A01"/>
    <w:rsid w:val="00586B86"/>
    <w:rsid w:val="005910E2"/>
    <w:rsid w:val="005911D9"/>
    <w:rsid w:val="00591763"/>
    <w:rsid w:val="005928F1"/>
    <w:rsid w:val="00592B2D"/>
    <w:rsid w:val="00595022"/>
    <w:rsid w:val="005950F1"/>
    <w:rsid w:val="005956FC"/>
    <w:rsid w:val="00597E09"/>
    <w:rsid w:val="005A033D"/>
    <w:rsid w:val="005A062F"/>
    <w:rsid w:val="005A09D1"/>
    <w:rsid w:val="005A6B8A"/>
    <w:rsid w:val="005B0810"/>
    <w:rsid w:val="005B26FF"/>
    <w:rsid w:val="005B380D"/>
    <w:rsid w:val="005B40CF"/>
    <w:rsid w:val="005B7BB0"/>
    <w:rsid w:val="005C1574"/>
    <w:rsid w:val="005C162C"/>
    <w:rsid w:val="005C2D72"/>
    <w:rsid w:val="005C35A2"/>
    <w:rsid w:val="005C6B8B"/>
    <w:rsid w:val="005C7B97"/>
    <w:rsid w:val="005D02B1"/>
    <w:rsid w:val="005D180A"/>
    <w:rsid w:val="005D24D2"/>
    <w:rsid w:val="005D2D3A"/>
    <w:rsid w:val="005D340A"/>
    <w:rsid w:val="005D481D"/>
    <w:rsid w:val="005D534B"/>
    <w:rsid w:val="005D5C87"/>
    <w:rsid w:val="005E05F9"/>
    <w:rsid w:val="005E0907"/>
    <w:rsid w:val="005E2704"/>
    <w:rsid w:val="005E2A69"/>
    <w:rsid w:val="005E3014"/>
    <w:rsid w:val="005E351F"/>
    <w:rsid w:val="005E4A1B"/>
    <w:rsid w:val="005E5525"/>
    <w:rsid w:val="005E717E"/>
    <w:rsid w:val="005E7A50"/>
    <w:rsid w:val="005F0550"/>
    <w:rsid w:val="005F1633"/>
    <w:rsid w:val="005F4276"/>
    <w:rsid w:val="005F502A"/>
    <w:rsid w:val="005F643D"/>
    <w:rsid w:val="005F66F3"/>
    <w:rsid w:val="00600CD6"/>
    <w:rsid w:val="00602423"/>
    <w:rsid w:val="006027D7"/>
    <w:rsid w:val="0060352C"/>
    <w:rsid w:val="00603972"/>
    <w:rsid w:val="006064B3"/>
    <w:rsid w:val="00607967"/>
    <w:rsid w:val="00610DAA"/>
    <w:rsid w:val="006121C2"/>
    <w:rsid w:val="006129F8"/>
    <w:rsid w:val="00612B29"/>
    <w:rsid w:val="00613E2D"/>
    <w:rsid w:val="0061605C"/>
    <w:rsid w:val="006167E3"/>
    <w:rsid w:val="00621CB7"/>
    <w:rsid w:val="00623B82"/>
    <w:rsid w:val="00624708"/>
    <w:rsid w:val="00624CF6"/>
    <w:rsid w:val="00624DFA"/>
    <w:rsid w:val="00626164"/>
    <w:rsid w:val="006320A3"/>
    <w:rsid w:val="00636CAD"/>
    <w:rsid w:val="00637D5E"/>
    <w:rsid w:val="00640FAD"/>
    <w:rsid w:val="00641884"/>
    <w:rsid w:val="006418BA"/>
    <w:rsid w:val="0064291C"/>
    <w:rsid w:val="00643381"/>
    <w:rsid w:val="00643F5A"/>
    <w:rsid w:val="00645E06"/>
    <w:rsid w:val="006462D4"/>
    <w:rsid w:val="0065189E"/>
    <w:rsid w:val="00652F34"/>
    <w:rsid w:val="00655E36"/>
    <w:rsid w:val="00656472"/>
    <w:rsid w:val="00656B20"/>
    <w:rsid w:val="00661094"/>
    <w:rsid w:val="00661AF9"/>
    <w:rsid w:val="006620F9"/>
    <w:rsid w:val="00662E39"/>
    <w:rsid w:val="00662EE8"/>
    <w:rsid w:val="00662FAB"/>
    <w:rsid w:val="00664CEF"/>
    <w:rsid w:val="006666F0"/>
    <w:rsid w:val="00666E75"/>
    <w:rsid w:val="00671AE7"/>
    <w:rsid w:val="00672087"/>
    <w:rsid w:val="00675001"/>
    <w:rsid w:val="006750BB"/>
    <w:rsid w:val="0067576F"/>
    <w:rsid w:val="00677134"/>
    <w:rsid w:val="00680035"/>
    <w:rsid w:val="00683714"/>
    <w:rsid w:val="00685B75"/>
    <w:rsid w:val="006860DF"/>
    <w:rsid w:val="00686160"/>
    <w:rsid w:val="00686ACB"/>
    <w:rsid w:val="00686E0E"/>
    <w:rsid w:val="00691B1E"/>
    <w:rsid w:val="0069243F"/>
    <w:rsid w:val="0069536E"/>
    <w:rsid w:val="00696F15"/>
    <w:rsid w:val="006A0E9D"/>
    <w:rsid w:val="006A17D1"/>
    <w:rsid w:val="006A208C"/>
    <w:rsid w:val="006A3626"/>
    <w:rsid w:val="006A3E79"/>
    <w:rsid w:val="006A4819"/>
    <w:rsid w:val="006A5B96"/>
    <w:rsid w:val="006A6A52"/>
    <w:rsid w:val="006A79C7"/>
    <w:rsid w:val="006B06A1"/>
    <w:rsid w:val="006B16B5"/>
    <w:rsid w:val="006B42F7"/>
    <w:rsid w:val="006B6917"/>
    <w:rsid w:val="006C1E6D"/>
    <w:rsid w:val="006C31D8"/>
    <w:rsid w:val="006C6590"/>
    <w:rsid w:val="006C6F00"/>
    <w:rsid w:val="006C7D78"/>
    <w:rsid w:val="006D112B"/>
    <w:rsid w:val="006D1910"/>
    <w:rsid w:val="006D1E0E"/>
    <w:rsid w:val="006D3661"/>
    <w:rsid w:val="006D3A92"/>
    <w:rsid w:val="006D5369"/>
    <w:rsid w:val="006D53DD"/>
    <w:rsid w:val="006D57F7"/>
    <w:rsid w:val="006D7177"/>
    <w:rsid w:val="006D769D"/>
    <w:rsid w:val="006D7F59"/>
    <w:rsid w:val="006E29B5"/>
    <w:rsid w:val="006E5F92"/>
    <w:rsid w:val="006E603B"/>
    <w:rsid w:val="006E66F6"/>
    <w:rsid w:val="006E70CF"/>
    <w:rsid w:val="006E7280"/>
    <w:rsid w:val="006E7EC5"/>
    <w:rsid w:val="006F14E7"/>
    <w:rsid w:val="006F2915"/>
    <w:rsid w:val="006F33C7"/>
    <w:rsid w:val="006F6088"/>
    <w:rsid w:val="006F6111"/>
    <w:rsid w:val="006F765A"/>
    <w:rsid w:val="007004DA"/>
    <w:rsid w:val="00700588"/>
    <w:rsid w:val="00701354"/>
    <w:rsid w:val="0070289A"/>
    <w:rsid w:val="00702FF6"/>
    <w:rsid w:val="00703A48"/>
    <w:rsid w:val="00706297"/>
    <w:rsid w:val="00706EB4"/>
    <w:rsid w:val="007075B5"/>
    <w:rsid w:val="007103A6"/>
    <w:rsid w:val="00710A4D"/>
    <w:rsid w:val="00712A79"/>
    <w:rsid w:val="0071377F"/>
    <w:rsid w:val="00715764"/>
    <w:rsid w:val="00717E33"/>
    <w:rsid w:val="0072054A"/>
    <w:rsid w:val="00721A59"/>
    <w:rsid w:val="007230C3"/>
    <w:rsid w:val="00723909"/>
    <w:rsid w:val="0072454B"/>
    <w:rsid w:val="00727AB1"/>
    <w:rsid w:val="00730C8E"/>
    <w:rsid w:val="007336AC"/>
    <w:rsid w:val="00733AD9"/>
    <w:rsid w:val="00734422"/>
    <w:rsid w:val="0073551C"/>
    <w:rsid w:val="00736EF4"/>
    <w:rsid w:val="00741626"/>
    <w:rsid w:val="0074279C"/>
    <w:rsid w:val="00743C19"/>
    <w:rsid w:val="007449FE"/>
    <w:rsid w:val="0074577B"/>
    <w:rsid w:val="0074626A"/>
    <w:rsid w:val="007469A9"/>
    <w:rsid w:val="00746C27"/>
    <w:rsid w:val="00747F11"/>
    <w:rsid w:val="007540E3"/>
    <w:rsid w:val="0075468F"/>
    <w:rsid w:val="0075518F"/>
    <w:rsid w:val="007559A9"/>
    <w:rsid w:val="00756FF8"/>
    <w:rsid w:val="00757613"/>
    <w:rsid w:val="0076144A"/>
    <w:rsid w:val="00762783"/>
    <w:rsid w:val="0076373E"/>
    <w:rsid w:val="00764F61"/>
    <w:rsid w:val="0076511B"/>
    <w:rsid w:val="00765431"/>
    <w:rsid w:val="007672FC"/>
    <w:rsid w:val="0076757E"/>
    <w:rsid w:val="00770B56"/>
    <w:rsid w:val="00770CDB"/>
    <w:rsid w:val="0077133F"/>
    <w:rsid w:val="0077317D"/>
    <w:rsid w:val="00773F49"/>
    <w:rsid w:val="00775361"/>
    <w:rsid w:val="00775D04"/>
    <w:rsid w:val="00775F49"/>
    <w:rsid w:val="00783105"/>
    <w:rsid w:val="00785DA9"/>
    <w:rsid w:val="007868A2"/>
    <w:rsid w:val="00786978"/>
    <w:rsid w:val="007871BE"/>
    <w:rsid w:val="0078755A"/>
    <w:rsid w:val="007904F4"/>
    <w:rsid w:val="00791CAF"/>
    <w:rsid w:val="007937C0"/>
    <w:rsid w:val="0079539C"/>
    <w:rsid w:val="00797CA2"/>
    <w:rsid w:val="007A02F1"/>
    <w:rsid w:val="007A15FF"/>
    <w:rsid w:val="007A1C2C"/>
    <w:rsid w:val="007A27D9"/>
    <w:rsid w:val="007A2B2C"/>
    <w:rsid w:val="007A363B"/>
    <w:rsid w:val="007A3FFD"/>
    <w:rsid w:val="007A4AFC"/>
    <w:rsid w:val="007A6278"/>
    <w:rsid w:val="007B0BE2"/>
    <w:rsid w:val="007B11C0"/>
    <w:rsid w:val="007B1552"/>
    <w:rsid w:val="007B40BF"/>
    <w:rsid w:val="007B65ED"/>
    <w:rsid w:val="007B6D9C"/>
    <w:rsid w:val="007B7A1E"/>
    <w:rsid w:val="007B7CE4"/>
    <w:rsid w:val="007B7F1F"/>
    <w:rsid w:val="007C19BE"/>
    <w:rsid w:val="007C2660"/>
    <w:rsid w:val="007C37CA"/>
    <w:rsid w:val="007C3A46"/>
    <w:rsid w:val="007C472E"/>
    <w:rsid w:val="007C4F7B"/>
    <w:rsid w:val="007C5065"/>
    <w:rsid w:val="007C5968"/>
    <w:rsid w:val="007C5FB0"/>
    <w:rsid w:val="007C6A8D"/>
    <w:rsid w:val="007C6AB4"/>
    <w:rsid w:val="007C727A"/>
    <w:rsid w:val="007D0547"/>
    <w:rsid w:val="007D064E"/>
    <w:rsid w:val="007D2605"/>
    <w:rsid w:val="007D267E"/>
    <w:rsid w:val="007D2A5F"/>
    <w:rsid w:val="007D2C78"/>
    <w:rsid w:val="007D316D"/>
    <w:rsid w:val="007D4061"/>
    <w:rsid w:val="007D4ABE"/>
    <w:rsid w:val="007D5CF7"/>
    <w:rsid w:val="007D5DD5"/>
    <w:rsid w:val="007D7850"/>
    <w:rsid w:val="007E0A05"/>
    <w:rsid w:val="007E1356"/>
    <w:rsid w:val="007E1ED5"/>
    <w:rsid w:val="007E2A90"/>
    <w:rsid w:val="007E3607"/>
    <w:rsid w:val="007E366E"/>
    <w:rsid w:val="007E6356"/>
    <w:rsid w:val="007E6B8A"/>
    <w:rsid w:val="007F02A4"/>
    <w:rsid w:val="007F2973"/>
    <w:rsid w:val="007F6168"/>
    <w:rsid w:val="007F6DC3"/>
    <w:rsid w:val="007F77A4"/>
    <w:rsid w:val="00800F1D"/>
    <w:rsid w:val="008045B1"/>
    <w:rsid w:val="00804B53"/>
    <w:rsid w:val="00805A87"/>
    <w:rsid w:val="00805C91"/>
    <w:rsid w:val="0080644D"/>
    <w:rsid w:val="00807C3A"/>
    <w:rsid w:val="00810FF3"/>
    <w:rsid w:val="00812A8C"/>
    <w:rsid w:val="00813F4C"/>
    <w:rsid w:val="00814B72"/>
    <w:rsid w:val="00815D66"/>
    <w:rsid w:val="00816329"/>
    <w:rsid w:val="008167CF"/>
    <w:rsid w:val="00820425"/>
    <w:rsid w:val="00821075"/>
    <w:rsid w:val="00822642"/>
    <w:rsid w:val="00822DA8"/>
    <w:rsid w:val="00825E4C"/>
    <w:rsid w:val="00830A0E"/>
    <w:rsid w:val="00830B7A"/>
    <w:rsid w:val="008320E1"/>
    <w:rsid w:val="008324C8"/>
    <w:rsid w:val="00835BC4"/>
    <w:rsid w:val="008364AB"/>
    <w:rsid w:val="00837FD3"/>
    <w:rsid w:val="00840AE1"/>
    <w:rsid w:val="00840DCF"/>
    <w:rsid w:val="00840FCC"/>
    <w:rsid w:val="00841431"/>
    <w:rsid w:val="00841B74"/>
    <w:rsid w:val="0084255A"/>
    <w:rsid w:val="008436D4"/>
    <w:rsid w:val="00844B93"/>
    <w:rsid w:val="00844F69"/>
    <w:rsid w:val="00845017"/>
    <w:rsid w:val="00845611"/>
    <w:rsid w:val="00847E4D"/>
    <w:rsid w:val="0085062D"/>
    <w:rsid w:val="00850969"/>
    <w:rsid w:val="00851473"/>
    <w:rsid w:val="008528BC"/>
    <w:rsid w:val="00853D16"/>
    <w:rsid w:val="0085421D"/>
    <w:rsid w:val="00854D29"/>
    <w:rsid w:val="00855732"/>
    <w:rsid w:val="0085597A"/>
    <w:rsid w:val="00856494"/>
    <w:rsid w:val="00856E29"/>
    <w:rsid w:val="00856FD1"/>
    <w:rsid w:val="00857E55"/>
    <w:rsid w:val="00860822"/>
    <w:rsid w:val="00861843"/>
    <w:rsid w:val="00864950"/>
    <w:rsid w:val="00865694"/>
    <w:rsid w:val="0086591E"/>
    <w:rsid w:val="00866442"/>
    <w:rsid w:val="00870344"/>
    <w:rsid w:val="008706A3"/>
    <w:rsid w:val="0087182C"/>
    <w:rsid w:val="008721E6"/>
    <w:rsid w:val="00872565"/>
    <w:rsid w:val="00872B47"/>
    <w:rsid w:val="00872C71"/>
    <w:rsid w:val="00873938"/>
    <w:rsid w:val="00873CF0"/>
    <w:rsid w:val="00873D50"/>
    <w:rsid w:val="00874FA5"/>
    <w:rsid w:val="008753AC"/>
    <w:rsid w:val="00876F62"/>
    <w:rsid w:val="00880232"/>
    <w:rsid w:val="008806FC"/>
    <w:rsid w:val="00880E62"/>
    <w:rsid w:val="00883216"/>
    <w:rsid w:val="00883795"/>
    <w:rsid w:val="0088404A"/>
    <w:rsid w:val="008859FD"/>
    <w:rsid w:val="0088672E"/>
    <w:rsid w:val="008872EE"/>
    <w:rsid w:val="00887942"/>
    <w:rsid w:val="008934C8"/>
    <w:rsid w:val="00893B95"/>
    <w:rsid w:val="00893D3D"/>
    <w:rsid w:val="00895DC0"/>
    <w:rsid w:val="00896E7D"/>
    <w:rsid w:val="00897184"/>
    <w:rsid w:val="008971AA"/>
    <w:rsid w:val="00897236"/>
    <w:rsid w:val="0089737B"/>
    <w:rsid w:val="008A17E3"/>
    <w:rsid w:val="008A2565"/>
    <w:rsid w:val="008A4E1B"/>
    <w:rsid w:val="008A5C15"/>
    <w:rsid w:val="008A6400"/>
    <w:rsid w:val="008A6DCE"/>
    <w:rsid w:val="008B0A53"/>
    <w:rsid w:val="008B1852"/>
    <w:rsid w:val="008B1E02"/>
    <w:rsid w:val="008B2F5E"/>
    <w:rsid w:val="008B4117"/>
    <w:rsid w:val="008B454B"/>
    <w:rsid w:val="008B4804"/>
    <w:rsid w:val="008B6005"/>
    <w:rsid w:val="008B676E"/>
    <w:rsid w:val="008B6A7C"/>
    <w:rsid w:val="008B6BB5"/>
    <w:rsid w:val="008B7A0B"/>
    <w:rsid w:val="008C64D5"/>
    <w:rsid w:val="008C6F85"/>
    <w:rsid w:val="008C7C14"/>
    <w:rsid w:val="008D00A8"/>
    <w:rsid w:val="008D0328"/>
    <w:rsid w:val="008D2DC9"/>
    <w:rsid w:val="008D3608"/>
    <w:rsid w:val="008D394A"/>
    <w:rsid w:val="008D5485"/>
    <w:rsid w:val="008D6245"/>
    <w:rsid w:val="008E1F3D"/>
    <w:rsid w:val="008E36DC"/>
    <w:rsid w:val="008E6751"/>
    <w:rsid w:val="008F09B0"/>
    <w:rsid w:val="008F0E84"/>
    <w:rsid w:val="008F1E0A"/>
    <w:rsid w:val="008F2872"/>
    <w:rsid w:val="008F5C71"/>
    <w:rsid w:val="008F6819"/>
    <w:rsid w:val="008F6FFE"/>
    <w:rsid w:val="008F7018"/>
    <w:rsid w:val="00900ADB"/>
    <w:rsid w:val="0090231F"/>
    <w:rsid w:val="00902694"/>
    <w:rsid w:val="00902C1A"/>
    <w:rsid w:val="00903EA3"/>
    <w:rsid w:val="00905478"/>
    <w:rsid w:val="00906EC5"/>
    <w:rsid w:val="00906F39"/>
    <w:rsid w:val="0090765F"/>
    <w:rsid w:val="009108FE"/>
    <w:rsid w:val="0091121E"/>
    <w:rsid w:val="00911810"/>
    <w:rsid w:val="0091197D"/>
    <w:rsid w:val="009143F4"/>
    <w:rsid w:val="00915381"/>
    <w:rsid w:val="009156F8"/>
    <w:rsid w:val="009164CE"/>
    <w:rsid w:val="00916AE2"/>
    <w:rsid w:val="00920D24"/>
    <w:rsid w:val="009210BB"/>
    <w:rsid w:val="00921B85"/>
    <w:rsid w:val="00922AD4"/>
    <w:rsid w:val="00923341"/>
    <w:rsid w:val="00924DFB"/>
    <w:rsid w:val="009258AB"/>
    <w:rsid w:val="00926D16"/>
    <w:rsid w:val="0093150A"/>
    <w:rsid w:val="009334E5"/>
    <w:rsid w:val="00934BD8"/>
    <w:rsid w:val="00935546"/>
    <w:rsid w:val="0093623D"/>
    <w:rsid w:val="009366F8"/>
    <w:rsid w:val="0094006F"/>
    <w:rsid w:val="00940A8F"/>
    <w:rsid w:val="00941F7C"/>
    <w:rsid w:val="0094226F"/>
    <w:rsid w:val="0094256C"/>
    <w:rsid w:val="00942963"/>
    <w:rsid w:val="00943162"/>
    <w:rsid w:val="00943464"/>
    <w:rsid w:val="00943CB2"/>
    <w:rsid w:val="00944456"/>
    <w:rsid w:val="00947EF7"/>
    <w:rsid w:val="0095010D"/>
    <w:rsid w:val="009542F2"/>
    <w:rsid w:val="00954A53"/>
    <w:rsid w:val="00955073"/>
    <w:rsid w:val="00956C00"/>
    <w:rsid w:val="0095762F"/>
    <w:rsid w:val="009612CE"/>
    <w:rsid w:val="009619D1"/>
    <w:rsid w:val="009630C1"/>
    <w:rsid w:val="009631B3"/>
    <w:rsid w:val="00964DDD"/>
    <w:rsid w:val="00965BD4"/>
    <w:rsid w:val="00966BE5"/>
    <w:rsid w:val="009670EA"/>
    <w:rsid w:val="009701A5"/>
    <w:rsid w:val="009706BC"/>
    <w:rsid w:val="009708BB"/>
    <w:rsid w:val="00970CB3"/>
    <w:rsid w:val="00971EFE"/>
    <w:rsid w:val="0097278F"/>
    <w:rsid w:val="00972C40"/>
    <w:rsid w:val="00973951"/>
    <w:rsid w:val="00973DC5"/>
    <w:rsid w:val="009741DA"/>
    <w:rsid w:val="00975845"/>
    <w:rsid w:val="00976443"/>
    <w:rsid w:val="00976528"/>
    <w:rsid w:val="00980571"/>
    <w:rsid w:val="009861D2"/>
    <w:rsid w:val="00987F11"/>
    <w:rsid w:val="009925E8"/>
    <w:rsid w:val="00992A65"/>
    <w:rsid w:val="00993B00"/>
    <w:rsid w:val="009954D0"/>
    <w:rsid w:val="00995DDF"/>
    <w:rsid w:val="00996AB3"/>
    <w:rsid w:val="00997007"/>
    <w:rsid w:val="00997D73"/>
    <w:rsid w:val="009A0356"/>
    <w:rsid w:val="009A107F"/>
    <w:rsid w:val="009A2175"/>
    <w:rsid w:val="009A2406"/>
    <w:rsid w:val="009A29D1"/>
    <w:rsid w:val="009A3B66"/>
    <w:rsid w:val="009A3B80"/>
    <w:rsid w:val="009A3D43"/>
    <w:rsid w:val="009A4B31"/>
    <w:rsid w:val="009A5272"/>
    <w:rsid w:val="009A782C"/>
    <w:rsid w:val="009A78E4"/>
    <w:rsid w:val="009B041E"/>
    <w:rsid w:val="009B047A"/>
    <w:rsid w:val="009B065C"/>
    <w:rsid w:val="009B2534"/>
    <w:rsid w:val="009B312F"/>
    <w:rsid w:val="009B39CA"/>
    <w:rsid w:val="009B4970"/>
    <w:rsid w:val="009B540C"/>
    <w:rsid w:val="009B587A"/>
    <w:rsid w:val="009B5F76"/>
    <w:rsid w:val="009B6576"/>
    <w:rsid w:val="009C021E"/>
    <w:rsid w:val="009C0BF5"/>
    <w:rsid w:val="009C24A6"/>
    <w:rsid w:val="009C60CD"/>
    <w:rsid w:val="009D37C0"/>
    <w:rsid w:val="009D39B1"/>
    <w:rsid w:val="009D4863"/>
    <w:rsid w:val="009D4FF6"/>
    <w:rsid w:val="009D71BD"/>
    <w:rsid w:val="009E0193"/>
    <w:rsid w:val="009E0382"/>
    <w:rsid w:val="009E0D4B"/>
    <w:rsid w:val="009E16FA"/>
    <w:rsid w:val="009E1758"/>
    <w:rsid w:val="009E393B"/>
    <w:rsid w:val="009E6F49"/>
    <w:rsid w:val="009E728A"/>
    <w:rsid w:val="009E79AE"/>
    <w:rsid w:val="009F3C44"/>
    <w:rsid w:val="009F3E02"/>
    <w:rsid w:val="009F4E52"/>
    <w:rsid w:val="009F547E"/>
    <w:rsid w:val="009F549D"/>
    <w:rsid w:val="009F5C8B"/>
    <w:rsid w:val="009F6058"/>
    <w:rsid w:val="009F65BD"/>
    <w:rsid w:val="009F7896"/>
    <w:rsid w:val="00A006DD"/>
    <w:rsid w:val="00A00AFF"/>
    <w:rsid w:val="00A01125"/>
    <w:rsid w:val="00A02976"/>
    <w:rsid w:val="00A040E8"/>
    <w:rsid w:val="00A06681"/>
    <w:rsid w:val="00A10036"/>
    <w:rsid w:val="00A10A90"/>
    <w:rsid w:val="00A10D89"/>
    <w:rsid w:val="00A11E3B"/>
    <w:rsid w:val="00A12D45"/>
    <w:rsid w:val="00A1306E"/>
    <w:rsid w:val="00A13BF3"/>
    <w:rsid w:val="00A169C9"/>
    <w:rsid w:val="00A23E50"/>
    <w:rsid w:val="00A24290"/>
    <w:rsid w:val="00A251B1"/>
    <w:rsid w:val="00A25416"/>
    <w:rsid w:val="00A27027"/>
    <w:rsid w:val="00A27EF6"/>
    <w:rsid w:val="00A30181"/>
    <w:rsid w:val="00A309B8"/>
    <w:rsid w:val="00A311B4"/>
    <w:rsid w:val="00A3121D"/>
    <w:rsid w:val="00A32AF7"/>
    <w:rsid w:val="00A34A30"/>
    <w:rsid w:val="00A35823"/>
    <w:rsid w:val="00A35FE0"/>
    <w:rsid w:val="00A4007D"/>
    <w:rsid w:val="00A401C8"/>
    <w:rsid w:val="00A45298"/>
    <w:rsid w:val="00A463C1"/>
    <w:rsid w:val="00A47122"/>
    <w:rsid w:val="00A50740"/>
    <w:rsid w:val="00A50C62"/>
    <w:rsid w:val="00A516E7"/>
    <w:rsid w:val="00A51E43"/>
    <w:rsid w:val="00A51ED5"/>
    <w:rsid w:val="00A51F27"/>
    <w:rsid w:val="00A51F47"/>
    <w:rsid w:val="00A5481C"/>
    <w:rsid w:val="00A56AD0"/>
    <w:rsid w:val="00A56EA8"/>
    <w:rsid w:val="00A57A8E"/>
    <w:rsid w:val="00A60BF1"/>
    <w:rsid w:val="00A60CB2"/>
    <w:rsid w:val="00A63C54"/>
    <w:rsid w:val="00A63CAF"/>
    <w:rsid w:val="00A64D91"/>
    <w:rsid w:val="00A64EE8"/>
    <w:rsid w:val="00A66FC3"/>
    <w:rsid w:val="00A67BCD"/>
    <w:rsid w:val="00A7044A"/>
    <w:rsid w:val="00A707D4"/>
    <w:rsid w:val="00A723EC"/>
    <w:rsid w:val="00A738D3"/>
    <w:rsid w:val="00A74A4D"/>
    <w:rsid w:val="00A74C42"/>
    <w:rsid w:val="00A77AB8"/>
    <w:rsid w:val="00A77BEB"/>
    <w:rsid w:val="00A81C5B"/>
    <w:rsid w:val="00A828A1"/>
    <w:rsid w:val="00A83949"/>
    <w:rsid w:val="00A83A73"/>
    <w:rsid w:val="00A83DF0"/>
    <w:rsid w:val="00A840D2"/>
    <w:rsid w:val="00A86074"/>
    <w:rsid w:val="00A863FB"/>
    <w:rsid w:val="00A873F9"/>
    <w:rsid w:val="00A920B6"/>
    <w:rsid w:val="00A92310"/>
    <w:rsid w:val="00A954DF"/>
    <w:rsid w:val="00A955EC"/>
    <w:rsid w:val="00A9585B"/>
    <w:rsid w:val="00AA05B6"/>
    <w:rsid w:val="00AA157A"/>
    <w:rsid w:val="00AA275F"/>
    <w:rsid w:val="00AA2D12"/>
    <w:rsid w:val="00AA3429"/>
    <w:rsid w:val="00AA38FA"/>
    <w:rsid w:val="00AA3EAA"/>
    <w:rsid w:val="00AA4B30"/>
    <w:rsid w:val="00AA59A1"/>
    <w:rsid w:val="00AA7228"/>
    <w:rsid w:val="00AB08C0"/>
    <w:rsid w:val="00AB444C"/>
    <w:rsid w:val="00AB46D0"/>
    <w:rsid w:val="00AC0B5B"/>
    <w:rsid w:val="00AC0EDB"/>
    <w:rsid w:val="00AC38CE"/>
    <w:rsid w:val="00AC4A48"/>
    <w:rsid w:val="00AC5708"/>
    <w:rsid w:val="00AC5DD3"/>
    <w:rsid w:val="00AC6988"/>
    <w:rsid w:val="00AC698E"/>
    <w:rsid w:val="00AC6D22"/>
    <w:rsid w:val="00AC7F2A"/>
    <w:rsid w:val="00AD0D22"/>
    <w:rsid w:val="00AD2DE2"/>
    <w:rsid w:val="00AD49F0"/>
    <w:rsid w:val="00AD5A9B"/>
    <w:rsid w:val="00AD5AD0"/>
    <w:rsid w:val="00AD6ECA"/>
    <w:rsid w:val="00AE2579"/>
    <w:rsid w:val="00AE3C9A"/>
    <w:rsid w:val="00AE527D"/>
    <w:rsid w:val="00AE62DF"/>
    <w:rsid w:val="00AE6C84"/>
    <w:rsid w:val="00AE762F"/>
    <w:rsid w:val="00AE7652"/>
    <w:rsid w:val="00AF0028"/>
    <w:rsid w:val="00AF076C"/>
    <w:rsid w:val="00AF1850"/>
    <w:rsid w:val="00AF3DB1"/>
    <w:rsid w:val="00AF4B10"/>
    <w:rsid w:val="00AF60F8"/>
    <w:rsid w:val="00B00B56"/>
    <w:rsid w:val="00B01601"/>
    <w:rsid w:val="00B01BBA"/>
    <w:rsid w:val="00B03E7E"/>
    <w:rsid w:val="00B069AD"/>
    <w:rsid w:val="00B06C44"/>
    <w:rsid w:val="00B07E92"/>
    <w:rsid w:val="00B103D8"/>
    <w:rsid w:val="00B1286F"/>
    <w:rsid w:val="00B12B0A"/>
    <w:rsid w:val="00B14726"/>
    <w:rsid w:val="00B147F9"/>
    <w:rsid w:val="00B1665F"/>
    <w:rsid w:val="00B173C8"/>
    <w:rsid w:val="00B1788C"/>
    <w:rsid w:val="00B17897"/>
    <w:rsid w:val="00B210D0"/>
    <w:rsid w:val="00B3046D"/>
    <w:rsid w:val="00B3102B"/>
    <w:rsid w:val="00B318DF"/>
    <w:rsid w:val="00B32C46"/>
    <w:rsid w:val="00B3310E"/>
    <w:rsid w:val="00B34C1B"/>
    <w:rsid w:val="00B351D2"/>
    <w:rsid w:val="00B354ED"/>
    <w:rsid w:val="00B35D50"/>
    <w:rsid w:val="00B36D06"/>
    <w:rsid w:val="00B37325"/>
    <w:rsid w:val="00B37981"/>
    <w:rsid w:val="00B40B7F"/>
    <w:rsid w:val="00B4293C"/>
    <w:rsid w:val="00B45497"/>
    <w:rsid w:val="00B46ACE"/>
    <w:rsid w:val="00B47F30"/>
    <w:rsid w:val="00B53222"/>
    <w:rsid w:val="00B57697"/>
    <w:rsid w:val="00B61B75"/>
    <w:rsid w:val="00B61CAD"/>
    <w:rsid w:val="00B6242E"/>
    <w:rsid w:val="00B6264E"/>
    <w:rsid w:val="00B656C3"/>
    <w:rsid w:val="00B6629B"/>
    <w:rsid w:val="00B701DF"/>
    <w:rsid w:val="00B705BD"/>
    <w:rsid w:val="00B71AD7"/>
    <w:rsid w:val="00B71AF6"/>
    <w:rsid w:val="00B72177"/>
    <w:rsid w:val="00B725AD"/>
    <w:rsid w:val="00B74916"/>
    <w:rsid w:val="00B74C05"/>
    <w:rsid w:val="00B7631B"/>
    <w:rsid w:val="00B771C9"/>
    <w:rsid w:val="00B82222"/>
    <w:rsid w:val="00B83E3A"/>
    <w:rsid w:val="00B844C4"/>
    <w:rsid w:val="00B850E7"/>
    <w:rsid w:val="00B860AD"/>
    <w:rsid w:val="00B920A9"/>
    <w:rsid w:val="00B944D5"/>
    <w:rsid w:val="00B95CD0"/>
    <w:rsid w:val="00B9620C"/>
    <w:rsid w:val="00B96FD7"/>
    <w:rsid w:val="00BA024D"/>
    <w:rsid w:val="00BA1A6F"/>
    <w:rsid w:val="00BA1A7D"/>
    <w:rsid w:val="00BA2725"/>
    <w:rsid w:val="00BA3BBC"/>
    <w:rsid w:val="00BA4CF2"/>
    <w:rsid w:val="00BA5382"/>
    <w:rsid w:val="00BA6BBE"/>
    <w:rsid w:val="00BA7ED0"/>
    <w:rsid w:val="00BB000D"/>
    <w:rsid w:val="00BB1AE3"/>
    <w:rsid w:val="00BB1B90"/>
    <w:rsid w:val="00BB2EC8"/>
    <w:rsid w:val="00BB3ADC"/>
    <w:rsid w:val="00BB428C"/>
    <w:rsid w:val="00BB4C2A"/>
    <w:rsid w:val="00BB5311"/>
    <w:rsid w:val="00BB56F6"/>
    <w:rsid w:val="00BB675F"/>
    <w:rsid w:val="00BB68EE"/>
    <w:rsid w:val="00BB743B"/>
    <w:rsid w:val="00BB7754"/>
    <w:rsid w:val="00BC3459"/>
    <w:rsid w:val="00BC3C4F"/>
    <w:rsid w:val="00BC4B63"/>
    <w:rsid w:val="00BC50F0"/>
    <w:rsid w:val="00BC5193"/>
    <w:rsid w:val="00BC5D1B"/>
    <w:rsid w:val="00BC5FDC"/>
    <w:rsid w:val="00BC736E"/>
    <w:rsid w:val="00BD0F1E"/>
    <w:rsid w:val="00BD11FE"/>
    <w:rsid w:val="00BD15AF"/>
    <w:rsid w:val="00BD1B70"/>
    <w:rsid w:val="00BD3E62"/>
    <w:rsid w:val="00BD4717"/>
    <w:rsid w:val="00BD5687"/>
    <w:rsid w:val="00BD5B69"/>
    <w:rsid w:val="00BD6051"/>
    <w:rsid w:val="00BE0C3C"/>
    <w:rsid w:val="00BE319E"/>
    <w:rsid w:val="00BE3B53"/>
    <w:rsid w:val="00BE471A"/>
    <w:rsid w:val="00BE4D60"/>
    <w:rsid w:val="00BE5D49"/>
    <w:rsid w:val="00BE6084"/>
    <w:rsid w:val="00BE778C"/>
    <w:rsid w:val="00BE7997"/>
    <w:rsid w:val="00BF4843"/>
    <w:rsid w:val="00BF4A19"/>
    <w:rsid w:val="00BF4FD6"/>
    <w:rsid w:val="00BF7DC4"/>
    <w:rsid w:val="00C019E8"/>
    <w:rsid w:val="00C030D6"/>
    <w:rsid w:val="00C03971"/>
    <w:rsid w:val="00C04264"/>
    <w:rsid w:val="00C054F9"/>
    <w:rsid w:val="00C11507"/>
    <w:rsid w:val="00C11A01"/>
    <w:rsid w:val="00C1236F"/>
    <w:rsid w:val="00C135E0"/>
    <w:rsid w:val="00C145D2"/>
    <w:rsid w:val="00C147C0"/>
    <w:rsid w:val="00C14871"/>
    <w:rsid w:val="00C148B1"/>
    <w:rsid w:val="00C17F05"/>
    <w:rsid w:val="00C21AF5"/>
    <w:rsid w:val="00C221A8"/>
    <w:rsid w:val="00C2368D"/>
    <w:rsid w:val="00C24252"/>
    <w:rsid w:val="00C24CBE"/>
    <w:rsid w:val="00C24DE6"/>
    <w:rsid w:val="00C252DF"/>
    <w:rsid w:val="00C268C3"/>
    <w:rsid w:val="00C27139"/>
    <w:rsid w:val="00C2785F"/>
    <w:rsid w:val="00C30D29"/>
    <w:rsid w:val="00C30F1A"/>
    <w:rsid w:val="00C31DDB"/>
    <w:rsid w:val="00C33093"/>
    <w:rsid w:val="00C3310E"/>
    <w:rsid w:val="00C33291"/>
    <w:rsid w:val="00C33DD1"/>
    <w:rsid w:val="00C33DFF"/>
    <w:rsid w:val="00C33ED9"/>
    <w:rsid w:val="00C35D42"/>
    <w:rsid w:val="00C36697"/>
    <w:rsid w:val="00C3689C"/>
    <w:rsid w:val="00C36A92"/>
    <w:rsid w:val="00C37C25"/>
    <w:rsid w:val="00C40477"/>
    <w:rsid w:val="00C41838"/>
    <w:rsid w:val="00C43B92"/>
    <w:rsid w:val="00C43E16"/>
    <w:rsid w:val="00C458DD"/>
    <w:rsid w:val="00C47609"/>
    <w:rsid w:val="00C47810"/>
    <w:rsid w:val="00C47CB7"/>
    <w:rsid w:val="00C5061A"/>
    <w:rsid w:val="00C50F43"/>
    <w:rsid w:val="00C51E00"/>
    <w:rsid w:val="00C526DB"/>
    <w:rsid w:val="00C52976"/>
    <w:rsid w:val="00C54CE0"/>
    <w:rsid w:val="00C55844"/>
    <w:rsid w:val="00C621C4"/>
    <w:rsid w:val="00C625DF"/>
    <w:rsid w:val="00C6311E"/>
    <w:rsid w:val="00C638BD"/>
    <w:rsid w:val="00C65012"/>
    <w:rsid w:val="00C655CF"/>
    <w:rsid w:val="00C6597B"/>
    <w:rsid w:val="00C67DFC"/>
    <w:rsid w:val="00C70FB1"/>
    <w:rsid w:val="00C7582D"/>
    <w:rsid w:val="00C75F7F"/>
    <w:rsid w:val="00C76676"/>
    <w:rsid w:val="00C76F14"/>
    <w:rsid w:val="00C77AC7"/>
    <w:rsid w:val="00C77AE2"/>
    <w:rsid w:val="00C8020B"/>
    <w:rsid w:val="00C8206D"/>
    <w:rsid w:val="00C829C4"/>
    <w:rsid w:val="00C84576"/>
    <w:rsid w:val="00C85300"/>
    <w:rsid w:val="00C86024"/>
    <w:rsid w:val="00C87DB6"/>
    <w:rsid w:val="00C922D6"/>
    <w:rsid w:val="00C9231A"/>
    <w:rsid w:val="00C92C31"/>
    <w:rsid w:val="00C93715"/>
    <w:rsid w:val="00C9560D"/>
    <w:rsid w:val="00C95E08"/>
    <w:rsid w:val="00CA054C"/>
    <w:rsid w:val="00CA08E5"/>
    <w:rsid w:val="00CA184B"/>
    <w:rsid w:val="00CA3326"/>
    <w:rsid w:val="00CA3A5A"/>
    <w:rsid w:val="00CA4CED"/>
    <w:rsid w:val="00CA5C92"/>
    <w:rsid w:val="00CA6A5F"/>
    <w:rsid w:val="00CA7457"/>
    <w:rsid w:val="00CA7CED"/>
    <w:rsid w:val="00CB0BD5"/>
    <w:rsid w:val="00CB1476"/>
    <w:rsid w:val="00CB21E9"/>
    <w:rsid w:val="00CB2780"/>
    <w:rsid w:val="00CB31CE"/>
    <w:rsid w:val="00CB4054"/>
    <w:rsid w:val="00CB4EF4"/>
    <w:rsid w:val="00CB670D"/>
    <w:rsid w:val="00CB70E4"/>
    <w:rsid w:val="00CC21E3"/>
    <w:rsid w:val="00CC3A8C"/>
    <w:rsid w:val="00CC3F5D"/>
    <w:rsid w:val="00CC711E"/>
    <w:rsid w:val="00CD0F43"/>
    <w:rsid w:val="00CD1D94"/>
    <w:rsid w:val="00CD2883"/>
    <w:rsid w:val="00CD4EA5"/>
    <w:rsid w:val="00CD59B0"/>
    <w:rsid w:val="00CD6544"/>
    <w:rsid w:val="00CD68AB"/>
    <w:rsid w:val="00CD7B44"/>
    <w:rsid w:val="00CE0F90"/>
    <w:rsid w:val="00CE4DC3"/>
    <w:rsid w:val="00CE5C6F"/>
    <w:rsid w:val="00CE6D22"/>
    <w:rsid w:val="00CF1D95"/>
    <w:rsid w:val="00CF480A"/>
    <w:rsid w:val="00CF5137"/>
    <w:rsid w:val="00CF5F78"/>
    <w:rsid w:val="00CF6347"/>
    <w:rsid w:val="00CF7811"/>
    <w:rsid w:val="00CF7FDF"/>
    <w:rsid w:val="00D00746"/>
    <w:rsid w:val="00D03A4A"/>
    <w:rsid w:val="00D06331"/>
    <w:rsid w:val="00D06F12"/>
    <w:rsid w:val="00D10B75"/>
    <w:rsid w:val="00D11191"/>
    <w:rsid w:val="00D111E7"/>
    <w:rsid w:val="00D1150B"/>
    <w:rsid w:val="00D11551"/>
    <w:rsid w:val="00D120E8"/>
    <w:rsid w:val="00D124F9"/>
    <w:rsid w:val="00D13BF8"/>
    <w:rsid w:val="00D14D2C"/>
    <w:rsid w:val="00D15AA7"/>
    <w:rsid w:val="00D15E5F"/>
    <w:rsid w:val="00D161B4"/>
    <w:rsid w:val="00D16A65"/>
    <w:rsid w:val="00D20043"/>
    <w:rsid w:val="00D20E4F"/>
    <w:rsid w:val="00D21332"/>
    <w:rsid w:val="00D21E63"/>
    <w:rsid w:val="00D2405A"/>
    <w:rsid w:val="00D27BD8"/>
    <w:rsid w:val="00D30F19"/>
    <w:rsid w:val="00D3307F"/>
    <w:rsid w:val="00D33C9C"/>
    <w:rsid w:val="00D3575F"/>
    <w:rsid w:val="00D367D9"/>
    <w:rsid w:val="00D372AB"/>
    <w:rsid w:val="00D415BA"/>
    <w:rsid w:val="00D431B4"/>
    <w:rsid w:val="00D444E6"/>
    <w:rsid w:val="00D45E85"/>
    <w:rsid w:val="00D50ABB"/>
    <w:rsid w:val="00D52816"/>
    <w:rsid w:val="00D5578A"/>
    <w:rsid w:val="00D56BCB"/>
    <w:rsid w:val="00D575C7"/>
    <w:rsid w:val="00D5768B"/>
    <w:rsid w:val="00D64CB4"/>
    <w:rsid w:val="00D64D7C"/>
    <w:rsid w:val="00D7029D"/>
    <w:rsid w:val="00D71223"/>
    <w:rsid w:val="00D72A23"/>
    <w:rsid w:val="00D72B37"/>
    <w:rsid w:val="00D73511"/>
    <w:rsid w:val="00D74D00"/>
    <w:rsid w:val="00D77894"/>
    <w:rsid w:val="00D77D4E"/>
    <w:rsid w:val="00D839DE"/>
    <w:rsid w:val="00D83BC8"/>
    <w:rsid w:val="00D85A53"/>
    <w:rsid w:val="00D872D7"/>
    <w:rsid w:val="00D87506"/>
    <w:rsid w:val="00D916E4"/>
    <w:rsid w:val="00D933F0"/>
    <w:rsid w:val="00D94882"/>
    <w:rsid w:val="00D967E2"/>
    <w:rsid w:val="00D97747"/>
    <w:rsid w:val="00D97A58"/>
    <w:rsid w:val="00DA00AD"/>
    <w:rsid w:val="00DA06C7"/>
    <w:rsid w:val="00DA34E9"/>
    <w:rsid w:val="00DA41DB"/>
    <w:rsid w:val="00DA42F3"/>
    <w:rsid w:val="00DA534E"/>
    <w:rsid w:val="00DA62DE"/>
    <w:rsid w:val="00DA7E9C"/>
    <w:rsid w:val="00DB29D3"/>
    <w:rsid w:val="00DB378A"/>
    <w:rsid w:val="00DB5336"/>
    <w:rsid w:val="00DB6C5A"/>
    <w:rsid w:val="00DB750F"/>
    <w:rsid w:val="00DC0B57"/>
    <w:rsid w:val="00DC1244"/>
    <w:rsid w:val="00DC23CF"/>
    <w:rsid w:val="00DC2546"/>
    <w:rsid w:val="00DC2861"/>
    <w:rsid w:val="00DC2A4D"/>
    <w:rsid w:val="00DC489A"/>
    <w:rsid w:val="00DC79C0"/>
    <w:rsid w:val="00DC7AB1"/>
    <w:rsid w:val="00DD1127"/>
    <w:rsid w:val="00DD1133"/>
    <w:rsid w:val="00DD39EA"/>
    <w:rsid w:val="00DD4217"/>
    <w:rsid w:val="00DD44EC"/>
    <w:rsid w:val="00DD545A"/>
    <w:rsid w:val="00DD5596"/>
    <w:rsid w:val="00DD64FD"/>
    <w:rsid w:val="00DD7133"/>
    <w:rsid w:val="00DE0156"/>
    <w:rsid w:val="00DE0175"/>
    <w:rsid w:val="00DE1F31"/>
    <w:rsid w:val="00DE3F92"/>
    <w:rsid w:val="00DE4548"/>
    <w:rsid w:val="00DE46ED"/>
    <w:rsid w:val="00DE4BAD"/>
    <w:rsid w:val="00DE4D6B"/>
    <w:rsid w:val="00DF0224"/>
    <w:rsid w:val="00DF21B5"/>
    <w:rsid w:val="00DF2B13"/>
    <w:rsid w:val="00DF3F23"/>
    <w:rsid w:val="00DF4C2B"/>
    <w:rsid w:val="00DF51DB"/>
    <w:rsid w:val="00DF52AB"/>
    <w:rsid w:val="00DF5EDD"/>
    <w:rsid w:val="00DF794B"/>
    <w:rsid w:val="00DF7FEA"/>
    <w:rsid w:val="00E00586"/>
    <w:rsid w:val="00E006E7"/>
    <w:rsid w:val="00E00E97"/>
    <w:rsid w:val="00E01033"/>
    <w:rsid w:val="00E01483"/>
    <w:rsid w:val="00E01819"/>
    <w:rsid w:val="00E01F12"/>
    <w:rsid w:val="00E02726"/>
    <w:rsid w:val="00E03203"/>
    <w:rsid w:val="00E033F3"/>
    <w:rsid w:val="00E03CF3"/>
    <w:rsid w:val="00E05475"/>
    <w:rsid w:val="00E05D39"/>
    <w:rsid w:val="00E06B17"/>
    <w:rsid w:val="00E070A6"/>
    <w:rsid w:val="00E07927"/>
    <w:rsid w:val="00E07B28"/>
    <w:rsid w:val="00E07CFD"/>
    <w:rsid w:val="00E12048"/>
    <w:rsid w:val="00E12357"/>
    <w:rsid w:val="00E1288C"/>
    <w:rsid w:val="00E1433C"/>
    <w:rsid w:val="00E1482E"/>
    <w:rsid w:val="00E15719"/>
    <w:rsid w:val="00E1631B"/>
    <w:rsid w:val="00E16B96"/>
    <w:rsid w:val="00E17CD9"/>
    <w:rsid w:val="00E21B5B"/>
    <w:rsid w:val="00E23197"/>
    <w:rsid w:val="00E23F71"/>
    <w:rsid w:val="00E26D20"/>
    <w:rsid w:val="00E34076"/>
    <w:rsid w:val="00E34952"/>
    <w:rsid w:val="00E349BE"/>
    <w:rsid w:val="00E35363"/>
    <w:rsid w:val="00E36399"/>
    <w:rsid w:val="00E36DED"/>
    <w:rsid w:val="00E3738C"/>
    <w:rsid w:val="00E37566"/>
    <w:rsid w:val="00E37D4C"/>
    <w:rsid w:val="00E37E62"/>
    <w:rsid w:val="00E4112E"/>
    <w:rsid w:val="00E42C9A"/>
    <w:rsid w:val="00E42FFF"/>
    <w:rsid w:val="00E43D94"/>
    <w:rsid w:val="00E44F43"/>
    <w:rsid w:val="00E50ED1"/>
    <w:rsid w:val="00E524A7"/>
    <w:rsid w:val="00E57D88"/>
    <w:rsid w:val="00E62947"/>
    <w:rsid w:val="00E63F8B"/>
    <w:rsid w:val="00E640CA"/>
    <w:rsid w:val="00E672A5"/>
    <w:rsid w:val="00E67C6F"/>
    <w:rsid w:val="00E70487"/>
    <w:rsid w:val="00E70746"/>
    <w:rsid w:val="00E71130"/>
    <w:rsid w:val="00E716EE"/>
    <w:rsid w:val="00E72ECC"/>
    <w:rsid w:val="00E73053"/>
    <w:rsid w:val="00E733D9"/>
    <w:rsid w:val="00E747CA"/>
    <w:rsid w:val="00E754DF"/>
    <w:rsid w:val="00E75543"/>
    <w:rsid w:val="00E76D2F"/>
    <w:rsid w:val="00E77441"/>
    <w:rsid w:val="00E806B8"/>
    <w:rsid w:val="00E8186C"/>
    <w:rsid w:val="00E82183"/>
    <w:rsid w:val="00E82698"/>
    <w:rsid w:val="00E83591"/>
    <w:rsid w:val="00E8430B"/>
    <w:rsid w:val="00E85864"/>
    <w:rsid w:val="00E85CD3"/>
    <w:rsid w:val="00E85E90"/>
    <w:rsid w:val="00E9208E"/>
    <w:rsid w:val="00E921F6"/>
    <w:rsid w:val="00E93574"/>
    <w:rsid w:val="00E9471D"/>
    <w:rsid w:val="00E95246"/>
    <w:rsid w:val="00E95CFE"/>
    <w:rsid w:val="00E962D3"/>
    <w:rsid w:val="00E965A7"/>
    <w:rsid w:val="00EA0FAC"/>
    <w:rsid w:val="00EA2210"/>
    <w:rsid w:val="00EA292B"/>
    <w:rsid w:val="00EA2ADA"/>
    <w:rsid w:val="00EA2ED3"/>
    <w:rsid w:val="00EA6E77"/>
    <w:rsid w:val="00EA7CDE"/>
    <w:rsid w:val="00EB013D"/>
    <w:rsid w:val="00EB09E5"/>
    <w:rsid w:val="00EB0FB2"/>
    <w:rsid w:val="00EB114C"/>
    <w:rsid w:val="00EB11EF"/>
    <w:rsid w:val="00EB599A"/>
    <w:rsid w:val="00EB60DA"/>
    <w:rsid w:val="00EB636F"/>
    <w:rsid w:val="00EB68A2"/>
    <w:rsid w:val="00EB7D73"/>
    <w:rsid w:val="00EC027B"/>
    <w:rsid w:val="00EC1A6B"/>
    <w:rsid w:val="00EC1B1E"/>
    <w:rsid w:val="00EC21D1"/>
    <w:rsid w:val="00EC369B"/>
    <w:rsid w:val="00EC4293"/>
    <w:rsid w:val="00EC462F"/>
    <w:rsid w:val="00EC50F8"/>
    <w:rsid w:val="00EC6482"/>
    <w:rsid w:val="00EC70C3"/>
    <w:rsid w:val="00EC7DBB"/>
    <w:rsid w:val="00ED03EC"/>
    <w:rsid w:val="00ED2A33"/>
    <w:rsid w:val="00ED750F"/>
    <w:rsid w:val="00ED7B98"/>
    <w:rsid w:val="00EE0854"/>
    <w:rsid w:val="00EE1BDD"/>
    <w:rsid w:val="00EE2ED6"/>
    <w:rsid w:val="00EE4177"/>
    <w:rsid w:val="00EF397F"/>
    <w:rsid w:val="00F00EAC"/>
    <w:rsid w:val="00F01009"/>
    <w:rsid w:val="00F01F05"/>
    <w:rsid w:val="00F0207C"/>
    <w:rsid w:val="00F0356A"/>
    <w:rsid w:val="00F04092"/>
    <w:rsid w:val="00F04BCA"/>
    <w:rsid w:val="00F05B38"/>
    <w:rsid w:val="00F06065"/>
    <w:rsid w:val="00F063FA"/>
    <w:rsid w:val="00F06A1F"/>
    <w:rsid w:val="00F075E0"/>
    <w:rsid w:val="00F11D9E"/>
    <w:rsid w:val="00F15AFC"/>
    <w:rsid w:val="00F163A8"/>
    <w:rsid w:val="00F20EAB"/>
    <w:rsid w:val="00F210C0"/>
    <w:rsid w:val="00F2117F"/>
    <w:rsid w:val="00F21181"/>
    <w:rsid w:val="00F211A5"/>
    <w:rsid w:val="00F23382"/>
    <w:rsid w:val="00F275E7"/>
    <w:rsid w:val="00F334BD"/>
    <w:rsid w:val="00F341E5"/>
    <w:rsid w:val="00F35DBD"/>
    <w:rsid w:val="00F3696B"/>
    <w:rsid w:val="00F37220"/>
    <w:rsid w:val="00F379FF"/>
    <w:rsid w:val="00F40779"/>
    <w:rsid w:val="00F412E6"/>
    <w:rsid w:val="00F42DC6"/>
    <w:rsid w:val="00F44A3F"/>
    <w:rsid w:val="00F45C87"/>
    <w:rsid w:val="00F468FD"/>
    <w:rsid w:val="00F47B64"/>
    <w:rsid w:val="00F504E9"/>
    <w:rsid w:val="00F5142E"/>
    <w:rsid w:val="00F52E61"/>
    <w:rsid w:val="00F52EF4"/>
    <w:rsid w:val="00F54198"/>
    <w:rsid w:val="00F54614"/>
    <w:rsid w:val="00F5470C"/>
    <w:rsid w:val="00F56731"/>
    <w:rsid w:val="00F567A0"/>
    <w:rsid w:val="00F60113"/>
    <w:rsid w:val="00F60145"/>
    <w:rsid w:val="00F60447"/>
    <w:rsid w:val="00F61150"/>
    <w:rsid w:val="00F6195B"/>
    <w:rsid w:val="00F6294E"/>
    <w:rsid w:val="00F63AB9"/>
    <w:rsid w:val="00F644BC"/>
    <w:rsid w:val="00F6567C"/>
    <w:rsid w:val="00F656D4"/>
    <w:rsid w:val="00F65D62"/>
    <w:rsid w:val="00F664C3"/>
    <w:rsid w:val="00F6664B"/>
    <w:rsid w:val="00F67C32"/>
    <w:rsid w:val="00F70B39"/>
    <w:rsid w:val="00F71323"/>
    <w:rsid w:val="00F728F6"/>
    <w:rsid w:val="00F7343D"/>
    <w:rsid w:val="00F7378C"/>
    <w:rsid w:val="00F74B37"/>
    <w:rsid w:val="00F760DA"/>
    <w:rsid w:val="00F80D7B"/>
    <w:rsid w:val="00F83AD7"/>
    <w:rsid w:val="00F845B0"/>
    <w:rsid w:val="00F85279"/>
    <w:rsid w:val="00F85F37"/>
    <w:rsid w:val="00F86360"/>
    <w:rsid w:val="00F90561"/>
    <w:rsid w:val="00F920E4"/>
    <w:rsid w:val="00F928D3"/>
    <w:rsid w:val="00F92CBE"/>
    <w:rsid w:val="00F93A87"/>
    <w:rsid w:val="00F97383"/>
    <w:rsid w:val="00FA0916"/>
    <w:rsid w:val="00FA1D78"/>
    <w:rsid w:val="00FA286D"/>
    <w:rsid w:val="00FA28FD"/>
    <w:rsid w:val="00FA377B"/>
    <w:rsid w:val="00FA5088"/>
    <w:rsid w:val="00FA6356"/>
    <w:rsid w:val="00FA6626"/>
    <w:rsid w:val="00FA703E"/>
    <w:rsid w:val="00FA7CAB"/>
    <w:rsid w:val="00FA7F41"/>
    <w:rsid w:val="00FB0C0A"/>
    <w:rsid w:val="00FB11CB"/>
    <w:rsid w:val="00FB12F8"/>
    <w:rsid w:val="00FB1FBB"/>
    <w:rsid w:val="00FB42A1"/>
    <w:rsid w:val="00FB48BC"/>
    <w:rsid w:val="00FB4C1B"/>
    <w:rsid w:val="00FB58B4"/>
    <w:rsid w:val="00FB5CF5"/>
    <w:rsid w:val="00FB6510"/>
    <w:rsid w:val="00FC02E1"/>
    <w:rsid w:val="00FC1CC0"/>
    <w:rsid w:val="00FC26D3"/>
    <w:rsid w:val="00FC2BF0"/>
    <w:rsid w:val="00FC300F"/>
    <w:rsid w:val="00FC3724"/>
    <w:rsid w:val="00FC47A7"/>
    <w:rsid w:val="00FC7167"/>
    <w:rsid w:val="00FC72EB"/>
    <w:rsid w:val="00FD1C22"/>
    <w:rsid w:val="00FD1E17"/>
    <w:rsid w:val="00FD31CE"/>
    <w:rsid w:val="00FD3B2C"/>
    <w:rsid w:val="00FD44B6"/>
    <w:rsid w:val="00FD4ACD"/>
    <w:rsid w:val="00FD79F1"/>
    <w:rsid w:val="00FE0E2B"/>
    <w:rsid w:val="00FE3518"/>
    <w:rsid w:val="00FE4FBC"/>
    <w:rsid w:val="00FE5A04"/>
    <w:rsid w:val="00FE789E"/>
    <w:rsid w:val="00FF0EDD"/>
    <w:rsid w:val="00FF1D58"/>
    <w:rsid w:val="00FF2101"/>
    <w:rsid w:val="00FF426C"/>
    <w:rsid w:val="00FF4ABD"/>
    <w:rsid w:val="00FF6561"/>
    <w:rsid w:val="00F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4F180"/>
  <w15:docId w15:val="{969F4543-E7D6-4F7C-B3D7-3AED03B8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2"/>
    <w:lsdException w:name="index heading" w:semiHidden="1"/>
    <w:lsdException w:name="caption" w:uiPriority="35" w:qFormat="1"/>
    <w:lsdException w:name="table of figures" w:semiHidden="1" w:uiPriority="99"/>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uiPriority="99"/>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5 Dark Accent 1" w:uiPriority="50"/>
  </w:latentStyles>
  <w:style w:type="paragraph" w:default="1" w:styleId="Normal">
    <w:name w:val="Normal"/>
    <w:uiPriority w:val="1"/>
    <w:qFormat/>
    <w:rsid w:val="00865694"/>
    <w:pPr>
      <w:spacing w:after="120" w:line="264" w:lineRule="auto"/>
      <w:jc w:val="both"/>
    </w:pPr>
    <w:rPr>
      <w:sz w:val="22"/>
    </w:rPr>
  </w:style>
  <w:style w:type="paragraph" w:styleId="Heading1">
    <w:name w:val="heading 1"/>
    <w:basedOn w:val="Normal"/>
    <w:next w:val="Normal"/>
    <w:autoRedefine/>
    <w:uiPriority w:val="1"/>
    <w:qFormat/>
    <w:rsid w:val="00B147F9"/>
    <w:pPr>
      <w:keepNext/>
      <w:numPr>
        <w:numId w:val="8"/>
      </w:numPr>
      <w:tabs>
        <w:tab w:val="left" w:pos="510"/>
      </w:tabs>
      <w:spacing w:before="480"/>
      <w:outlineLvl w:val="0"/>
    </w:pPr>
    <w:rPr>
      <w:b/>
      <w:smallCaps/>
      <w:sz w:val="26"/>
    </w:rPr>
  </w:style>
  <w:style w:type="paragraph" w:styleId="Heading2">
    <w:name w:val="heading 2"/>
    <w:basedOn w:val="Normal"/>
    <w:next w:val="Normal"/>
    <w:link w:val="Heading2Char"/>
    <w:autoRedefine/>
    <w:uiPriority w:val="1"/>
    <w:qFormat/>
    <w:rsid w:val="00FA377B"/>
    <w:pPr>
      <w:keepNext/>
      <w:numPr>
        <w:ilvl w:val="1"/>
        <w:numId w:val="8"/>
      </w:numPr>
      <w:tabs>
        <w:tab w:val="left" w:pos="737"/>
      </w:tabs>
      <w:spacing w:before="420"/>
      <w:outlineLvl w:val="1"/>
    </w:pPr>
    <w:rPr>
      <w:b/>
      <w:sz w:val="26"/>
    </w:rPr>
  </w:style>
  <w:style w:type="paragraph" w:styleId="Heading3">
    <w:name w:val="heading 3"/>
    <w:basedOn w:val="Normal"/>
    <w:next w:val="Normal"/>
    <w:autoRedefine/>
    <w:uiPriority w:val="1"/>
    <w:qFormat/>
    <w:rsid w:val="008C7C14"/>
    <w:pPr>
      <w:keepNext/>
      <w:numPr>
        <w:ilvl w:val="2"/>
        <w:numId w:val="8"/>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8"/>
      </w:numPr>
      <w:tabs>
        <w:tab w:val="left" w:pos="1049"/>
      </w:tabs>
      <w:spacing w:before="360"/>
      <w:outlineLvl w:val="3"/>
    </w:pPr>
    <w:rPr>
      <w:b/>
    </w:rPr>
  </w:style>
  <w:style w:type="paragraph" w:styleId="Heading5">
    <w:name w:val="heading 5"/>
    <w:basedOn w:val="Normal"/>
    <w:next w:val="Normal"/>
    <w:semiHidden/>
    <w:pPr>
      <w:keepNext/>
      <w:numPr>
        <w:ilvl w:val="4"/>
        <w:numId w:val="8"/>
      </w:numPr>
      <w:outlineLvl w:val="4"/>
    </w:pPr>
  </w:style>
  <w:style w:type="paragraph" w:styleId="Heading6">
    <w:name w:val="heading 6"/>
    <w:basedOn w:val="Normal"/>
    <w:next w:val="Normal"/>
    <w:semiHidden/>
    <w:pPr>
      <w:keepNext/>
      <w:numPr>
        <w:ilvl w:val="5"/>
        <w:numId w:val="8"/>
      </w:numPr>
      <w:outlineLvl w:val="5"/>
    </w:pPr>
  </w:style>
  <w:style w:type="paragraph" w:styleId="Heading7">
    <w:name w:val="heading 7"/>
    <w:basedOn w:val="Normal"/>
    <w:next w:val="Normal"/>
    <w:semiHidden/>
    <w:pPr>
      <w:keepNext/>
      <w:numPr>
        <w:ilvl w:val="6"/>
        <w:numId w:val="8"/>
      </w:numPr>
      <w:outlineLvl w:val="6"/>
    </w:pPr>
  </w:style>
  <w:style w:type="paragraph" w:styleId="Heading8">
    <w:name w:val="heading 8"/>
    <w:basedOn w:val="Normal"/>
    <w:next w:val="Normal"/>
    <w:semiHidden/>
    <w:pPr>
      <w:keepNext/>
      <w:numPr>
        <w:ilvl w:val="7"/>
        <w:numId w:val="8"/>
      </w:numPr>
      <w:outlineLvl w:val="7"/>
    </w:pPr>
  </w:style>
  <w:style w:type="paragraph" w:styleId="Heading9">
    <w:name w:val="heading 9"/>
    <w:basedOn w:val="Normal"/>
    <w:next w:val="Normal"/>
    <w:semiHidden/>
    <w:pPr>
      <w:keepNext/>
      <w:numPr>
        <w:ilvl w:val="8"/>
        <w:numId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styleId="Caption">
    <w:name w:val="caption"/>
    <w:basedOn w:val="Normal"/>
    <w:next w:val="Normal"/>
    <w:uiPriority w:val="35"/>
    <w:qFormat/>
    <w:pPr>
      <w:spacing w:before="120"/>
    </w:pPr>
    <w:rPr>
      <w:b/>
      <w:i/>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Contact">
    <w:name w:val="Contact"/>
    <w:basedOn w:val="Normal"/>
    <w:uiPriority w:val="2"/>
    <w:pPr>
      <w:spacing w:before="480" w:after="240"/>
      <w:ind w:left="567" w:hanging="567"/>
      <w:jc w:val="left"/>
    </w:pPr>
  </w:style>
  <w:style w:type="paragraph" w:customStyle="1" w:styleId="ContNum">
    <w:name w:val="ContNum"/>
    <w:basedOn w:val="Normal"/>
    <w:uiPriority w:val="1"/>
    <w:qFormat/>
    <w:pPr>
      <w:numPr>
        <w:numId w:val="2"/>
      </w:numPr>
    </w:pPr>
  </w:style>
  <w:style w:type="paragraph" w:customStyle="1" w:styleId="ContNumLevel2">
    <w:name w:val="ContNum (Level 2)"/>
    <w:basedOn w:val="Normal"/>
    <w:uiPriority w:val="1"/>
    <w:pPr>
      <w:numPr>
        <w:ilvl w:val="1"/>
        <w:numId w:val="2"/>
      </w:numPr>
    </w:pPr>
  </w:style>
  <w:style w:type="paragraph" w:customStyle="1" w:styleId="ContNumLevel3">
    <w:name w:val="ContNum (Level 3)"/>
    <w:basedOn w:val="Normal"/>
    <w:uiPriority w:val="1"/>
    <w:pPr>
      <w:numPr>
        <w:ilvl w:val="2"/>
        <w:numId w:val="2"/>
      </w:numPr>
    </w:pPr>
  </w:style>
  <w:style w:type="paragraph" w:styleId="Date">
    <w:name w:val="Date"/>
    <w:basedOn w:val="Normal"/>
    <w:next w:val="References"/>
    <w:uiPriority w:val="1"/>
    <w:pPr>
      <w:spacing w:after="0"/>
      <w:ind w:left="5102" w:right="-567"/>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line="240" w:lineRule="auto"/>
    </w:pPr>
  </w:style>
  <w:style w:type="paragraph" w:customStyle="1" w:styleId="FigureSource">
    <w:name w:val="Figure Source"/>
    <w:basedOn w:val="Normal"/>
    <w:next w:val="Normal"/>
    <w:uiPriority w:val="2"/>
    <w:pPr>
      <w:spacing w:after="240" w:line="240" w:lineRule="auto"/>
    </w:pPr>
    <w:rPr>
      <w:sz w:val="18"/>
    </w:rPr>
  </w:style>
  <w:style w:type="paragraph" w:customStyle="1" w:styleId="FigureTitle">
    <w:name w:val="Figure Title"/>
    <w:basedOn w:val="Normal"/>
    <w:next w:val="FigureBody"/>
    <w:uiPriority w:val="2"/>
    <w:pPr>
      <w:keepNext/>
      <w:spacing w:before="120"/>
    </w:pPr>
    <w:rPr>
      <w:b/>
      <w:i/>
    </w:rPr>
  </w:style>
  <w:style w:type="paragraph" w:customStyle="1" w:styleId="FITTable">
    <w:name w:val="FIT Table"/>
    <w:basedOn w:val="Normal"/>
    <w:uiPriority w:val="2"/>
    <w:pPr>
      <w:spacing w:before="60" w:after="60"/>
    </w:p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FootnoteText">
    <w:name w:val="footnote text"/>
    <w:aliases w:val="Fußnote,fn,Footnotes,Footnote ak,ft,Char,Carattere,Footnote Text Char Char,fn Char Char,footnote text Char Char,Footnotes Char Char,Footnote ak Char Char,fn Char1,footnote text Char1,Footnotes Char1,Footnote Text Char1 Char,footnote text1"/>
    <w:basedOn w:val="Normal"/>
    <w:link w:val="FootnoteTextChar"/>
    <w:uiPriority w:val="99"/>
    <w:unhideWhenUsed/>
    <w:qFormat/>
    <w:pPr>
      <w:ind w:left="357" w:hanging="357"/>
    </w:pPr>
    <w:rPr>
      <w:sz w:val="20"/>
    </w:rPr>
  </w:style>
  <w:style w:type="paragraph" w:customStyle="1" w:styleId="Glossary">
    <w:name w:val="Glossary"/>
    <w:basedOn w:val="Normal"/>
    <w:uiPriority w:val="2"/>
    <w:pPr>
      <w:tabs>
        <w:tab w:val="left" w:pos="2835"/>
      </w:tabs>
      <w:ind w:left="2835" w:hanging="2835"/>
      <w:jc w:val="left"/>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LegalNumPar">
    <w:name w:val="LegalNumPar"/>
    <w:basedOn w:val="Normal"/>
    <w:uiPriority w:val="1"/>
    <w:qFormat/>
    <w:pPr>
      <w:numPr>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3">
    <w:name w:val="LegalNumPar3"/>
    <w:basedOn w:val="Normal"/>
    <w:uiPriority w:val="1"/>
    <w:pPr>
      <w:numPr>
        <w:ilvl w:val="2"/>
        <w:numId w:val="3"/>
      </w:numPr>
      <w:spacing w:line="360" w:lineRule="auto"/>
    </w:pPr>
    <w:rPr>
      <w:sz w:val="24"/>
    </w:rPr>
  </w:style>
  <w:style w:type="paragraph" w:styleId="ListBullet">
    <w:name w:val="List Bullet"/>
    <w:basedOn w:val="Normal"/>
    <w:uiPriority w:val="1"/>
    <w:pPr>
      <w:numPr>
        <w:numId w:val="14"/>
      </w:numPr>
      <w:contextualSpacing/>
    </w:pPr>
  </w:style>
  <w:style w:type="paragraph" w:customStyle="1" w:styleId="ListBulletLevel2">
    <w:name w:val="List Bullet (Level 2)"/>
    <w:basedOn w:val="Normal"/>
    <w:uiPriority w:val="1"/>
    <w:pPr>
      <w:numPr>
        <w:ilvl w:val="1"/>
        <w:numId w:val="14"/>
      </w:numPr>
      <w:contextualSpacing/>
    </w:pPr>
  </w:style>
  <w:style w:type="paragraph" w:customStyle="1" w:styleId="ListBulletLevel3">
    <w:name w:val="List Bullet (Level 3)"/>
    <w:basedOn w:val="Normal"/>
    <w:uiPriority w:val="1"/>
    <w:semiHidden/>
    <w:unhideWhenUsed/>
    <w:pPr>
      <w:numPr>
        <w:ilvl w:val="2"/>
        <w:numId w:val="14"/>
      </w:numPr>
      <w:contextualSpacing/>
    </w:pPr>
  </w:style>
  <w:style w:type="paragraph" w:customStyle="1" w:styleId="ListBulletLevel4">
    <w:name w:val="List Bullet (Level 4)"/>
    <w:basedOn w:val="Normal"/>
    <w:uiPriority w:val="1"/>
    <w:semiHidden/>
    <w:unhideWhenUsed/>
    <w:pPr>
      <w:numPr>
        <w:ilvl w:val="3"/>
        <w:numId w:val="14"/>
      </w:numPr>
      <w:contextualSpacing/>
    </w:pPr>
  </w:style>
  <w:style w:type="paragraph" w:customStyle="1" w:styleId="ListDash">
    <w:name w:val="List Dash"/>
    <w:basedOn w:val="Normal"/>
    <w:uiPriority w:val="1"/>
    <w:pPr>
      <w:numPr>
        <w:numId w:val="7"/>
      </w:numPr>
      <w:contextualSpacing/>
    </w:pPr>
  </w:style>
  <w:style w:type="paragraph" w:customStyle="1" w:styleId="ListDashLevel2">
    <w:name w:val="List Dash (Level 2)"/>
    <w:basedOn w:val="Normal"/>
    <w:uiPriority w:val="1"/>
    <w:pPr>
      <w:numPr>
        <w:ilvl w:val="1"/>
        <w:numId w:val="7"/>
      </w:numPr>
      <w:contextualSpacing/>
    </w:pPr>
  </w:style>
  <w:style w:type="paragraph" w:customStyle="1" w:styleId="ListDashLevel3">
    <w:name w:val="List Dash (Level 3)"/>
    <w:basedOn w:val="Normal"/>
    <w:uiPriority w:val="1"/>
    <w:semiHidden/>
    <w:unhideWhenUsed/>
    <w:pPr>
      <w:numPr>
        <w:ilvl w:val="2"/>
        <w:numId w:val="7"/>
      </w:numPr>
      <w:contextualSpacing/>
    </w:pPr>
  </w:style>
  <w:style w:type="paragraph" w:customStyle="1" w:styleId="ListDashLevel4">
    <w:name w:val="List Dash (Level 4)"/>
    <w:basedOn w:val="Normal"/>
    <w:uiPriority w:val="1"/>
    <w:semiHidden/>
    <w:unhideWhenUsed/>
    <w:pPr>
      <w:numPr>
        <w:ilvl w:val="3"/>
        <w:numId w:val="7"/>
      </w:numPr>
      <w:contextualSpacing/>
    </w:pPr>
  </w:style>
  <w:style w:type="paragraph" w:styleId="ListNumber">
    <w:name w:val="List Number"/>
    <w:basedOn w:val="Normal"/>
    <w:pPr>
      <w:numPr>
        <w:numId w:val="13"/>
      </w:numPr>
      <w:contextualSpacing/>
    </w:pPr>
  </w:style>
  <w:style w:type="paragraph" w:customStyle="1" w:styleId="ListNumberLevel2">
    <w:name w:val="List Number (Level 2)"/>
    <w:basedOn w:val="Normal"/>
    <w:pPr>
      <w:numPr>
        <w:ilvl w:val="1"/>
        <w:numId w:val="13"/>
      </w:numPr>
      <w:contextualSpacing/>
    </w:pPr>
  </w:style>
  <w:style w:type="paragraph" w:customStyle="1" w:styleId="ListNumberLevel3">
    <w:name w:val="List Number (Level 3)"/>
    <w:basedOn w:val="Normal"/>
    <w:unhideWhenUsed/>
    <w:pPr>
      <w:numPr>
        <w:ilvl w:val="2"/>
        <w:numId w:val="13"/>
      </w:numPr>
      <w:contextualSpacing/>
    </w:pPr>
  </w:style>
  <w:style w:type="paragraph" w:customStyle="1" w:styleId="ListNumberLevel4">
    <w:name w:val="List Number (Level 4)"/>
    <w:basedOn w:val="Normal"/>
    <w:unhideWhenUsed/>
    <w:pPr>
      <w:numPr>
        <w:ilvl w:val="3"/>
        <w:numId w:val="13"/>
      </w:numPr>
      <w:contextualSpacing/>
    </w:p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References">
    <w:name w:val="References"/>
    <w:uiPriority w:val="2"/>
    <w:pPr>
      <w:tabs>
        <w:tab w:val="num" w:pos="397"/>
        <w:tab w:val="num" w:pos="709"/>
      </w:tabs>
      <w:ind w:left="709" w:hanging="709"/>
    </w:p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SubTitle1">
    <w:name w:val="SubTitle 1"/>
    <w:basedOn w:val="Normal"/>
    <w:next w:val="Normal"/>
    <w:uiPriority w:val="1"/>
    <w:qFormat/>
    <w:pPr>
      <w:spacing w:before="360" w:after="2000"/>
      <w:jc w:val="center"/>
    </w:pPr>
    <w:rPr>
      <w:b/>
      <w:sz w:val="40"/>
    </w:rPr>
  </w:style>
  <w:style w:type="paragraph" w:customStyle="1" w:styleId="SubTitle2">
    <w:name w:val="SubTitle 2"/>
    <w:basedOn w:val="Normal"/>
    <w:uiPriority w:val="1"/>
    <w:qFormat/>
    <w:pPr>
      <w:spacing w:after="280"/>
      <w:jc w:val="center"/>
    </w:pPr>
    <w:rPr>
      <w:b/>
      <w:sz w:val="32"/>
    </w:rPr>
  </w:style>
  <w:style w:type="paragraph" w:customStyle="1" w:styleId="TableListBullet">
    <w:name w:val="Table List Bullet"/>
    <w:basedOn w:val="TableText"/>
    <w:uiPriority w:val="1"/>
    <w:pPr>
      <w:numPr>
        <w:numId w:val="6"/>
      </w:numPr>
    </w:pPr>
  </w:style>
  <w:style w:type="paragraph" w:customStyle="1" w:styleId="TableListBulletLevel2">
    <w:name w:val="Table List Bullet (Level 2)"/>
    <w:basedOn w:val="TableText"/>
    <w:uiPriority w:val="1"/>
    <w:pPr>
      <w:numPr>
        <w:ilvl w:val="1"/>
        <w:numId w:val="6"/>
      </w:numPr>
    </w:pPr>
  </w:style>
  <w:style w:type="paragraph" w:customStyle="1" w:styleId="TableListBulletLevel3">
    <w:name w:val="Table List Bullet (Level 3)"/>
    <w:basedOn w:val="TableText"/>
    <w:uiPriority w:val="1"/>
    <w:semiHidden/>
    <w:unhideWhenUsed/>
    <w:pPr>
      <w:numPr>
        <w:ilvl w:val="2"/>
        <w:numId w:val="6"/>
      </w:numPr>
    </w:pPr>
  </w:style>
  <w:style w:type="paragraph" w:customStyle="1" w:styleId="TableListBulletLevel4">
    <w:name w:val="Table List Bullet (Level 4)"/>
    <w:basedOn w:val="TableText"/>
    <w:uiPriority w:val="1"/>
    <w:semiHidden/>
    <w:unhideWhenUsed/>
    <w:pPr>
      <w:numPr>
        <w:ilvl w:val="3"/>
        <w:numId w:val="6"/>
      </w:numPr>
    </w:pPr>
  </w:style>
  <w:style w:type="paragraph" w:customStyle="1" w:styleId="TableListDash">
    <w:name w:val="Table List Dash"/>
    <w:basedOn w:val="TableText"/>
    <w:uiPriority w:val="1"/>
    <w:pPr>
      <w:numPr>
        <w:numId w:val="5"/>
      </w:numPr>
    </w:pPr>
  </w:style>
  <w:style w:type="paragraph" w:customStyle="1" w:styleId="TableListDashLevel2">
    <w:name w:val="Table List Dash (Level 2)"/>
    <w:basedOn w:val="TableText"/>
    <w:uiPriority w:val="1"/>
    <w:pPr>
      <w:numPr>
        <w:ilvl w:val="1"/>
        <w:numId w:val="5"/>
      </w:numPr>
    </w:pPr>
  </w:style>
  <w:style w:type="paragraph" w:customStyle="1" w:styleId="TableListDashLevel3">
    <w:name w:val="Table List Dash (Level 3)"/>
    <w:basedOn w:val="TableText"/>
    <w:uiPriority w:val="1"/>
    <w:semiHidden/>
    <w:unhideWhenUsed/>
    <w:pPr>
      <w:numPr>
        <w:ilvl w:val="2"/>
        <w:numId w:val="5"/>
      </w:numPr>
    </w:pPr>
  </w:style>
  <w:style w:type="paragraph" w:customStyle="1" w:styleId="TableListDashLevel4">
    <w:name w:val="Table List Dash (Level 4)"/>
    <w:basedOn w:val="TableText"/>
    <w:uiPriority w:val="1"/>
    <w:semiHidden/>
    <w:unhideWhenUsed/>
    <w:pPr>
      <w:numPr>
        <w:ilvl w:val="3"/>
        <w:numId w:val="5"/>
      </w:numPr>
    </w:pPr>
  </w:style>
  <w:style w:type="paragraph" w:customStyle="1" w:styleId="TableListNumber">
    <w:name w:val="Table List Number"/>
    <w:basedOn w:val="TableText"/>
    <w:uiPriority w:val="1"/>
    <w:pPr>
      <w:numPr>
        <w:numId w:val="4"/>
      </w:numPr>
    </w:pPr>
  </w:style>
  <w:style w:type="paragraph" w:customStyle="1" w:styleId="TableListNumberLevel2">
    <w:name w:val="Table List Number (Level 2)"/>
    <w:basedOn w:val="TableText"/>
    <w:uiPriority w:val="1"/>
    <w:pPr>
      <w:numPr>
        <w:ilvl w:val="1"/>
        <w:numId w:val="4"/>
      </w:numPr>
    </w:pPr>
  </w:style>
  <w:style w:type="paragraph" w:customStyle="1" w:styleId="TableListNumberLevel3">
    <w:name w:val="Table List Number (Level 3)"/>
    <w:basedOn w:val="TableText"/>
    <w:uiPriority w:val="1"/>
    <w:semiHidden/>
    <w:unhideWhenUsed/>
    <w:pPr>
      <w:numPr>
        <w:ilvl w:val="2"/>
        <w:numId w:val="4"/>
      </w:numPr>
    </w:pPr>
  </w:style>
  <w:style w:type="paragraph" w:customStyle="1" w:styleId="TableListNumberLevel4">
    <w:name w:val="Table List Number (Level 4)"/>
    <w:basedOn w:val="TableText"/>
    <w:uiPriority w:val="1"/>
    <w:semiHidden/>
    <w:unhideWhenUsed/>
    <w:pPr>
      <w:numPr>
        <w:ilvl w:val="3"/>
        <w:numId w:val="4"/>
      </w:numPr>
    </w:pPr>
  </w:style>
  <w:style w:type="paragraph" w:customStyle="1" w:styleId="TableSource">
    <w:name w:val="Table Source"/>
    <w:basedOn w:val="Normal"/>
    <w:next w:val="Normal"/>
    <w:semiHidden/>
    <w:unhideWhenUsed/>
    <w:pPr>
      <w:spacing w:after="240"/>
    </w:pPr>
    <w:rPr>
      <w:sz w:val="18"/>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before="120"/>
    </w:pPr>
    <w:rPr>
      <w:b/>
      <w:i/>
    </w:rPr>
  </w:style>
  <w:style w:type="paragraph" w:styleId="Title">
    <w:name w:val="Title"/>
    <w:basedOn w:val="Normal"/>
    <w:next w:val="SubTitle1"/>
    <w:uiPriority w:val="1"/>
    <w:qFormat/>
    <w:pPr>
      <w:spacing w:before="3200" w:after="480"/>
      <w:jc w:val="center"/>
    </w:pPr>
    <w:rPr>
      <w:b/>
      <w:kern w:val="28"/>
      <w:sz w:val="48"/>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ZCom">
    <w:name w:val="Z_Com"/>
    <w:basedOn w:val="Normal"/>
    <w:next w:val="Normal"/>
    <w:uiPriority w:val="2"/>
    <w:pPr>
      <w:widowControl w:val="0"/>
      <w:spacing w:before="90" w:after="0" w:line="240" w:lineRule="auto"/>
      <w:ind w:right="85"/>
      <w:jc w:val="left"/>
    </w:pPr>
    <w:rPr>
      <w:sz w:val="24"/>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Flag">
    <w:name w:val="Z_Flag"/>
    <w:basedOn w:val="Normal"/>
    <w:next w:val="Normal"/>
    <w:link w:val="ZFlagChar"/>
    <w:uiPriority w:val="2"/>
    <w:pPr>
      <w:widowControl w:val="0"/>
      <w:spacing w:after="0"/>
      <w:ind w:right="85"/>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PropertiesTable">
    <w:name w:val="Properties Table"/>
    <w:basedOn w:val="TableNormal"/>
    <w:semiHidden/>
    <w:pPr>
      <w:spacing w:after="120" w:line="264" w:lineRule="auto"/>
    </w:pPr>
    <w:tblPr>
      <w:tblInd w:w="1984" w:type="dxa"/>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FE789E"/>
    <w:rPr>
      <w:color w:val="0563C1" w:themeColor="hyperlink"/>
      <w:u w:val="single"/>
    </w:rPr>
  </w:style>
  <w:style w:type="character" w:customStyle="1" w:styleId="Marker">
    <w:name w:val="Marker"/>
    <w:basedOn w:val="DefaultParagraphFont"/>
    <w:rsid w:val="00DC489A"/>
    <w:rPr>
      <w:color w:val="0000FF"/>
      <w:shd w:val="clear" w:color="auto" w:fill="auto"/>
    </w:rPr>
  </w:style>
  <w:style w:type="paragraph" w:customStyle="1" w:styleId="Pagedecouverture">
    <w:name w:val="Page de couverture"/>
    <w:basedOn w:val="Normal"/>
    <w:next w:val="Normal"/>
    <w:rsid w:val="00DC489A"/>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rsid w:val="00DC489A"/>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2"/>
    <w:rsid w:val="00DC489A"/>
    <w:rPr>
      <w:sz w:val="22"/>
    </w:rPr>
  </w:style>
  <w:style w:type="character" w:customStyle="1" w:styleId="FooterCoverPageChar">
    <w:name w:val="Footer Cover Page Char"/>
    <w:basedOn w:val="ZFlagChar"/>
    <w:link w:val="FooterCoverPage"/>
    <w:rsid w:val="00DC489A"/>
    <w:rPr>
      <w:sz w:val="22"/>
    </w:rPr>
  </w:style>
  <w:style w:type="paragraph" w:customStyle="1" w:styleId="FooterSensitivity">
    <w:name w:val="Footer Sensitivity"/>
    <w:basedOn w:val="Normal"/>
    <w:link w:val="FooterSensitivityChar"/>
    <w:rsid w:val="00DC489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sid w:val="00DC489A"/>
    <w:rPr>
      <w:b/>
      <w:sz w:val="32"/>
    </w:rPr>
  </w:style>
  <w:style w:type="paragraph" w:customStyle="1" w:styleId="HeaderCoverPage">
    <w:name w:val="Header Cover Page"/>
    <w:basedOn w:val="Normal"/>
    <w:link w:val="HeaderCoverPageChar"/>
    <w:rsid w:val="00DC489A"/>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sid w:val="00DC489A"/>
    <w:rPr>
      <w:sz w:val="22"/>
    </w:rPr>
  </w:style>
  <w:style w:type="paragraph" w:customStyle="1" w:styleId="HeaderSensitivity">
    <w:name w:val="Header Sensitivity"/>
    <w:basedOn w:val="Normal"/>
    <w:link w:val="HeaderSensitivityChar"/>
    <w:rsid w:val="00DC489A"/>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sid w:val="00DC489A"/>
    <w:rPr>
      <w:b/>
      <w:sz w:val="32"/>
    </w:rPr>
  </w:style>
  <w:style w:type="paragraph" w:customStyle="1" w:styleId="HeaderSensitivityRight">
    <w:name w:val="Header Sensitivity Right"/>
    <w:basedOn w:val="Normal"/>
    <w:link w:val="HeaderSensitivityRightChar"/>
    <w:rsid w:val="00DC489A"/>
    <w:pPr>
      <w:spacing w:line="240" w:lineRule="auto"/>
      <w:jc w:val="right"/>
    </w:pPr>
    <w:rPr>
      <w:sz w:val="28"/>
    </w:rPr>
  </w:style>
  <w:style w:type="character" w:customStyle="1" w:styleId="HeaderSensitivityRightChar">
    <w:name w:val="Header Sensitivity Right Char"/>
    <w:basedOn w:val="ZFlagChar"/>
    <w:link w:val="HeaderSensitivityRight"/>
    <w:rsid w:val="00DC489A"/>
    <w:rPr>
      <w:sz w:val="28"/>
    </w:rPr>
  </w:style>
  <w:style w:type="paragraph" w:styleId="ListNumber3">
    <w:name w:val="List Number 3"/>
    <w:basedOn w:val="Normal"/>
    <w:semiHidden/>
    <w:locked/>
    <w:rsid w:val="00623B82"/>
    <w:pPr>
      <w:numPr>
        <w:numId w:val="9"/>
      </w:numPr>
      <w:contextualSpacing/>
    </w:pPr>
  </w:style>
  <w:style w:type="paragraph" w:styleId="ListNumber2">
    <w:name w:val="List Number 2"/>
    <w:basedOn w:val="Normal"/>
    <w:semiHidden/>
    <w:locked/>
    <w:rsid w:val="00623B82"/>
    <w:pPr>
      <w:numPr>
        <w:numId w:val="10"/>
      </w:numPr>
      <w:contextualSpacing/>
    </w:pPr>
  </w:style>
  <w:style w:type="paragraph" w:styleId="ListBullet3">
    <w:name w:val="List Bullet 3"/>
    <w:basedOn w:val="Normal"/>
    <w:semiHidden/>
    <w:locked/>
    <w:rsid w:val="004F6F3F"/>
    <w:pPr>
      <w:numPr>
        <w:numId w:val="11"/>
      </w:numPr>
      <w:contextualSpacing/>
    </w:pPr>
  </w:style>
  <w:style w:type="paragraph" w:styleId="ListBullet2">
    <w:name w:val="List Bullet 2"/>
    <w:basedOn w:val="Normal"/>
    <w:semiHidden/>
    <w:locked/>
    <w:rsid w:val="004F6F3F"/>
    <w:pPr>
      <w:numPr>
        <w:numId w:val="12"/>
      </w:numPr>
      <w:contextualSpacing/>
    </w:p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link w:val="Nota"/>
    <w:uiPriority w:val="99"/>
    <w:qFormat/>
    <w:locked/>
    <w:rsid w:val="00AC5DD3"/>
    <w:rPr>
      <w:vertAlign w:val="superscript"/>
    </w:rPr>
  </w:style>
  <w:style w:type="paragraph" w:styleId="ListParagraph">
    <w:name w:val="List Paragraph"/>
    <w:aliases w:val="Dot pt,F5 List Paragraph,List Paragraph Char Char Char,Indicator Text,Numbered Para 1,Bullet 1,Bullet Points,List Paragraph2,MAIN CONTENT,Normal numbered,Colorful List - Accent 11,No Spacing1,Issue Action POC,3,Toc 1.1.1,Trattino,Numero"/>
    <w:basedOn w:val="Normal"/>
    <w:link w:val="ListParagraphChar"/>
    <w:uiPriority w:val="34"/>
    <w:qFormat/>
    <w:locked/>
    <w:rsid w:val="00101327"/>
    <w:pPr>
      <w:spacing w:after="0" w:line="240" w:lineRule="auto"/>
      <w:ind w:left="720"/>
      <w:jc w:val="left"/>
    </w:pPr>
    <w:rPr>
      <w:rFonts w:ascii="Calibri" w:hAnsi="Calibri"/>
      <w:szCs w:val="22"/>
      <w:lang w:eastAsia="en-US"/>
    </w:rPr>
  </w:style>
  <w:style w:type="table" w:styleId="GridTable4-Accent1">
    <w:name w:val="Grid Table 4 Accent 1"/>
    <w:basedOn w:val="TableNormal"/>
    <w:locked/>
    <w:rsid w:val="002F71B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noteTextChar">
    <w:name w:val="Footnote Text Char"/>
    <w:aliases w:val="Fußnote Char,fn Char,Footnotes Char,Footnote ak Char,ft Char,Char Char,Carattere Char,Footnote Text Char Char Char,fn Char Char Char,footnote text Char Char Char,Footnotes Char Char Char,Footnote ak Char Char Char,fn Char1 Char"/>
    <w:basedOn w:val="DefaultParagraphFont"/>
    <w:link w:val="FootnoteText"/>
    <w:uiPriority w:val="99"/>
    <w:qFormat/>
    <w:rsid w:val="006C7D78"/>
    <w:rPr>
      <w:sz w:val="20"/>
    </w:rPr>
  </w:style>
  <w:style w:type="paragraph" w:styleId="TableofFigures">
    <w:name w:val="table of figures"/>
    <w:basedOn w:val="Normal"/>
    <w:next w:val="Normal"/>
    <w:uiPriority w:val="99"/>
    <w:locked/>
    <w:rsid w:val="00440F24"/>
    <w:pPr>
      <w:spacing w:after="0"/>
    </w:pPr>
  </w:style>
  <w:style w:type="paragraph" w:styleId="NormalWeb">
    <w:name w:val="Normal (Web)"/>
    <w:basedOn w:val="Normal"/>
    <w:uiPriority w:val="99"/>
    <w:semiHidden/>
    <w:unhideWhenUsed/>
    <w:locked/>
    <w:rsid w:val="00B844C4"/>
    <w:pPr>
      <w:spacing w:before="100" w:beforeAutospacing="1" w:after="100" w:afterAutospacing="1" w:line="240" w:lineRule="auto"/>
      <w:jc w:val="left"/>
    </w:pPr>
    <w:rPr>
      <w:sz w:val="24"/>
      <w:szCs w:val="24"/>
    </w:rPr>
  </w:style>
  <w:style w:type="paragraph" w:customStyle="1" w:styleId="Text1">
    <w:name w:val="Text 1"/>
    <w:basedOn w:val="Normal"/>
    <w:qFormat/>
    <w:rsid w:val="00D11191"/>
    <w:pPr>
      <w:spacing w:after="240" w:line="240" w:lineRule="auto"/>
      <w:ind w:left="482"/>
    </w:pPr>
    <w:rPr>
      <w:sz w:val="24"/>
    </w:rPr>
  </w:style>
  <w:style w:type="paragraph" w:customStyle="1" w:styleId="Default">
    <w:name w:val="Default"/>
    <w:rsid w:val="00C77AE2"/>
    <w:pPr>
      <w:autoSpaceDE w:val="0"/>
      <w:autoSpaceDN w:val="0"/>
      <w:adjustRightInd w:val="0"/>
    </w:pPr>
    <w:rPr>
      <w:color w:val="000000"/>
      <w:szCs w:val="24"/>
    </w:rPr>
  </w:style>
  <w:style w:type="character" w:styleId="CommentReference">
    <w:name w:val="annotation reference"/>
    <w:basedOn w:val="DefaultParagraphFont"/>
    <w:uiPriority w:val="99"/>
    <w:semiHidden/>
    <w:locked/>
    <w:rsid w:val="00602423"/>
    <w:rPr>
      <w:sz w:val="16"/>
      <w:szCs w:val="16"/>
    </w:rPr>
  </w:style>
  <w:style w:type="paragraph" w:styleId="CommentText">
    <w:name w:val="annotation text"/>
    <w:basedOn w:val="Normal"/>
    <w:link w:val="CommentTextChar"/>
    <w:uiPriority w:val="99"/>
    <w:semiHidden/>
    <w:locked/>
    <w:rsid w:val="00602423"/>
    <w:pPr>
      <w:spacing w:line="240" w:lineRule="auto"/>
    </w:pPr>
    <w:rPr>
      <w:sz w:val="20"/>
    </w:rPr>
  </w:style>
  <w:style w:type="character" w:customStyle="1" w:styleId="CommentTextChar">
    <w:name w:val="Comment Text Char"/>
    <w:basedOn w:val="DefaultParagraphFont"/>
    <w:link w:val="CommentText"/>
    <w:uiPriority w:val="99"/>
    <w:semiHidden/>
    <w:rsid w:val="00602423"/>
    <w:rPr>
      <w:sz w:val="20"/>
    </w:rPr>
  </w:style>
  <w:style w:type="paragraph" w:styleId="CommentSubject">
    <w:name w:val="annotation subject"/>
    <w:basedOn w:val="CommentText"/>
    <w:next w:val="CommentText"/>
    <w:link w:val="CommentSubjectChar"/>
    <w:semiHidden/>
    <w:locked/>
    <w:rsid w:val="00602423"/>
    <w:rPr>
      <w:b/>
      <w:bCs/>
    </w:rPr>
  </w:style>
  <w:style w:type="character" w:customStyle="1" w:styleId="CommentSubjectChar">
    <w:name w:val="Comment Subject Char"/>
    <w:basedOn w:val="CommentTextChar"/>
    <w:link w:val="CommentSubject"/>
    <w:semiHidden/>
    <w:rsid w:val="00602423"/>
    <w:rPr>
      <w:b/>
      <w:bCs/>
      <w:sz w:val="20"/>
    </w:rPr>
  </w:style>
  <w:style w:type="paragraph" w:styleId="BalloonText">
    <w:name w:val="Balloon Text"/>
    <w:basedOn w:val="Normal"/>
    <w:link w:val="BalloonTextChar"/>
    <w:semiHidden/>
    <w:locked/>
    <w:rsid w:val="0060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02423"/>
    <w:rPr>
      <w:rFonts w:ascii="Segoe UI" w:hAnsi="Segoe UI" w:cs="Segoe UI"/>
      <w:sz w:val="18"/>
      <w:szCs w:val="18"/>
    </w:rPr>
  </w:style>
  <w:style w:type="table" w:styleId="GridTable4-Accent5">
    <w:name w:val="Grid Table 4 Accent 5"/>
    <w:basedOn w:val="TableNormal"/>
    <w:locked/>
    <w:rsid w:val="00A839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rsid w:val="008A4E1B"/>
  </w:style>
  <w:style w:type="character" w:styleId="Emphasis">
    <w:name w:val="Emphasis"/>
    <w:basedOn w:val="DefaultParagraphFont"/>
    <w:uiPriority w:val="20"/>
    <w:qFormat/>
    <w:locked/>
    <w:rsid w:val="00BB428C"/>
    <w:rPr>
      <w:i/>
      <w:iCs/>
    </w:rPr>
  </w:style>
  <w:style w:type="character" w:styleId="FollowedHyperlink">
    <w:name w:val="FollowedHyperlink"/>
    <w:basedOn w:val="DefaultParagraphFont"/>
    <w:semiHidden/>
    <w:locked/>
    <w:rsid w:val="00CA6A5F"/>
    <w:rPr>
      <w:color w:val="954F72" w:themeColor="followedHyperlink"/>
      <w:u w:val="single"/>
    </w:rPr>
  </w:style>
  <w:style w:type="paragraph" w:styleId="BodyTextIndent">
    <w:name w:val="Body Text Indent"/>
    <w:basedOn w:val="Normal"/>
    <w:link w:val="BodyTextIndentChar"/>
    <w:uiPriority w:val="99"/>
    <w:semiHidden/>
    <w:unhideWhenUsed/>
    <w:locked/>
    <w:rsid w:val="007868A2"/>
    <w:pPr>
      <w:spacing w:before="40" w:line="288" w:lineRule="auto"/>
      <w:ind w:left="360"/>
      <w:jc w:val="left"/>
    </w:pPr>
    <w:rPr>
      <w:rFonts w:asciiTheme="minorHAnsi" w:eastAsiaTheme="minorHAnsi" w:hAnsiTheme="minorHAnsi" w:cstheme="minorBidi"/>
      <w:color w:val="595959" w:themeColor="text1" w:themeTint="A6"/>
      <w:kern w:val="20"/>
      <w:sz w:val="20"/>
      <w:lang w:val="en-US" w:eastAsia="ja-JP"/>
    </w:rPr>
  </w:style>
  <w:style w:type="character" w:customStyle="1" w:styleId="BodyTextIndentChar">
    <w:name w:val="Body Text Indent Char"/>
    <w:basedOn w:val="DefaultParagraphFont"/>
    <w:link w:val="BodyTextIndent"/>
    <w:uiPriority w:val="99"/>
    <w:semiHidden/>
    <w:rsid w:val="007868A2"/>
    <w:rPr>
      <w:rFonts w:asciiTheme="minorHAnsi" w:eastAsiaTheme="minorHAnsi" w:hAnsiTheme="minorHAnsi" w:cstheme="minorBidi"/>
      <w:color w:val="595959" w:themeColor="text1" w:themeTint="A6"/>
      <w:kern w:val="20"/>
      <w:sz w:val="20"/>
      <w:lang w:val="en-US" w:eastAsia="ja-JP"/>
    </w:rPr>
  </w:style>
  <w:style w:type="paragraph" w:customStyle="1" w:styleId="Nota">
    <w:name w:val="Nota"/>
    <w:aliases w:val=" Char1,Char1,(NECG) Footnote Reference,fr,Appel note de bas de p,o,Style 6,Signature Ch,Fußnotenzeichen3,Footnote Reference_LVL6,Footnote Reference_LVL61,Footnote Reference_LVL62,Ch,de nota al pi..."/>
    <w:basedOn w:val="Normal"/>
    <w:link w:val="FootnoteReference"/>
    <w:uiPriority w:val="99"/>
    <w:rsid w:val="00840DCF"/>
    <w:pPr>
      <w:spacing w:after="160" w:line="240" w:lineRule="exact"/>
    </w:pPr>
    <w:rPr>
      <w:sz w:val="24"/>
      <w:vertAlign w:val="superscript"/>
    </w:rPr>
  </w:style>
  <w:style w:type="paragraph" w:styleId="ListBullet5">
    <w:name w:val="List Bullet 5"/>
    <w:basedOn w:val="Normal"/>
    <w:uiPriority w:val="99"/>
    <w:semiHidden/>
    <w:unhideWhenUsed/>
    <w:locked/>
    <w:rsid w:val="00840DCF"/>
    <w:pPr>
      <w:numPr>
        <w:numId w:val="16"/>
      </w:numPr>
      <w:spacing w:before="40" w:after="160" w:line="288" w:lineRule="auto"/>
      <w:contextualSpacing/>
      <w:jc w:val="left"/>
    </w:pPr>
    <w:rPr>
      <w:rFonts w:asciiTheme="minorHAnsi" w:eastAsiaTheme="minorHAnsi" w:hAnsiTheme="minorHAnsi" w:cstheme="minorBidi"/>
      <w:color w:val="595959" w:themeColor="text1" w:themeTint="A6"/>
      <w:kern w:val="20"/>
      <w:sz w:val="20"/>
      <w:lang w:val="en-US" w:eastAsia="ja-JP"/>
    </w:rPr>
  </w:style>
  <w:style w:type="table" w:styleId="GridTable5Dark-Accent1">
    <w:name w:val="Grid Table 5 Dark Accent 1"/>
    <w:basedOn w:val="TableNormal"/>
    <w:uiPriority w:val="50"/>
    <w:locked/>
    <w:rsid w:val="000949A1"/>
    <w:pPr>
      <w:spacing w:before="40"/>
    </w:pPr>
    <w:rPr>
      <w:rFonts w:asciiTheme="minorHAnsi" w:eastAsiaTheme="minorHAnsi" w:hAnsiTheme="minorHAnsi" w:cstheme="minorBidi"/>
      <w:color w:val="595959" w:themeColor="text1" w:themeTint="A6"/>
      <w:sz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sion">
    <w:name w:val="Revision"/>
    <w:hidden/>
    <w:semiHidden/>
    <w:locked/>
    <w:rsid w:val="00804B53"/>
    <w:rPr>
      <w:sz w:val="22"/>
    </w:rPr>
  </w:style>
  <w:style w:type="character" w:customStyle="1" w:styleId="superscript">
    <w:name w:val="superscript"/>
    <w:basedOn w:val="DefaultParagraphFont"/>
    <w:rsid w:val="00170442"/>
  </w:style>
  <w:style w:type="paragraph" w:customStyle="1" w:styleId="Titreobjet">
    <w:name w:val="Titre objet"/>
    <w:basedOn w:val="Normal"/>
    <w:next w:val="Normal"/>
    <w:rsid w:val="00A00AFF"/>
    <w:pPr>
      <w:spacing w:before="360" w:after="360" w:line="240" w:lineRule="auto"/>
      <w:jc w:val="center"/>
    </w:pPr>
    <w:rPr>
      <w:rFonts w:eastAsiaTheme="minorHAnsi"/>
      <w:b/>
      <w:sz w:val="24"/>
      <w:szCs w:val="22"/>
      <w:lang w:eastAsia="en-US"/>
    </w:rPr>
  </w:style>
  <w:style w:type="character" w:customStyle="1" w:styleId="UnresolvedMention1">
    <w:name w:val="Unresolved Mention1"/>
    <w:basedOn w:val="DefaultParagraphFont"/>
    <w:uiPriority w:val="99"/>
    <w:semiHidden/>
    <w:unhideWhenUsed/>
    <w:rsid w:val="00D444E6"/>
    <w:rPr>
      <w:color w:val="605E5C"/>
      <w:shd w:val="clear" w:color="auto" w:fill="E1DFDD"/>
    </w:rPr>
  </w:style>
  <w:style w:type="character" w:customStyle="1" w:styleId="Heading2Char">
    <w:name w:val="Heading 2 Char"/>
    <w:basedOn w:val="DefaultParagraphFont"/>
    <w:link w:val="Heading2"/>
    <w:uiPriority w:val="1"/>
    <w:rsid w:val="00FA377B"/>
    <w:rPr>
      <w:b/>
      <w:sz w:val="26"/>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No Spacing1 Char,3 Char"/>
    <w:link w:val="ListParagraph"/>
    <w:uiPriority w:val="34"/>
    <w:qFormat/>
    <w:locked/>
    <w:rsid w:val="00AF60F8"/>
    <w:rPr>
      <w:rFonts w:ascii="Calibri" w:hAnsi="Calibri"/>
      <w:sz w:val="22"/>
      <w:szCs w:val="22"/>
      <w:lang w:eastAsia="en-US"/>
    </w:rPr>
  </w:style>
  <w:style w:type="character" w:customStyle="1" w:styleId="UnresolvedMention">
    <w:name w:val="Unresolved Mention"/>
    <w:basedOn w:val="DefaultParagraphFont"/>
    <w:uiPriority w:val="99"/>
    <w:semiHidden/>
    <w:unhideWhenUsed/>
    <w:rsid w:val="00EE4177"/>
    <w:rPr>
      <w:color w:val="605E5C"/>
      <w:shd w:val="clear" w:color="auto" w:fill="E1DFDD"/>
    </w:rPr>
  </w:style>
  <w:style w:type="character" w:customStyle="1" w:styleId="FootnoteTextChar1">
    <w:name w:val="Footnote Text Char1"/>
    <w:basedOn w:val="DefaultParagraphFont"/>
    <w:uiPriority w:val="99"/>
    <w:rsid w:val="00A57A8E"/>
    <w:rPr>
      <w:kern w:val="2"/>
      <w:sz w:val="20"/>
      <w:szCs w:val="20"/>
      <w14:ligatures w14:val="standardContextual"/>
    </w:rPr>
  </w:style>
  <w:style w:type="paragraph" w:customStyle="1" w:styleId="Style1">
    <w:name w:val="Style1"/>
    <w:basedOn w:val="ListParagraph"/>
    <w:qFormat/>
    <w:rsid w:val="00A57A8E"/>
    <w:pPr>
      <w:numPr>
        <w:ilvl w:val="1"/>
        <w:numId w:val="29"/>
      </w:numPr>
      <w:spacing w:after="160" w:line="259" w:lineRule="auto"/>
      <w:contextualSpacing/>
      <w:jc w:val="both"/>
    </w:pPr>
    <w:rPr>
      <w:rFonts w:ascii="Times New Roman" w:hAnsi="Times New Roman"/>
      <w:i/>
      <w:iCs/>
      <w:kern w:val="2"/>
      <w:sz w:val="24"/>
      <w:szCs w:val="24"/>
      <w:lang w:val="en-US"/>
      <w14:ligatures w14:val="standardContextual"/>
    </w:rPr>
  </w:style>
  <w:style w:type="paragraph" w:customStyle="1" w:styleId="Style2">
    <w:name w:val="Style2"/>
    <w:basedOn w:val="ListParagraph"/>
    <w:qFormat/>
    <w:rsid w:val="00A57A8E"/>
    <w:pPr>
      <w:numPr>
        <w:numId w:val="29"/>
      </w:numPr>
      <w:spacing w:after="160" w:line="259" w:lineRule="auto"/>
      <w:ind w:left="714" w:hanging="357"/>
      <w:jc w:val="both"/>
    </w:pPr>
    <w:rPr>
      <w:rFonts w:ascii="Times New Roman" w:hAnsi="Times New Roman"/>
      <w:b/>
      <w:bCs/>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066">
      <w:bodyDiv w:val="1"/>
      <w:marLeft w:val="0"/>
      <w:marRight w:val="0"/>
      <w:marTop w:val="0"/>
      <w:marBottom w:val="0"/>
      <w:divBdr>
        <w:top w:val="none" w:sz="0" w:space="0" w:color="auto"/>
        <w:left w:val="none" w:sz="0" w:space="0" w:color="auto"/>
        <w:bottom w:val="none" w:sz="0" w:space="0" w:color="auto"/>
        <w:right w:val="none" w:sz="0" w:space="0" w:color="auto"/>
      </w:divBdr>
    </w:div>
    <w:div w:id="54593188">
      <w:bodyDiv w:val="1"/>
      <w:marLeft w:val="0"/>
      <w:marRight w:val="0"/>
      <w:marTop w:val="0"/>
      <w:marBottom w:val="0"/>
      <w:divBdr>
        <w:top w:val="none" w:sz="0" w:space="0" w:color="auto"/>
        <w:left w:val="none" w:sz="0" w:space="0" w:color="auto"/>
        <w:bottom w:val="none" w:sz="0" w:space="0" w:color="auto"/>
        <w:right w:val="none" w:sz="0" w:space="0" w:color="auto"/>
      </w:divBdr>
    </w:div>
    <w:div w:id="57828252">
      <w:bodyDiv w:val="1"/>
      <w:marLeft w:val="0"/>
      <w:marRight w:val="0"/>
      <w:marTop w:val="0"/>
      <w:marBottom w:val="0"/>
      <w:divBdr>
        <w:top w:val="none" w:sz="0" w:space="0" w:color="auto"/>
        <w:left w:val="none" w:sz="0" w:space="0" w:color="auto"/>
        <w:bottom w:val="none" w:sz="0" w:space="0" w:color="auto"/>
        <w:right w:val="none" w:sz="0" w:space="0" w:color="auto"/>
      </w:divBdr>
    </w:div>
    <w:div w:id="190652000">
      <w:bodyDiv w:val="1"/>
      <w:marLeft w:val="0"/>
      <w:marRight w:val="0"/>
      <w:marTop w:val="0"/>
      <w:marBottom w:val="0"/>
      <w:divBdr>
        <w:top w:val="none" w:sz="0" w:space="0" w:color="auto"/>
        <w:left w:val="none" w:sz="0" w:space="0" w:color="auto"/>
        <w:bottom w:val="none" w:sz="0" w:space="0" w:color="auto"/>
        <w:right w:val="none" w:sz="0" w:space="0" w:color="auto"/>
      </w:divBdr>
    </w:div>
    <w:div w:id="217058565">
      <w:bodyDiv w:val="1"/>
      <w:marLeft w:val="0"/>
      <w:marRight w:val="0"/>
      <w:marTop w:val="0"/>
      <w:marBottom w:val="0"/>
      <w:divBdr>
        <w:top w:val="none" w:sz="0" w:space="0" w:color="auto"/>
        <w:left w:val="none" w:sz="0" w:space="0" w:color="auto"/>
        <w:bottom w:val="none" w:sz="0" w:space="0" w:color="auto"/>
        <w:right w:val="none" w:sz="0" w:space="0" w:color="auto"/>
      </w:divBdr>
    </w:div>
    <w:div w:id="335571784">
      <w:bodyDiv w:val="1"/>
      <w:marLeft w:val="0"/>
      <w:marRight w:val="0"/>
      <w:marTop w:val="0"/>
      <w:marBottom w:val="0"/>
      <w:divBdr>
        <w:top w:val="none" w:sz="0" w:space="0" w:color="auto"/>
        <w:left w:val="none" w:sz="0" w:space="0" w:color="auto"/>
        <w:bottom w:val="none" w:sz="0" w:space="0" w:color="auto"/>
        <w:right w:val="none" w:sz="0" w:space="0" w:color="auto"/>
      </w:divBdr>
    </w:div>
    <w:div w:id="471868528">
      <w:bodyDiv w:val="1"/>
      <w:marLeft w:val="0"/>
      <w:marRight w:val="0"/>
      <w:marTop w:val="0"/>
      <w:marBottom w:val="0"/>
      <w:divBdr>
        <w:top w:val="none" w:sz="0" w:space="0" w:color="auto"/>
        <w:left w:val="none" w:sz="0" w:space="0" w:color="auto"/>
        <w:bottom w:val="none" w:sz="0" w:space="0" w:color="auto"/>
        <w:right w:val="none" w:sz="0" w:space="0" w:color="auto"/>
      </w:divBdr>
      <w:divsChild>
        <w:div w:id="271472249">
          <w:marLeft w:val="75"/>
          <w:marRight w:val="0"/>
          <w:marTop w:val="0"/>
          <w:marBottom w:val="0"/>
          <w:divBdr>
            <w:top w:val="none" w:sz="0" w:space="0" w:color="auto"/>
            <w:left w:val="none" w:sz="0" w:space="0" w:color="auto"/>
            <w:bottom w:val="none" w:sz="0" w:space="0" w:color="auto"/>
            <w:right w:val="none" w:sz="0" w:space="0" w:color="auto"/>
          </w:divBdr>
        </w:div>
        <w:div w:id="512647906">
          <w:marLeft w:val="75"/>
          <w:marRight w:val="0"/>
          <w:marTop w:val="0"/>
          <w:marBottom w:val="0"/>
          <w:divBdr>
            <w:top w:val="none" w:sz="0" w:space="0" w:color="auto"/>
            <w:left w:val="none" w:sz="0" w:space="0" w:color="auto"/>
            <w:bottom w:val="none" w:sz="0" w:space="0" w:color="auto"/>
            <w:right w:val="none" w:sz="0" w:space="0" w:color="auto"/>
          </w:divBdr>
        </w:div>
        <w:div w:id="532109155">
          <w:marLeft w:val="75"/>
          <w:marRight w:val="0"/>
          <w:marTop w:val="0"/>
          <w:marBottom w:val="0"/>
          <w:divBdr>
            <w:top w:val="none" w:sz="0" w:space="0" w:color="auto"/>
            <w:left w:val="none" w:sz="0" w:space="0" w:color="auto"/>
            <w:bottom w:val="none" w:sz="0" w:space="0" w:color="auto"/>
            <w:right w:val="none" w:sz="0" w:space="0" w:color="auto"/>
          </w:divBdr>
        </w:div>
      </w:divsChild>
    </w:div>
    <w:div w:id="557979673">
      <w:bodyDiv w:val="1"/>
      <w:marLeft w:val="0"/>
      <w:marRight w:val="0"/>
      <w:marTop w:val="0"/>
      <w:marBottom w:val="0"/>
      <w:divBdr>
        <w:top w:val="none" w:sz="0" w:space="0" w:color="auto"/>
        <w:left w:val="none" w:sz="0" w:space="0" w:color="auto"/>
        <w:bottom w:val="none" w:sz="0" w:space="0" w:color="auto"/>
        <w:right w:val="none" w:sz="0" w:space="0" w:color="auto"/>
      </w:divBdr>
    </w:div>
    <w:div w:id="609557104">
      <w:bodyDiv w:val="1"/>
      <w:marLeft w:val="0"/>
      <w:marRight w:val="0"/>
      <w:marTop w:val="0"/>
      <w:marBottom w:val="0"/>
      <w:divBdr>
        <w:top w:val="none" w:sz="0" w:space="0" w:color="auto"/>
        <w:left w:val="none" w:sz="0" w:space="0" w:color="auto"/>
        <w:bottom w:val="none" w:sz="0" w:space="0" w:color="auto"/>
        <w:right w:val="none" w:sz="0" w:space="0" w:color="auto"/>
      </w:divBdr>
    </w:div>
    <w:div w:id="682590078">
      <w:bodyDiv w:val="1"/>
      <w:marLeft w:val="0"/>
      <w:marRight w:val="0"/>
      <w:marTop w:val="0"/>
      <w:marBottom w:val="0"/>
      <w:divBdr>
        <w:top w:val="none" w:sz="0" w:space="0" w:color="auto"/>
        <w:left w:val="none" w:sz="0" w:space="0" w:color="auto"/>
        <w:bottom w:val="none" w:sz="0" w:space="0" w:color="auto"/>
        <w:right w:val="none" w:sz="0" w:space="0" w:color="auto"/>
      </w:divBdr>
    </w:div>
    <w:div w:id="691036471">
      <w:bodyDiv w:val="1"/>
      <w:marLeft w:val="0"/>
      <w:marRight w:val="0"/>
      <w:marTop w:val="0"/>
      <w:marBottom w:val="0"/>
      <w:divBdr>
        <w:top w:val="none" w:sz="0" w:space="0" w:color="auto"/>
        <w:left w:val="none" w:sz="0" w:space="0" w:color="auto"/>
        <w:bottom w:val="none" w:sz="0" w:space="0" w:color="auto"/>
        <w:right w:val="none" w:sz="0" w:space="0" w:color="auto"/>
      </w:divBdr>
    </w:div>
    <w:div w:id="832527345">
      <w:bodyDiv w:val="1"/>
      <w:marLeft w:val="0"/>
      <w:marRight w:val="0"/>
      <w:marTop w:val="0"/>
      <w:marBottom w:val="0"/>
      <w:divBdr>
        <w:top w:val="none" w:sz="0" w:space="0" w:color="auto"/>
        <w:left w:val="none" w:sz="0" w:space="0" w:color="auto"/>
        <w:bottom w:val="none" w:sz="0" w:space="0" w:color="auto"/>
        <w:right w:val="none" w:sz="0" w:space="0" w:color="auto"/>
      </w:divBdr>
    </w:div>
    <w:div w:id="1153255378">
      <w:bodyDiv w:val="1"/>
      <w:marLeft w:val="0"/>
      <w:marRight w:val="0"/>
      <w:marTop w:val="0"/>
      <w:marBottom w:val="0"/>
      <w:divBdr>
        <w:top w:val="none" w:sz="0" w:space="0" w:color="auto"/>
        <w:left w:val="none" w:sz="0" w:space="0" w:color="auto"/>
        <w:bottom w:val="none" w:sz="0" w:space="0" w:color="auto"/>
        <w:right w:val="none" w:sz="0" w:space="0" w:color="auto"/>
      </w:divBdr>
    </w:div>
    <w:div w:id="1157458475">
      <w:bodyDiv w:val="1"/>
      <w:marLeft w:val="0"/>
      <w:marRight w:val="0"/>
      <w:marTop w:val="0"/>
      <w:marBottom w:val="0"/>
      <w:divBdr>
        <w:top w:val="none" w:sz="0" w:space="0" w:color="auto"/>
        <w:left w:val="none" w:sz="0" w:space="0" w:color="auto"/>
        <w:bottom w:val="none" w:sz="0" w:space="0" w:color="auto"/>
        <w:right w:val="none" w:sz="0" w:space="0" w:color="auto"/>
      </w:divBdr>
    </w:div>
    <w:div w:id="1307009581">
      <w:bodyDiv w:val="1"/>
      <w:marLeft w:val="0"/>
      <w:marRight w:val="0"/>
      <w:marTop w:val="0"/>
      <w:marBottom w:val="0"/>
      <w:divBdr>
        <w:top w:val="none" w:sz="0" w:space="0" w:color="auto"/>
        <w:left w:val="none" w:sz="0" w:space="0" w:color="auto"/>
        <w:bottom w:val="none" w:sz="0" w:space="0" w:color="auto"/>
        <w:right w:val="none" w:sz="0" w:space="0" w:color="auto"/>
      </w:divBdr>
    </w:div>
    <w:div w:id="1353805208">
      <w:bodyDiv w:val="1"/>
      <w:marLeft w:val="0"/>
      <w:marRight w:val="0"/>
      <w:marTop w:val="0"/>
      <w:marBottom w:val="0"/>
      <w:divBdr>
        <w:top w:val="none" w:sz="0" w:space="0" w:color="auto"/>
        <w:left w:val="none" w:sz="0" w:space="0" w:color="auto"/>
        <w:bottom w:val="none" w:sz="0" w:space="0" w:color="auto"/>
        <w:right w:val="none" w:sz="0" w:space="0" w:color="auto"/>
      </w:divBdr>
    </w:div>
    <w:div w:id="1797412739">
      <w:bodyDiv w:val="1"/>
      <w:marLeft w:val="0"/>
      <w:marRight w:val="0"/>
      <w:marTop w:val="0"/>
      <w:marBottom w:val="0"/>
      <w:divBdr>
        <w:top w:val="none" w:sz="0" w:space="0" w:color="auto"/>
        <w:left w:val="none" w:sz="0" w:space="0" w:color="auto"/>
        <w:bottom w:val="none" w:sz="0" w:space="0" w:color="auto"/>
        <w:right w:val="none" w:sz="0" w:space="0" w:color="auto"/>
      </w:divBdr>
    </w:div>
    <w:div w:id="1952198802">
      <w:bodyDiv w:val="1"/>
      <w:marLeft w:val="0"/>
      <w:marRight w:val="0"/>
      <w:marTop w:val="0"/>
      <w:marBottom w:val="0"/>
      <w:divBdr>
        <w:top w:val="none" w:sz="0" w:space="0" w:color="auto"/>
        <w:left w:val="none" w:sz="0" w:space="0" w:color="auto"/>
        <w:bottom w:val="none" w:sz="0" w:space="0" w:color="auto"/>
        <w:right w:val="none" w:sz="0" w:space="0" w:color="auto"/>
      </w:divBdr>
    </w:div>
    <w:div w:id="1986278742">
      <w:bodyDiv w:val="1"/>
      <w:marLeft w:val="0"/>
      <w:marRight w:val="0"/>
      <w:marTop w:val="0"/>
      <w:marBottom w:val="0"/>
      <w:divBdr>
        <w:top w:val="none" w:sz="0" w:space="0" w:color="auto"/>
        <w:left w:val="none" w:sz="0" w:space="0" w:color="auto"/>
        <w:bottom w:val="none" w:sz="0" w:space="0" w:color="auto"/>
        <w:right w:val="none" w:sz="0" w:space="0" w:color="auto"/>
      </w:divBdr>
    </w:div>
    <w:div w:id="2110151235">
      <w:bodyDiv w:val="1"/>
      <w:marLeft w:val="0"/>
      <w:marRight w:val="0"/>
      <w:marTop w:val="0"/>
      <w:marBottom w:val="0"/>
      <w:divBdr>
        <w:top w:val="none" w:sz="0" w:space="0" w:color="auto"/>
        <w:left w:val="none" w:sz="0" w:space="0" w:color="auto"/>
        <w:bottom w:val="none" w:sz="0" w:space="0" w:color="auto"/>
        <w:right w:val="none" w:sz="0" w:space="0" w:color="auto"/>
      </w:divBdr>
    </w:div>
    <w:div w:id="212265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p.europa.eu/webpub/olaf/pif-report-2023/en/"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4.emf"/><Relationship Id="rId42"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p.europa.eu/webpub/olaf/pif-report-2022/en/" TargetMode="External"/><Relationship Id="rId33" Type="http://schemas.openxmlformats.org/officeDocument/2006/relationships/image" Target="media/image3.png"/><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op.europa.eu/webpub/olaf/pif-report-2023/en/"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lex.europa.eu/legal-content/EN/TXT/?uri=CELEX%3A12016E325"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op.europa.eu/webpub/olaf/pif-report-2023/en/"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op.europa.eu/webpub/olaf/pif-report-2023/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op.europa.eu/webpub/olaf/pif-report-2023/en/" TargetMode="External"/><Relationship Id="rId30" Type="http://schemas.openxmlformats.org/officeDocument/2006/relationships/hyperlink" Target="https://op.europa.eu/webpub/olaf/pif-report-2022/en/" TargetMode="External"/><Relationship Id="rId35" Type="http://schemas.openxmlformats.org/officeDocument/2006/relationships/image" Target="media/image5.emf"/><Relationship Id="rId43"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olaf-report/2024/cooperation-with-partners/cooperation-with-partners_en.html" TargetMode="External"/><Relationship Id="rId13" Type="http://schemas.openxmlformats.org/officeDocument/2006/relationships/hyperlink" Target="https://op.europa.eu/webpub/olaf/pif-report-2023/en/" TargetMode="External"/><Relationship Id="rId18" Type="http://schemas.openxmlformats.org/officeDocument/2006/relationships/hyperlink" Target="https://commission.europa.eu/strategy-and-policy/eu-budget/long-term-eu-budget/2021-2027/revenue/own-resources/value-added-tax_en" TargetMode="External"/><Relationship Id="rId3" Type="http://schemas.openxmlformats.org/officeDocument/2006/relationships/hyperlink" Target="https://anti-fraud.ec.europa.eu/system/files/2022-09/pif-report-2021_en_0.pdf" TargetMode="External"/><Relationship Id="rId7" Type="http://schemas.openxmlformats.org/officeDocument/2006/relationships/hyperlink" Target="https://oeil.secure.europarl.europa.eu/oeil/en/procedure-file?reference=2024/2083(INI)" TargetMode="External"/><Relationship Id="rId12" Type="http://schemas.openxmlformats.org/officeDocument/2006/relationships/hyperlink" Target="https://op.europa.eu/webpub/olaf/pif-report-2023/en/" TargetMode="External"/><Relationship Id="rId17" Type="http://schemas.openxmlformats.org/officeDocument/2006/relationships/hyperlink" Target="https://data.europa.eu/doi/10.2778/2476549" TargetMode="External"/><Relationship Id="rId2" Type="http://schemas.openxmlformats.org/officeDocument/2006/relationships/hyperlink" Target="https://anti-fraud.ec.europa.eu/system/files/2022-09/pif-report-2021_en_0.pdf" TargetMode="External"/><Relationship Id="rId16" Type="http://schemas.openxmlformats.org/officeDocument/2006/relationships/hyperlink" Target="https://www.eppo.europa.eu/assets/annual-report-2024/pdfs/EPPO_Annual_Report_2024_en.pdf" TargetMode="External"/><Relationship Id="rId1" Type="http://schemas.openxmlformats.org/officeDocument/2006/relationships/hyperlink" Target="https://oeil.secure.europarl.europa.eu/oeil/en/procedure-file?reference=2024/2083(INI)" TargetMode="External"/><Relationship Id="rId6" Type="http://schemas.openxmlformats.org/officeDocument/2006/relationships/hyperlink" Target="https://op.europa.eu/webpub/olaf/pif-report-2023/en/" TargetMode="External"/><Relationship Id="rId11" Type="http://schemas.openxmlformats.org/officeDocument/2006/relationships/hyperlink" Target="https://op.europa.eu/webpub/olaf/pif-report-2023/en/" TargetMode="External"/><Relationship Id="rId5" Type="http://schemas.openxmlformats.org/officeDocument/2006/relationships/hyperlink" Target="https://www.eppo.europa.eu/assets/annual-report-2024/pdfs/EPPO_Annual_Report_2024_en.pdf" TargetMode="External"/><Relationship Id="rId15" Type="http://schemas.openxmlformats.org/officeDocument/2006/relationships/hyperlink" Target="https://www.eppo.europa.eu/assets/annual-report-2024/pdfs/EPPO_Annual_Report_2024_en.pdf" TargetMode="External"/><Relationship Id="rId10" Type="http://schemas.openxmlformats.org/officeDocument/2006/relationships/hyperlink" Target="https://commission.europa.eu/strategy-and-policy/policies/justice-and-fundamental-rights/democracy-eu-citizenship-anti-corruption/anti-corruption/eu-network-against-corruption_en" TargetMode="External"/><Relationship Id="rId19" Type="http://schemas.openxmlformats.org/officeDocument/2006/relationships/hyperlink" Target="https://ec.europa.eu/olaf-report/2024/investigative-activities/protecting-eu-revenue/operations-with-partners_en.html" TargetMode="External"/><Relationship Id="rId4" Type="http://schemas.openxmlformats.org/officeDocument/2006/relationships/hyperlink" Target="https://ec.europa.eu/olaf-report/2024/index_en.html" TargetMode="External"/><Relationship Id="rId9" Type="http://schemas.openxmlformats.org/officeDocument/2006/relationships/hyperlink" Target="https://op.europa.eu/fr/publication-detail/-/publication/5c0730b2-9769-11ef-a130-01aa75ed71a1/language-en" TargetMode="External"/><Relationship Id="rId14" Type="http://schemas.openxmlformats.org/officeDocument/2006/relationships/hyperlink" Target="https://ec.europa.eu/olaf-report/2024/index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ebab0b06-132a-4722-b111-58c14cc28097</Id>
  <Names>
    <Latin>
      <FirstName>Andrea</FirstName>
      <LastName>BORDONI</LastName>
    </Latin>
    <Greek>
      <FirstName/>
      <LastName/>
    </Greek>
    <Cyrillic>
      <FirstName/>
      <LastName/>
    </Cyrillic>
    <DocumentScript>
      <FirstName>Andrea</FirstName>
      <LastName>BORDONI</LastName>
      <FullName>Andrea BORDONI, Madeleine PUMBERGER</FullName>
    </DocumentScript>
  </Names>
  <Initials>AB</Initials>
  <Gender>m</Gender>
  <Email>Andrea.BORDONI@ec.europa.eu</Email>
  <Service>OLAF.C.1</Service>
  <Function ADCode="40" ShowInSignature="true" ShowInHeader="false" HeaderText="">Deputy Head of Unit</Function>
  <WebAddress/>
  <FunctionalMailbox/>
  <InheritedWebAddress>WebAddress</InheritedWebAddress>
  <OrgaEntity1>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1>
  <OrgaEntity2>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2>
  <OrgaEntity3>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3>
  <Hierarchy>
    <OrgaEntity>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
    <OrgaEntity>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
    <OrgaEntity>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+32 229-67737</Phone>
    <Office>J-30 06/015</Office>
  </MainWorkplace>
  <Workplaces>
    <Workplace IsMain="true">
      <AddressId>f03b5801-04c9-4931-aa17-c6d6c70bc579</AddressId>
      <Fax/>
      <Phone>+32 229-67737</Phone>
      <Office>J-30 06/015</Office>
    </Workplace>
    <Workplace IsMain="false">
      <AddressId>1264fb81-f6bb-475e-9f9d-a937d3be6ee2</AddressId>
      <Fax/>
      <Phone/>
      <Office/>
    </Workplace>
  </Workplaces>
</Author>
</file>

<file path=customXml/item2.xml><?xml version="1.0" encoding="utf-8"?>
<EurolookProperties>
  <ProductCustomizationId>EC</ProductCustomizationId>
  <Created>
    <Version>10.0.43105.0</Version>
    <Date>2022-05-20T17:29:16</Date>
    <Language>EN</Language>
    <Note/>
  </Created>
  <Edited>
    <Version/>
    <Date/>
  </Edited>
  <DocumentModel>
    <Id>34954475-997f-4cb0-a95b-7f65298f3d8c</Id>
    <Name>Report (long)</Name>
  </DocumentModel>
  <DocumentDate>2022-06-20T00:00:00</DocumentDate>
  <DocumentVersion>1.1</DocumentVersion>
  <CompatibilityMode>Eurolook10</CompatibilityMode>
  <DocumentMetadata>
    <EC_SecurityDateMarkingDate MetadataSerializationType="SimpleValue"/>
    <EC_SecurityReleasability MetadataSerializationType="SimpleValue"/>
    <EC_SecurityDistributionWorkingGroup MetadataSerializationType="SimpleValue"/>
    <EC_SecurityDistributionDG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TOCHeading>Contents</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Document Version</TechFooterVersion>
  <TechFooterDated>dated</TechFooterDated>
  <LabelPictureSeq>Figure {SEQ Figure \* ARABIC }: </LabelPictureSeq>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16110-6CF9-4EFA-B2F9-8353C7D2C589}">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6F458116-731B-4665-B469-CE098AB4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11866</Words>
  <Characters>67639</Characters>
  <Application>Microsoft Office Word</Application>
  <DocSecurity>0</DocSecurity>
  <PresentationFormat>Microsoft Word 14.0</PresentationFormat>
  <Lines>563</Lines>
  <Paragraphs>158</Paragraphs>
  <ScaleCrop>true</ScaleCrop>
  <HeadingPairs>
    <vt:vector size="2" baseType="variant">
      <vt:variant>
        <vt:lpstr>Title</vt:lpstr>
      </vt:variant>
      <vt:variant>
        <vt:i4>1</vt:i4>
      </vt:variant>
    </vt:vector>
  </HeadingPairs>
  <TitlesOfParts>
    <vt:vector size="1" baseType="lpstr">
      <vt:lpstr>35th Annual Report on the protection of the EU financial interests and the fight against fraud</vt:lpstr>
    </vt:vector>
  </TitlesOfParts>
  <Manager/>
  <Company/>
  <LinksUpToDate>false</LinksUpToDate>
  <CharactersWithSpaces>79347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35th Annual Report on the protection of the EU financial interests and the fight against fraud</dc:title>
  <dc:subject>2021</dc:subject>
  <dc:creator/>
  <cp:keywords/>
  <dc:description/>
  <cp:lastModifiedBy>EC CoDe</cp:lastModifiedBy>
  <cp:revision>5</cp:revision>
  <dcterms:created xsi:type="dcterms:W3CDTF">2025-07-16T13:55:00Z</dcterms:created>
  <dcterms:modified xsi:type="dcterms:W3CDTF">2025-07-17T07:50:00Z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9.1, Build 20240808</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ELDocType">
    <vt:lpwstr>tech.dot</vt:lpwstr>
  </property>
  <property fmtid="{D5CDD505-2E9C-101B-9397-08002B2CF9AE}" pid="11" name="MSIP_Label_6bd9ddd1-4d20-43f6-abfa-fc3c07406f94_Enabled">
    <vt:lpwstr>true</vt:lpwstr>
  </property>
  <property fmtid="{D5CDD505-2E9C-101B-9397-08002B2CF9AE}" pid="12" name="MSIP_Label_6bd9ddd1-4d20-43f6-abfa-fc3c07406f94_SetDate">
    <vt:lpwstr>2025-06-21T16:52:00Z</vt:lpwstr>
  </property>
  <property fmtid="{D5CDD505-2E9C-101B-9397-08002B2CF9AE}" pid="13" name="MSIP_Label_6bd9ddd1-4d20-43f6-abfa-fc3c07406f94_Method">
    <vt:lpwstr>Privileged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8e135799-6e83-4fe8-99e3-e5d6814aafee</vt:lpwstr>
  </property>
  <property fmtid="{D5CDD505-2E9C-101B-9397-08002B2CF9AE}" pid="17" name="MSIP_Label_6bd9ddd1-4d20-43f6-abfa-fc3c07406f94_ContentBits">
    <vt:lpwstr>0</vt:lpwstr>
  </property>
</Properties>
</file>