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8DED0" w14:textId="2822E119" w:rsidR="00B72F89" w:rsidRPr="00D34D72" w:rsidRDefault="00E874AC" w:rsidP="00E874AC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00902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FD1C77DD-C13A-4045-8FF8-6C8FB27A8DDC" style="width:455.25pt;height:324pt">
            <v:imagedata r:id="rId8" o:title=""/>
          </v:shape>
        </w:pict>
      </w:r>
    </w:p>
    <w:bookmarkEnd w:id="0"/>
    <w:p w14:paraId="5838B6C3" w14:textId="77777777" w:rsidR="00B72F89" w:rsidRPr="00D34D72" w:rsidRDefault="00B72F89" w:rsidP="003A5B09">
      <w:pPr>
        <w:jc w:val="both"/>
        <w:rPr>
          <w:noProof/>
        </w:rPr>
        <w:sectPr w:rsidR="00B72F89" w:rsidRPr="00D34D72" w:rsidSect="00E874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DF895A3" w14:textId="74919349" w:rsidR="00B257E4" w:rsidRPr="00655DB4" w:rsidRDefault="00B257E4" w:rsidP="00B257E4">
      <w:pPr>
        <w:pStyle w:val="Typedudocument"/>
        <w:rPr>
          <w:noProof/>
        </w:rPr>
      </w:pPr>
      <w:bookmarkStart w:id="1" w:name="_GoBack"/>
      <w:bookmarkEnd w:id="1"/>
      <w:r w:rsidRPr="00655DB4">
        <w:rPr>
          <w:noProof/>
        </w:rPr>
        <w:lastRenderedPageBreak/>
        <w:t>SPRÁVA KOMISIE EURÓPSKEMU PARLAMENTU A RADE</w:t>
      </w:r>
    </w:p>
    <w:p w14:paraId="0373B9EF" w14:textId="09B0AF30" w:rsidR="00B257E4" w:rsidRPr="00655DB4" w:rsidRDefault="00B257E4" w:rsidP="00B257E4">
      <w:pPr>
        <w:pStyle w:val="Titreobjet"/>
        <w:rPr>
          <w:noProof/>
        </w:rPr>
      </w:pPr>
      <w:r w:rsidRPr="00655DB4">
        <w:rPr>
          <w:noProof/>
        </w:rPr>
        <w:t>Deviata správa o monitorovaní vývoja železničného trhu podľa článku 15 ods. 4 smernice Európskeho parlamentu a Rady 2012/34/EÚ</w:t>
      </w:r>
    </w:p>
    <w:p w14:paraId="4548C211" w14:textId="10DCD8BE" w:rsidR="00B72F89" w:rsidRPr="00D34D72" w:rsidRDefault="00B72F89" w:rsidP="003A5B09">
      <w:pPr>
        <w:jc w:val="both"/>
        <w:rPr>
          <w:noProof/>
        </w:rPr>
      </w:pPr>
    </w:p>
    <w:p w14:paraId="2A1D7696" w14:textId="3DD2440A" w:rsidR="00B72F89" w:rsidRPr="00655DB4" w:rsidRDefault="00B72F89" w:rsidP="003A5B09">
      <w:pPr>
        <w:pStyle w:val="Heading1"/>
        <w:spacing w:before="0" w:afterLines="100" w:after="240"/>
        <w:jc w:val="both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655DB4">
        <w:rPr>
          <w:rFonts w:ascii="Times New Roman" w:hAnsi="Times New Roman"/>
          <w:b/>
          <w:noProof/>
          <w:color w:val="auto"/>
          <w:sz w:val="24"/>
        </w:rPr>
        <w:t>HLAVNÉ ZISTENIA</w:t>
      </w:r>
    </w:p>
    <w:p w14:paraId="475B236C" w14:textId="77777777" w:rsidR="00B72F89" w:rsidRPr="00D34D72" w:rsidRDefault="00B72F89" w:rsidP="003A5B09">
      <w:pPr>
        <w:spacing w:afterLines="100" w:after="240"/>
        <w:jc w:val="both"/>
        <w:rPr>
          <w:noProof/>
        </w:rPr>
      </w:pPr>
      <w:r>
        <w:rPr>
          <w:noProof/>
        </w:rPr>
        <w:t>Spoľahlivé monitorovanie železničného trhu má zásadný význam pre pochopenie vývoja trhu a prijímanie informovaných politických rozhodnutí.</w:t>
      </w:r>
    </w:p>
    <w:p w14:paraId="0E6AB24A" w14:textId="49A09FC9" w:rsidR="00B72F89" w:rsidRPr="00D34D72" w:rsidRDefault="00B72F89" w:rsidP="003A5B09">
      <w:pPr>
        <w:spacing w:afterLines="100" w:after="240"/>
        <w:jc w:val="both"/>
        <w:rPr>
          <w:noProof/>
        </w:rPr>
      </w:pPr>
      <w:r>
        <w:rPr>
          <w:noProof/>
        </w:rPr>
        <w:t>Táto správa zahŕňa údaje do roku 2022 a odkazuje sa v nej na neskorší vývoj v odvetví, ak je k dispozícii.</w:t>
      </w:r>
    </w:p>
    <w:p w14:paraId="2E46825F" w14:textId="1A532787" w:rsidR="00B72F89" w:rsidRPr="00D34D72" w:rsidRDefault="00B72F89" w:rsidP="003A5B09">
      <w:pPr>
        <w:spacing w:afterLines="100" w:after="240"/>
        <w:jc w:val="both"/>
        <w:rPr>
          <w:noProof/>
        </w:rPr>
      </w:pPr>
      <w:r>
        <w:rPr>
          <w:noProof/>
        </w:rPr>
        <w:t>Za roky 2018 – 2022 sa dospelo k niekoľkým hlavným zisteniam:</w:t>
      </w:r>
    </w:p>
    <w:p w14:paraId="740818AB" w14:textId="7815B17F" w:rsidR="000738AB" w:rsidRPr="00D34D72" w:rsidRDefault="000738AB" w:rsidP="003A5B09">
      <w:pPr>
        <w:numPr>
          <w:ilvl w:val="0"/>
          <w:numId w:val="8"/>
        </w:numPr>
        <w:tabs>
          <w:tab w:val="clear" w:pos="720"/>
        </w:tabs>
        <w:spacing w:afterLines="100" w:after="240" w:line="259" w:lineRule="auto"/>
        <w:ind w:left="567" w:hanging="425"/>
        <w:jc w:val="both"/>
        <w:rPr>
          <w:noProof/>
        </w:rPr>
      </w:pPr>
      <w:r w:rsidRPr="00655DB4">
        <w:rPr>
          <w:b/>
          <w:noProof/>
        </w:rPr>
        <w:t>Osobná doprava</w:t>
      </w:r>
      <w:r>
        <w:rPr>
          <w:noProof/>
        </w:rPr>
        <w:t>: pandémia ochorenia COVID-19 viedla v roku 2020 k prudkému poklesu osobnej dopravy o 46 % v porovnaní s rokom 2019. Za tým nasledovala výrazná obnova, pričom celková osobná železničná doprava v krajinách EÚ27 dosiahla v roku 2022 395,5 miliardy osobokilometrov, čo je len o niečo menej ako 411,8 miliardy zaznamenaných v roku 2019.</w:t>
      </w:r>
    </w:p>
    <w:p w14:paraId="75A75B51" w14:textId="3CE5C89E" w:rsidR="000738AB" w:rsidRPr="00D34D72" w:rsidRDefault="000738AB" w:rsidP="003A5B09">
      <w:pPr>
        <w:numPr>
          <w:ilvl w:val="0"/>
          <w:numId w:val="8"/>
        </w:numPr>
        <w:tabs>
          <w:tab w:val="clear" w:pos="720"/>
        </w:tabs>
        <w:spacing w:afterLines="100" w:after="240" w:line="259" w:lineRule="auto"/>
        <w:ind w:left="567" w:hanging="425"/>
        <w:jc w:val="both"/>
        <w:rPr>
          <w:noProof/>
        </w:rPr>
      </w:pPr>
      <w:r w:rsidRPr="00655DB4">
        <w:rPr>
          <w:b/>
          <w:noProof/>
        </w:rPr>
        <w:t>Nákladná doprava</w:t>
      </w:r>
      <w:r>
        <w:rPr>
          <w:noProof/>
        </w:rPr>
        <w:t>: v prípade nákladnej železničnej dopravy meranej v tonokilometroch bol pokles v roku 2020 miernejší (–8 % v porovnaní s rokom 2019), keďže sa v rámci nákladnej dopravy počas pandémie naďalej poskytovali kritické služby pre hospodárstvo. Do roku 2022 celková nákladná doprava takmer dosiahla úroveň spred pandémie, pričom dosiahla 416 miliárd tonokilometrov.</w:t>
      </w:r>
    </w:p>
    <w:p w14:paraId="306734BA" w14:textId="6118361D" w:rsidR="000738AB" w:rsidRPr="00D34D72" w:rsidRDefault="000738AB" w:rsidP="003A5B09">
      <w:pPr>
        <w:numPr>
          <w:ilvl w:val="0"/>
          <w:numId w:val="8"/>
        </w:numPr>
        <w:tabs>
          <w:tab w:val="clear" w:pos="720"/>
        </w:tabs>
        <w:spacing w:afterLines="100" w:after="240" w:line="259" w:lineRule="auto"/>
        <w:ind w:left="567" w:hanging="425"/>
        <w:jc w:val="both"/>
        <w:rPr>
          <w:noProof/>
        </w:rPr>
      </w:pPr>
      <w:r w:rsidRPr="00655DB4">
        <w:rPr>
          <w:b/>
          <w:noProof/>
        </w:rPr>
        <w:t>Podiel cestujúcich v železničnej doprave</w:t>
      </w:r>
      <w:r>
        <w:rPr>
          <w:noProof/>
        </w:rPr>
        <w:t>: podiel železničnej dopravy na pozemnej doprave v krajinách EÚ27 sa mierne zvýšil zo 7,8 % v roku 2018 na 8,1 % v roku 2022, a to aj napriek prudkému poklesu o 2,4 percentuálneho bodu v roku 2020 v dôsledku pandémie.</w:t>
      </w:r>
    </w:p>
    <w:p w14:paraId="025E989E" w14:textId="4B8CDFE0" w:rsidR="000738AB" w:rsidRPr="00D34D72" w:rsidRDefault="000738AB" w:rsidP="003A5B09">
      <w:pPr>
        <w:numPr>
          <w:ilvl w:val="0"/>
          <w:numId w:val="8"/>
        </w:numPr>
        <w:tabs>
          <w:tab w:val="clear" w:pos="720"/>
        </w:tabs>
        <w:spacing w:afterLines="100" w:after="240" w:line="259" w:lineRule="auto"/>
        <w:ind w:left="567" w:hanging="425"/>
        <w:jc w:val="both"/>
        <w:rPr>
          <w:noProof/>
        </w:rPr>
      </w:pPr>
      <w:bookmarkStart w:id="2" w:name="_Hlk193108038"/>
      <w:r w:rsidRPr="00655DB4">
        <w:rPr>
          <w:b/>
          <w:noProof/>
        </w:rPr>
        <w:t>Vysokorýchlostná železnica</w:t>
      </w:r>
      <w:r>
        <w:rPr>
          <w:noProof/>
        </w:rPr>
        <w:t>: vysokorýchlostná sieť v krajinách EÚ27 sa v rokoch 2018 až 2022 rozšírila takmer o 1 100 km a dosiahla 12 015 km. Tento rast je dôkazom dlhodobého záväzku rozvíjať odvetvie vysokorýchlostnej železničnej dopravy</w:t>
      </w:r>
      <w:bookmarkEnd w:id="2"/>
      <w:r>
        <w:rPr>
          <w:noProof/>
        </w:rPr>
        <w:t>, ktoré preukázalo svoju schopnosť účinne konkurovať iným druhom dopravy.</w:t>
      </w:r>
    </w:p>
    <w:p w14:paraId="02119F19" w14:textId="53BC9441" w:rsidR="000738AB" w:rsidRPr="00D34D72" w:rsidRDefault="000738AB" w:rsidP="003A5B09">
      <w:pPr>
        <w:numPr>
          <w:ilvl w:val="0"/>
          <w:numId w:val="8"/>
        </w:numPr>
        <w:tabs>
          <w:tab w:val="clear" w:pos="720"/>
        </w:tabs>
        <w:spacing w:afterLines="100" w:after="240" w:line="259" w:lineRule="auto"/>
        <w:ind w:left="567" w:hanging="425"/>
        <w:jc w:val="both"/>
        <w:rPr>
          <w:noProof/>
        </w:rPr>
      </w:pPr>
      <w:r w:rsidRPr="00655DB4">
        <w:rPr>
          <w:b/>
          <w:noProof/>
        </w:rPr>
        <w:t>Zamestnanosť v železničnej doprave</w:t>
      </w:r>
      <w:r>
        <w:rPr>
          <w:noProof/>
        </w:rPr>
        <w:t>: v roku 2022 bolo v odvetví železničnej dopravy krajín EÚ27 zamestnaných približne 900 000 ľudí, čo predstavuje mierny pokles v porovnaní s rokom 2018.</w:t>
      </w:r>
    </w:p>
    <w:p w14:paraId="79113050" w14:textId="0570FE0D" w:rsidR="000738AB" w:rsidRPr="00D34D72" w:rsidRDefault="000738AB" w:rsidP="003A5B09">
      <w:pPr>
        <w:numPr>
          <w:ilvl w:val="0"/>
          <w:numId w:val="8"/>
        </w:numPr>
        <w:tabs>
          <w:tab w:val="clear" w:pos="720"/>
        </w:tabs>
        <w:spacing w:afterLines="100" w:after="240" w:line="259" w:lineRule="auto"/>
        <w:ind w:left="567" w:hanging="425"/>
        <w:jc w:val="both"/>
        <w:rPr>
          <w:noProof/>
        </w:rPr>
      </w:pPr>
      <w:r w:rsidRPr="00655DB4">
        <w:rPr>
          <w:b/>
          <w:noProof/>
        </w:rPr>
        <w:t>Podiel nových účastníkov na trhu</w:t>
      </w:r>
      <w:r>
        <w:rPr>
          <w:noProof/>
        </w:rPr>
        <w:t>: do roku 2022 mali noví účastníci 49 % podiel na trhu v nákladnej železničnej doprave (nárast oproti 39 % v roku 2018) a 21 % podiel v osobnej doprave v rámci záväzku vyplývajúceho zo služieb vo verejnom záujme (+8 percentuálnych bodov v porovnaní s rokom 2018). Zvýšila sa aj hospodárska súťaž v komerčnej osobnej doprave, keď noví účastníci získali 12,6 % trhu (+6,6 percentuálneho bodu).</w:t>
      </w:r>
    </w:p>
    <w:p w14:paraId="0B1BFF83" w14:textId="31ACA79B" w:rsidR="00F056BD" w:rsidRPr="00D34D72" w:rsidRDefault="00F056BD" w:rsidP="003A5B09">
      <w:pPr>
        <w:numPr>
          <w:ilvl w:val="0"/>
          <w:numId w:val="8"/>
        </w:numPr>
        <w:tabs>
          <w:tab w:val="clear" w:pos="720"/>
        </w:tabs>
        <w:spacing w:afterLines="100" w:after="240" w:line="259" w:lineRule="auto"/>
        <w:ind w:left="567" w:hanging="425"/>
        <w:jc w:val="both"/>
        <w:rPr>
          <w:noProof/>
        </w:rPr>
      </w:pPr>
      <w:r w:rsidRPr="00655DB4">
        <w:rPr>
          <w:b/>
          <w:noProof/>
        </w:rPr>
        <w:t>Výdavky na železničnú dopravu</w:t>
      </w:r>
      <w:r>
        <w:rPr>
          <w:noProof/>
        </w:rPr>
        <w:t>: v roku 2022 predstavovali celkové náklady na železnice (výdavky na infraštruktúru + kompenzácia za záväzok vyplývajúci zo služieb vo verejnom záujme) 178,31 EUR na obyvateľa krajín EÚ27, čo predstavuje 29 % nominálny nárast oproti roku 2018. Zdá sa však, že veľkú časť tohto nárastu spôsobila inflácia.</w:t>
      </w:r>
    </w:p>
    <w:p w14:paraId="3A29C68B" w14:textId="7840E388" w:rsidR="00184EA6" w:rsidRPr="00655DB4" w:rsidRDefault="00184EA6" w:rsidP="00655DB4">
      <w:pPr>
        <w:pStyle w:val="Heading1"/>
        <w:spacing w:before="0" w:afterLines="100" w:after="240"/>
        <w:jc w:val="both"/>
        <w:rPr>
          <w:rFonts w:cs="Times New Roman"/>
          <w:b/>
          <w:noProof/>
          <w:szCs w:val="24"/>
        </w:rPr>
      </w:pPr>
      <w:r w:rsidRPr="00655DB4">
        <w:rPr>
          <w:rFonts w:ascii="Times New Roman" w:hAnsi="Times New Roman"/>
          <w:b/>
          <w:noProof/>
          <w:color w:val="auto"/>
          <w:sz w:val="24"/>
        </w:rPr>
        <w:t>METODIKA</w:t>
      </w:r>
    </w:p>
    <w:p w14:paraId="6FB297B0" w14:textId="2B5F61E0" w:rsidR="00184EA6" w:rsidRPr="00D34D72" w:rsidRDefault="00184EA6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Toto je deviate vydanie správy o monitorovaní železničného trhu, ktorú Komisia predkladá Európskemu parlamentu a Rade každé dva roky podľa článku 15 ods. 4 smernice 2012/34/EÚ</w:t>
      </w:r>
      <w:r>
        <w:rPr>
          <w:rStyle w:val="FootnoteReference"/>
          <w:noProof/>
        </w:rPr>
        <w:footnoteReference w:id="2"/>
      </w:r>
      <w:r>
        <w:rPr>
          <w:noProof/>
        </w:rPr>
        <w:t>. Jej účelom je poskytnúť prehľad o hlavnom vývoji na železničných trhoch v kontexte politiky EÚ v oblasti železničného trhu</w:t>
      </w:r>
      <w:r>
        <w:rPr>
          <w:rStyle w:val="FootnoteReference"/>
          <w:noProof/>
        </w:rPr>
        <w:footnoteReference w:id="3"/>
      </w:r>
      <w:r>
        <w:rPr>
          <w:noProof/>
        </w:rPr>
        <w:t>. Hlavným zameraním tejto deviatej správy je vývoj v rokoch 2018 až 2022 s odkazom na trendy a vývoj v rámci politiky, ktoré presahujú sledované obdobie a siahajú až k dátumu vypracovania tejto správy.</w:t>
      </w:r>
    </w:p>
    <w:p w14:paraId="317228EF" w14:textId="31BC789D" w:rsidR="00184EA6" w:rsidRPr="00D34D72" w:rsidRDefault="00184EA6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 xml:space="preserve">Okrem údajov z monitorovania železničného trhu (ďalej len „RMMS“), ktoré predložili členské štáty a Nórsko, sa v tejto správe vychádza aj z príspevkov zo štatistickej príručky </w:t>
      </w:r>
      <w:r w:rsidRPr="00655DB4">
        <w:rPr>
          <w:i/>
          <w:noProof/>
        </w:rPr>
        <w:t>EU transport in figures</w:t>
      </w:r>
      <w:r>
        <w:rPr>
          <w:noProof/>
        </w:rPr>
        <w:t xml:space="preserve"> (Doprava v EÚ v číslach)</w:t>
      </w:r>
      <w:r>
        <w:rPr>
          <w:rStyle w:val="FootnoteReference"/>
          <w:noProof/>
        </w:rPr>
        <w:footnoteReference w:id="4"/>
      </w:r>
      <w:r>
        <w:rPr>
          <w:noProof/>
        </w:rPr>
        <w:t>, zo správ Železničnej agentúry Európskej únie</w:t>
      </w:r>
      <w:r>
        <w:rPr>
          <w:rStyle w:val="FootnoteReference"/>
          <w:noProof/>
        </w:rPr>
        <w:footnoteReference w:id="5"/>
      </w:r>
      <w:r>
        <w:rPr>
          <w:noProof/>
        </w:rPr>
        <w:t>, z údajov Eurostatu</w:t>
      </w:r>
      <w:r>
        <w:rPr>
          <w:rStyle w:val="FootnoteReference"/>
          <w:noProof/>
        </w:rPr>
        <w:footnoteReference w:id="6"/>
      </w:r>
      <w:r>
        <w:rPr>
          <w:noProof/>
        </w:rPr>
        <w:t>, zo štatistík zhromaždených rôznymi odvetvovými organizáciami, z prezentácií a zo štúdií. V častiach správy, v ktorých sú jediným zdrojom údaje podľa nariadenia o RMMS, sa posudzuje vývoj v rokoch 2018 – 2022 s cieľom zabezpečiť, aby boli údaje porovnateľné. Ak sa používajú iné zdroje, v správe sa uvádzajú aj trendy z dlhšieho obdobia.</w:t>
      </w:r>
    </w:p>
    <w:p w14:paraId="0399252E" w14:textId="54698466" w:rsidR="00184EA6" w:rsidRDefault="00184EA6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Súhrnné údaje a priemery sa vzťahujú na krajiny EÚ27 (súčasný počet členských štátov EÚ)</w:t>
      </w:r>
      <w:r>
        <w:rPr>
          <w:rStyle w:val="FootnoteReference"/>
          <w:noProof/>
        </w:rPr>
        <w:footnoteReference w:id="7"/>
      </w:r>
      <w:r>
        <w:rPr>
          <w:noProof/>
        </w:rPr>
        <w:t>.</w:t>
      </w:r>
    </w:p>
    <w:p w14:paraId="450BA149" w14:textId="77777777" w:rsidR="00CD00DC" w:rsidRPr="00D34D72" w:rsidRDefault="00CD00DC" w:rsidP="003A5B09">
      <w:pPr>
        <w:jc w:val="both"/>
        <w:rPr>
          <w:noProof/>
        </w:rPr>
      </w:pPr>
    </w:p>
    <w:p w14:paraId="1F6A42C8" w14:textId="3B7589A2" w:rsidR="00184EA6" w:rsidRPr="00655DB4" w:rsidRDefault="00184EA6" w:rsidP="003A5B09">
      <w:pPr>
        <w:pStyle w:val="Heading1"/>
        <w:spacing w:before="0" w:afterLines="100" w:after="240"/>
        <w:jc w:val="both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655DB4">
        <w:rPr>
          <w:rFonts w:ascii="Times New Roman" w:hAnsi="Times New Roman"/>
          <w:b/>
          <w:noProof/>
          <w:color w:val="auto"/>
          <w:sz w:val="24"/>
        </w:rPr>
        <w:t>ŽELEZNIČNÁ DOPRAVA A UDRŽATEĽNOSŤ</w:t>
      </w:r>
    </w:p>
    <w:p w14:paraId="411626C7" w14:textId="22783434" w:rsidR="002163EB" w:rsidRPr="00D34D72" w:rsidRDefault="002163EB" w:rsidP="003A5B09">
      <w:pPr>
        <w:spacing w:afterLines="100" w:after="240"/>
        <w:jc w:val="both"/>
        <w:rPr>
          <w:noProof/>
        </w:rPr>
      </w:pPr>
      <w:r>
        <w:rPr>
          <w:noProof/>
        </w:rPr>
        <w:t>Železničná doprava od roku 1990 takmer neustále znižuje svoje priame emisie skleníkových plynov, pričom v roku 2022 prepravila približne 16,6 % nákladu a 8,1 % cestujúcich vo všetkých druhoch dopravy v rámci EÚ. Odvetvie dopravy (vrátane medzinárodnej leteckej a námornej dopravy) zodpovedá za jednu štvrtinu celkových emisií skleníkových plynov v krajinách EÚ27. Železničná doprava predstavovala v rámci odvetvia dopravy len 0,3 % emisií skleníkových plynov zo všetkých druhov dopravy v krajinách EÚ27. Odvetvie dopravy zodpovedalo v roku 2022 za 31,0 % celkovej konečnej spotreby energie v krajinách EÚ27. Železničná doprava zodpovedala v rámci odvetvia dopravy len za 0,6 % konečnej spotreby energie. Aby sa splnili ciele Európskej zelenej dohody, železničná doprava musí mať väčší podiel cestujúcich aj nákladu.</w:t>
      </w:r>
    </w:p>
    <w:p w14:paraId="22B847F8" w14:textId="77777777" w:rsidR="002163EB" w:rsidRPr="00D34D72" w:rsidRDefault="002163EB" w:rsidP="003A5B09">
      <w:pPr>
        <w:spacing w:afterLines="100" w:after="240"/>
        <w:jc w:val="both"/>
        <w:rPr>
          <w:noProof/>
        </w:rPr>
      </w:pPr>
    </w:p>
    <w:p w14:paraId="11772133" w14:textId="60F9FB5D" w:rsidR="002163EB" w:rsidRPr="00655DB4" w:rsidRDefault="002163EB" w:rsidP="003A5B09">
      <w:pPr>
        <w:pStyle w:val="Heading1"/>
        <w:spacing w:before="0" w:afterLines="100" w:after="240"/>
        <w:jc w:val="both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655DB4">
        <w:rPr>
          <w:rFonts w:ascii="Times New Roman" w:hAnsi="Times New Roman"/>
          <w:b/>
          <w:noProof/>
          <w:color w:val="auto"/>
          <w:sz w:val="24"/>
        </w:rPr>
        <w:t>ŽELEZNIČNÁ SIEŤ EÚ</w:t>
      </w:r>
    </w:p>
    <w:p w14:paraId="3E689B0A" w14:textId="74231ED7" w:rsidR="002163EB" w:rsidRPr="00D34D72" w:rsidRDefault="002163EB" w:rsidP="003A5B09">
      <w:pPr>
        <w:spacing w:afterLines="100" w:after="240"/>
        <w:jc w:val="both"/>
        <w:rPr>
          <w:noProof/>
        </w:rPr>
      </w:pPr>
      <w:r>
        <w:rPr>
          <w:noProof/>
        </w:rPr>
        <w:t>Celková dĺžka železničnej siete krajín EÚ27 bola v roku 2022 približne 202 131 traťových kilometrov, čo predstavuje mierny nárast o 0,1 % v porovnaní s rokom 2018. Približne 57 % siete bolo elektrifikovaných, čo predstavuje nárast o 1,4 % od roku 2018.</w:t>
      </w:r>
    </w:p>
    <w:p w14:paraId="1423CF1A" w14:textId="4E208ADC" w:rsidR="006B4284" w:rsidRPr="00D34D72" w:rsidRDefault="006B4284" w:rsidP="003A5B09">
      <w:pPr>
        <w:pStyle w:val="Caption"/>
        <w:jc w:val="both"/>
        <w:rPr>
          <w:rFonts w:ascii="Calibri" w:hAnsi="Calibri" w:cs="Calibri"/>
          <w:noProof/>
        </w:rPr>
      </w:pPr>
      <w:bookmarkStart w:id="3" w:name="_Ref42156105"/>
      <w:bookmarkStart w:id="4" w:name="_Ref182219365"/>
      <w:bookmarkStart w:id="5" w:name="_Toc79138726"/>
      <w:bookmarkStart w:id="6" w:name="_Toc192193183"/>
      <w:r>
        <w:rPr>
          <w:rFonts w:ascii="Calibri" w:hAnsi="Calibri"/>
          <w:noProof/>
        </w:rPr>
        <w:t xml:space="preserve">Obrázok </w:t>
      </w:r>
      <w:bookmarkEnd w:id="3"/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SEQ Figure \* ARABIC 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1</w:t>
      </w:r>
      <w:r>
        <w:rPr>
          <w:rFonts w:ascii="Calibri" w:hAnsi="Calibri" w:cs="Calibri"/>
          <w:noProof/>
        </w:rPr>
        <w:fldChar w:fldCharType="end"/>
      </w:r>
      <w:bookmarkEnd w:id="4"/>
      <w:r>
        <w:rPr>
          <w:rFonts w:ascii="Calibri" w:hAnsi="Calibri"/>
          <w:noProof/>
        </w:rPr>
        <w:t>: Dĺžka vnútroštátnych železničných sietí podľa krajiny (tisíc traťových kilometrov, 2022) a relatívna zmena (2018 – 2022)</w:t>
      </w:r>
      <w:bookmarkEnd w:id="5"/>
      <w:bookmarkEnd w:id="6"/>
    </w:p>
    <w:p w14:paraId="3CCCC1A8" w14:textId="5CD68EE2" w:rsidR="006B4284" w:rsidRPr="005919BD" w:rsidRDefault="00392EC5" w:rsidP="003A5B09">
      <w:pPr>
        <w:jc w:val="both"/>
        <w:rPr>
          <w:rFonts w:ascii="Calibri" w:hAnsi="Calibri" w:cs="Calibri"/>
          <w:noProof/>
        </w:rPr>
      </w:pPr>
      <w:r w:rsidRPr="00392EC5">
        <w:rPr>
          <w:noProof/>
          <w:lang w:val="en-GB" w:eastAsia="en-GB"/>
        </w:rPr>
        <w:drawing>
          <wp:inline distT="0" distB="0" distL="0" distR="0" wp14:anchorId="4AC06580" wp14:editId="5AA5D8FC">
            <wp:extent cx="3884689" cy="2324100"/>
            <wp:effectExtent l="0" t="0" r="1905" b="0"/>
            <wp:docPr id="2038297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65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284">
        <w:rPr>
          <w:rFonts w:ascii="Calibri" w:hAnsi="Calibri"/>
          <w:noProof/>
        </w:rPr>
        <w:t xml:space="preserve"> </w:t>
      </w:r>
      <w:r>
        <w:rPr>
          <w:noProof/>
          <w:lang w:val="en-GB" w:eastAsia="en-GB"/>
          <w14:ligatures w14:val="standardContextual"/>
        </w:rPr>
        <w:drawing>
          <wp:inline distT="0" distB="0" distL="0" distR="0" wp14:anchorId="2E345895" wp14:editId="66038162">
            <wp:extent cx="1733383" cy="2369820"/>
            <wp:effectExtent l="0" t="0" r="635" b="0"/>
            <wp:docPr id="1193183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8369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8390" cy="237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E2020" w14:textId="0A17ECCD" w:rsidR="006B4284" w:rsidRPr="00655DB4" w:rsidRDefault="006B4284" w:rsidP="00BA6F5D">
      <w:pPr>
        <w:pStyle w:val="Source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Eurostat, 2024 (https://ec.europa.eu/eurostat/databrowser/view/ttr00003/default/table?lang=en&amp;amp;category=t_rail).</w:t>
      </w:r>
    </w:p>
    <w:p w14:paraId="17F6EEC5" w14:textId="77777777" w:rsidR="00BA6F5D" w:rsidRPr="00B257E4" w:rsidRDefault="00BA6F5D" w:rsidP="003A5B09">
      <w:pPr>
        <w:spacing w:afterLines="100" w:after="240"/>
        <w:jc w:val="both"/>
        <w:rPr>
          <w:noProof/>
          <w:lang w:val="pl-PL"/>
        </w:rPr>
      </w:pPr>
    </w:p>
    <w:p w14:paraId="02932C0A" w14:textId="52E435F6" w:rsidR="006B4284" w:rsidRPr="00D34D72" w:rsidRDefault="006B4284" w:rsidP="003A5B09">
      <w:pPr>
        <w:spacing w:afterLines="100" w:after="240"/>
        <w:jc w:val="both"/>
        <w:rPr>
          <w:noProof/>
        </w:rPr>
      </w:pPr>
      <w:r>
        <w:rPr>
          <w:noProof/>
        </w:rPr>
        <w:t>Vysokorýchlostná železničná sieť EÚ sa do konca roku 2022 rozšírila na 12 015 kilometrov, čo predstavuje nárast o 10,4 % od roku 2018. V stratégii pre udržateľnú a inteligentnú mobilitu sa stanovujú ambiciózne ciele pre vysokorýchlostnú železničnú dopravu, na základe ktorých by sa v porovnaní s východiskovou hodnotou za rok 2015 mal objem dopravy do roku 2030 zdvojnásobiť a do roku 2050 strojnásobiť.</w:t>
      </w:r>
    </w:p>
    <w:p w14:paraId="5DF9F2BD" w14:textId="77777777" w:rsidR="00077C53" w:rsidRPr="00D34D72" w:rsidRDefault="00077C53" w:rsidP="003A5B09">
      <w:pPr>
        <w:spacing w:afterLines="100" w:after="240"/>
        <w:jc w:val="both"/>
        <w:rPr>
          <w:noProof/>
        </w:rPr>
      </w:pPr>
    </w:p>
    <w:p w14:paraId="0D95623D" w14:textId="54BEBE96" w:rsidR="00077C53" w:rsidRPr="00655DB4" w:rsidRDefault="00077C53" w:rsidP="003A5B09">
      <w:pPr>
        <w:pStyle w:val="Heading1"/>
        <w:spacing w:before="0" w:afterLines="100" w:after="240"/>
        <w:jc w:val="both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655DB4">
        <w:rPr>
          <w:rFonts w:ascii="Times New Roman" w:hAnsi="Times New Roman"/>
          <w:b/>
          <w:noProof/>
          <w:color w:val="auto"/>
          <w:sz w:val="24"/>
        </w:rPr>
        <w:t>VÝVOJ ŽELEZNIČNÝCH SLUŽIEB</w:t>
      </w:r>
    </w:p>
    <w:p w14:paraId="2C0330E2" w14:textId="6B50B1A7" w:rsidR="002163EB" w:rsidRPr="00D34D72" w:rsidRDefault="00077C53" w:rsidP="003A5B09">
      <w:pPr>
        <w:spacing w:afterLines="100" w:after="240"/>
        <w:jc w:val="both"/>
        <w:rPr>
          <w:noProof/>
        </w:rPr>
      </w:pPr>
      <w:r>
        <w:rPr>
          <w:noProof/>
        </w:rPr>
        <w:t>Po desaťročí mierneho rastu boli vlakokilometre v EÚ (osobné aj nákladné) výrazne ovplyvnené pandémiou ochorenia COVID-19. V roku 2020 klesol počet vlakokilometrov v nákladnej doprave o 8 % v porovnaní s rokom 2019, zatiaľ čo v osobnej doprave bol zaznamenaný výraznejší pokles o 46 %. Do roku 2021 sa však objem nákladnej dopravy úplne obnovil a vyrovnal sa úrovni z roku 2019, zatiaľ čo v roku 2022 zaznamenal mierny pokles. Pokiaľ ide o osobnú dopravu, tá sa v roku 2022 vrátila na 96 % úroveň spred pandémie a dosiahla 395 miliárd osobokilometrov.</w:t>
      </w:r>
    </w:p>
    <w:p w14:paraId="60535F78" w14:textId="77777777" w:rsidR="008B7BFE" w:rsidRDefault="000430F9" w:rsidP="008B7BFE">
      <w:pPr>
        <w:pStyle w:val="Caption"/>
        <w:jc w:val="both"/>
        <w:rPr>
          <w:rFonts w:ascii="Calibri" w:hAnsi="Calibri"/>
          <w:noProof/>
        </w:rPr>
      </w:pPr>
      <w:bookmarkStart w:id="7" w:name="_Ref42159666"/>
      <w:bookmarkStart w:id="8" w:name="_Toc79138741"/>
      <w:bookmarkStart w:id="9" w:name="_Toc192193198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2</w:t>
      </w:r>
      <w:r>
        <w:rPr>
          <w:rFonts w:ascii="Calibri" w:hAnsi="Calibri" w:cs="Calibri"/>
          <w:noProof/>
        </w:rPr>
        <w:fldChar w:fldCharType="end"/>
      </w:r>
      <w:bookmarkEnd w:id="7"/>
      <w:r>
        <w:rPr>
          <w:rFonts w:ascii="Calibri" w:hAnsi="Calibri"/>
          <w:noProof/>
        </w:rPr>
        <w:t>: Objem osobnej a nákladnej dopravy (osobokilometre, tonokilometre a vlakokilometre, 2018 – 2022)</w:t>
      </w:r>
      <w:bookmarkEnd w:id="8"/>
      <w:bookmarkEnd w:id="9"/>
    </w:p>
    <w:p w14:paraId="25FCFC4E" w14:textId="4C3675D6" w:rsidR="000430F9" w:rsidRPr="00D34D72" w:rsidRDefault="008B7BFE" w:rsidP="008B7BFE">
      <w:pPr>
        <w:pStyle w:val="Caption"/>
        <w:jc w:val="both"/>
        <w:rPr>
          <w:rFonts w:ascii="Calibri" w:hAnsi="Calibri" w:cs="Calibri"/>
          <w:noProof/>
        </w:rPr>
      </w:pPr>
      <w:r w:rsidRPr="008B7BFE">
        <w:rPr>
          <w:noProof/>
          <w:lang w:val="en-GB" w:eastAsia="en-GB"/>
        </w:rPr>
        <w:drawing>
          <wp:inline distT="0" distB="0" distL="0" distR="0" wp14:anchorId="4ADEB111" wp14:editId="57813F16">
            <wp:extent cx="5731510" cy="3234690"/>
            <wp:effectExtent l="0" t="0" r="2540" b="3810"/>
            <wp:docPr id="5633761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01B7" w14:textId="77777777" w:rsidR="000430F9" w:rsidRPr="00655DB4" w:rsidRDefault="000430F9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585927ED" w14:textId="72489768" w:rsidR="003062D5" w:rsidRPr="00D34D72" w:rsidRDefault="003062D5" w:rsidP="003A5B09">
      <w:pPr>
        <w:spacing w:afterLines="100" w:after="240"/>
        <w:jc w:val="both"/>
        <w:rPr>
          <w:noProof/>
        </w:rPr>
      </w:pPr>
      <w:r>
        <w:rPr>
          <w:noProof/>
        </w:rPr>
        <w:t>V roku 2022 sa po železnici prepravilo približne 1,5 miliardy ton nákladu a 6,6 miliardy cestujúcich, čo zodpovedá obnove po prudkom poklese zaznamenanom počas pandémie ochorenia COVID-19.</w:t>
      </w:r>
    </w:p>
    <w:p w14:paraId="201DAAD1" w14:textId="5E76C2DF" w:rsidR="003062D5" w:rsidRPr="00D34D72" w:rsidRDefault="003062D5" w:rsidP="003A5B09">
      <w:pPr>
        <w:spacing w:afterLines="100" w:after="240"/>
        <w:jc w:val="both"/>
        <w:rPr>
          <w:noProof/>
        </w:rPr>
      </w:pPr>
      <w:r>
        <w:rPr>
          <w:noProof/>
        </w:rPr>
        <w:t>Vnútroštátna osobná doprava naďalej dominovala a predstavovala viac ako 93 % všetkých osobokilometrov v krajinách EÚ27. Pandémiou sa ešte viac posilnil prevažne vnútroštátny charakter osobnej železničnej dopravy. Pred krízou tvorila medzinárodná osobná doprava približne 7 % celkovej železničnej dopravy, ale tento podiel v roku 2020 klesol na menej ako 4 % v dôsledku obmedzení cestovania. Do roku 2022 sa podiel medzinárodnej železničnej osobnej dopravy opäť zvýšil na 7 %.</w:t>
      </w:r>
    </w:p>
    <w:p w14:paraId="601C6706" w14:textId="07D4A157" w:rsidR="003062D5" w:rsidRPr="00D34D72" w:rsidRDefault="003062D5" w:rsidP="003A5B09">
      <w:pPr>
        <w:pStyle w:val="Caption"/>
        <w:jc w:val="both"/>
        <w:rPr>
          <w:rFonts w:ascii="Calibri" w:hAnsi="Calibri" w:cs="Calibri"/>
          <w:noProof/>
        </w:rPr>
      </w:pPr>
      <w:bookmarkStart w:id="10" w:name="_Ref42161888"/>
      <w:bookmarkStart w:id="11" w:name="_Toc79138749"/>
      <w:bookmarkStart w:id="12" w:name="_Toc192193206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3</w:t>
      </w:r>
      <w:r>
        <w:rPr>
          <w:rFonts w:ascii="Calibri" w:hAnsi="Calibri" w:cs="Calibri"/>
          <w:noProof/>
        </w:rPr>
        <w:fldChar w:fldCharType="end"/>
      </w:r>
      <w:bookmarkEnd w:id="10"/>
      <w:r>
        <w:rPr>
          <w:rFonts w:ascii="Calibri" w:hAnsi="Calibri"/>
          <w:noProof/>
        </w:rPr>
        <w:t>: Vývoj objemu osobnej železničnej dopravy (vnútroštátnej, medzinárodnej a podiel medzinárodnej dopravy na celkovej doprave) (v miliardách osobokilometrov, 2018 – 2022)</w:t>
      </w:r>
      <w:bookmarkEnd w:id="11"/>
      <w:bookmarkEnd w:id="12"/>
    </w:p>
    <w:p w14:paraId="3CA94B77" w14:textId="5D3F52EB" w:rsidR="003062D5" w:rsidRPr="00D34D72" w:rsidRDefault="00E1340F" w:rsidP="003A5B09">
      <w:pPr>
        <w:jc w:val="both"/>
        <w:rPr>
          <w:rFonts w:ascii="Calibri" w:hAnsi="Calibri" w:cs="Calibri"/>
          <w:noProof/>
        </w:rPr>
      </w:pPr>
      <w:r w:rsidRPr="00E1340F">
        <w:rPr>
          <w:noProof/>
          <w:lang w:val="en-GB" w:eastAsia="en-GB"/>
        </w:rPr>
        <w:drawing>
          <wp:inline distT="0" distB="0" distL="0" distR="0" wp14:anchorId="077706B9" wp14:editId="2E329096">
            <wp:extent cx="5731510" cy="3369311"/>
            <wp:effectExtent l="0" t="0" r="2540" b="2540"/>
            <wp:docPr id="518186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833" cy="338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F606" w14:textId="64E18E13" w:rsidR="003A5B09" w:rsidRPr="00D34D72" w:rsidRDefault="003062D5" w:rsidP="00E1340F">
      <w:pPr>
        <w:pStyle w:val="Source"/>
        <w:jc w:val="both"/>
        <w:rPr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0D2D2215" w14:textId="20C74F85" w:rsidR="00D95C1C" w:rsidRPr="00D34D72" w:rsidRDefault="003062D5" w:rsidP="003A5B09">
      <w:pPr>
        <w:widowControl w:val="0"/>
        <w:adjustRightInd w:val="0"/>
        <w:spacing w:afterLines="100" w:after="240"/>
        <w:jc w:val="both"/>
        <w:textAlignment w:val="baseline"/>
        <w:rPr>
          <w:noProof/>
        </w:rPr>
      </w:pPr>
      <w:r>
        <w:rPr>
          <w:noProof/>
        </w:rPr>
        <w:t>V roku 2020 prudko klesla priemerná ochota Európanov cestovať železničnou dopravou na 500 osobokilometrov na obyvateľa za rok, a to z 934 km v roku 2019. Do roku 2022 sa tento počet kilometrov čiastočne obnovil na 888 km na obyvateľa. Podiel železničnej dopravy, ktorý v roku 2019 predstavoval 7,8 %, sa v roku 2020 znížil o 2,4 percentuálneho bodu, pretože viac ľudí prešlo na osobné automobily. Do roku 2022 však podiel opäť vzrástol na 8,1 %, čím prekročil úroveň spred pandémie, zatiaľ čo automobily zostali dominantným dopravným prostriedkom s 82,4 %.</w:t>
      </w:r>
    </w:p>
    <w:p w14:paraId="1A2981E5" w14:textId="77777777" w:rsidR="003A5B09" w:rsidRPr="00D34D72" w:rsidRDefault="003A5B09" w:rsidP="003A5B09">
      <w:pPr>
        <w:widowControl w:val="0"/>
        <w:adjustRightInd w:val="0"/>
        <w:spacing w:afterLines="100" w:after="240"/>
        <w:jc w:val="both"/>
        <w:textAlignment w:val="baseline"/>
        <w:rPr>
          <w:noProof/>
        </w:rPr>
      </w:pPr>
    </w:p>
    <w:p w14:paraId="2893CD50" w14:textId="36026B85" w:rsidR="00D95C1C" w:rsidRPr="00D34D72" w:rsidRDefault="00D95C1C" w:rsidP="003A5B09">
      <w:pPr>
        <w:pStyle w:val="Caption"/>
        <w:jc w:val="both"/>
        <w:rPr>
          <w:rFonts w:ascii="Calibri" w:hAnsi="Calibri" w:cs="Calibri"/>
          <w:noProof/>
        </w:rPr>
      </w:pPr>
      <w:bookmarkStart w:id="13" w:name="_Ref109304479"/>
      <w:bookmarkStart w:id="14" w:name="_Toc192193205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4</w:t>
      </w:r>
      <w:r>
        <w:rPr>
          <w:rFonts w:ascii="Calibri" w:hAnsi="Calibri" w:cs="Calibri"/>
          <w:noProof/>
        </w:rPr>
        <w:fldChar w:fldCharType="end"/>
      </w:r>
      <w:bookmarkEnd w:id="13"/>
      <w:r>
        <w:rPr>
          <w:rFonts w:ascii="Calibri" w:hAnsi="Calibri"/>
          <w:noProof/>
        </w:rPr>
        <w:t>: Podiel jednotlivých druhov dopravy v rámci osobnej pozemnej dopravy podľa krajiny (v % v roku 2022)</w:t>
      </w:r>
      <w:bookmarkEnd w:id="14"/>
    </w:p>
    <w:p w14:paraId="49382C03" w14:textId="76E95409" w:rsidR="00D95C1C" w:rsidRPr="00D34D72" w:rsidRDefault="00E1340F" w:rsidP="003A5B09">
      <w:pPr>
        <w:jc w:val="both"/>
        <w:rPr>
          <w:rFonts w:ascii="Calibri" w:hAnsi="Calibri" w:cs="Calibri"/>
          <w:noProof/>
        </w:rPr>
      </w:pPr>
      <w:r w:rsidRPr="00E1340F">
        <w:rPr>
          <w:noProof/>
          <w:lang w:val="en-GB" w:eastAsia="en-GB"/>
        </w:rPr>
        <w:drawing>
          <wp:inline distT="0" distB="0" distL="0" distR="0" wp14:anchorId="5669F217" wp14:editId="08CB2B2A">
            <wp:extent cx="5731510" cy="3486785"/>
            <wp:effectExtent l="0" t="0" r="2540" b="0"/>
            <wp:docPr id="16179521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D408A" w14:textId="403529DF" w:rsidR="00D95C1C" w:rsidRPr="00655DB4" w:rsidRDefault="00D95C1C" w:rsidP="00BA6F5D">
      <w:pPr>
        <w:pStyle w:val="Source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Eurostat, 2024 (https://ec.europa.eu/eurostat/databrowser/view/tran_hv_ms_psmod/default/table?lang=sk&amp;amp;category=tran.tran_hv_ms).</w:t>
      </w:r>
    </w:p>
    <w:p w14:paraId="63EE0B8F" w14:textId="77777777" w:rsidR="003A5B09" w:rsidRPr="00B257E4" w:rsidRDefault="003A5B09" w:rsidP="003A5B09">
      <w:pPr>
        <w:spacing w:afterLines="100" w:after="240"/>
        <w:jc w:val="both"/>
        <w:rPr>
          <w:noProof/>
          <w:lang w:val="pl-PL"/>
        </w:rPr>
      </w:pPr>
    </w:p>
    <w:p w14:paraId="49C42649" w14:textId="1F179135" w:rsidR="000F2051" w:rsidRPr="00D34D72" w:rsidRDefault="000F2051" w:rsidP="003A5B09">
      <w:pPr>
        <w:spacing w:afterLines="100" w:after="240"/>
        <w:jc w:val="both"/>
        <w:rPr>
          <w:noProof/>
        </w:rPr>
      </w:pPr>
      <w:r>
        <w:rPr>
          <w:noProof/>
        </w:rPr>
        <w:t>Celková nákladná železničná doprava v krajinách EÚ27 sa v dôsledku pandémie znížila zo 422 miliárd tonokilometrov v roku 2019 na 405 miliárd v roku 2020. Do roku 2022 sa takmer vrátila na 416 miliárd tonokilometrov, čím sa priblížila k úrovni spred pandémie.</w:t>
      </w:r>
    </w:p>
    <w:p w14:paraId="4ADECAF1" w14:textId="22305615" w:rsidR="003062D5" w:rsidRPr="00D34D72" w:rsidRDefault="00D95C1C" w:rsidP="003A5B09">
      <w:pPr>
        <w:spacing w:afterLines="100" w:after="240"/>
        <w:jc w:val="both"/>
        <w:rPr>
          <w:noProof/>
        </w:rPr>
      </w:pPr>
      <w:r>
        <w:rPr>
          <w:noProof/>
        </w:rPr>
        <w:t>Podiel medzinárodnej železničnej nákladnej dopravy zostal počas celého obdobia stabilne nad 50 %, pričom v roku 2019 vyvrcholil na úrovni 55 % a v roku 2022 sa ustálil na 54 %. Táto stabilita je v kontraste s výraznejším vplyvom pandémie na medzinárodnú železničnú osobnú dopravu.</w:t>
      </w:r>
    </w:p>
    <w:p w14:paraId="415EFC8E" w14:textId="253C109D" w:rsidR="000F2051" w:rsidRPr="00D34D72" w:rsidRDefault="000F2051" w:rsidP="003A5B09">
      <w:pPr>
        <w:pStyle w:val="Caption"/>
        <w:jc w:val="both"/>
        <w:rPr>
          <w:rFonts w:ascii="Calibri" w:hAnsi="Calibri" w:cs="Calibri"/>
          <w:noProof/>
        </w:rPr>
      </w:pPr>
      <w:bookmarkStart w:id="15" w:name="_Ref42163519"/>
      <w:bookmarkStart w:id="16" w:name="_Toc79138759"/>
      <w:bookmarkStart w:id="17" w:name="_Toc192193216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fldChar w:fldCharType="end"/>
      </w:r>
      <w:bookmarkEnd w:id="15"/>
      <w:r>
        <w:rPr>
          <w:rFonts w:ascii="Calibri" w:hAnsi="Calibri"/>
          <w:noProof/>
        </w:rPr>
        <w:t>: Vývoj objemu nákladnej železničnej dopravy (vnútroštátnej, medzinárodnej a podiel medzinárodnej dopravy na celkovej doprave) (v miliardách tonokilometrov, 2018 – 2022)</w:t>
      </w:r>
      <w:bookmarkEnd w:id="16"/>
      <w:bookmarkEnd w:id="17"/>
    </w:p>
    <w:p w14:paraId="740B9E49" w14:textId="3787BE40" w:rsidR="000F2051" w:rsidRPr="00D34D72" w:rsidRDefault="00E1340F" w:rsidP="003A5B09">
      <w:pPr>
        <w:jc w:val="both"/>
        <w:rPr>
          <w:rFonts w:ascii="Calibri" w:hAnsi="Calibri" w:cs="Calibri"/>
          <w:noProof/>
        </w:rPr>
      </w:pPr>
      <w:r w:rsidRPr="00E1340F">
        <w:rPr>
          <w:noProof/>
          <w:lang w:val="en-GB" w:eastAsia="en-GB"/>
        </w:rPr>
        <w:drawing>
          <wp:inline distT="0" distB="0" distL="0" distR="0" wp14:anchorId="048BD88E" wp14:editId="1A213535">
            <wp:extent cx="5731510" cy="3536315"/>
            <wp:effectExtent l="0" t="0" r="2540" b="6985"/>
            <wp:docPr id="18360213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5A64" w14:textId="77777777" w:rsidR="000F2051" w:rsidRPr="00655DB4" w:rsidRDefault="000F2051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5F284F5E" w14:textId="69322D8C" w:rsidR="000F2051" w:rsidRPr="00D34D72" w:rsidRDefault="545861F8" w:rsidP="003A5B09">
      <w:pPr>
        <w:spacing w:afterLines="100" w:after="240"/>
        <w:jc w:val="both"/>
        <w:rPr>
          <w:noProof/>
        </w:rPr>
      </w:pPr>
      <w:r>
        <w:rPr>
          <w:noProof/>
        </w:rPr>
        <w:t>V rokoch 2018 až 2022 zostala cestná doprava dominantným druhom nákladnej dopravy v rámci krajín EÚ27, pričom jej podiel na celkovej nákladnej pozemnej doprave v tonokilometroch neustále presahoval 75 % a v roku 2022 vyvrcholil na úrovni 77,7 %. V tom istom období sa podiel železničnej dopravy znížil z 18,7 % na 17,2 %, čo naznačuje pokračujúci posun smerom k cestnej doprave, hoci intermodálna železničná doprava dosiahla relatívne lepšie výsledky než preprava hromadného materiálu a preprava nákladu jednotlivými vozňami. Celkový pokles bol obzvlášť výrazný v Lotyšsku, Estónsku a Litve, kde objem nákladnej dopravy výrazne klesol v dôsledku zníženia obchodu s Ruskom.</w:t>
      </w:r>
    </w:p>
    <w:p w14:paraId="6FB8E8E4" w14:textId="67E07529" w:rsidR="00C6249E" w:rsidRPr="00D34D72" w:rsidRDefault="00C6249E" w:rsidP="003A5B09">
      <w:pPr>
        <w:pStyle w:val="Caption"/>
        <w:jc w:val="both"/>
        <w:rPr>
          <w:rFonts w:ascii="Calibri" w:hAnsi="Calibri" w:cs="Calibri"/>
          <w:noProof/>
        </w:rPr>
      </w:pPr>
      <w:bookmarkStart w:id="18" w:name="_Ref42163394"/>
      <w:bookmarkStart w:id="19" w:name="_Toc79138758"/>
      <w:bookmarkStart w:id="20" w:name="_Toc192193215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6</w:t>
      </w:r>
      <w:r>
        <w:rPr>
          <w:rFonts w:ascii="Calibri" w:hAnsi="Calibri" w:cs="Calibri"/>
          <w:noProof/>
        </w:rPr>
        <w:fldChar w:fldCharType="end"/>
      </w:r>
      <w:bookmarkEnd w:id="18"/>
      <w:r>
        <w:rPr>
          <w:rFonts w:ascii="Calibri" w:hAnsi="Calibri"/>
          <w:noProof/>
        </w:rPr>
        <w:t>: Podiel jednotlivých druhov dopravy v rámci nákladnej pozemnej dopravy podľa krajiny (v % v roku 2022) a zmena v percentuálnych bodoch v prípade železničnej dopravy (2018 – 2022)</w:t>
      </w:r>
      <w:bookmarkEnd w:id="19"/>
      <w:bookmarkEnd w:id="20"/>
    </w:p>
    <w:p w14:paraId="23CB5536" w14:textId="63A437CB" w:rsidR="00C6249E" w:rsidRPr="00D34D72" w:rsidRDefault="00E1340F" w:rsidP="003A5B09">
      <w:pPr>
        <w:jc w:val="both"/>
        <w:rPr>
          <w:rFonts w:ascii="Calibri" w:hAnsi="Calibri" w:cs="Calibri"/>
          <w:noProof/>
        </w:rPr>
      </w:pPr>
      <w:r w:rsidRPr="00E1340F">
        <w:rPr>
          <w:noProof/>
          <w:lang w:val="en-GB" w:eastAsia="en-GB"/>
        </w:rPr>
        <w:drawing>
          <wp:inline distT="0" distB="0" distL="0" distR="0" wp14:anchorId="738E97E8" wp14:editId="504B838E">
            <wp:extent cx="4046855" cy="2643952"/>
            <wp:effectExtent l="0" t="0" r="0" b="4445"/>
            <wp:docPr id="40656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456" cy="266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40F">
        <w:rPr>
          <w:noProof/>
          <w:lang w:val="en-GB" w:eastAsia="en-GB"/>
        </w:rPr>
        <w:drawing>
          <wp:inline distT="0" distB="0" distL="0" distR="0" wp14:anchorId="13D16AE9" wp14:editId="4CC804D0">
            <wp:extent cx="1379220" cy="2538673"/>
            <wp:effectExtent l="0" t="0" r="0" b="0"/>
            <wp:docPr id="19396579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17" cy="255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0BF20" w14:textId="462CC62B" w:rsidR="00C6249E" w:rsidRPr="00655DB4" w:rsidRDefault="00C6249E" w:rsidP="00BA6F5D">
      <w:pPr>
        <w:pStyle w:val="Source"/>
        <w:spacing w:before="0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Eurostat, 2024 (https://ec.europa.eu/eurostat/databrowser/view/tran_hv_ms_frmod/default/table?lang=sk&amp;amp;category=tran.tran_hv_ms).</w:t>
      </w:r>
    </w:p>
    <w:p w14:paraId="482111D3" w14:textId="5B36A477" w:rsidR="000F2051" w:rsidRPr="00655DB4" w:rsidRDefault="00C6249E" w:rsidP="003A5B09">
      <w:pPr>
        <w:pStyle w:val="Heading1"/>
        <w:spacing w:before="0" w:afterLines="120" w:after="288"/>
        <w:jc w:val="both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655DB4">
        <w:rPr>
          <w:rFonts w:ascii="Times New Roman" w:hAnsi="Times New Roman"/>
          <w:b/>
          <w:noProof/>
          <w:color w:val="auto"/>
          <w:sz w:val="24"/>
        </w:rPr>
        <w:t>VÝVOJ RÁMCOVÝCH PODMIENOK V ODVETVÍ ŽELEZNIČNEJ DOPRAVY</w:t>
      </w:r>
    </w:p>
    <w:p w14:paraId="3C5CCD7A" w14:textId="129DFC23" w:rsidR="00C6249E" w:rsidRPr="00655DB4" w:rsidRDefault="00C6249E" w:rsidP="00655DB4">
      <w:pPr>
        <w:pStyle w:val="Heading2"/>
        <w:spacing w:after="240"/>
      </w:pPr>
      <w:r w:rsidRPr="00655DB4">
        <w:t>Spoplatnenie infraštruktúry</w:t>
      </w:r>
    </w:p>
    <w:p w14:paraId="2C6590AB" w14:textId="4A6A9675" w:rsidR="00722588" w:rsidRPr="00D34D72" w:rsidRDefault="00722588" w:rsidP="003A5B09">
      <w:pPr>
        <w:spacing w:afterLines="120" w:after="288"/>
        <w:jc w:val="both"/>
        <w:rPr>
          <w:noProof/>
        </w:rPr>
      </w:pPr>
      <w:r>
        <w:rPr>
          <w:noProof/>
        </w:rPr>
        <w:t>V roku 2022 boli poplatky za traťový prístup v prípade vysokorýchlostnej železnice (bez príplatkov) naďalej vyššie než poplatky za ostatné služby osobnej dopravy vo všetkých krajinách, kde sa takéto poplatky uplatňovali. Poplatky za prístup v prípade vysokorýchlostnej železnice však boli v roku 2022 vo všeobecnosti nižšie než v roku 2018 v členských štátoch s vysokorýchlostnými sieťami.</w:t>
      </w:r>
    </w:p>
    <w:p w14:paraId="087DF0B1" w14:textId="04C9D466" w:rsidR="00722588" w:rsidRPr="00D34D72" w:rsidRDefault="00722588" w:rsidP="003A5B09">
      <w:pPr>
        <w:pStyle w:val="Caption"/>
        <w:jc w:val="both"/>
        <w:rPr>
          <w:rFonts w:ascii="Calibri" w:hAnsi="Calibri" w:cs="Calibri"/>
          <w:noProof/>
        </w:rPr>
      </w:pPr>
      <w:bookmarkStart w:id="21" w:name="_Ref111821863"/>
      <w:bookmarkStart w:id="22" w:name="_Toc192193234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7</w:t>
      </w:r>
      <w:r>
        <w:rPr>
          <w:rFonts w:ascii="Calibri" w:hAnsi="Calibri" w:cs="Calibri"/>
          <w:noProof/>
        </w:rPr>
        <w:fldChar w:fldCharType="end"/>
      </w:r>
      <w:bookmarkEnd w:id="21"/>
      <w:r>
        <w:rPr>
          <w:rFonts w:ascii="Calibri" w:hAnsi="Calibri"/>
          <w:noProof/>
        </w:rPr>
        <w:t>: Poplatky za prístup (bez príplatkov) v prípade rôznych kategórií osobných vlakov podľa krajiny (v EUR za vlakokilometer, 2022)</w:t>
      </w:r>
      <w:bookmarkEnd w:id="22"/>
    </w:p>
    <w:p w14:paraId="6287625B" w14:textId="67F40019" w:rsidR="00722588" w:rsidRPr="00D34D72" w:rsidRDefault="00277764" w:rsidP="003A5B09">
      <w:pPr>
        <w:pStyle w:val="Illustration"/>
        <w:jc w:val="both"/>
        <w:rPr>
          <w:rFonts w:ascii="Calibri" w:hAnsi="Calibri" w:cs="Calibri"/>
          <w:noProof/>
        </w:rPr>
      </w:pPr>
      <w:r w:rsidRPr="00277764">
        <w:rPr>
          <w:noProof/>
          <w:lang w:val="en-GB" w:eastAsia="en-GB"/>
        </w:rPr>
        <w:drawing>
          <wp:inline distT="0" distB="0" distL="0" distR="0" wp14:anchorId="3C1C844D" wp14:editId="24137AA8">
            <wp:extent cx="5731510" cy="4219575"/>
            <wp:effectExtent l="0" t="0" r="2540" b="9525"/>
            <wp:docPr id="6601993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535C4" w14:textId="77777777" w:rsidR="00722588" w:rsidRPr="00655DB4" w:rsidRDefault="00722588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77EC1102" w14:textId="77777777" w:rsidR="003A5B09" w:rsidRPr="00D34D72" w:rsidRDefault="003A5B09" w:rsidP="003A5B09">
      <w:pPr>
        <w:spacing w:afterLines="120" w:after="288"/>
        <w:jc w:val="both"/>
        <w:rPr>
          <w:noProof/>
        </w:rPr>
      </w:pPr>
    </w:p>
    <w:p w14:paraId="26D2A410" w14:textId="0F38E353" w:rsidR="00722588" w:rsidRPr="00D34D72" w:rsidRDefault="00722588" w:rsidP="003A5B09">
      <w:pPr>
        <w:spacing w:afterLines="120" w:after="288"/>
        <w:jc w:val="both"/>
        <w:rPr>
          <w:noProof/>
        </w:rPr>
      </w:pPr>
      <w:r>
        <w:rPr>
          <w:noProof/>
        </w:rPr>
        <w:t>Poplatky za prepravu nákladu (bez príplatkov) sa monitorujú v troch rôznych maximálnych hrubých tonážach (1 000, 1 600 a 6 000). Vo väčšine členských štátov sa poplatok za prístup zvyšuje s veľkosťou vlaku, aj keď nie nevyhnutne v pomere k tonáži.</w:t>
      </w:r>
    </w:p>
    <w:p w14:paraId="608C9AA1" w14:textId="1B6001C6" w:rsidR="00722588" w:rsidRPr="00D34D72" w:rsidRDefault="00722588" w:rsidP="003A5B09">
      <w:pPr>
        <w:pStyle w:val="Caption"/>
        <w:jc w:val="both"/>
        <w:rPr>
          <w:rFonts w:ascii="Calibri" w:hAnsi="Calibri" w:cs="Calibri"/>
          <w:noProof/>
        </w:rPr>
      </w:pPr>
      <w:bookmarkStart w:id="23" w:name="_Ref112057387"/>
      <w:bookmarkStart w:id="24" w:name="_Toc192193238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8</w:t>
      </w:r>
      <w:r>
        <w:rPr>
          <w:rFonts w:ascii="Calibri" w:hAnsi="Calibri" w:cs="Calibri"/>
          <w:noProof/>
        </w:rPr>
        <w:fldChar w:fldCharType="end"/>
      </w:r>
      <w:bookmarkEnd w:id="23"/>
      <w:r>
        <w:rPr>
          <w:rFonts w:ascii="Calibri" w:hAnsi="Calibri"/>
          <w:noProof/>
        </w:rPr>
        <w:t>: Poplatky za prístup (bez príplatkov) v prípade rôznych kategórií nákladných vlakov podľa krajiny (v</w:t>
      </w:r>
      <w:r w:rsidR="00880435">
        <w:rPr>
          <w:rFonts w:ascii="Calibri" w:hAnsi="Calibri"/>
          <w:noProof/>
        </w:rPr>
        <w:t> </w:t>
      </w:r>
      <w:r>
        <w:rPr>
          <w:rFonts w:ascii="Calibri" w:hAnsi="Calibri"/>
          <w:noProof/>
        </w:rPr>
        <w:t>EUR za vlakokilometer, 2022)</w:t>
      </w:r>
      <w:bookmarkEnd w:id="24"/>
    </w:p>
    <w:p w14:paraId="0D1502A9" w14:textId="1CFACFE3" w:rsidR="00722588" w:rsidRPr="00D34D72" w:rsidRDefault="00664237" w:rsidP="003A5B09">
      <w:pPr>
        <w:pStyle w:val="Illustration"/>
        <w:jc w:val="both"/>
        <w:rPr>
          <w:rFonts w:ascii="Calibri" w:hAnsi="Calibri" w:cs="Calibri"/>
          <w:noProof/>
        </w:rPr>
      </w:pPr>
      <w:r w:rsidRPr="00664237">
        <w:rPr>
          <w:noProof/>
          <w:lang w:val="en-GB" w:eastAsia="en-GB"/>
        </w:rPr>
        <w:drawing>
          <wp:inline distT="0" distB="0" distL="0" distR="0" wp14:anchorId="46789814" wp14:editId="0101B6D5">
            <wp:extent cx="5731510" cy="3743960"/>
            <wp:effectExtent l="0" t="0" r="2540" b="8890"/>
            <wp:docPr id="20171549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3BDA5" w14:textId="77777777" w:rsidR="00722588" w:rsidRPr="00655DB4" w:rsidRDefault="00722588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23E9EF43" w14:textId="38F3760C" w:rsidR="00722588" w:rsidRPr="00D34D72" w:rsidRDefault="00722588" w:rsidP="003A5B09">
      <w:pPr>
        <w:spacing w:afterLines="120" w:after="288"/>
        <w:jc w:val="both"/>
        <w:rPr>
          <w:noProof/>
        </w:rPr>
      </w:pPr>
      <w:r>
        <w:rPr>
          <w:noProof/>
        </w:rPr>
        <w:t>Nariadením (EÚ) 2020/1429 prijatým v októbri 2020 sa umožnilo členským štátom dočasne sa vzdať poplatkov za traťový prístup, znížiť ich alebo odložiť s cieľom zmierniť hospodársky vplyv pandémie ochorenia COVID-19</w:t>
      </w:r>
      <w:r>
        <w:rPr>
          <w:rStyle w:val="FootnoteReference"/>
          <w:noProof/>
        </w:rPr>
        <w:footnoteReference w:id="8"/>
      </w:r>
      <w:r>
        <w:rPr>
          <w:noProof/>
        </w:rPr>
        <w:t>. Týmto opatrením sa poskytla železničným podnikom, najmä tým v osobnej doprave, zásadná finančná pomoc, keďže objem dopravy klesal. Platnosť nariadenia, ktoré bolo pôvodne stanovené na obmedzené obdobie, bola štyrikrát predĺžená a nakoniec sa skončila 31. decembra 2022. Počas pandémie zohralo kľúčovú úlohu pri udržiavaní železničnej prevádzky a podporila sa ním obnova odvetvia, keď sa obnovila osobná doprava.</w:t>
      </w:r>
    </w:p>
    <w:p w14:paraId="0F70D0B0" w14:textId="3B920624" w:rsidR="00722588" w:rsidRPr="00655DB4" w:rsidRDefault="00722588" w:rsidP="003A5B09">
      <w:pPr>
        <w:pStyle w:val="Heading2"/>
        <w:spacing w:afterLines="120" w:after="288"/>
        <w:jc w:val="both"/>
      </w:pPr>
      <w:r w:rsidRPr="00655DB4">
        <w:t>Prideľovanie kapacity a obmedzenia infraštruktúry</w:t>
      </w:r>
    </w:p>
    <w:p w14:paraId="35330B84" w14:textId="37E82C3C" w:rsidR="00044D3C" w:rsidRPr="00D34D72" w:rsidRDefault="00044D3C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 roku 2022 bola kombinovaná intenzita využívania železničnej siete krajín EÚ27 (nákladné a osobné vlaky) 18,7 tisíc vlakokilometrov na kilometer trate, čo je o niečo viac než pred pandémiou (18,1 v roku 2018). Osobné vlaky predstavovali 79 % tohto využitia.</w:t>
      </w:r>
    </w:p>
    <w:p w14:paraId="024D8573" w14:textId="4A2AE207" w:rsidR="00044D3C" w:rsidRPr="00D34D72" w:rsidRDefault="00044D3C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Celková dĺžka tratí vyhlásených za preťažené v krajinách EÚ27 v rokoch 2018 až 2020 prudko vzrástla, ale v roku 2022 mierne klesla na 6 711 kilometrov vrátane 3 523 kilometrov koridorov železničnej nákladnej dopravy. Prudký nárast oproti roku 2018 bol spôsobený najmä zmenou talianskych kritérií na vyhlásenie preťaženia.</w:t>
      </w:r>
    </w:p>
    <w:p w14:paraId="422ADC0A" w14:textId="02F26C4F" w:rsidR="004F48FF" w:rsidRPr="00D34D72" w:rsidRDefault="004F48FF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 prípade preťažených tratí členské štáty najčastejšie uprednostňujú tie služby, ktoré sa poskytujú v rámci záväzku vyplývajúceho zo služieb vo verejnom záujme, a po nich nasledujú služby medzinárodnej osobnej dopravy, zatiaľ čo nákladná doprava má zriedka najvyššiu prioritu</w:t>
      </w:r>
      <w:r>
        <w:rPr>
          <w:rStyle w:val="FootnoteReference"/>
          <w:noProof/>
        </w:rPr>
        <w:footnoteReference w:id="9"/>
      </w:r>
      <w:r>
        <w:rPr>
          <w:noProof/>
        </w:rPr>
        <w:t>.</w:t>
      </w:r>
    </w:p>
    <w:p w14:paraId="19EB0C18" w14:textId="65ACB1C4" w:rsidR="00044D3C" w:rsidRPr="00D34D72" w:rsidRDefault="004F48FF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Na podporu efektívnejšieho využívania siete a na riešenie nekompatibility medzi pôvodnými vnútroštátnymi systémami riadenia vlakov sa zavádza Európsky systém riadenia železničnej dopravy (ďalej len „ERTMS“) ako spoločný európsky signalizačný systém. V čase uverejnenia tejto správy bolo približne 14 % základnej siete vybavených systémom ERTMS a v prípade ďalších 19 % sú uzavreté zmluvy. Hoci sa dosiahol pokrok, zavádzanie stále zaostáva za pôvodnými cieľmi, preto treba zvýšiť úsilie na urýchlenie vykonávania.</w:t>
      </w:r>
    </w:p>
    <w:p w14:paraId="0464FCFA" w14:textId="77777777" w:rsidR="003A5B09" w:rsidRPr="00D34D72" w:rsidRDefault="003A5B09" w:rsidP="003A5B09">
      <w:pPr>
        <w:spacing w:before="100" w:beforeAutospacing="1" w:after="100" w:afterAutospacing="1"/>
        <w:jc w:val="both"/>
        <w:rPr>
          <w:noProof/>
        </w:rPr>
      </w:pPr>
    </w:p>
    <w:p w14:paraId="1D71E1D6" w14:textId="20710DE5" w:rsidR="009F3454" w:rsidRPr="00655DB4" w:rsidRDefault="009F3454" w:rsidP="003A5B09">
      <w:pPr>
        <w:pStyle w:val="Heading2"/>
        <w:spacing w:afterLines="120" w:after="288"/>
        <w:jc w:val="both"/>
      </w:pPr>
      <w:r w:rsidRPr="00655DB4">
        <w:t>Výdavky na infraštruktúru a financovanie</w:t>
      </w:r>
    </w:p>
    <w:p w14:paraId="06DACA3C" w14:textId="1C473B32" w:rsidR="00B36412" w:rsidRPr="00D34D72" w:rsidRDefault="00B36412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Celkové nominálne výdavky krajín EÚ27 na infraštruktúru sa zvýšili z 38,7 miliardy EUR v roku 2018 na 50,8 miliardy EUR v roku 2022. V roku 2022 boli výdavky v jednotlivých kategóriách rozdelené pomerne rovnomerne: 25 % na údržbu, 25 % na obnovu, 26 % na modernizáciu a 24 % na investície do novej infraštruktúry. Napriek výraznému nominálnemu rastu vysoká inflácia v tomto období zmiernila reálny rast. Po úprave na cenovú úroveň z roku 2018 bol skutočný rast miernejší a v reálnom vyjadrení dosiahol približne 5 %.</w:t>
      </w:r>
    </w:p>
    <w:p w14:paraId="33F629D3" w14:textId="77777777" w:rsidR="00CE5615" w:rsidRPr="00D34D72" w:rsidRDefault="00CE5615" w:rsidP="003A5B09">
      <w:pPr>
        <w:pStyle w:val="Caption"/>
        <w:jc w:val="both"/>
        <w:rPr>
          <w:rFonts w:ascii="Calibri" w:hAnsi="Calibri" w:cs="Calibri"/>
          <w:noProof/>
        </w:rPr>
      </w:pPr>
      <w:bookmarkStart w:id="25" w:name="_Ref42156941"/>
      <w:bookmarkStart w:id="26" w:name="_Toc79138731"/>
      <w:bookmarkStart w:id="27" w:name="_Toc192193188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9</w:t>
      </w:r>
      <w:r>
        <w:rPr>
          <w:rFonts w:ascii="Calibri" w:hAnsi="Calibri" w:cs="Calibri"/>
          <w:noProof/>
        </w:rPr>
        <w:fldChar w:fldCharType="end"/>
      </w:r>
      <w:bookmarkEnd w:id="25"/>
      <w:r>
        <w:rPr>
          <w:rFonts w:ascii="Calibri" w:hAnsi="Calibri"/>
          <w:noProof/>
        </w:rPr>
        <w:t>: Výdavky na infraštruktúru a pomer nákladov na údržbu a obnovu (v mld. EUR, 2018 – 2022)</w:t>
      </w:r>
      <w:bookmarkEnd w:id="26"/>
      <w:bookmarkEnd w:id="27"/>
    </w:p>
    <w:p w14:paraId="05AF42E5" w14:textId="74981AB1" w:rsidR="00CE5615" w:rsidRPr="00655DB4" w:rsidRDefault="00D818B4" w:rsidP="003A5B09">
      <w:pPr>
        <w:pStyle w:val="Source"/>
        <w:jc w:val="both"/>
        <w:rPr>
          <w:rFonts w:ascii="Calibri" w:hAnsi="Calibri" w:cs="Calibri"/>
          <w:noProof/>
        </w:rPr>
      </w:pPr>
      <w:r w:rsidRPr="00D818B4">
        <w:rPr>
          <w:noProof/>
          <w:lang w:val="en-GB" w:eastAsia="en-GB"/>
        </w:rPr>
        <w:drawing>
          <wp:inline distT="0" distB="0" distL="0" distR="0" wp14:anchorId="00F75078" wp14:editId="3AA8C4B0">
            <wp:extent cx="5731510" cy="3615690"/>
            <wp:effectExtent l="0" t="0" r="2540" b="3810"/>
            <wp:docPr id="184795705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124ED" w14:textId="2FA60A5B" w:rsidR="004F48FF" w:rsidRPr="00D34D72" w:rsidRDefault="00CE5615" w:rsidP="003A5B09">
      <w:pPr>
        <w:spacing w:before="100" w:beforeAutospacing="1" w:after="100" w:afterAutospacing="1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noProof/>
          <w:sz w:val="20"/>
        </w:rPr>
        <w:t>Zdroj: RMMS, 2022.</w:t>
      </w:r>
    </w:p>
    <w:p w14:paraId="6437044C" w14:textId="12C07ED4" w:rsidR="00CE5615" w:rsidRPr="00D34D72" w:rsidRDefault="00CE5615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 roku 2022 dosiahli celkové výdavky na údržbu a obnovu v krajinách EÚ27 25,2 miliardy EUR, čo predstavuje 50 % celkových výdavkov na infraštruktúru s výraznými rozdielmi medzi krajinami. Hlavným zdrojom financovania zostali vnútroštátne rozpočty, ktoré sa na celkových výdavkoch na železničnú infraštruktúru podieľali 70 %. Spolufinancovanie EÚ predstavovalo 8 %, zatiaľ čo zvyšných 22 % pochádzalo z iných zdrojov, ako sú úvery, kapitálové financovanie a poplatky.</w:t>
      </w:r>
    </w:p>
    <w:p w14:paraId="5E62050E" w14:textId="77777777" w:rsidR="003A5B09" w:rsidRPr="00D34D72" w:rsidRDefault="003A5B09" w:rsidP="003A5B09">
      <w:pPr>
        <w:spacing w:before="100" w:beforeAutospacing="1" w:after="100" w:afterAutospacing="1"/>
        <w:jc w:val="both"/>
        <w:rPr>
          <w:noProof/>
        </w:rPr>
      </w:pPr>
    </w:p>
    <w:p w14:paraId="1015BEEA" w14:textId="6A5F784D" w:rsidR="009F3454" w:rsidRPr="00655DB4" w:rsidRDefault="009F3454" w:rsidP="003A5B09">
      <w:pPr>
        <w:pStyle w:val="Heading2"/>
        <w:spacing w:afterLines="120" w:after="288"/>
        <w:jc w:val="both"/>
      </w:pPr>
      <w:r w:rsidRPr="00655DB4">
        <w:t>Kvalita služieb železničnej dopravy</w:t>
      </w:r>
    </w:p>
    <w:p w14:paraId="0BD3BEF7" w14:textId="5762C7CA" w:rsidR="009F3454" w:rsidRPr="00D34D72" w:rsidRDefault="009F3454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Bezpečnosť zostáva najvyššou prioritou jednotného európskeho železničného priestoru, pričom Železničná agentúra Európskej únie (ďalej len „ERA“) naďalej monitoruje pokrok v oblasti bezpečnosti a interoperability. V správe ERA z roku 2024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sa znovu potvrdzuje, že európske železnice patria aj naďalej medzi najbezpečnejšie druhy dopravy, pričom riziko úmrtia pri cestovaní autom je takmer 84-krát vyššie než pri cestovaní vlakom a pri cestovaní autobusom je riziko 7,3-krát vyššie než pri cestovaní vlakom.</w:t>
      </w:r>
    </w:p>
    <w:p w14:paraId="78B3AEDF" w14:textId="77777777" w:rsidR="009F3454" w:rsidRPr="00D34D72" w:rsidRDefault="009F3454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Priemerná presnosť služieb regionálnej a miestnej osobnej dopravy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 v krajinách EÚ27 bola v roku 2022 na úrovni 90 %, čo je menej ako 94 % v roku 2020, ale stále viac ako pred pandémiou. Presnosť služieb diaľkovej a vysokorýchlostnej osobnej dopravy klesla z 93 % v roku 2020 na 87 % v roku 2022.</w:t>
      </w:r>
    </w:p>
    <w:p w14:paraId="63DAFEF7" w14:textId="3C3397FF" w:rsidR="009F3454" w:rsidRPr="00D34D72" w:rsidRDefault="009F3454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Pokiaľ ide o spoľahlivosť</w:t>
      </w:r>
      <w:r>
        <w:rPr>
          <w:rStyle w:val="FootnoteReference"/>
          <w:noProof/>
        </w:rPr>
        <w:footnoteReference w:id="12"/>
      </w:r>
      <w:r>
        <w:rPr>
          <w:noProof/>
        </w:rPr>
        <w:t>, podiel zrušených regionálnych a miestnych služieb sa zvýšil z 1,9 % v roku 2018 na 4,4 % v roku 2022. V prípade diaľkových a vysokorýchlostných služieb sa počet zrušených služieb zvýšil z 1,3 % v roku 2018 na 4,9 % v roku 2022. Medzi výzvy, ktoré ovplyvňujú spoľahlivosť, patrí nedostatok personálu, starnúca infraštruktúra a nedokončená údržba.</w:t>
      </w:r>
    </w:p>
    <w:p w14:paraId="4805A074" w14:textId="3B252CC7" w:rsidR="00A43145" w:rsidRPr="00D34D72" w:rsidRDefault="009F3454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 železničnej nákladnej doprave bola priemerná presnosť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 vnútroštátnych služieb v krajinách EÚ27 v roku 2022 na úrovni 56 %, zatiaľ čo v prípade medzinárodnej nákladnej dopravy bola na úrovni 42 %. Podiel zrušených vnútroštátnych služieb nákladnej dopravy dosiahol v roku 2022 úroveň 8,1 %, zatiaľ čo zrušených medzinárodných služieb bolo 14,5 %.</w:t>
      </w:r>
    </w:p>
    <w:p w14:paraId="55E81CB9" w14:textId="77777777" w:rsidR="00A43145" w:rsidRPr="00D34D72" w:rsidRDefault="00A43145" w:rsidP="003A5B09">
      <w:pPr>
        <w:spacing w:before="100" w:beforeAutospacing="1" w:after="100" w:afterAutospacing="1"/>
        <w:jc w:val="both"/>
        <w:rPr>
          <w:noProof/>
        </w:rPr>
      </w:pPr>
    </w:p>
    <w:p w14:paraId="0862FC5D" w14:textId="7096A9EC" w:rsidR="00A43145" w:rsidRPr="00655DB4" w:rsidRDefault="00A43145" w:rsidP="003A5B09">
      <w:pPr>
        <w:pStyle w:val="Heading2"/>
        <w:spacing w:afterLines="120" w:after="288"/>
        <w:jc w:val="both"/>
      </w:pPr>
      <w:r w:rsidRPr="00655DB4">
        <w:t>Zmluvy o službách vo verejnom záujme</w:t>
      </w:r>
    </w:p>
    <w:p w14:paraId="46B3820B" w14:textId="3B9C5AE4" w:rsidR="00A43145" w:rsidRPr="00D34D72" w:rsidRDefault="00A43145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Osobná doprava v rámci záväzku vyplývajúceho zo služieb vo verejnom záujme dosiahla v roku 2022 v priemere 58,7 % celkových osobokilometrov v krajinách EÚ27, čo predstavuje pokles zo 66 % v roku 2020. Tento pokles je odrazom postupného posunu smerom ku konkurencieschopnejšiemu železničnému trhu. Záväzok vyplývajúci zo služieb vo verejnom záujme pokryl takmer celú osobnú dopravu v Dánsku, Estónsku, Írsku, Lotyšsku, Luxembursku, Holandsku a Rumunsku. Záväzky vyplývajúce zo služieb vo verejnom záujme sú prevažne vnútroštátne, čo predstavuje 99,1 % osobokilometrov v rámci záväzkov vyplývajúcich zo služieb vo verejnom záujme v roku 2022 s prevahou regionálnych služieb nad diaľkovými.</w:t>
      </w:r>
    </w:p>
    <w:p w14:paraId="6F90BEDA" w14:textId="315EB247" w:rsidR="00A43145" w:rsidRPr="00D34D72" w:rsidRDefault="00A43145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Podiel komerčných prevádzkovateľov na trhu sa v rokoch 2018 až 2022 zvýšil. V prípade komerčných služieb osobnej dopravy v roku 2022 mali konkurenti 12,6 % podiel na trhu, čo predstavuje nárast oproti 6 % v roku 2018. Podiel konkurentov na trhu so záväzkami vyplývajúcimi zo služieb vo verejnom záujme sa v roku 2022 zvýšil na 21 %, čo predstavuje nárast o 8 percentuálnych bodov od roku 2018.</w:t>
      </w:r>
    </w:p>
    <w:p w14:paraId="23BB1C3A" w14:textId="26E60BAA" w:rsidR="00A43145" w:rsidRPr="00D34D72" w:rsidRDefault="00A43145" w:rsidP="003A5B09">
      <w:pPr>
        <w:pStyle w:val="Caption"/>
        <w:jc w:val="both"/>
        <w:rPr>
          <w:rFonts w:ascii="Calibri" w:hAnsi="Calibri" w:cs="Calibri"/>
          <w:noProof/>
        </w:rPr>
      </w:pPr>
      <w:bookmarkStart w:id="28" w:name="_Ref112163298"/>
      <w:bookmarkStart w:id="29" w:name="_Toc192193252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10</w:t>
      </w:r>
      <w:r>
        <w:rPr>
          <w:rFonts w:ascii="Calibri" w:hAnsi="Calibri" w:cs="Calibri"/>
          <w:noProof/>
        </w:rPr>
        <w:fldChar w:fldCharType="end"/>
      </w:r>
      <w:bookmarkEnd w:id="28"/>
      <w:r>
        <w:rPr>
          <w:rFonts w:ascii="Calibri" w:hAnsi="Calibri"/>
          <w:noProof/>
        </w:rPr>
        <w:t>: Podiel osobnej dopravy v rámci záväzku vyplývajúceho zo služieb vo verejnom záujme a v rámci komerčných služieb železničnej dopravy podľa krajiny (v % osobokilometrov, 2022)</w:t>
      </w:r>
      <w:bookmarkEnd w:id="29"/>
    </w:p>
    <w:p w14:paraId="5C36AB38" w14:textId="737AD00B" w:rsidR="00A43145" w:rsidRPr="00D34D72" w:rsidRDefault="001013F5" w:rsidP="003A5B09">
      <w:pPr>
        <w:jc w:val="both"/>
        <w:rPr>
          <w:rFonts w:ascii="Calibri" w:hAnsi="Calibri" w:cs="Calibri"/>
          <w:noProof/>
        </w:rPr>
      </w:pPr>
      <w:r w:rsidRPr="001013F5">
        <w:rPr>
          <w:noProof/>
          <w:lang w:val="en-GB" w:eastAsia="en-GB"/>
        </w:rPr>
        <w:drawing>
          <wp:inline distT="0" distB="0" distL="0" distR="0" wp14:anchorId="6B3AF352" wp14:editId="4AF5351F">
            <wp:extent cx="5731510" cy="3354705"/>
            <wp:effectExtent l="0" t="0" r="2540" b="0"/>
            <wp:docPr id="202334235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6E7E" w14:textId="77777777" w:rsidR="00A43145" w:rsidRPr="00655DB4" w:rsidRDefault="00A43145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333EFE68" w14:textId="1356596B" w:rsidR="00A43145" w:rsidRPr="00D34D72" w:rsidRDefault="00A43145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 roku 2022 sa 29 % z 231 miliárd osobokilometrov v rámci záväzkov vyplývajúcich zo služieb vo verejnom záujme v krajinách EÚ27 týkalo služieb zadaných prostredníctvom verejnej súťaže. Podobne ako v predchádzajúcich rokoch sa najväčší objem služieb osobnej dopravy zadaných prostredníctvom verejnej súťaže sústredil v dvoch krajinách, ktoré liberalizáciu zaviedli ako prvé: v Nemecku (81 %) a vo Švédsku (13 %). Kompenzácia za záväzok vyplývajúci zo služieb vo verejnom záujme zostáva vo väčšine členských štátov EÚ významným zdrojom príjmu pre železničné podniky.</w:t>
      </w:r>
    </w:p>
    <w:p w14:paraId="5506C443" w14:textId="77777777" w:rsidR="003A5B09" w:rsidRPr="00D34D72" w:rsidRDefault="003A5B09" w:rsidP="003A5B09">
      <w:pPr>
        <w:spacing w:before="100" w:beforeAutospacing="1" w:after="100" w:afterAutospacing="1"/>
        <w:jc w:val="both"/>
        <w:rPr>
          <w:noProof/>
        </w:rPr>
      </w:pPr>
    </w:p>
    <w:p w14:paraId="7E9FDBE8" w14:textId="1DF0FCDE" w:rsidR="00CE5615" w:rsidRPr="00655DB4" w:rsidRDefault="00A43145" w:rsidP="003A5B09">
      <w:pPr>
        <w:pStyle w:val="Heading2"/>
        <w:spacing w:afterLines="120" w:after="288"/>
        <w:jc w:val="both"/>
      </w:pPr>
      <w:r w:rsidRPr="00655DB4">
        <w:t>Udeľovanie licencií</w:t>
      </w:r>
    </w:p>
    <w:p w14:paraId="1763611E" w14:textId="31FE73C0" w:rsidR="00A43145" w:rsidRPr="00D34D72" w:rsidRDefault="00A43145" w:rsidP="003A5B09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 roku 2022 bolo v krajinách EÚ27 nahlásených celkovo 1 202 aktívnych železničných licencií, čo predstavuje nárast oproti počtu 1 192 v roku 2020. Najvyšší počet aktívnych licencií malo naďalej Nemecko so 490 licencovanými železničnými podnikmi, za ktorým nasledovalo Poľsko so 126 a Česko so 109 licenciami.</w:t>
      </w:r>
    </w:p>
    <w:p w14:paraId="562F03A6" w14:textId="77777777" w:rsidR="003A5B09" w:rsidRPr="00D34D72" w:rsidRDefault="003A5B09" w:rsidP="003A5B09">
      <w:pPr>
        <w:spacing w:before="100" w:beforeAutospacing="1" w:after="100" w:afterAutospacing="1"/>
        <w:jc w:val="both"/>
        <w:rPr>
          <w:noProof/>
        </w:rPr>
      </w:pPr>
    </w:p>
    <w:p w14:paraId="10E8CD8D" w14:textId="17B3A2CF" w:rsidR="00A43145" w:rsidRPr="00655DB4" w:rsidRDefault="00E6553B" w:rsidP="003A5B09">
      <w:pPr>
        <w:pStyle w:val="Heading2"/>
        <w:spacing w:afterLines="120" w:after="288"/>
        <w:jc w:val="both"/>
      </w:pPr>
      <w:r w:rsidRPr="00655DB4">
        <w:t>Stupeň otvorenosti trhu a využívania prístupových práv</w:t>
      </w:r>
    </w:p>
    <w:p w14:paraId="4CABEBBD" w14:textId="2A1DD5E8" w:rsidR="00A43145" w:rsidRDefault="00E6553B" w:rsidP="003A5B09">
      <w:pPr>
        <w:jc w:val="both"/>
        <w:rPr>
          <w:noProof/>
        </w:rPr>
      </w:pPr>
      <w:r>
        <w:rPr>
          <w:noProof/>
        </w:rPr>
        <w:t>Podiel nových účastníkov na trhu v odvetví železničnej nákladnej dopravy v krajinách EÚ27 dosiahol v roku 2022 úroveň 49 %, pokračujúc v rastúcom trende z 39 % v roku 2018.</w:t>
      </w:r>
    </w:p>
    <w:p w14:paraId="5BE0D3C3" w14:textId="77777777" w:rsidR="00B17E4A" w:rsidRPr="00D34D72" w:rsidRDefault="00B17E4A" w:rsidP="003A5B09">
      <w:pPr>
        <w:jc w:val="both"/>
        <w:rPr>
          <w:noProof/>
        </w:rPr>
      </w:pPr>
    </w:p>
    <w:p w14:paraId="3E7CF600" w14:textId="6A751E38" w:rsidR="00E6553B" w:rsidRPr="00D34D72" w:rsidRDefault="00E6553B" w:rsidP="003A5B09">
      <w:pPr>
        <w:pStyle w:val="Caption"/>
        <w:ind w:left="851" w:hanging="851"/>
        <w:jc w:val="both"/>
        <w:rPr>
          <w:rFonts w:ascii="Calibri" w:hAnsi="Calibri" w:cs="Calibri"/>
          <w:noProof/>
        </w:rPr>
      </w:pPr>
      <w:bookmarkStart w:id="30" w:name="_Ref42171638"/>
      <w:bookmarkStart w:id="31" w:name="_Toc79138802"/>
      <w:bookmarkStart w:id="32" w:name="_Toc192193258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11</w:t>
      </w:r>
      <w:r>
        <w:rPr>
          <w:rFonts w:ascii="Calibri" w:hAnsi="Calibri" w:cs="Calibri"/>
          <w:noProof/>
        </w:rPr>
        <w:fldChar w:fldCharType="end"/>
      </w:r>
      <w:bookmarkEnd w:id="30"/>
      <w:r>
        <w:rPr>
          <w:rFonts w:ascii="Calibri" w:hAnsi="Calibri"/>
          <w:noProof/>
        </w:rPr>
        <w:t>: Podiel konkurentov na trhu železničnej nákladnej dopravy podľa krajiny (v % v roku 2022) a zmena v percentuálnych bodoch (2018 – 2022)</w:t>
      </w:r>
      <w:bookmarkEnd w:id="31"/>
      <w:bookmarkEnd w:id="32"/>
    </w:p>
    <w:p w14:paraId="5AF62A20" w14:textId="142633BE" w:rsidR="00E6553B" w:rsidRPr="00D34D72" w:rsidRDefault="00B17E4A" w:rsidP="003A5B09">
      <w:pPr>
        <w:jc w:val="both"/>
        <w:rPr>
          <w:rFonts w:ascii="Calibri" w:hAnsi="Calibri" w:cs="Calibri"/>
          <w:noProof/>
        </w:rPr>
      </w:pPr>
      <w:r w:rsidRPr="00B17E4A">
        <w:rPr>
          <w:noProof/>
          <w:lang w:val="en-GB" w:eastAsia="en-GB"/>
        </w:rPr>
        <w:drawing>
          <wp:inline distT="0" distB="0" distL="0" distR="0" wp14:anchorId="3E828034" wp14:editId="4A5E9D35">
            <wp:extent cx="3870960" cy="2662841"/>
            <wp:effectExtent l="0" t="0" r="0" b="4445"/>
            <wp:docPr id="2835544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440" cy="268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E4A">
        <w:rPr>
          <w:noProof/>
          <w:lang w:val="en-GB" w:eastAsia="en-GB"/>
        </w:rPr>
        <w:drawing>
          <wp:inline distT="0" distB="0" distL="0" distR="0" wp14:anchorId="7EE4EB90" wp14:editId="7FCC60C6">
            <wp:extent cx="1676400" cy="2529934"/>
            <wp:effectExtent l="0" t="0" r="0" b="3810"/>
            <wp:docPr id="131809856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23" cy="257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FC72" w14:textId="77777777" w:rsidR="00E6553B" w:rsidRPr="00655DB4" w:rsidRDefault="00E6553B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53DF298E" w14:textId="77777777" w:rsidR="00E6553B" w:rsidRPr="00D34D72" w:rsidRDefault="00E6553B" w:rsidP="003A5B09">
      <w:pPr>
        <w:jc w:val="both"/>
        <w:rPr>
          <w:noProof/>
        </w:rPr>
      </w:pPr>
    </w:p>
    <w:p w14:paraId="1383B329" w14:textId="38C5E234" w:rsidR="00E6553B" w:rsidRPr="00D34D72" w:rsidRDefault="00E6553B" w:rsidP="003A5B09">
      <w:pPr>
        <w:jc w:val="both"/>
        <w:rPr>
          <w:noProof/>
        </w:rPr>
      </w:pPr>
      <w:r>
        <w:rPr>
          <w:noProof/>
        </w:rPr>
        <w:t>V komerčnej osobnej železničnej doprave mali noví účastníci v roku 2022 podiel na trhu vo výške 12,6 %, čo je takmer dvojnásobok oproti 6,6 % zaznamenaným v roku 2020. Na vnútroštátnom trhu osobnej dopravy v rámci záväzku vyplývajúceho zo služieb vo verejnom záujme mali konkurenti v roku 2022 podiel na trhu vo výške 21 %, čo predstavuje výrazný nárast z 18,5 % v roku 2020.</w:t>
      </w:r>
    </w:p>
    <w:p w14:paraId="1463D8E4" w14:textId="77777777" w:rsidR="00995552" w:rsidRPr="00D34D72" w:rsidRDefault="00995552" w:rsidP="003A5B09">
      <w:pPr>
        <w:jc w:val="both"/>
        <w:rPr>
          <w:noProof/>
        </w:rPr>
      </w:pPr>
    </w:p>
    <w:p w14:paraId="749AEC37" w14:textId="77777777" w:rsidR="00995552" w:rsidRPr="00D34D72" w:rsidRDefault="00995552" w:rsidP="003A5B09">
      <w:pPr>
        <w:jc w:val="both"/>
        <w:rPr>
          <w:noProof/>
        </w:rPr>
      </w:pPr>
    </w:p>
    <w:p w14:paraId="3F6A6609" w14:textId="72AC08C1" w:rsidR="00995552" w:rsidRPr="00D34D72" w:rsidRDefault="00995552" w:rsidP="003A5B09">
      <w:pPr>
        <w:pStyle w:val="Caption"/>
        <w:jc w:val="both"/>
        <w:rPr>
          <w:rFonts w:ascii="Calibri" w:hAnsi="Calibri" w:cs="Calibri"/>
          <w:noProof/>
          <w:szCs w:val="20"/>
        </w:rPr>
      </w:pPr>
      <w:bookmarkStart w:id="33" w:name="_Ref113574811"/>
      <w:bookmarkStart w:id="34" w:name="_Toc192193259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12</w:t>
      </w:r>
      <w:r>
        <w:rPr>
          <w:rFonts w:ascii="Calibri" w:hAnsi="Calibri" w:cs="Calibri"/>
          <w:noProof/>
        </w:rPr>
        <w:fldChar w:fldCharType="end"/>
      </w:r>
      <w:bookmarkEnd w:id="33"/>
      <w:r>
        <w:rPr>
          <w:rFonts w:ascii="Calibri" w:hAnsi="Calibri"/>
          <w:noProof/>
        </w:rPr>
        <w:t>: Podiel konkurentov na trhu komerčnej osobnej dopravy podľa krajiny (v % v roku 2022) a zmena v percentuálnych bodoch (2018 – 2022)</w:t>
      </w:r>
      <w:bookmarkEnd w:id="34"/>
    </w:p>
    <w:p w14:paraId="6FD93E09" w14:textId="5964622A" w:rsidR="00995552" w:rsidRPr="00D34D72" w:rsidRDefault="00EB5CE4" w:rsidP="003A5B09">
      <w:pPr>
        <w:jc w:val="both"/>
        <w:rPr>
          <w:rFonts w:ascii="Calibri" w:hAnsi="Calibri" w:cs="Calibri"/>
          <w:noProof/>
          <w:sz w:val="20"/>
          <w:szCs w:val="20"/>
        </w:rPr>
      </w:pPr>
      <w:r w:rsidRPr="00EB5CE4">
        <w:rPr>
          <w:noProof/>
          <w:lang w:val="en-GB" w:eastAsia="en-GB"/>
        </w:rPr>
        <w:drawing>
          <wp:inline distT="0" distB="0" distL="0" distR="0" wp14:anchorId="5E47D4DB" wp14:editId="57F6E8CC">
            <wp:extent cx="4274224" cy="3129915"/>
            <wp:effectExtent l="0" t="0" r="0" b="0"/>
            <wp:docPr id="61091552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512" cy="315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CE4">
        <w:rPr>
          <w:noProof/>
          <w:lang w:val="en-GB" w:eastAsia="en-GB"/>
        </w:rPr>
        <w:drawing>
          <wp:inline distT="0" distB="0" distL="0" distR="0" wp14:anchorId="28D7A7E0" wp14:editId="2E41F3D4">
            <wp:extent cx="1339215" cy="3046835"/>
            <wp:effectExtent l="0" t="0" r="0" b="1270"/>
            <wp:docPr id="121305809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64" cy="307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5554" w14:textId="7C2DC625" w:rsidR="00995552" w:rsidRPr="00655DB4" w:rsidRDefault="00995552" w:rsidP="003A5B09">
      <w:pPr>
        <w:jc w:val="both"/>
        <w:rPr>
          <w:rFonts w:ascii="Calibri" w:hAnsi="Calibri" w:cs="Calibri"/>
          <w:i/>
          <w:iCs/>
          <w:noProof/>
          <w:sz w:val="20"/>
          <w:szCs w:val="20"/>
        </w:rPr>
      </w:pPr>
      <w:r w:rsidRPr="00655DB4">
        <w:rPr>
          <w:rFonts w:ascii="Calibri" w:hAnsi="Calibri"/>
          <w:i/>
          <w:noProof/>
          <w:sz w:val="20"/>
        </w:rPr>
        <w:t>Zdroj: RMMS, 2022.</w:t>
      </w:r>
    </w:p>
    <w:p w14:paraId="050BE255" w14:textId="77777777" w:rsidR="00995552" w:rsidRPr="00D34D72" w:rsidRDefault="00995552" w:rsidP="003A5B09">
      <w:pPr>
        <w:jc w:val="both"/>
        <w:rPr>
          <w:rFonts w:ascii="Calibri" w:hAnsi="Calibri" w:cs="Calibri"/>
          <w:noProof/>
          <w:sz w:val="20"/>
          <w:szCs w:val="20"/>
        </w:rPr>
      </w:pPr>
    </w:p>
    <w:p w14:paraId="2A9ABEFD" w14:textId="00F4C519" w:rsidR="00995552" w:rsidRPr="00D34D72" w:rsidRDefault="00995552" w:rsidP="003A5B09">
      <w:pPr>
        <w:pStyle w:val="Caption"/>
        <w:jc w:val="both"/>
        <w:rPr>
          <w:rFonts w:ascii="Calibri" w:hAnsi="Calibri" w:cs="Calibri"/>
          <w:noProof/>
        </w:rPr>
      </w:pPr>
      <w:bookmarkStart w:id="35" w:name="_Ref42172110"/>
      <w:bookmarkStart w:id="36" w:name="_Toc79138804"/>
      <w:bookmarkStart w:id="37" w:name="_Toc192193260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13</w:t>
      </w:r>
      <w:r>
        <w:rPr>
          <w:rFonts w:ascii="Calibri" w:hAnsi="Calibri" w:cs="Calibri"/>
          <w:noProof/>
        </w:rPr>
        <w:fldChar w:fldCharType="end"/>
      </w:r>
      <w:bookmarkEnd w:id="35"/>
      <w:r>
        <w:rPr>
          <w:rFonts w:ascii="Calibri" w:hAnsi="Calibri"/>
          <w:noProof/>
        </w:rPr>
        <w:t>: Podiel konkurentov na trhu osobnej dopravy v rámci záväzku vyplývajúceho zo služieb vo verejnom záujme podľa krajiny (v % v roku 2022) a zmena v percentuálnych bodoch (2018 – 2022)</w:t>
      </w:r>
      <w:bookmarkEnd w:id="36"/>
      <w:bookmarkEnd w:id="37"/>
    </w:p>
    <w:p w14:paraId="0D9DCA6D" w14:textId="05DD70DD" w:rsidR="00995552" w:rsidRPr="00D34D72" w:rsidRDefault="002D191A" w:rsidP="003A5B09">
      <w:pPr>
        <w:pStyle w:val="Illustration"/>
        <w:jc w:val="both"/>
        <w:rPr>
          <w:rFonts w:ascii="Calibri" w:hAnsi="Calibri" w:cs="Calibri"/>
          <w:noProof/>
        </w:rPr>
      </w:pPr>
      <w:r w:rsidRPr="002D191A">
        <w:rPr>
          <w:noProof/>
          <w:lang w:val="en-GB" w:eastAsia="en-GB"/>
        </w:rPr>
        <w:drawing>
          <wp:inline distT="0" distB="0" distL="0" distR="0" wp14:anchorId="4F964000" wp14:editId="0BF82430">
            <wp:extent cx="4053840" cy="2818284"/>
            <wp:effectExtent l="0" t="0" r="3810" b="1270"/>
            <wp:docPr id="6072115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11" cy="28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91A">
        <w:rPr>
          <w:noProof/>
          <w:lang w:val="en-GB" w:eastAsia="en-GB"/>
        </w:rPr>
        <w:drawing>
          <wp:inline distT="0" distB="0" distL="0" distR="0" wp14:anchorId="5B5F44D0" wp14:editId="755B817D">
            <wp:extent cx="1612206" cy="2903220"/>
            <wp:effectExtent l="0" t="0" r="7620" b="0"/>
            <wp:docPr id="13663580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509" cy="29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B7B41" w14:textId="77777777" w:rsidR="00995552" w:rsidRPr="00655DB4" w:rsidRDefault="00995552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44A8DCFF" w14:textId="77777777" w:rsidR="005919BD" w:rsidRPr="005919BD" w:rsidRDefault="005919BD" w:rsidP="005919BD">
      <w:pPr>
        <w:rPr>
          <w:noProof/>
          <w:lang w:eastAsia="en-US"/>
        </w:rPr>
      </w:pPr>
    </w:p>
    <w:p w14:paraId="4F592985" w14:textId="4A94019C" w:rsidR="00995552" w:rsidRPr="00655DB4" w:rsidRDefault="00995552" w:rsidP="003A5B09">
      <w:pPr>
        <w:pStyle w:val="Heading2"/>
        <w:spacing w:afterLines="120" w:after="288"/>
        <w:jc w:val="both"/>
      </w:pPr>
      <w:r w:rsidRPr="00655DB4">
        <w:t>Zamestnanosť a sociálne podmienky</w:t>
      </w:r>
    </w:p>
    <w:p w14:paraId="0F294610" w14:textId="53AAED49" w:rsidR="00995552" w:rsidRPr="00D34D72" w:rsidRDefault="00995552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Do konca roka 2022 bolo v odvetví železničnej dopravy v krajinách EÚ27 zamestnaných približne 900 000 ľudí, z toho 511 000 v železničných podnikoch a 389 000 u manažérov infraštruktúry. To zodpovedá miernemu poklesu v porovnaní s údajmi za rok 2020.</w:t>
      </w:r>
    </w:p>
    <w:p w14:paraId="7669C255" w14:textId="2F291035" w:rsidR="00995552" w:rsidRPr="00D34D72" w:rsidRDefault="00995552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Zamestnanci železníc sú naďalej prevažne muži, pričom ženy tvorili v roku 2022 len 23 % zamestnancov, čo je o jeden percentuálny bod viac než v roku 2020.</w:t>
      </w:r>
    </w:p>
    <w:p w14:paraId="16186AD5" w14:textId="22FE3BDF" w:rsidR="00307C8A" w:rsidRPr="00D34D72" w:rsidRDefault="00307C8A" w:rsidP="003A5B09">
      <w:pPr>
        <w:pStyle w:val="Caption"/>
        <w:jc w:val="both"/>
        <w:rPr>
          <w:rFonts w:ascii="Calibri" w:hAnsi="Calibri" w:cs="Calibri"/>
          <w:noProof/>
          <w:szCs w:val="20"/>
        </w:rPr>
      </w:pPr>
      <w:bookmarkStart w:id="38" w:name="_Ref112260021"/>
      <w:bookmarkStart w:id="39" w:name="_Toc192193274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14</w:t>
      </w:r>
      <w:r>
        <w:rPr>
          <w:rFonts w:ascii="Calibri" w:hAnsi="Calibri" w:cs="Calibri"/>
          <w:noProof/>
        </w:rPr>
        <w:fldChar w:fldCharType="end"/>
      </w:r>
      <w:bookmarkEnd w:id="38"/>
      <w:r>
        <w:rPr>
          <w:rFonts w:ascii="Calibri" w:hAnsi="Calibri"/>
          <w:noProof/>
        </w:rPr>
        <w:t>: Celkový počet zamestnancov (hlavní manažéri infraštruktúry a železničné podniky) podľa pohlavia (v % v roku 2022)</w:t>
      </w:r>
      <w:bookmarkEnd w:id="39"/>
    </w:p>
    <w:p w14:paraId="41C72773" w14:textId="0D07CC5D" w:rsidR="00307C8A" w:rsidRPr="00D34D72" w:rsidRDefault="00194ECF" w:rsidP="003A5B09">
      <w:pPr>
        <w:pStyle w:val="Illustration"/>
        <w:jc w:val="both"/>
        <w:rPr>
          <w:rFonts w:ascii="Calibri" w:hAnsi="Calibri" w:cs="Calibri"/>
          <w:noProof/>
          <w:sz w:val="20"/>
          <w:szCs w:val="20"/>
        </w:rPr>
      </w:pPr>
      <w:r w:rsidRPr="00194ECF">
        <w:rPr>
          <w:noProof/>
          <w:lang w:val="en-GB" w:eastAsia="en-GB"/>
        </w:rPr>
        <w:drawing>
          <wp:inline distT="0" distB="0" distL="0" distR="0" wp14:anchorId="6FB824D5" wp14:editId="64359F43">
            <wp:extent cx="5731510" cy="2912745"/>
            <wp:effectExtent l="0" t="0" r="2540" b="1905"/>
            <wp:docPr id="109591254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F081" w14:textId="104137DA" w:rsidR="00995552" w:rsidRDefault="00307C8A" w:rsidP="003A5B09">
      <w:pPr>
        <w:jc w:val="both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</w:rPr>
        <w:t>Zdroj: RMMS, 2022.</w:t>
      </w:r>
    </w:p>
    <w:p w14:paraId="1066B810" w14:textId="77777777" w:rsidR="00500838" w:rsidRPr="00D34D72" w:rsidRDefault="00500838" w:rsidP="003A5B09">
      <w:pPr>
        <w:jc w:val="both"/>
        <w:rPr>
          <w:rFonts w:ascii="Calibri" w:hAnsi="Calibri" w:cs="Calibri"/>
          <w:noProof/>
          <w:sz w:val="20"/>
          <w:szCs w:val="20"/>
        </w:rPr>
      </w:pPr>
    </w:p>
    <w:p w14:paraId="3D7191DB" w14:textId="0CDA8D2F" w:rsidR="00995552" w:rsidRPr="00D34D72" w:rsidRDefault="00995552" w:rsidP="003A5B09">
      <w:pPr>
        <w:jc w:val="both"/>
        <w:rPr>
          <w:noProof/>
        </w:rPr>
      </w:pPr>
      <w:r>
        <w:rPr>
          <w:noProof/>
        </w:rPr>
        <w:t>Starnutie pracovnej sily naďalej vzbudzuje obavy, hoci došlo k miernemu zlepšeniu. V roku 2022 bolo 41,9 % zamestnancov železničných podnikov starších ako 50 rokov, čo predstavuje mierny pokles oproti 42,4 % v roku 2018. Podiel mladších zamestnancov do 30 rokov sa mierne zvýšil z 10,6 % v roku 2018 na 10,9 % v roku 2022.</w:t>
      </w:r>
    </w:p>
    <w:p w14:paraId="6637C9E4" w14:textId="77777777" w:rsidR="00307C8A" w:rsidRPr="00D34D72" w:rsidRDefault="00307C8A" w:rsidP="003A5B09">
      <w:pPr>
        <w:jc w:val="both"/>
        <w:rPr>
          <w:noProof/>
        </w:rPr>
      </w:pPr>
    </w:p>
    <w:p w14:paraId="1BBFBB42" w14:textId="078AFE0E" w:rsidR="00307C8A" w:rsidRPr="00D34D72" w:rsidRDefault="00307C8A" w:rsidP="003A5B09">
      <w:pPr>
        <w:pStyle w:val="Caption"/>
        <w:jc w:val="both"/>
        <w:rPr>
          <w:rFonts w:ascii="Calibri" w:hAnsi="Calibri" w:cs="Calibri"/>
          <w:noProof/>
        </w:rPr>
      </w:pPr>
      <w:bookmarkStart w:id="40" w:name="_Ref42181423"/>
      <w:bookmarkStart w:id="41" w:name="_Toc79138821"/>
      <w:bookmarkStart w:id="42" w:name="_Toc192193277"/>
      <w:r>
        <w:rPr>
          <w:rFonts w:ascii="Calibri" w:hAnsi="Calibri"/>
          <w:noProof/>
        </w:rPr>
        <w:t xml:space="preserve">Obrázok </w:t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>SEQ Figure \* ARABIC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15</w:t>
      </w:r>
      <w:r>
        <w:rPr>
          <w:rFonts w:ascii="Calibri" w:hAnsi="Calibri" w:cs="Calibri"/>
          <w:noProof/>
        </w:rPr>
        <w:fldChar w:fldCharType="end"/>
      </w:r>
      <w:bookmarkEnd w:id="40"/>
      <w:r>
        <w:rPr>
          <w:rFonts w:ascii="Calibri" w:hAnsi="Calibri"/>
          <w:noProof/>
        </w:rPr>
        <w:t>: Zamestnanci podľa vekovej kategórie v prípade hlavných železničných podnikov a manažérov infraštruktúry (v % v rokoch 2018 – 2022)</w:t>
      </w:r>
      <w:bookmarkEnd w:id="41"/>
      <w:bookmarkEnd w:id="42"/>
    </w:p>
    <w:p w14:paraId="257F9391" w14:textId="25F9F7D1" w:rsidR="00307C8A" w:rsidRPr="00D34D72" w:rsidRDefault="008527F8" w:rsidP="003A5B09">
      <w:pPr>
        <w:pStyle w:val="Illustration"/>
        <w:jc w:val="both"/>
        <w:rPr>
          <w:rFonts w:ascii="Calibri" w:hAnsi="Calibri" w:cs="Calibri"/>
          <w:noProof/>
        </w:rPr>
      </w:pPr>
      <w:r w:rsidRPr="008527F8">
        <w:rPr>
          <w:noProof/>
          <w:lang w:val="en-GB" w:eastAsia="en-GB"/>
        </w:rPr>
        <w:drawing>
          <wp:inline distT="0" distB="0" distL="0" distR="0" wp14:anchorId="1C075B9B" wp14:editId="23A5AD8C">
            <wp:extent cx="2813050" cy="1709460"/>
            <wp:effectExtent l="0" t="0" r="6350" b="5080"/>
            <wp:docPr id="14432464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87" cy="17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7F8">
        <w:rPr>
          <w:noProof/>
          <w:lang w:val="en-GB" w:eastAsia="en-GB"/>
        </w:rPr>
        <w:drawing>
          <wp:inline distT="0" distB="0" distL="0" distR="0" wp14:anchorId="141E7625" wp14:editId="09C4738F">
            <wp:extent cx="2813050" cy="1702602"/>
            <wp:effectExtent l="0" t="0" r="6350" b="0"/>
            <wp:docPr id="6062834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346" cy="17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EB2F" w14:textId="77777777" w:rsidR="00307C8A" w:rsidRPr="00655DB4" w:rsidRDefault="00307C8A" w:rsidP="003A5B09">
      <w:pPr>
        <w:pStyle w:val="Source"/>
        <w:jc w:val="both"/>
        <w:rPr>
          <w:rFonts w:ascii="Calibri" w:hAnsi="Calibri" w:cs="Calibri"/>
          <w:noProof/>
        </w:rPr>
      </w:pPr>
      <w:r w:rsidRPr="00655DB4">
        <w:rPr>
          <w:rFonts w:ascii="Calibri" w:hAnsi="Calibri"/>
          <w:noProof/>
        </w:rPr>
        <w:t>Zdroj: RMMS, 2022.</w:t>
      </w:r>
    </w:p>
    <w:p w14:paraId="167B8591" w14:textId="77777777" w:rsidR="00307C8A" w:rsidRPr="00D34D72" w:rsidRDefault="00307C8A" w:rsidP="003A5B09">
      <w:pPr>
        <w:jc w:val="both"/>
        <w:rPr>
          <w:noProof/>
        </w:rPr>
      </w:pPr>
    </w:p>
    <w:p w14:paraId="48F54152" w14:textId="44B84011" w:rsidR="001A1AD5" w:rsidRPr="00D34D72" w:rsidRDefault="00995552" w:rsidP="003A5B09">
      <w:pPr>
        <w:jc w:val="both"/>
        <w:rPr>
          <w:noProof/>
        </w:rPr>
      </w:pPr>
      <w:r>
        <w:rPr>
          <w:noProof/>
        </w:rPr>
        <w:t>Zamestnanie na plný pracovný úväzok zostáva najbežnejším pracovným vzťahom pracovníkov v železničnej doprave, a to u manažérov infraštruktúry aj v železničných podnikoch.</w:t>
      </w:r>
    </w:p>
    <w:p w14:paraId="626A7256" w14:textId="77777777" w:rsidR="001A1AD5" w:rsidRPr="00D34D72" w:rsidRDefault="001A1AD5" w:rsidP="003A5B09">
      <w:pPr>
        <w:spacing w:after="160" w:line="259" w:lineRule="auto"/>
        <w:jc w:val="both"/>
        <w:rPr>
          <w:noProof/>
        </w:rPr>
      </w:pPr>
      <w:r>
        <w:rPr>
          <w:noProof/>
        </w:rPr>
        <w:br w:type="page"/>
      </w:r>
    </w:p>
    <w:p w14:paraId="2F9FBBEF" w14:textId="7E51C837" w:rsidR="001A1AD5" w:rsidRPr="00655DB4" w:rsidRDefault="001A1AD5" w:rsidP="003A5B09">
      <w:pPr>
        <w:pStyle w:val="Heading1"/>
        <w:spacing w:before="0" w:afterLines="100" w:after="240"/>
        <w:jc w:val="both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655DB4">
        <w:rPr>
          <w:rFonts w:ascii="Times New Roman" w:hAnsi="Times New Roman"/>
          <w:b/>
          <w:noProof/>
          <w:color w:val="auto"/>
          <w:sz w:val="24"/>
        </w:rPr>
        <w:t>Závery</w:t>
      </w:r>
    </w:p>
    <w:p w14:paraId="0B4F6305" w14:textId="49F543D2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Európske odvetvie železničnej dopravy preukázalo po pandémii ochorenia COVID-19 značnú odolnosť. Osobná doprava, ktorá v roku 2020 zaznamenala prudký pokles o 46 % v porovnaní s rokom 2019, sa v roku 2022 vrátila na 96 % úroveň spred pandémie a celkový počet osobokilometrov dosiahol 395 miliárd. Nákladná doprava zaznamenala miernejší vplyv, pričom obnova sa dosiahla už v roku 2021, keď sa objemy vrátili na úroveň z roku 2019. V roku 2022 však došlo k miernemu poklesu objemov na trhu železničnej nákladnej dopravy.</w:t>
      </w:r>
    </w:p>
    <w:p w14:paraId="7F966F89" w14:textId="7D86BA25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Obnova odvetvia železničnej dopravy bola podporená cielenými intervenciami EÚ vrátane nariadenia (EÚ) 2020/1429, ktorým sa členským štátom umožnilo vzdať sa poplatkov za prístup s cieľom zmierniť finančné zaťaženie železničných podnikov. Týmito opatreniami sa poskytla okamžitá pomoc a odvetviu sa umožnilo zachovať prevádzky aj na vrchole pandémie. Keďže členské štáty pokračujú vo vykonávaní národných plánov obnovy a odolnosti v rámci Mechanizmu EÚ na podporu obnovy a odolnosti, investície do železníc budú zohrávať ústrednú úlohu pri podpore hospodárskeho rastu a rastu v oblasti mobility.</w:t>
      </w:r>
    </w:p>
    <w:p w14:paraId="4941C7DD" w14:textId="0995F861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Železničná doprava zostáva kľúčovou súčasťou stratégie EÚ na dosiahnutie jej cieľov v oblasti klímy. Železničná doprava je s podielom iba 0,3 % na celkových emisiách skleníkových plynov z dopravy najekologickejším druhom motorovej dopravy. Elektrifikácia 57 % železničnej siete EÚ a pokračujúca modernizácia nákladných vozňov zavádzaním tichších a ekologickejších technológií podčiarkujú záväzok odvetvia znižovať svoju environmentálnu stopu. Cieľom investícií do železničnej dopravy v rámci Zelenej dohody a stratégie pre udržateľnú a inteligentnú mobilitu je do roku 2050 zdvojnásobiť nákladnú železničnú dopravu a strojnásobiť vysokorýchlostnú osobnú dopravu v porovnaní s východiskovou hodnotou za rok 2015, čo predstavuje významný posun smerom k udržateľnej doprave.</w:t>
      </w:r>
    </w:p>
    <w:p w14:paraId="7B9D551B" w14:textId="2A77707D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Hlukové znečistenie naďalej vzbudzuje obavy, keďže 22 miliónov ľudí v Európe je vystavených škodlivému hluku zo železníc. Táto výzva sa rieši v rámci iniciatív EÚ, akou je napríklad modernizácia nákladných vozňov zavádzaním tichých brzdových klátikov a revízia technických špecifikácií hluku. Na splnenie ambicióznych cieľov v oblasti udržateľnosti je rozhodujúca trvalá finančná a regulačná podpora.</w:t>
      </w:r>
    </w:p>
    <w:p w14:paraId="39B2644D" w14:textId="6F843A11" w:rsidR="008A1E61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Liberalizácia trhu podnietila hospodársku súťaž v európskom odvetví železničnej dopravy, pričom noví účastníci získali významný podiel na trhu, a to najmä v nákladnej doprave. V tomto segmente sa priemerný podiel konkurentov na trhu krajín EÚ27 v rokoch 2018 až 2022 zvýšil z 39 % na 49 %. Na trhu osobnej dopravy bol nárast trhového podielu konkurentov takisto pozoruhodný, a to tak v prípade komerčných služieb (12,6 % trhový podiel, pričom v rokoch 2018 až 2022 sa zvýšil o 6,6 %), ako aj v prípade služieb v rámci záväzku vyplývajúceho zo služieb vo verejnom záujme (21 % trhový podiel alebo +8 % v porovnaní s rokom 2018). Pretrvávajú však výzvy vrátane rozdielov v poplatkoch za prístup a potreby rovnomernejšieho vykonávania existujúcich nariadení v jednotlivých členských štátoch. Keďže sa teraz plne uplatňujú pravidlá štvrtého železničného balíka</w:t>
      </w:r>
      <w:r>
        <w:rPr>
          <w:noProof/>
        </w:rPr>
        <w:footnoteReference w:id="14"/>
      </w:r>
      <w:r>
        <w:rPr>
          <w:noProof/>
        </w:rPr>
        <w:t xml:space="preserve">, očakáva sa ďalšie otvorenie trhu, čím by sa mali podporiť inovácie a zvýšiť kvalita služieb v prípade osobnej aj nákladnej dopravy. </w:t>
      </w:r>
    </w:p>
    <w:p w14:paraId="5DD6D542" w14:textId="5C06C667" w:rsidR="001A1AD5" w:rsidRPr="00D34D72" w:rsidRDefault="00F3703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Komisia bude naďalej pozorne sledovať, či sa štvrtý železničný balík</w:t>
      </w:r>
      <w:r>
        <w:rPr>
          <w:noProof/>
        </w:rPr>
        <w:footnoteReference w:id="15"/>
      </w:r>
      <w:r>
        <w:rPr>
          <w:noProof/>
        </w:rPr>
        <w:t xml:space="preserve"> správne premieňa na vnútroštátne právne predpisy a či sa správne vykonáva, aby sa zabezpečilo, že sa naplno využije jeho potenciál.</w:t>
      </w:r>
    </w:p>
    <w:p w14:paraId="15C026E9" w14:textId="481C5775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Významnú časť osobnej železničnej dopravy predstavovali v roku 2022 záväzky vyplývajúce zo služieb vo verejnom záujme. Osobná doprava v rámci záväzku vyplývajúceho zo služieb vo verejnom záujme dosiahla v priemere 58,7 % celkových osobokilometrov v krajinách EÚ27, čo predstavuje pokles zo 66 % v roku 2020. To naznačuje postupný posun smerom ku konkurencieschopnejšiemu železničnému trhu. Miera verejnej súťaže v súvislosti so záväzkami vyplývajúcimi zo služieb vo verejnom záujme sa zvýšila a očakáva sa, že v nasledujúcich rokoch sa bude ďalej zvyšovať, čím sa zlepší kvalita služieb a nákladová efektívnosť. Stále však pretrvávajú výzvy pri hľadaní rovnováhy medzi liberalizáciou trhu a zabezpečením spravodlivého prístupu, a to najmä v menej osídlených regiónoch. EÚ podporuje väčšiu transparentnosť a hospodársku súťaž s cieľom optimalizovať sociálny a hospodársky vplyv.</w:t>
      </w:r>
    </w:p>
    <w:p w14:paraId="07A17BA2" w14:textId="1E87FBD9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Vysokorýchlostné železnice predstavujú základný kameň úsilia o modernizáciu dopravy v Európe. Sieť sa v roku 2022 rozšírila na 12 015 kilometrov a do roku 2035 sa plánuje ďalších 1 600 kilometrov. Španielsko, Francúzsko a Taliansko sú naďalej lídrami v oblasti investícií do vysokorýchlostnej dopravy, čo prispieva k zlepšeniu prepojenia a skráteniu času cestovania na celom kontinente.</w:t>
      </w:r>
    </w:p>
    <w:p w14:paraId="5910B829" w14:textId="000AA35E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Investície do infraštruktúry sú naďalej veľmi dôležité, pričom EÚ prideľuje značné finančné prostriedky prostredníctvom mechanizmov, ako je Nástroj na prepájanie Európy a Kohézny fond. V rámci týchto investícií sa uprednostňujú projekty, ktorými sa riešia úzke miesta, zlepšuje sa nimi multimodálne prepojenie a modernizuje sa existujúca infraštruktúra. Dôraz na digitalizáciu vrátane zavedenia systému ERTMS ďalej posilňuje schopnosť železníc plniť budúce potreby v oblasti mobility.</w:t>
      </w:r>
    </w:p>
    <w:p w14:paraId="7175F394" w14:textId="4C96F106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Digitálne technológie prinesú do odvetvia železničnej dopravy významné zlepšenia, zvýšia prevádzkovú efektívnosť a zlepšia zážitok cestujúcich. Zavedenie systému ERTMS, ktorý je kľúčovým prvkom stratégie EÚ v oblasti digitálnej transformácie, má zlepšiť interoperabilitu a bezpečnosť v rámci európskych železničných sietí, hoci doteraz je systémom ERTMS vybavených alebo má uzavreté zmluvy na jeho inštaláciu len približne 33 % základnej siete. Okrem toho investície do inteligentných systémov predaja cestovných lístkov a platforiem na spracovanie údajov v reálnom čase pomôžu sprístupniť železničnú dopravu cestujúcim a urobiť ju pre nich užívateľsky prívetivejšou.</w:t>
      </w:r>
    </w:p>
    <w:p w14:paraId="550E6A2D" w14:textId="67EFE1CC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Inovácie prostredníctvom spoločného podniku pre európske železnice napomáhajú rozvoju oblastí, ako je automatizovaná prevádzka vlakov, digitálne riadenie nákladnej dopravy a udržateľné riadenie aktív. Tieto iniciatívy sú v súlade so širšími cieľmi EÚ, ktoré spočívajú v zabezpečení toho, aby sa železničná doprava stala chrbtovou kosťou multimodálneho a udržateľného dopravného systému.</w:t>
      </w:r>
    </w:p>
    <w:p w14:paraId="250C3277" w14:textId="3DFAF363" w:rsidR="001A1AD5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Keďže Európa prechádza na ekologickejšiu a prepojenejšiu budúcnosť, železničná doprava bude zohrávať kľúčovú úlohu pri znižovaní emisií, zvyšovaní mobility a podpore hospodárskeho rastu. Pokračujúce investície do infraštruktúry, otváranie trhu a technologické inovácie sú nevyhnutné na dosiahnutie vízie EÚ o udržateľnom dopravnom systéme do roku 2050. Úplné vykonávanie štvrtého železničného balíka, posilnenie cezhraničného prepojenia, riešenie kapacitných obmedzení a zabezpečenie spravodlivejšieho prístupu k železničným službám budú v nasledujúcich rokoch kľúčovými prioritami.</w:t>
      </w:r>
    </w:p>
    <w:p w14:paraId="013F24EB" w14:textId="5DC0A256" w:rsidR="00995552" w:rsidRPr="00D34D72" w:rsidRDefault="001A1AD5" w:rsidP="00CD00DC">
      <w:pPr>
        <w:spacing w:before="100" w:beforeAutospacing="1" w:after="100" w:afterAutospacing="1"/>
        <w:jc w:val="both"/>
        <w:rPr>
          <w:noProof/>
        </w:rPr>
      </w:pPr>
      <w:r>
        <w:rPr>
          <w:noProof/>
        </w:rPr>
        <w:t>Vďaka integrácii týchto strategických prvkov má európske odvetvie železničnej dopravy šancu viesť transformáciu dopravného prostredia kontinentu a splniť svoj prísľub udržateľnej, efektívnej a inkluzívnej mobility.</w:t>
      </w:r>
    </w:p>
    <w:sectPr w:rsidR="00995552" w:rsidRPr="00D34D72" w:rsidSect="00B72F89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6AB45" w14:textId="77777777" w:rsidR="00EA0B8A" w:rsidRPr="00D34D72" w:rsidRDefault="00EA0B8A" w:rsidP="00B72F89">
      <w:r>
        <w:separator/>
      </w:r>
    </w:p>
  </w:endnote>
  <w:endnote w:type="continuationSeparator" w:id="0">
    <w:p w14:paraId="2DDFA840" w14:textId="77777777" w:rsidR="00EA0B8A" w:rsidRPr="00D34D72" w:rsidRDefault="00EA0B8A" w:rsidP="00B72F89">
      <w:r>
        <w:continuationSeparator/>
      </w:r>
    </w:p>
  </w:endnote>
  <w:endnote w:type="continuationNotice" w:id="1">
    <w:p w14:paraId="42893A10" w14:textId="77777777" w:rsidR="00EA0B8A" w:rsidRPr="00D34D72" w:rsidRDefault="00EA0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2C4E5" w14:textId="5B82A18E" w:rsidR="00E874AC" w:rsidRPr="00E874AC" w:rsidRDefault="00E874AC" w:rsidP="00E874AC">
    <w:pPr>
      <w:pStyle w:val="FooterCoverPage"/>
      <w:rPr>
        <w:rFonts w:ascii="Arial" w:hAnsi="Arial" w:cs="Arial"/>
        <w:b/>
        <w:sz w:val="48"/>
      </w:rPr>
    </w:pPr>
    <w:r w:rsidRPr="00E874AC">
      <w:rPr>
        <w:rFonts w:ascii="Arial" w:hAnsi="Arial" w:cs="Arial"/>
        <w:b/>
        <w:sz w:val="48"/>
      </w:rPr>
      <w:t>SK</w:t>
    </w:r>
    <w:r w:rsidRPr="00E874AC">
      <w:rPr>
        <w:rFonts w:ascii="Arial" w:hAnsi="Arial" w:cs="Arial"/>
        <w:b/>
        <w:sz w:val="48"/>
      </w:rPr>
      <w:tab/>
    </w:r>
    <w:r w:rsidRPr="00E874AC">
      <w:rPr>
        <w:rFonts w:ascii="Arial" w:hAnsi="Arial" w:cs="Arial"/>
        <w:b/>
        <w:sz w:val="48"/>
      </w:rPr>
      <w:tab/>
    </w:r>
    <w:r w:rsidRPr="00E874AC">
      <w:tab/>
    </w:r>
    <w:r w:rsidRPr="00E874AC">
      <w:rPr>
        <w:rFonts w:ascii="Arial" w:hAnsi="Arial" w:cs="Arial"/>
        <w:b/>
        <w:sz w:val="48"/>
      </w:rPr>
      <w:t>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ACEF" w14:textId="3865F8E6" w:rsidR="00E874AC" w:rsidRPr="00E874AC" w:rsidRDefault="00E874AC" w:rsidP="00E874AC">
    <w:pPr>
      <w:pStyle w:val="FooterCoverPage"/>
      <w:rPr>
        <w:rFonts w:ascii="Arial" w:hAnsi="Arial" w:cs="Arial"/>
        <w:b/>
        <w:sz w:val="48"/>
      </w:rPr>
    </w:pPr>
    <w:r w:rsidRPr="00E874AC">
      <w:rPr>
        <w:rFonts w:ascii="Arial" w:hAnsi="Arial" w:cs="Arial"/>
        <w:b/>
        <w:sz w:val="48"/>
      </w:rPr>
      <w:t>SK</w:t>
    </w:r>
    <w:r w:rsidRPr="00E874AC">
      <w:rPr>
        <w:rFonts w:ascii="Arial" w:hAnsi="Arial" w:cs="Arial"/>
        <w:b/>
        <w:sz w:val="48"/>
      </w:rPr>
      <w:tab/>
    </w:r>
    <w:r w:rsidRPr="00E874AC">
      <w:rPr>
        <w:rFonts w:ascii="Arial" w:hAnsi="Arial" w:cs="Arial"/>
        <w:b/>
        <w:sz w:val="48"/>
      </w:rPr>
      <w:tab/>
    </w:r>
    <w:r w:rsidRPr="00E874AC">
      <w:tab/>
    </w:r>
    <w:r w:rsidRPr="00E874AC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61007" w14:textId="77777777" w:rsidR="00E874AC" w:rsidRPr="00E874AC" w:rsidRDefault="00E874AC" w:rsidP="00E874AC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26F9" w14:textId="77777777" w:rsidR="00B72F89" w:rsidRPr="00D34D72" w:rsidRDefault="00B72F8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5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ECA00" w14:textId="42657CAA" w:rsidR="004C121C" w:rsidRDefault="004C1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4AC">
          <w:rPr>
            <w:noProof/>
          </w:rPr>
          <w:t>1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70E61" w14:textId="77777777" w:rsidR="00B72F89" w:rsidRPr="00D34D72" w:rsidRDefault="00B72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89CE0" w14:textId="77777777" w:rsidR="00EA0B8A" w:rsidRPr="00D34D72" w:rsidRDefault="00EA0B8A" w:rsidP="00B72F89">
      <w:r>
        <w:separator/>
      </w:r>
    </w:p>
  </w:footnote>
  <w:footnote w:type="continuationSeparator" w:id="0">
    <w:p w14:paraId="186689C0" w14:textId="77777777" w:rsidR="00EA0B8A" w:rsidRPr="00D34D72" w:rsidRDefault="00EA0B8A" w:rsidP="00B72F89">
      <w:r>
        <w:continuationSeparator/>
      </w:r>
    </w:p>
  </w:footnote>
  <w:footnote w:type="continuationNotice" w:id="1">
    <w:p w14:paraId="351ED918" w14:textId="77777777" w:rsidR="00EA0B8A" w:rsidRPr="00D34D72" w:rsidRDefault="00EA0B8A"/>
  </w:footnote>
  <w:footnote w:id="2">
    <w:p w14:paraId="25340CB6" w14:textId="51FF0631" w:rsidR="00184EA6" w:rsidRPr="00D34D72" w:rsidRDefault="00184EA6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="00655DB4">
        <w:tab/>
      </w:r>
      <w:r>
        <w:t>Smernica Európskeho parlamentu a Rady 2012/34/EÚ z 21. novembra 2012, ktorou sa zriaďuje jednotný európsky železničný priestor (Ú. v. EÚ L 343, 14.12.2012, s. 32).</w:t>
      </w:r>
    </w:p>
  </w:footnote>
  <w:footnote w:id="3">
    <w:p w14:paraId="58D86208" w14:textId="3F9D5945" w:rsidR="00184EA6" w:rsidRPr="00D34D72" w:rsidRDefault="00184EA6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="00655DB4">
        <w:tab/>
      </w:r>
      <w:r>
        <w:t>Okrem správy o železničnom trhu uverejňuje Železničná agentúra Európskej únie aj výročné správy o bezpečnosti a interoperabilite železníc.</w:t>
      </w:r>
    </w:p>
  </w:footnote>
  <w:footnote w:id="4">
    <w:p w14:paraId="0035A46D" w14:textId="7FD3DAEB" w:rsidR="00184EA6" w:rsidRPr="00D34D72" w:rsidRDefault="00184EA6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="00655DB4">
        <w:tab/>
      </w:r>
      <w:hyperlink r:id="rId1" w:history="1">
        <w:r w:rsidR="00655DB4" w:rsidRPr="00F95758">
          <w:rPr>
            <w:rStyle w:val="Hyperlink"/>
          </w:rPr>
          <w:t>https://transport.ec.europa.eu/facts-funding/studies-data/eu-transport-figures-statistical-pocketbook/statistical-pocketbook-2024_sk</w:t>
        </w:r>
      </w:hyperlink>
      <w:r>
        <w:t>.</w:t>
      </w:r>
    </w:p>
  </w:footnote>
  <w:footnote w:id="5">
    <w:p w14:paraId="24F1A312" w14:textId="244E0A02" w:rsidR="00184EA6" w:rsidRPr="00D34D72" w:rsidRDefault="00184EA6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="00655DB4">
        <w:tab/>
      </w:r>
      <w:hyperlink r:id="rId2" w:history="1">
        <w:r w:rsidR="00655DB4" w:rsidRPr="00F95758">
          <w:rPr>
            <w:rStyle w:val="Hyperlink"/>
          </w:rPr>
          <w:t>https://www.era.europa.eu/library/documents-regulations/corporate-publications?etrans=sk</w:t>
        </w:r>
      </w:hyperlink>
      <w:r>
        <w:t>.</w:t>
      </w:r>
    </w:p>
  </w:footnote>
  <w:footnote w:id="6">
    <w:p w14:paraId="6509A93A" w14:textId="0FFAA1F2" w:rsidR="00184EA6" w:rsidRPr="00D34D72" w:rsidRDefault="00184EA6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="00655DB4">
        <w:rPr>
          <w:rStyle w:val="FootnoteReference"/>
        </w:rPr>
        <w:tab/>
      </w:r>
      <w:hyperlink r:id="rId3" w:history="1">
        <w:r w:rsidR="00655DB4" w:rsidRPr="00F95758">
          <w:rPr>
            <w:rStyle w:val="Hyperlink"/>
          </w:rPr>
          <w:t>https://ec.europa.eu/eurostat/web/transport/database?etrans=sk</w:t>
        </w:r>
      </w:hyperlink>
      <w:r>
        <w:t>.</w:t>
      </w:r>
    </w:p>
  </w:footnote>
  <w:footnote w:id="7">
    <w:p w14:paraId="3EAE0D6E" w14:textId="1D238015" w:rsidR="00184EA6" w:rsidRPr="00D34D72" w:rsidRDefault="00184EA6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 w:rsidR="00655DB4">
        <w:tab/>
      </w:r>
      <w:r>
        <w:t>Nórsko je súčasťou systému RMMS, údaje za Nórsko však nie sú zahrnuté do súčtov a priemerov EÚ.</w:t>
      </w:r>
    </w:p>
  </w:footnote>
  <w:footnote w:id="8">
    <w:p w14:paraId="0B03C16F" w14:textId="75F55DD2" w:rsidR="00044D3C" w:rsidRPr="00D34D72" w:rsidRDefault="00044D3C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 w:rsidR="00655DB4">
        <w:tab/>
      </w:r>
      <w:r>
        <w:t>Nariadenie Európskeho parlamentu a Rady (EÚ) 2020/1429 zo 7. októbra 2020, ktorým sa stanovujú opatrenia pre udržateľný trh železničnej dopravy vzhľadom na výskyt ochorenia COVID-19 (Ú. v. EÚ L 333, 12.10.2020, s. 1).</w:t>
      </w:r>
    </w:p>
  </w:footnote>
  <w:footnote w:id="9">
    <w:p w14:paraId="2931B70B" w14:textId="611D4A55" w:rsidR="003E3A19" w:rsidRDefault="003E3A19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 w:rsidR="00655DB4">
        <w:tab/>
      </w:r>
      <w:r>
        <w:t>Celkovo 14 krajín uviedlo, že v prípade preťaženia dáva prednosť doprave v rámci záväzku vyplývajúceho zo služieb vo verejnom záujme. V praxi sa však môžu vyskytnúť odchýlky v určitom čase alebo v závislosti od miestnych okolností.</w:t>
      </w:r>
    </w:p>
  </w:footnote>
  <w:footnote w:id="10">
    <w:p w14:paraId="039782BA" w14:textId="2153B0C0" w:rsidR="009F3454" w:rsidRPr="00D34D72" w:rsidRDefault="009F3454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 w:rsidR="00655DB4">
        <w:tab/>
      </w:r>
      <w:r>
        <w:t>Správa o bezpečnosti a interoperabilite železníc v EÚ v roku 2024</w:t>
      </w:r>
      <w:r w:rsidR="00655DB4">
        <w:t xml:space="preserve"> </w:t>
      </w:r>
      <w:r w:rsidR="00655DB4">
        <w:tab/>
        <w:t xml:space="preserve"> </w:t>
      </w:r>
      <w:hyperlink r:id="rId4" w:history="1">
        <w:r w:rsidR="00655DB4" w:rsidRPr="00F95758">
          <w:rPr>
            <w:rStyle w:val="Hyperlink"/>
          </w:rPr>
          <w:t>(https://www.era.europa.eu/content/report-railway-safety-and-interoperability-eu-2024?etrans=sk)</w:t>
        </w:r>
      </w:hyperlink>
      <w:r>
        <w:t>.</w:t>
      </w:r>
    </w:p>
  </w:footnote>
  <w:footnote w:id="11">
    <w:p w14:paraId="216F4547" w14:textId="56A0ADC5" w:rsidR="009F3454" w:rsidRPr="00D34D72" w:rsidRDefault="009F3454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 w:rsidR="00655DB4">
        <w:tab/>
      </w:r>
      <w:r>
        <w:t>Podľa RMMS sa osobný vlak pokladá za presný, ak nemešká viac ako päť minút.</w:t>
      </w:r>
    </w:p>
  </w:footnote>
  <w:footnote w:id="12">
    <w:p w14:paraId="2F752638" w14:textId="6D3754E0" w:rsidR="009F3454" w:rsidRPr="00655DB4" w:rsidRDefault="009F3454" w:rsidP="00655DB4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 w:rsidR="00655DB4">
        <w:tab/>
      </w:r>
      <w:r w:rsidRPr="00655DB4">
        <w:t>Vymedzená z hľadiska podielu zrušených služieb.</w:t>
      </w:r>
    </w:p>
  </w:footnote>
  <w:footnote w:id="13">
    <w:p w14:paraId="2D4516FE" w14:textId="7EC00E4E" w:rsidR="009F3454" w:rsidRPr="00655DB4" w:rsidRDefault="009F3454" w:rsidP="00655DB4">
      <w:pPr>
        <w:pStyle w:val="FootnoteText"/>
        <w:ind w:left="720" w:hanging="720"/>
        <w:jc w:val="both"/>
      </w:pPr>
      <w:r w:rsidRPr="00655DB4">
        <w:rPr>
          <w:rStyle w:val="FootnoteReference"/>
        </w:rPr>
        <w:footnoteRef/>
      </w:r>
      <w:r w:rsidRPr="00655DB4">
        <w:t xml:space="preserve"> </w:t>
      </w:r>
      <w:r w:rsidR="00655DB4" w:rsidRPr="00655DB4">
        <w:tab/>
      </w:r>
      <w:r w:rsidRPr="00655DB4">
        <w:t>Podľa RMMS sa nákladný vlak pokladá za presný, ak nemešká viac ako 15 minút.</w:t>
      </w:r>
    </w:p>
  </w:footnote>
  <w:footnote w:id="14">
    <w:p w14:paraId="1D624E01" w14:textId="28F1CD22" w:rsidR="00F37035" w:rsidRPr="00655DB4" w:rsidRDefault="00F37035" w:rsidP="00655DB4">
      <w:pPr>
        <w:pStyle w:val="FootnoteText"/>
        <w:ind w:left="720" w:hanging="720"/>
        <w:jc w:val="both"/>
      </w:pPr>
      <w:r w:rsidRPr="00655DB4">
        <w:rPr>
          <w:rStyle w:val="FootnoteReference"/>
        </w:rPr>
        <w:footnoteRef/>
      </w:r>
      <w:r w:rsidRPr="00655DB4">
        <w:t xml:space="preserve"> </w:t>
      </w:r>
      <w:r w:rsidR="00655DB4" w:rsidRPr="00655DB4">
        <w:tab/>
      </w:r>
      <w:r w:rsidRPr="00655DB4">
        <w:t>Prechodné obdobie stanovené v nariadení (ES) č. 1370/2007, ktoré malo členským štátom umožniť postupné otvorenie železničného trhu a vypísanie verejnej súťaže na zmluvy o službách vo verejnom záujme v železničnej doprave, sa skončilo v decembri 2023.</w:t>
      </w:r>
    </w:p>
  </w:footnote>
  <w:footnote w:id="15">
    <w:p w14:paraId="59C2F5E9" w14:textId="5F57627F" w:rsidR="008A1E61" w:rsidRPr="00D34D72" w:rsidRDefault="008A1E61" w:rsidP="00655DB4">
      <w:pPr>
        <w:pStyle w:val="FootnoteText"/>
        <w:ind w:left="720" w:hanging="720"/>
        <w:jc w:val="both"/>
      </w:pPr>
      <w:r w:rsidRPr="00655DB4">
        <w:rPr>
          <w:rStyle w:val="FootnoteReference"/>
        </w:rPr>
        <w:footnoteRef/>
      </w:r>
      <w:r w:rsidRPr="00655DB4">
        <w:t xml:space="preserve"> </w:t>
      </w:r>
      <w:r w:rsidR="00655DB4" w:rsidRPr="00655DB4">
        <w:tab/>
      </w:r>
      <w:r w:rsidRPr="00655DB4">
        <w:t>Najmä či sa dodržiava zásada povinného verejného obstarávania zmlúv o službách vo verejnom záujme v osobnej železničnej doprave.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5F27" w14:textId="77777777" w:rsidR="00E874AC" w:rsidRPr="00E874AC" w:rsidRDefault="00E874AC" w:rsidP="00E874AC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9218" w14:textId="77777777" w:rsidR="00E874AC" w:rsidRPr="00E874AC" w:rsidRDefault="00E874AC" w:rsidP="00E874AC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E09A" w14:textId="77777777" w:rsidR="00E874AC" w:rsidRPr="00E874AC" w:rsidRDefault="00E874AC" w:rsidP="00E874AC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4B406" w14:textId="77777777" w:rsidR="00B72F89" w:rsidRPr="00D34D72" w:rsidRDefault="00B72F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2DB6" w14:textId="77777777" w:rsidR="00B72F89" w:rsidRPr="00D34D72" w:rsidRDefault="00B72F8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23F2" w14:textId="77777777" w:rsidR="00B72F89" w:rsidRPr="00D34D72" w:rsidRDefault="00B72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4E3"/>
    <w:multiLevelType w:val="hybridMultilevel"/>
    <w:tmpl w:val="3DA42506"/>
    <w:lvl w:ilvl="0" w:tplc="05340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486"/>
    <w:multiLevelType w:val="multilevel"/>
    <w:tmpl w:val="5D167F6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F4B7DBF"/>
    <w:multiLevelType w:val="multilevel"/>
    <w:tmpl w:val="B2B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808EB"/>
    <w:multiLevelType w:val="hybridMultilevel"/>
    <w:tmpl w:val="AE8468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0371F"/>
    <w:multiLevelType w:val="hybridMultilevel"/>
    <w:tmpl w:val="BE64A162"/>
    <w:lvl w:ilvl="0" w:tplc="05340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3CB2"/>
    <w:multiLevelType w:val="multilevel"/>
    <w:tmpl w:val="550A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600A6"/>
    <w:multiLevelType w:val="hybridMultilevel"/>
    <w:tmpl w:val="D304C9BC"/>
    <w:lvl w:ilvl="0" w:tplc="D366A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77186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0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AD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06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E0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B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8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03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275B6"/>
    <w:multiLevelType w:val="multilevel"/>
    <w:tmpl w:val="2592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82826"/>
    <w:multiLevelType w:val="multilevel"/>
    <w:tmpl w:val="C8A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6DE1EDE"/>
    <w:multiLevelType w:val="multilevel"/>
    <w:tmpl w:val="B4C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E149E"/>
    <w:multiLevelType w:val="multilevel"/>
    <w:tmpl w:val="439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7"/>
  </w:num>
  <w:num w:numId="14">
    <w:abstractNumId w:val="1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9"/>
  </w:num>
  <w:num w:numId="22">
    <w:abstractNumId w:val="2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markup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R_RefLast" w:val="0"/>
    <w:docVar w:name="DocStatus" w:val="Green"/>
    <w:docVar w:name="LW_CORRIGENDUM" w:val="&lt;UNUSED&gt;"/>
    <w:docVar w:name="LW_COVERPAGE_EXISTS" w:val="True"/>
    <w:docVar w:name="LW_COVERPAGE_GUID" w:val="FD1C77DD-C13A-4045-8FF8-6C8FB27A8DDC"/>
    <w:docVar w:name="LW_COVERPAGE_TYPE" w:val="1"/>
    <w:docVar w:name="LW_CROSSREFERENCE" w:val="{SWD(2025) 239 final}"/>
    <w:docVar w:name="LW_DocType" w:val="NORMAL"/>
    <w:docVar w:name="LW_EMISSION" w:val="30. 7. 2025"/>
    <w:docVar w:name="LW_EMISSION_ISODATE" w:val="2025-07-30"/>
    <w:docVar w:name="LW_EMISSION_LOCATION" w:val="BRX"/>
    <w:docVar w:name="LW_EMISSION_PREFIX" w:val="V Bruseli"/>
    <w:docVar w:name="LW_EMISSION_SUFFIX" w:val=" "/>
    <w:docVar w:name="LW_ID_DOCTYPE_NONLW" w:val="CP-006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5) 439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Deviata správa o monitorovaní vývoja \u382?elezni\u269?ného trhu pod\u318?a \u269?lánku 15 ods. 4 smernice Európskeho parlamentu a Rady 2012/34/EÚ"/>
    <w:docVar w:name="LW_TYPE.DOC.CP" w:val="SPRÁVA KOMISIE EURÓPSKEMU PARLAMENTU A RADE"/>
    <w:docVar w:name="LwApiVersions" w:val="LW4CoDe 1.24.5.0; LW 9.0, Build 20240221"/>
  </w:docVars>
  <w:rsids>
    <w:rsidRoot w:val="001A4537"/>
    <w:rsid w:val="0001105E"/>
    <w:rsid w:val="000430F9"/>
    <w:rsid w:val="00044D3C"/>
    <w:rsid w:val="000738AB"/>
    <w:rsid w:val="00077C53"/>
    <w:rsid w:val="00086256"/>
    <w:rsid w:val="000A4FFC"/>
    <w:rsid w:val="000A63AD"/>
    <w:rsid w:val="000B7C29"/>
    <w:rsid w:val="000C3ECD"/>
    <w:rsid w:val="000D06A7"/>
    <w:rsid w:val="000E48A7"/>
    <w:rsid w:val="000F2051"/>
    <w:rsid w:val="001013F5"/>
    <w:rsid w:val="00106A21"/>
    <w:rsid w:val="00111917"/>
    <w:rsid w:val="00117876"/>
    <w:rsid w:val="00143FC6"/>
    <w:rsid w:val="001459F9"/>
    <w:rsid w:val="00150B92"/>
    <w:rsid w:val="00171E8B"/>
    <w:rsid w:val="00181A38"/>
    <w:rsid w:val="00184EA6"/>
    <w:rsid w:val="0018603B"/>
    <w:rsid w:val="00194ECF"/>
    <w:rsid w:val="001A16F0"/>
    <w:rsid w:val="001A1AD5"/>
    <w:rsid w:val="001A4537"/>
    <w:rsid w:val="001B42DA"/>
    <w:rsid w:val="001E3271"/>
    <w:rsid w:val="00206A6D"/>
    <w:rsid w:val="002163EB"/>
    <w:rsid w:val="00246C6E"/>
    <w:rsid w:val="002504C8"/>
    <w:rsid w:val="002751A1"/>
    <w:rsid w:val="00277764"/>
    <w:rsid w:val="002A411A"/>
    <w:rsid w:val="002B5FCB"/>
    <w:rsid w:val="002D191A"/>
    <w:rsid w:val="002E40E0"/>
    <w:rsid w:val="003062D5"/>
    <w:rsid w:val="00307C8A"/>
    <w:rsid w:val="00315BED"/>
    <w:rsid w:val="00323431"/>
    <w:rsid w:val="00344CA6"/>
    <w:rsid w:val="00372CF6"/>
    <w:rsid w:val="00392EC5"/>
    <w:rsid w:val="003941A9"/>
    <w:rsid w:val="003A5B09"/>
    <w:rsid w:val="003B3DBC"/>
    <w:rsid w:val="003B7E19"/>
    <w:rsid w:val="003C1C0E"/>
    <w:rsid w:val="003C4C64"/>
    <w:rsid w:val="003D0DDE"/>
    <w:rsid w:val="003E3A19"/>
    <w:rsid w:val="003F61DA"/>
    <w:rsid w:val="00400B20"/>
    <w:rsid w:val="00442D66"/>
    <w:rsid w:val="004530F4"/>
    <w:rsid w:val="004855EC"/>
    <w:rsid w:val="004B480F"/>
    <w:rsid w:val="004C121C"/>
    <w:rsid w:val="004C70D4"/>
    <w:rsid w:val="004D402C"/>
    <w:rsid w:val="004F0F86"/>
    <w:rsid w:val="004F1400"/>
    <w:rsid w:val="004F3D92"/>
    <w:rsid w:val="004F48FF"/>
    <w:rsid w:val="00500838"/>
    <w:rsid w:val="0050205F"/>
    <w:rsid w:val="00530C4A"/>
    <w:rsid w:val="0054493B"/>
    <w:rsid w:val="00554DB9"/>
    <w:rsid w:val="00555B42"/>
    <w:rsid w:val="0057141F"/>
    <w:rsid w:val="005763F9"/>
    <w:rsid w:val="005919BD"/>
    <w:rsid w:val="005D0B9D"/>
    <w:rsid w:val="005F4573"/>
    <w:rsid w:val="006051C4"/>
    <w:rsid w:val="00605E91"/>
    <w:rsid w:val="00655DB4"/>
    <w:rsid w:val="00663421"/>
    <w:rsid w:val="00664237"/>
    <w:rsid w:val="0067376E"/>
    <w:rsid w:val="00674233"/>
    <w:rsid w:val="006A0F6B"/>
    <w:rsid w:val="006A7176"/>
    <w:rsid w:val="006B4284"/>
    <w:rsid w:val="006B44A5"/>
    <w:rsid w:val="006D5ED1"/>
    <w:rsid w:val="006D79A3"/>
    <w:rsid w:val="006E4BB0"/>
    <w:rsid w:val="006F11E1"/>
    <w:rsid w:val="00705803"/>
    <w:rsid w:val="00722588"/>
    <w:rsid w:val="00756036"/>
    <w:rsid w:val="00762C66"/>
    <w:rsid w:val="00771070"/>
    <w:rsid w:val="00783562"/>
    <w:rsid w:val="007A133A"/>
    <w:rsid w:val="007B180C"/>
    <w:rsid w:val="007F41E1"/>
    <w:rsid w:val="00815C5F"/>
    <w:rsid w:val="008527F8"/>
    <w:rsid w:val="00852F3F"/>
    <w:rsid w:val="00861426"/>
    <w:rsid w:val="008738FA"/>
    <w:rsid w:val="008760EB"/>
    <w:rsid w:val="00880435"/>
    <w:rsid w:val="00880C0C"/>
    <w:rsid w:val="008A1E61"/>
    <w:rsid w:val="008A5911"/>
    <w:rsid w:val="008B081D"/>
    <w:rsid w:val="008B7BFE"/>
    <w:rsid w:val="008C382E"/>
    <w:rsid w:val="008E4FDC"/>
    <w:rsid w:val="00911226"/>
    <w:rsid w:val="00913223"/>
    <w:rsid w:val="009205F1"/>
    <w:rsid w:val="009315A2"/>
    <w:rsid w:val="009517AB"/>
    <w:rsid w:val="00953B7C"/>
    <w:rsid w:val="009821D4"/>
    <w:rsid w:val="00995552"/>
    <w:rsid w:val="009B405B"/>
    <w:rsid w:val="009C76E3"/>
    <w:rsid w:val="009F3454"/>
    <w:rsid w:val="00A43145"/>
    <w:rsid w:val="00A53409"/>
    <w:rsid w:val="00A617C1"/>
    <w:rsid w:val="00A648ED"/>
    <w:rsid w:val="00A836CF"/>
    <w:rsid w:val="00AA6FF4"/>
    <w:rsid w:val="00AB4648"/>
    <w:rsid w:val="00AC64A7"/>
    <w:rsid w:val="00AD3B34"/>
    <w:rsid w:val="00B02C39"/>
    <w:rsid w:val="00B17E4A"/>
    <w:rsid w:val="00B257E4"/>
    <w:rsid w:val="00B34CF7"/>
    <w:rsid w:val="00B36412"/>
    <w:rsid w:val="00B646AA"/>
    <w:rsid w:val="00B72F89"/>
    <w:rsid w:val="00BA0324"/>
    <w:rsid w:val="00BA6F5D"/>
    <w:rsid w:val="00C016FF"/>
    <w:rsid w:val="00C06DD9"/>
    <w:rsid w:val="00C26F85"/>
    <w:rsid w:val="00C314EF"/>
    <w:rsid w:val="00C35E3A"/>
    <w:rsid w:val="00C6249E"/>
    <w:rsid w:val="00C71A3D"/>
    <w:rsid w:val="00C93630"/>
    <w:rsid w:val="00CA3BCE"/>
    <w:rsid w:val="00CA5087"/>
    <w:rsid w:val="00CD00DC"/>
    <w:rsid w:val="00CD4E39"/>
    <w:rsid w:val="00CE5615"/>
    <w:rsid w:val="00D05897"/>
    <w:rsid w:val="00D11B9F"/>
    <w:rsid w:val="00D34D72"/>
    <w:rsid w:val="00D545A2"/>
    <w:rsid w:val="00D77277"/>
    <w:rsid w:val="00D818B4"/>
    <w:rsid w:val="00D83396"/>
    <w:rsid w:val="00D8714B"/>
    <w:rsid w:val="00D95C1C"/>
    <w:rsid w:val="00DB659C"/>
    <w:rsid w:val="00DC3132"/>
    <w:rsid w:val="00DE04DB"/>
    <w:rsid w:val="00E03653"/>
    <w:rsid w:val="00E05B5E"/>
    <w:rsid w:val="00E05C99"/>
    <w:rsid w:val="00E1340F"/>
    <w:rsid w:val="00E441A7"/>
    <w:rsid w:val="00E57E99"/>
    <w:rsid w:val="00E6553B"/>
    <w:rsid w:val="00E67A4C"/>
    <w:rsid w:val="00E77158"/>
    <w:rsid w:val="00E874AC"/>
    <w:rsid w:val="00EA0B8A"/>
    <w:rsid w:val="00EB02BC"/>
    <w:rsid w:val="00EB5CE4"/>
    <w:rsid w:val="00EB6099"/>
    <w:rsid w:val="00EB682E"/>
    <w:rsid w:val="00EC0745"/>
    <w:rsid w:val="00F056BD"/>
    <w:rsid w:val="00F32F73"/>
    <w:rsid w:val="00F37035"/>
    <w:rsid w:val="00F40B42"/>
    <w:rsid w:val="00F60B37"/>
    <w:rsid w:val="00F77E8A"/>
    <w:rsid w:val="00FC1ECE"/>
    <w:rsid w:val="00FE660F"/>
    <w:rsid w:val="00FF17A7"/>
    <w:rsid w:val="00FF7770"/>
    <w:rsid w:val="02F9C976"/>
    <w:rsid w:val="3DCD1A87"/>
    <w:rsid w:val="5458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D70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8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7E19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C6249E"/>
    <w:pPr>
      <w:keepNext w:val="0"/>
      <w:keepLines w:val="0"/>
      <w:numPr>
        <w:ilvl w:val="1"/>
      </w:numPr>
      <w:spacing w:before="120"/>
      <w:outlineLvl w:val="1"/>
    </w:pPr>
    <w:rPr>
      <w:rFonts w:ascii="Times New Roman" w:eastAsia="Times New Roman" w:hAnsi="Times New Roman" w:cs="Times New Roman"/>
      <w:b/>
      <w:noProof/>
      <w:color w:val="auto"/>
      <w:sz w:val="24"/>
      <w:szCs w:val="24"/>
    </w:rPr>
  </w:style>
  <w:style w:type="paragraph" w:styleId="Heading3">
    <w:name w:val="heading 3"/>
    <w:basedOn w:val="Heading2"/>
    <w:next w:val="Normal"/>
    <w:link w:val="Heading3Char"/>
    <w:autoRedefine/>
    <w:unhideWhenUsed/>
    <w:qFormat/>
    <w:rsid w:val="003B7E19"/>
    <w:pPr>
      <w:numPr>
        <w:ilvl w:val="2"/>
        <w:numId w:val="4"/>
      </w:num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nhideWhenUsed/>
    <w:qFormat/>
    <w:rsid w:val="001A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49E"/>
    <w:rPr>
      <w:rFonts w:ascii="Times New Roman" w:eastAsia="Times New Roman" w:hAnsi="Times New Roman" w:cs="Times New Roman"/>
      <w:b/>
      <w:noProof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rsid w:val="003B7E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rsid w:val="003B7E19"/>
    <w:rPr>
      <w:rFonts w:ascii="Times New Roman" w:eastAsia="Times New Roman" w:hAnsi="Times New Roman" w:cs="Times New Roman"/>
      <w:noProof/>
      <w:sz w:val="24"/>
      <w:szCs w:val="24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537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537"/>
    <w:rPr>
      <w:rFonts w:eastAsiaTheme="majorEastAsia" w:cstheme="majorBidi"/>
      <w:color w:val="0F4761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537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537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537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537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1A4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537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537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1A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537"/>
    <w:rPr>
      <w:i/>
      <w:iCs/>
      <w:color w:val="404040" w:themeColor="text1" w:themeTint="BF"/>
      <w:lang w:val="sk-SK"/>
    </w:rPr>
  </w:style>
  <w:style w:type="paragraph" w:styleId="ListParagraph">
    <w:name w:val="List Paragraph"/>
    <w:basedOn w:val="Normal"/>
    <w:uiPriority w:val="34"/>
    <w:qFormat/>
    <w:rsid w:val="001A4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537"/>
    <w:rPr>
      <w:i/>
      <w:iCs/>
      <w:color w:val="0F4761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1A4537"/>
    <w:rPr>
      <w:b/>
      <w:bCs/>
      <w:smallCaps/>
      <w:color w:val="0F4761" w:themeColor="accent1" w:themeShade="BF"/>
      <w:spacing w:val="5"/>
    </w:rPr>
  </w:style>
  <w:style w:type="character" w:customStyle="1" w:styleId="Marker">
    <w:name w:val="Marker"/>
    <w:basedOn w:val="DefaultParagraphFont"/>
    <w:rsid w:val="00B72F89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B72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F89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B72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F89"/>
    <w:rPr>
      <w:lang w:val="sk-SK"/>
    </w:rPr>
  </w:style>
  <w:style w:type="paragraph" w:customStyle="1" w:styleId="Pagedecouverture">
    <w:name w:val="Page de couverture"/>
    <w:basedOn w:val="Normal"/>
    <w:next w:val="Normal"/>
    <w:rsid w:val="00B72F89"/>
  </w:style>
  <w:style w:type="paragraph" w:customStyle="1" w:styleId="FooterCoverPage">
    <w:name w:val="Footer Cover Page"/>
    <w:basedOn w:val="Normal"/>
    <w:link w:val="FooterCoverPageChar"/>
    <w:rsid w:val="00B72F89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sid w:val="00B72F89"/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FooterSensitivity">
    <w:name w:val="Footer Sensitivity"/>
    <w:basedOn w:val="Normal"/>
    <w:link w:val="FooterSensitivityChar"/>
    <w:rsid w:val="00B72F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B72F89"/>
    <w:rPr>
      <w:rFonts w:ascii="Times New Roman" w:eastAsia="Times New Roman" w:hAnsi="Times New Roman" w:cs="Times New Roman"/>
      <w:b/>
      <w:kern w:val="0"/>
      <w:sz w:val="32"/>
      <w:szCs w:val="24"/>
      <w:lang w:eastAsia="en-IE"/>
      <w14:ligatures w14:val="none"/>
    </w:rPr>
  </w:style>
  <w:style w:type="paragraph" w:customStyle="1" w:styleId="HeaderCoverPage">
    <w:name w:val="Header Cover Page"/>
    <w:basedOn w:val="Normal"/>
    <w:link w:val="HeaderCoverPageChar"/>
    <w:rsid w:val="00B72F89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sid w:val="00B72F89"/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HeaderSensitivity">
    <w:name w:val="Header Sensitivity"/>
    <w:basedOn w:val="Normal"/>
    <w:link w:val="HeaderSensitivityChar"/>
    <w:rsid w:val="00B72F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B72F89"/>
    <w:rPr>
      <w:rFonts w:ascii="Times New Roman" w:eastAsia="Times New Roman" w:hAnsi="Times New Roman" w:cs="Times New Roman"/>
      <w:b/>
      <w:kern w:val="0"/>
      <w:sz w:val="32"/>
      <w:szCs w:val="24"/>
      <w:lang w:eastAsia="en-IE"/>
      <w14:ligatures w14:val="none"/>
    </w:rPr>
  </w:style>
  <w:style w:type="paragraph" w:customStyle="1" w:styleId="HeaderSensitivityRight">
    <w:name w:val="Header Sensitivity Right"/>
    <w:basedOn w:val="Normal"/>
    <w:link w:val="HeaderSensitivityRightChar"/>
    <w:rsid w:val="00B72F89"/>
    <w:pPr>
      <w:spacing w:after="120"/>
      <w:jc w:val="right"/>
    </w:pPr>
    <w:rPr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B72F89"/>
    <w:rPr>
      <w:rFonts w:ascii="Times New Roman" w:eastAsia="Times New Roman" w:hAnsi="Times New Roman" w:cs="Times New Roman"/>
      <w:kern w:val="0"/>
      <w:sz w:val="28"/>
      <w:szCs w:val="24"/>
      <w:lang w:eastAsia="en-IE"/>
      <w14:ligatures w14:val="none"/>
    </w:rPr>
  </w:style>
  <w:style w:type="paragraph" w:customStyle="1" w:styleId="Typedudocument">
    <w:name w:val="Type du document"/>
    <w:basedOn w:val="Normal"/>
    <w:next w:val="Normal"/>
    <w:rsid w:val="00B72F89"/>
    <w:pPr>
      <w:spacing w:before="360"/>
      <w:jc w:val="center"/>
    </w:pPr>
    <w:rPr>
      <w:b/>
    </w:rPr>
  </w:style>
  <w:style w:type="paragraph" w:customStyle="1" w:styleId="Titreobjet">
    <w:name w:val="Titre objet"/>
    <w:basedOn w:val="Normal"/>
    <w:next w:val="Normal"/>
    <w:rsid w:val="00B72F89"/>
    <w:pPr>
      <w:spacing w:before="360" w:after="360"/>
      <w:jc w:val="center"/>
    </w:pPr>
    <w:rPr>
      <w:b/>
    </w:rPr>
  </w:style>
  <w:style w:type="paragraph" w:styleId="FootnoteText">
    <w:name w:val="footnote text"/>
    <w:basedOn w:val="Normal"/>
    <w:unhideWhenUsed/>
    <w:qFormat/>
    <w:rsid w:val="00B72F89"/>
    <w:rPr>
      <w:sz w:val="20"/>
    </w:rPr>
  </w:style>
  <w:style w:type="character" w:customStyle="1" w:styleId="FootnoteTextChar">
    <w:name w:val="Footnote Text Char"/>
    <w:aliases w:val="Fußnotentextf Char,Fußnotentextr Char,stile 1 Char,Footnote Char,Footnote1 Char,Footnote2 Char,Footnote3 Char,Footnote4 Char,Footnote5 Char,Footnote6 Char,Footnote7 Char,Footnote8 Char,Footnote9 Char,Footnote10 Char,Footnote11 Char"/>
    <w:basedOn w:val="DefaultParagraphFont"/>
    <w:qFormat/>
    <w:rsid w:val="00B72F89"/>
    <w:rPr>
      <w:rFonts w:ascii="Times New Roman" w:eastAsia="Times New Roman" w:hAnsi="Times New Roman" w:cs="Times New Roman"/>
      <w:kern w:val="0"/>
      <w:sz w:val="20"/>
      <w:szCs w:val="20"/>
      <w:lang w:val="sk-SK" w:eastAsia="en-GB"/>
      <w14:ligatures w14:val="none"/>
    </w:rPr>
  </w:style>
  <w:style w:type="paragraph" w:customStyle="1" w:styleId="NumPar1">
    <w:name w:val="NumPar 1"/>
    <w:basedOn w:val="Heading1"/>
    <w:qFormat/>
    <w:rsid w:val="00B72F89"/>
    <w:pPr>
      <w:keepNext w:val="0"/>
      <w:keepLines w:val="0"/>
      <w:tabs>
        <w:tab w:val="num" w:pos="480"/>
      </w:tabs>
      <w:spacing w:before="0" w:after="240"/>
      <w:ind w:left="480" w:hanging="480"/>
      <w:outlineLvl w:val="9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FootnoteReference">
    <w:name w:val="footnote reference"/>
    <w:aliases w:val="-E Fußnotenzeichen,Footnote symbol,Times 10 Point,Exposant 3 Point,SUPERS,number,Footnote reference number,note TESI,EN Footnote Reference,Footnote Reference/,Footnote Reference Number,Footnote Refernece,BVI fnr,stylish, BVI fnr,Nota"/>
    <w:basedOn w:val="DefaultParagraphFont"/>
    <w:link w:val="CharCharChar1"/>
    <w:uiPriority w:val="99"/>
    <w:unhideWhenUsed/>
    <w:qFormat/>
    <w:rsid w:val="00B72F89"/>
    <w:rPr>
      <w:vertAlign w:val="superscript"/>
    </w:rPr>
  </w:style>
  <w:style w:type="paragraph" w:customStyle="1" w:styleId="CharCharChar1">
    <w:name w:val="Char Char Char1"/>
    <w:basedOn w:val="Normal"/>
    <w:link w:val="FootnoteReference"/>
    <w:uiPriority w:val="99"/>
    <w:rsid w:val="00B72F89"/>
    <w:pPr>
      <w:spacing w:line="240" w:lineRule="exact"/>
    </w:pPr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4EA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4E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56BD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B4284"/>
    <w:pPr>
      <w:keepNext/>
      <w:keepLines/>
      <w:spacing w:after="100"/>
      <w:ind w:left="907" w:hanging="907"/>
    </w:pPr>
    <w:rPr>
      <w:rFonts w:asciiTheme="minorHAnsi" w:eastAsiaTheme="minorHAnsi" w:hAnsiTheme="minorHAnsi" w:cstheme="minorBidi"/>
      <w:iCs/>
      <w:color w:val="156082" w:themeColor="accent1"/>
      <w:sz w:val="20"/>
      <w:szCs w:val="18"/>
      <w:lang w:eastAsia="en-US"/>
    </w:rPr>
  </w:style>
  <w:style w:type="paragraph" w:customStyle="1" w:styleId="Source">
    <w:name w:val="Source"/>
    <w:basedOn w:val="Normal"/>
    <w:next w:val="Normal"/>
    <w:uiPriority w:val="11"/>
    <w:qFormat/>
    <w:rsid w:val="006B4284"/>
    <w:pPr>
      <w:spacing w:before="100" w:after="200"/>
    </w:pPr>
    <w:rPr>
      <w:rFonts w:asciiTheme="minorHAnsi" w:eastAsiaTheme="minorHAnsi" w:hAnsiTheme="minorHAnsi" w:cstheme="minorBidi"/>
      <w:i/>
      <w:sz w:val="20"/>
      <w:szCs w:val="22"/>
      <w:lang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6B4284"/>
    <w:rPr>
      <w:iCs/>
      <w:color w:val="156082" w:themeColor="accent1"/>
      <w:kern w:val="0"/>
      <w:sz w:val="20"/>
      <w:szCs w:val="18"/>
      <w:lang w:val="sk-SK"/>
      <w14:ligatures w14:val="none"/>
    </w:rPr>
  </w:style>
  <w:style w:type="paragraph" w:customStyle="1" w:styleId="Illustration">
    <w:name w:val="Illustration"/>
    <w:basedOn w:val="Normal"/>
    <w:uiPriority w:val="10"/>
    <w:qFormat/>
    <w:rsid w:val="00722588"/>
    <w:pPr>
      <w:keepNext/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43145"/>
    <w:rPr>
      <w:b/>
      <w:bCs/>
    </w:rPr>
  </w:style>
  <w:style w:type="paragraph" w:styleId="Revision">
    <w:name w:val="Revision"/>
    <w:hidden/>
    <w:uiPriority w:val="99"/>
    <w:semiHidden/>
    <w:rsid w:val="00EB02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2B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2B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18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header" Target="header5.xml"/><Relationship Id="rId40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web/transport/database?etrans=sk" TargetMode="External"/><Relationship Id="rId2" Type="http://schemas.openxmlformats.org/officeDocument/2006/relationships/hyperlink" Target="https://www.era.europa.eu/library/documents-regulations/corporate-publications?etrans=sk" TargetMode="External"/><Relationship Id="rId1" Type="http://schemas.openxmlformats.org/officeDocument/2006/relationships/hyperlink" Target="https://transport.ec.europa.eu/facts-funding/studies-data/eu-transport-figures-statistical-pocketbook/statistical-pocketbook-2024_sk" TargetMode="External"/><Relationship Id="rId4" Type="http://schemas.openxmlformats.org/officeDocument/2006/relationships/hyperlink" Target="(https://www.era.europa.eu/content/report-railway-safety-and-interoperability-eu-2024?etrans=s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5BD3-812D-4283-88DE-462FF840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2025-06-24T12:25:00Z</dcterms:created>
  <dcterms:modified xsi:type="dcterms:W3CDTF">2025-07-23T08:10:00Z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2025-06-19T14:31:26Z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18b27e78-bc24-41a4-a34c-1641ef05b3f2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Part">
    <vt:lpwstr>1</vt:lpwstr>
  </property>
  <property fmtid="{D5CDD505-2E9C-101B-9397-08002B2CF9AE}" pid="11" name="Total parts">
    <vt:lpwstr>1</vt:lpwstr>
  </property>
  <property fmtid="{D5CDD505-2E9C-101B-9397-08002B2CF9AE}" pid="12" name="DocStatus">
    <vt:lpwstr>Green</vt:lpwstr>
  </property>
  <property fmtid="{D5CDD505-2E9C-101B-9397-08002B2CF9AE}" pid="13" name="CPTemplateID">
    <vt:lpwstr>CP-006</vt:lpwstr>
  </property>
  <property fmtid="{D5CDD505-2E9C-101B-9397-08002B2CF9AE}" pid="14" name="Last edited using">
    <vt:lpwstr>LW 9.1, Build 20240808</vt:lpwstr>
  </property>
</Properties>
</file>