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C46" w:rsidRDefault="00C7625F" w:rsidP="00C7625F">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70CE750B-42F4-4256-BE9A-0F09655BE225" style="width:455.25pt;height:383.25pt">
            <v:imagedata r:id="rId11" o:title=""/>
          </v:shape>
        </w:pict>
      </w:r>
    </w:p>
    <w:p w:rsidR="00545874" w:rsidRDefault="00545874" w:rsidP="00545874">
      <w:pPr>
        <w:rPr>
          <w:noProof/>
        </w:rPr>
        <w:sectPr w:rsidR="00545874" w:rsidSect="00C7625F">
          <w:footerReference w:type="even" r:id="rId12"/>
          <w:footerReference w:type="default" r:id="rId13"/>
          <w:pgSz w:w="11907" w:h="16839"/>
          <w:pgMar w:top="1134" w:right="1417" w:bottom="1134" w:left="1417" w:header="709" w:footer="709" w:gutter="0"/>
          <w:pgNumType w:start="0"/>
          <w:cols w:space="720"/>
          <w:docGrid w:linePitch="360"/>
        </w:sectPr>
      </w:pPr>
    </w:p>
    <w:p w:rsidR="00996C46" w:rsidRDefault="00996C46" w:rsidP="00991DDA">
      <w:pPr>
        <w:pStyle w:val="Exposdesmotifstitre"/>
        <w:rPr>
          <w:noProof/>
        </w:rPr>
      </w:pPr>
      <w:bookmarkStart w:id="0" w:name="_GoBack"/>
      <w:bookmarkEnd w:id="0"/>
      <w:r w:rsidRPr="006F770D">
        <w:rPr>
          <w:noProof/>
        </w:rPr>
        <w:lastRenderedPageBreak/>
        <w:t>EXPLANATORY MEMORANDUM</w:t>
      </w:r>
    </w:p>
    <w:p w:rsidR="00996C46" w:rsidRPr="00E34F04" w:rsidRDefault="00F97BE1" w:rsidP="00F97BE1">
      <w:pPr>
        <w:pStyle w:val="ManualHeading1"/>
        <w:rPr>
          <w:noProof/>
        </w:rPr>
      </w:pPr>
      <w:r w:rsidRPr="00F97BE1">
        <w:rPr>
          <w:noProof/>
        </w:rPr>
        <w:t>1.</w:t>
      </w:r>
      <w:r w:rsidRPr="00F97BE1">
        <w:rPr>
          <w:noProof/>
        </w:rPr>
        <w:tab/>
      </w:r>
      <w:r w:rsidR="00996C46" w:rsidRPr="00E34F04">
        <w:rPr>
          <w:noProof/>
        </w:rPr>
        <w:t>Subject matter of the proposal</w:t>
      </w:r>
    </w:p>
    <w:p w:rsidR="0046361F" w:rsidRPr="00D6368B" w:rsidRDefault="0046361F" w:rsidP="004A38D8">
      <w:pPr>
        <w:rPr>
          <w:rFonts w:eastAsia="Arial Unicode MS"/>
          <w:noProof/>
        </w:rPr>
      </w:pPr>
      <w:r w:rsidRPr="00D6368B">
        <w:rPr>
          <w:rFonts w:eastAsia="Arial Unicode MS"/>
          <w:noProof/>
        </w:rPr>
        <w:t xml:space="preserve">This proposal concerns </w:t>
      </w:r>
      <w:r w:rsidR="00923A0D">
        <w:rPr>
          <w:rFonts w:eastAsia="Arial Unicode MS"/>
          <w:noProof/>
        </w:rPr>
        <w:t xml:space="preserve">the </w:t>
      </w:r>
      <w:r w:rsidRPr="00D6368B">
        <w:rPr>
          <w:rFonts w:eastAsia="Arial Unicode MS"/>
          <w:noProof/>
        </w:rPr>
        <w:t>decision establishing the position to be taken on the Union's behalf at</w:t>
      </w:r>
      <w:r>
        <w:rPr>
          <w:rFonts w:eastAsia="Arial Unicode MS"/>
          <w:noProof/>
        </w:rPr>
        <w:t xml:space="preserve"> the </w:t>
      </w:r>
      <w:r w:rsidR="00545874">
        <w:rPr>
          <w:rFonts w:eastAsia="Arial Unicode MS"/>
          <w:noProof/>
        </w:rPr>
        <w:t xml:space="preserve">second </w:t>
      </w:r>
      <w:r w:rsidR="00EB4814">
        <w:rPr>
          <w:rFonts w:eastAsia="Arial Unicode MS"/>
          <w:noProof/>
        </w:rPr>
        <w:t>extraordinary</w:t>
      </w:r>
      <w:r>
        <w:rPr>
          <w:rFonts w:eastAsia="Arial Unicode MS"/>
          <w:noProof/>
        </w:rPr>
        <w:t xml:space="preserve"> </w:t>
      </w:r>
      <w:r w:rsidRPr="00D6368B">
        <w:rPr>
          <w:rFonts w:eastAsia="Arial Unicode MS"/>
          <w:noProof/>
        </w:rPr>
        <w:t xml:space="preserve">session of the International Maritime Organization’s </w:t>
      </w:r>
      <w:r>
        <w:rPr>
          <w:rFonts w:eastAsia="Arial Unicode MS"/>
          <w:noProof/>
        </w:rPr>
        <w:t>Marine Protection Environment Committee (MEPC</w:t>
      </w:r>
      <w:r w:rsidR="005113C1">
        <w:rPr>
          <w:rFonts w:eastAsia="Arial Unicode MS"/>
          <w:noProof/>
        </w:rPr>
        <w:t>/</w:t>
      </w:r>
      <w:r w:rsidR="00EB4814">
        <w:rPr>
          <w:rFonts w:eastAsia="Arial Unicode MS"/>
          <w:noProof/>
        </w:rPr>
        <w:t>ES.2</w:t>
      </w:r>
      <w:r w:rsidRPr="00D6368B">
        <w:rPr>
          <w:rFonts w:eastAsia="Arial Unicode MS"/>
          <w:noProof/>
        </w:rPr>
        <w:t xml:space="preserve">), </w:t>
      </w:r>
      <w:r>
        <w:rPr>
          <w:rFonts w:eastAsia="Arial Unicode MS"/>
          <w:noProof/>
        </w:rPr>
        <w:t xml:space="preserve">scheduled to </w:t>
      </w:r>
      <w:r w:rsidRPr="00D6368B">
        <w:rPr>
          <w:rFonts w:eastAsia="Arial Unicode MS"/>
          <w:noProof/>
        </w:rPr>
        <w:t>tak</w:t>
      </w:r>
      <w:r>
        <w:rPr>
          <w:rFonts w:eastAsia="Arial Unicode MS"/>
          <w:noProof/>
        </w:rPr>
        <w:t>e</w:t>
      </w:r>
      <w:r w:rsidRPr="00D6368B">
        <w:rPr>
          <w:rFonts w:eastAsia="Arial Unicode MS"/>
          <w:noProof/>
        </w:rPr>
        <w:t xml:space="preserve"> place from</w:t>
      </w:r>
      <w:r>
        <w:rPr>
          <w:rFonts w:eastAsia="Arial Unicode MS"/>
          <w:noProof/>
        </w:rPr>
        <w:t xml:space="preserve"> </w:t>
      </w:r>
      <w:r w:rsidR="004223F5">
        <w:rPr>
          <w:rFonts w:eastAsia="Arial Unicode MS"/>
          <w:noProof/>
        </w:rPr>
        <w:t>14</w:t>
      </w:r>
      <w:r>
        <w:rPr>
          <w:rFonts w:eastAsia="Arial Unicode MS"/>
          <w:noProof/>
        </w:rPr>
        <w:t xml:space="preserve"> to </w:t>
      </w:r>
      <w:r w:rsidR="004223F5">
        <w:rPr>
          <w:rFonts w:eastAsia="Arial Unicode MS"/>
          <w:noProof/>
        </w:rPr>
        <w:t>17</w:t>
      </w:r>
      <w:r w:rsidRPr="00D6368B">
        <w:rPr>
          <w:rFonts w:eastAsia="Arial Unicode MS"/>
          <w:noProof/>
        </w:rPr>
        <w:t xml:space="preserve"> </w:t>
      </w:r>
      <w:r>
        <w:rPr>
          <w:rFonts w:eastAsia="Arial Unicode MS"/>
          <w:noProof/>
        </w:rPr>
        <w:t>October 202</w:t>
      </w:r>
      <w:r w:rsidR="00086417">
        <w:rPr>
          <w:rFonts w:eastAsia="Arial Unicode MS"/>
          <w:noProof/>
        </w:rPr>
        <w:t>5</w:t>
      </w:r>
      <w:r>
        <w:rPr>
          <w:rFonts w:eastAsia="Arial Unicode MS"/>
          <w:noProof/>
        </w:rPr>
        <w:t xml:space="preserve">. </w:t>
      </w:r>
    </w:p>
    <w:p w:rsidR="00A263BE" w:rsidRPr="0060506E" w:rsidRDefault="00F86F16" w:rsidP="005A1939">
      <w:pPr>
        <w:pStyle w:val="Point0"/>
        <w:ind w:left="0" w:firstLine="0"/>
        <w:rPr>
          <w:rFonts w:eastAsia="Arial Unicode MS"/>
          <w:noProof/>
        </w:rPr>
      </w:pPr>
      <w:r>
        <w:rPr>
          <w:noProof/>
        </w:rPr>
        <w:t>During th</w:t>
      </w:r>
      <w:r w:rsidR="005113C1">
        <w:rPr>
          <w:noProof/>
        </w:rPr>
        <w:t xml:space="preserve">at session, MEPC </w:t>
      </w:r>
      <w:r>
        <w:rPr>
          <w:noProof/>
        </w:rPr>
        <w:t>is envisaged to adopt amendments to</w:t>
      </w:r>
      <w:bookmarkStart w:id="1" w:name="_Hlk145513820"/>
      <w:bookmarkStart w:id="2" w:name="_Hlk149654301"/>
      <w:r w:rsidR="003E1C7C">
        <w:rPr>
          <w:noProof/>
        </w:rPr>
        <w:t xml:space="preserve"> </w:t>
      </w:r>
      <w:bookmarkStart w:id="3" w:name="_Hlk193728885"/>
      <w:r w:rsidR="0046361F">
        <w:rPr>
          <w:rFonts w:eastAsia="Arial Unicode MS"/>
          <w:noProof/>
        </w:rPr>
        <w:t xml:space="preserve">Annex VI to the </w:t>
      </w:r>
      <w:r w:rsidR="0046361F" w:rsidRPr="0046361F">
        <w:rPr>
          <w:rFonts w:eastAsia="Arial Unicode MS"/>
          <w:noProof/>
        </w:rPr>
        <w:t>International Convention for the Prevention of Pollution from Ships</w:t>
      </w:r>
      <w:r w:rsidR="0046361F">
        <w:rPr>
          <w:rFonts w:eastAsia="Arial Unicode MS"/>
          <w:noProof/>
        </w:rPr>
        <w:t xml:space="preserve"> (MARPOL).</w:t>
      </w:r>
    </w:p>
    <w:bookmarkEnd w:id="1"/>
    <w:bookmarkEnd w:id="2"/>
    <w:bookmarkEnd w:id="3"/>
    <w:p w:rsidR="00996C46" w:rsidRPr="00E34F04" w:rsidRDefault="00F97BE1" w:rsidP="00F97BE1">
      <w:pPr>
        <w:pStyle w:val="ManualHeading1"/>
        <w:rPr>
          <w:noProof/>
        </w:rPr>
      </w:pPr>
      <w:r w:rsidRPr="00F97BE1">
        <w:rPr>
          <w:noProof/>
        </w:rPr>
        <w:t>2.</w:t>
      </w:r>
      <w:r w:rsidRPr="00F97BE1">
        <w:rPr>
          <w:noProof/>
        </w:rPr>
        <w:tab/>
      </w:r>
      <w:r w:rsidR="00996C46" w:rsidRPr="00E34F04">
        <w:rPr>
          <w:noProof/>
        </w:rPr>
        <w:t>Context of the proposal</w:t>
      </w:r>
    </w:p>
    <w:p w:rsidR="00996C46" w:rsidRPr="00E34F04" w:rsidRDefault="00F97BE1" w:rsidP="00F97BE1">
      <w:pPr>
        <w:pStyle w:val="ManualHeading2"/>
        <w:rPr>
          <w:noProof/>
        </w:rPr>
      </w:pPr>
      <w:r w:rsidRPr="00F97BE1">
        <w:rPr>
          <w:noProof/>
        </w:rPr>
        <w:t>2.1.</w:t>
      </w:r>
      <w:r w:rsidRPr="00F97BE1">
        <w:rPr>
          <w:noProof/>
        </w:rPr>
        <w:tab/>
      </w:r>
      <w:r w:rsidR="00996C46" w:rsidRPr="00E34F04">
        <w:rPr>
          <w:noProof/>
        </w:rPr>
        <w:t>The</w:t>
      </w:r>
      <w:r w:rsidR="00E96ED5" w:rsidRPr="00E96ED5">
        <w:rPr>
          <w:noProof/>
        </w:rPr>
        <w:t xml:space="preserve"> Convention on the International Maritime Organization</w:t>
      </w:r>
      <w:r w:rsidR="00E96ED5">
        <w:rPr>
          <w:noProof/>
        </w:rPr>
        <w:t xml:space="preserve"> </w:t>
      </w:r>
    </w:p>
    <w:p w:rsidR="00B10E8B" w:rsidRPr="00D6368B" w:rsidRDefault="00B10E8B" w:rsidP="004A38D8">
      <w:pPr>
        <w:rPr>
          <w:rFonts w:eastAsia="Arial Unicode MS"/>
          <w:noProof/>
        </w:rPr>
      </w:pPr>
      <w:r w:rsidRPr="00D6368B">
        <w:rPr>
          <w:rFonts w:eastAsia="Arial Unicode MS"/>
          <w:noProof/>
        </w:rPr>
        <w:t>The Convention on the International Maritime Organization (IMO) establishes the IMO. The IMO’s purpose is to provide a forum for co-operation in the field of regulation and practices relating to technical matters of all kinds affecting shipping engaged in international trade. It furthermore aims to encourage the general adoption of the highest practicable standards in matters concerning maritime safety, efficiency of navigation and prevention and control of marine pollution from ships, promoting a level playing field. It also deal</w:t>
      </w:r>
      <w:r w:rsidR="00923A0D">
        <w:rPr>
          <w:rFonts w:eastAsia="Arial Unicode MS"/>
          <w:noProof/>
        </w:rPr>
        <w:t>s</w:t>
      </w:r>
      <w:r w:rsidRPr="00D6368B">
        <w:rPr>
          <w:rFonts w:eastAsia="Arial Unicode MS"/>
          <w:noProof/>
        </w:rPr>
        <w:t xml:space="preserve"> with related administrative and legal matters.</w:t>
      </w:r>
    </w:p>
    <w:p w:rsidR="00B10E8B" w:rsidRPr="001E4438" w:rsidRDefault="00B10E8B" w:rsidP="004A38D8">
      <w:pPr>
        <w:rPr>
          <w:rFonts w:eastAsia="Arial Unicode MS"/>
          <w:noProof/>
        </w:rPr>
      </w:pPr>
      <w:r w:rsidRPr="00D6368B">
        <w:rPr>
          <w:rFonts w:eastAsia="Arial Unicode MS"/>
          <w:noProof/>
        </w:rPr>
        <w:t xml:space="preserve">The </w:t>
      </w:r>
      <w:r w:rsidRPr="001E4438">
        <w:rPr>
          <w:rFonts w:eastAsia="Arial Unicode MS"/>
          <w:noProof/>
        </w:rPr>
        <w:t>Convention entered into force on 17 March 1958.</w:t>
      </w:r>
    </w:p>
    <w:p w:rsidR="00B10E8B" w:rsidRPr="001E4438" w:rsidRDefault="00B10E8B" w:rsidP="004A38D8">
      <w:pPr>
        <w:rPr>
          <w:rFonts w:eastAsia="Arial Unicode MS"/>
          <w:noProof/>
        </w:rPr>
      </w:pPr>
      <w:r w:rsidRPr="001E4438">
        <w:rPr>
          <w:rFonts w:eastAsia="Arial Unicode MS"/>
          <w:noProof/>
        </w:rPr>
        <w:t>All Member States are parties to the Convention. The Union is not a party to the Convention.</w:t>
      </w:r>
    </w:p>
    <w:p w:rsidR="00923A0D" w:rsidRPr="00923A0D" w:rsidRDefault="00923A0D" w:rsidP="00923A0D">
      <w:pPr>
        <w:rPr>
          <w:rFonts w:eastAsia="Arial Unicode MS"/>
          <w:noProof/>
        </w:rPr>
      </w:pPr>
      <w:r w:rsidRPr="00923A0D">
        <w:rPr>
          <w:rFonts w:eastAsia="Arial Unicode MS"/>
          <w:noProof/>
        </w:rPr>
        <w:t>The International Convention for the Prevention of Pollution from Ships was concluded in 1973 (MARPOL Convention</w:t>
      </w:r>
      <w:r>
        <w:rPr>
          <w:rFonts w:eastAsia="Arial Unicode MS"/>
          <w:noProof/>
        </w:rPr>
        <w:t>)</w:t>
      </w:r>
      <w:r w:rsidRPr="00923A0D">
        <w:rPr>
          <w:rFonts w:eastAsia="Arial Unicode MS"/>
          <w:noProof/>
        </w:rPr>
        <w:t xml:space="preserve"> is an IMO Convention, which entered into force on 2 October 1983. All Member States are parties to MARPOL and 25 Member States are also parties to Annex VI</w:t>
      </w:r>
      <w:r w:rsidRPr="00C763F7">
        <w:rPr>
          <w:rStyle w:val="FootnoteReference"/>
          <w:noProof/>
        </w:rPr>
        <w:footnoteReference w:id="2"/>
      </w:r>
      <w:r w:rsidRPr="00923A0D">
        <w:rPr>
          <w:rFonts w:eastAsia="Arial Unicode MS"/>
          <w:noProof/>
        </w:rPr>
        <w:t xml:space="preserve">, which entered into force on 18 May 2005. The Union is not a party to MARPOL. </w:t>
      </w:r>
    </w:p>
    <w:p w:rsidR="00996C46" w:rsidRPr="00E34F04" w:rsidRDefault="00F97BE1" w:rsidP="00F97BE1">
      <w:pPr>
        <w:pStyle w:val="ManualHeading2"/>
        <w:rPr>
          <w:noProof/>
        </w:rPr>
      </w:pPr>
      <w:r w:rsidRPr="00F97BE1">
        <w:rPr>
          <w:noProof/>
        </w:rPr>
        <w:t>2.2.</w:t>
      </w:r>
      <w:r w:rsidRPr="00F97BE1">
        <w:rPr>
          <w:noProof/>
        </w:rPr>
        <w:tab/>
      </w:r>
      <w:r w:rsidR="00996C46" w:rsidRPr="00E34F04">
        <w:rPr>
          <w:noProof/>
        </w:rPr>
        <w:t>The</w:t>
      </w:r>
      <w:r w:rsidR="00E96ED5">
        <w:rPr>
          <w:noProof/>
        </w:rPr>
        <w:t xml:space="preserve"> </w:t>
      </w:r>
      <w:r w:rsidR="00E96ED5" w:rsidRPr="00E96ED5">
        <w:rPr>
          <w:noProof/>
        </w:rPr>
        <w:t>International Maritime Organization</w:t>
      </w:r>
      <w:r w:rsidR="00996C46" w:rsidRPr="00E34F04">
        <w:rPr>
          <w:noProof/>
        </w:rPr>
        <w:t xml:space="preserve"> </w:t>
      </w:r>
    </w:p>
    <w:p w:rsidR="00B10E8B" w:rsidRPr="00D6368B" w:rsidRDefault="00B10E8B" w:rsidP="004A38D8">
      <w:pPr>
        <w:rPr>
          <w:rFonts w:eastAsia="Arial Unicode MS"/>
          <w:noProof/>
        </w:rPr>
      </w:pPr>
      <w:r w:rsidRPr="00D6368B">
        <w:rPr>
          <w:rFonts w:eastAsia="Arial Unicode MS"/>
          <w:noProof/>
        </w:rPr>
        <w:t xml:space="preserve">The International Maritime Organization (IMO) is the United Nations’ specialised agency with responsibility for the safety and security of shipping and the prevention of marine pollution by ships. It is the global standard-setting authority for the safety, </w:t>
      </w:r>
      <w:r w:rsidR="00691201" w:rsidRPr="00D6368B">
        <w:rPr>
          <w:rFonts w:eastAsia="Arial Unicode MS"/>
          <w:noProof/>
        </w:rPr>
        <w:t>security,</w:t>
      </w:r>
      <w:r w:rsidRPr="00D6368B">
        <w:rPr>
          <w:rFonts w:eastAsia="Arial Unicode MS"/>
          <w:noProof/>
        </w:rPr>
        <w:t xml:space="preserve"> and environmental performance of international shipping. Its main role is to create a regulatory framework for the shipping industry that is fair and effective, universally adopted and universally implemented. </w:t>
      </w:r>
    </w:p>
    <w:p w:rsidR="00923A0D" w:rsidRDefault="00923A0D" w:rsidP="00923A0D">
      <w:pPr>
        <w:rPr>
          <w:rFonts w:eastAsia="Arial Unicode MS"/>
          <w:noProof/>
        </w:rPr>
      </w:pPr>
      <w:r w:rsidRPr="005113C1">
        <w:rPr>
          <w:rFonts w:eastAsia="Arial Unicode MS"/>
          <w:noProof/>
        </w:rPr>
        <w:t xml:space="preserve">Membership in the IMO is </w:t>
      </w:r>
      <w:r>
        <w:rPr>
          <w:rFonts w:eastAsia="Arial Unicode MS"/>
          <w:noProof/>
        </w:rPr>
        <w:t xml:space="preserve">only </w:t>
      </w:r>
      <w:r w:rsidRPr="005113C1">
        <w:rPr>
          <w:rFonts w:eastAsia="Arial Unicode MS"/>
          <w:noProof/>
        </w:rPr>
        <w:t xml:space="preserve">open to States. The </w:t>
      </w:r>
      <w:r>
        <w:rPr>
          <w:rFonts w:eastAsia="Arial Unicode MS"/>
          <w:noProof/>
        </w:rPr>
        <w:t xml:space="preserve">European </w:t>
      </w:r>
      <w:r w:rsidRPr="005113C1">
        <w:rPr>
          <w:rFonts w:eastAsia="Arial Unicode MS"/>
          <w:noProof/>
        </w:rPr>
        <w:t>C</w:t>
      </w:r>
      <w:r>
        <w:rPr>
          <w:rFonts w:eastAsia="Arial Unicode MS"/>
          <w:noProof/>
        </w:rPr>
        <w:t>ommission</w:t>
      </w:r>
      <w:r w:rsidRPr="005113C1">
        <w:rPr>
          <w:rFonts w:eastAsia="Arial Unicode MS"/>
          <w:noProof/>
        </w:rPr>
        <w:t>’s relations with IMO are based today on the IMO Resolution A.1168(32) which prescribes the procedures and terms for the cooperation between IMO and intergovernmental organisations.</w:t>
      </w:r>
      <w:r w:rsidRPr="009B09EB">
        <w:rPr>
          <w:noProof/>
        </w:rPr>
        <w:t xml:space="preserve"> </w:t>
      </w:r>
      <w:r>
        <w:rPr>
          <w:noProof/>
        </w:rPr>
        <w:t>B</w:t>
      </w:r>
      <w:r w:rsidRPr="009B09EB">
        <w:rPr>
          <w:rFonts w:eastAsia="Arial Unicode MS"/>
          <w:noProof/>
        </w:rPr>
        <w:t xml:space="preserve">ased on this </w:t>
      </w:r>
      <w:r>
        <w:rPr>
          <w:rFonts w:eastAsia="Arial Unicode MS"/>
          <w:noProof/>
        </w:rPr>
        <w:t>IMO Resolution and further arrangements since 1974</w:t>
      </w:r>
      <w:r w:rsidRPr="009B09EB">
        <w:rPr>
          <w:rFonts w:eastAsia="Arial Unicode MS"/>
          <w:noProof/>
        </w:rPr>
        <w:t xml:space="preserve">, the </w:t>
      </w:r>
      <w:r>
        <w:rPr>
          <w:rFonts w:eastAsia="Arial Unicode MS"/>
          <w:noProof/>
        </w:rPr>
        <w:t xml:space="preserve">European </w:t>
      </w:r>
      <w:r w:rsidRPr="009B09EB">
        <w:rPr>
          <w:rFonts w:eastAsia="Arial Unicode MS"/>
          <w:noProof/>
        </w:rPr>
        <w:t xml:space="preserve">Commission is participating as an observer </w:t>
      </w:r>
      <w:r>
        <w:rPr>
          <w:rFonts w:eastAsia="Arial Unicode MS"/>
          <w:noProof/>
        </w:rPr>
        <w:t xml:space="preserve">in </w:t>
      </w:r>
      <w:r w:rsidRPr="009B09EB">
        <w:rPr>
          <w:rFonts w:eastAsia="Arial Unicode MS"/>
          <w:noProof/>
        </w:rPr>
        <w:t>all the IMO Committee and Sub-Committee meetings</w:t>
      </w:r>
      <w:r>
        <w:rPr>
          <w:rFonts w:eastAsia="Arial Unicode MS"/>
          <w:noProof/>
        </w:rPr>
        <w:t>.</w:t>
      </w:r>
    </w:p>
    <w:p w:rsidR="004223F5" w:rsidRPr="00D6368B" w:rsidRDefault="004223F5" w:rsidP="004A38D8">
      <w:pPr>
        <w:rPr>
          <w:rFonts w:eastAsia="Arial Unicode MS"/>
          <w:noProof/>
        </w:rPr>
      </w:pPr>
      <w:r w:rsidRPr="00D6368B">
        <w:rPr>
          <w:rFonts w:eastAsia="Arial Unicode MS"/>
          <w:noProof/>
        </w:rPr>
        <w:t>IMO’s Marine Environment Protection Committee</w:t>
      </w:r>
      <w:r>
        <w:rPr>
          <w:rFonts w:eastAsia="Arial Unicode MS"/>
          <w:noProof/>
        </w:rPr>
        <w:t xml:space="preserve"> (MEPC)</w:t>
      </w:r>
      <w:r w:rsidRPr="00D6368B">
        <w:rPr>
          <w:rFonts w:eastAsia="Arial Unicode MS"/>
          <w:noProof/>
        </w:rPr>
        <w:t xml:space="preserve"> consists of all the IMO Members and meets at least once a year. It addresses environmental issues under the scope of the Organization as regards the control and prevention of ship-source pollution covered by the MARPOL treaty, including oil, chemicals carried in bulk, sewage, garbage and emissions from ships to air, including air pollutants and greenhouse gas emissions. Other matters covered include ballast water management, anti-fouling systems, ship recycling, pollution preparedness and response, and identification of special areas and particularly sensitive sea areas.</w:t>
      </w:r>
    </w:p>
    <w:p w:rsidR="004223F5" w:rsidRDefault="00AB2DF3" w:rsidP="004A38D8">
      <w:pPr>
        <w:rPr>
          <w:rFonts w:eastAsia="Arial Unicode MS"/>
          <w:noProof/>
        </w:rPr>
      </w:pPr>
      <w:r>
        <w:rPr>
          <w:rFonts w:eastAsia="Arial Unicode MS"/>
          <w:noProof/>
        </w:rPr>
        <w:t xml:space="preserve">Pursuant to Article </w:t>
      </w:r>
      <w:r w:rsidRPr="00AB2DF3">
        <w:rPr>
          <w:rFonts w:eastAsia="Arial Unicode MS"/>
          <w:noProof/>
        </w:rPr>
        <w:t>38(a) of the</w:t>
      </w:r>
      <w:r>
        <w:rPr>
          <w:rFonts w:eastAsia="Arial Unicode MS"/>
          <w:noProof/>
        </w:rPr>
        <w:t xml:space="preserve"> IMO</w:t>
      </w:r>
      <w:r w:rsidRPr="00AB2DF3">
        <w:rPr>
          <w:rFonts w:eastAsia="Arial Unicode MS"/>
          <w:noProof/>
        </w:rPr>
        <w:t xml:space="preserve"> Convention, the Marine Environment Protection Committee performs </w:t>
      </w:r>
      <w:r>
        <w:rPr>
          <w:rFonts w:eastAsia="Arial Unicode MS"/>
          <w:noProof/>
        </w:rPr>
        <w:t>any</w:t>
      </w:r>
      <w:r w:rsidRPr="00AB2DF3">
        <w:rPr>
          <w:rFonts w:eastAsia="Arial Unicode MS"/>
          <w:noProof/>
        </w:rPr>
        <w:t xml:space="preserve"> </w:t>
      </w:r>
      <w:r w:rsidRPr="00D6368B">
        <w:rPr>
          <w:rFonts w:eastAsia="Arial Unicode MS"/>
          <w:noProof/>
        </w:rPr>
        <w:t xml:space="preserve">duties assigned to them by the IMO Convention, the IMO Assembly or the IMO Council, or any duty within the above scope which may be assigned to them by or under any other international instrument and accepted by the IMO. Decisions of the Marine Environment Protection Committee, and of </w:t>
      </w:r>
      <w:r>
        <w:rPr>
          <w:rFonts w:eastAsia="Arial Unicode MS"/>
          <w:noProof/>
        </w:rPr>
        <w:t>its</w:t>
      </w:r>
      <w:r w:rsidRPr="00D6368B">
        <w:rPr>
          <w:rFonts w:eastAsia="Arial Unicode MS"/>
          <w:noProof/>
        </w:rPr>
        <w:t xml:space="preserve"> subsidiary bodies, are adopted by a majority of their Members.</w:t>
      </w:r>
      <w:r w:rsidR="004223F5" w:rsidRPr="00D6368B">
        <w:rPr>
          <w:rFonts w:eastAsia="Arial Unicode MS"/>
          <w:noProof/>
        </w:rPr>
        <w:t xml:space="preserve"> </w:t>
      </w:r>
    </w:p>
    <w:p w:rsidR="00923A0D" w:rsidRPr="00303AFE" w:rsidRDefault="00923A0D" w:rsidP="00923A0D">
      <w:pPr>
        <w:rPr>
          <w:rFonts w:eastAsia="Arial Unicode MS"/>
          <w:noProof/>
        </w:rPr>
      </w:pPr>
      <w:bookmarkStart w:id="4" w:name="_Hlk201757303"/>
      <w:r>
        <w:rPr>
          <w:rFonts w:eastAsia="Arial Unicode MS"/>
          <w:noProof/>
        </w:rPr>
        <w:t xml:space="preserve">MEPC/ES. 2 will adopt amendments to MARPOL in accordance with article 16 paragraph (2) subpoints (b), (c) and (d) of the Convention. </w:t>
      </w:r>
      <w:bookmarkEnd w:id="4"/>
      <w:r>
        <w:rPr>
          <w:rFonts w:eastAsia="Arial Unicode MS"/>
          <w:noProof/>
        </w:rPr>
        <w:t>These provisions stipulate that</w:t>
      </w:r>
      <w:r w:rsidRPr="00303AFE">
        <w:rPr>
          <w:rFonts w:eastAsia="Arial Unicode MS"/>
          <w:noProof/>
        </w:rPr>
        <w:t>:</w:t>
      </w:r>
    </w:p>
    <w:p w:rsidR="00923A0D" w:rsidRPr="00303AFE" w:rsidRDefault="00923A0D" w:rsidP="00923A0D">
      <w:pPr>
        <w:rPr>
          <w:rFonts w:eastAsia="Arial Unicode MS"/>
          <w:noProof/>
        </w:rPr>
      </w:pPr>
      <w:r w:rsidRPr="00303AFE">
        <w:rPr>
          <w:rFonts w:eastAsia="Arial Unicode MS"/>
          <w:noProof/>
        </w:rPr>
        <w:t>(b) any amendment proposed and circulated as above shall be submitted to an appropriate body by the Organization for consideration;</w:t>
      </w:r>
    </w:p>
    <w:p w:rsidR="00923A0D" w:rsidRPr="00303AFE" w:rsidRDefault="00923A0D" w:rsidP="00923A0D">
      <w:pPr>
        <w:rPr>
          <w:rFonts w:eastAsia="Arial Unicode MS"/>
          <w:noProof/>
        </w:rPr>
      </w:pPr>
      <w:r w:rsidRPr="00303AFE">
        <w:rPr>
          <w:rFonts w:eastAsia="Arial Unicode MS"/>
          <w:noProof/>
        </w:rPr>
        <w:t>(c) Parties to the Convention, whether or not Members of the Organization, shall be entitled to participate in the proceedings of the appropriate body;</w:t>
      </w:r>
    </w:p>
    <w:p w:rsidR="00923A0D" w:rsidRDefault="00923A0D" w:rsidP="00923A0D">
      <w:pPr>
        <w:rPr>
          <w:rFonts w:eastAsia="Arial Unicode MS"/>
          <w:noProof/>
        </w:rPr>
      </w:pPr>
      <w:r w:rsidRPr="00303AFE">
        <w:rPr>
          <w:rFonts w:eastAsia="Arial Unicode MS"/>
          <w:noProof/>
        </w:rPr>
        <w:t>(d) amendments shall be adopted by a two-thirds majority of only the Parties to the Convention present and voting</w:t>
      </w:r>
      <w:r>
        <w:rPr>
          <w:rFonts w:eastAsia="Arial Unicode MS"/>
          <w:noProof/>
        </w:rPr>
        <w:t xml:space="preserve">. </w:t>
      </w:r>
    </w:p>
    <w:p w:rsidR="00923A0D" w:rsidRPr="00303AFE" w:rsidRDefault="00923A0D" w:rsidP="00923A0D">
      <w:pPr>
        <w:rPr>
          <w:rFonts w:eastAsia="Arial Unicode MS"/>
          <w:noProof/>
        </w:rPr>
      </w:pPr>
      <w:r>
        <w:rPr>
          <w:rFonts w:eastAsia="Arial Unicode MS"/>
          <w:noProof/>
        </w:rPr>
        <w:t>In accordance with article 16(2)(f),</w:t>
      </w:r>
      <w:r w:rsidRPr="00303AFE">
        <w:rPr>
          <w:noProof/>
        </w:rPr>
        <w:t xml:space="preserve"> </w:t>
      </w:r>
      <w:r>
        <w:rPr>
          <w:noProof/>
        </w:rPr>
        <w:t>a</w:t>
      </w:r>
      <w:r w:rsidRPr="00303AFE">
        <w:rPr>
          <w:rFonts w:eastAsia="Arial Unicode MS"/>
          <w:noProof/>
        </w:rPr>
        <w:t>n amendment shall be deemed to have been accepted in the following circumstances:</w:t>
      </w:r>
    </w:p>
    <w:p w:rsidR="00923A0D" w:rsidRPr="00303AFE" w:rsidRDefault="00923A0D" w:rsidP="00923A0D">
      <w:pPr>
        <w:rPr>
          <w:rFonts w:eastAsia="Arial Unicode MS"/>
          <w:noProof/>
        </w:rPr>
      </w:pPr>
      <w:r w:rsidRPr="00303AFE">
        <w:rPr>
          <w:rFonts w:eastAsia="Arial Unicode MS"/>
          <w:noProof/>
        </w:rPr>
        <w:t>(ii) an amendment to an Annex to the Convention shall be deemed to have been accepted in accordance with the procedure specified in sub-paragraph (f)(iii) unless the appropriate body, at the time of its adoption, determines that the amendment shall be deemed to have been accepted on the date on which it is accepted by two-thirds of the Parties, the combined merchant fleets of which constitute not less than fifty per cent of the gross tonnage of the world's merchant fleet. Nevertheless, at any time before the entry into force of an amendment to an Annex to the Convention, a Party may notify the Secretary-General of the Organization that its express approval will be necessary before the amendment enters into force for it. The latter shall bring such notification and the date of its receipt to the notice of Parties;</w:t>
      </w:r>
    </w:p>
    <w:p w:rsidR="00923A0D" w:rsidRDefault="00923A0D" w:rsidP="00923A0D">
      <w:pPr>
        <w:rPr>
          <w:rFonts w:eastAsia="Arial Unicode MS"/>
          <w:noProof/>
        </w:rPr>
      </w:pPr>
      <w:r w:rsidRPr="00303AFE">
        <w:rPr>
          <w:rFonts w:eastAsia="Arial Unicode MS"/>
          <w:noProof/>
        </w:rPr>
        <w:t>(iii) an amendment to an Appendix to an Annex to the Convention shall be deemed to have been accepted at the end of a period to be determined by the appropriate body at the time of its adoption, which period shall be not less than ten months, unless within that period an objection is communicated to the Organization by not less than one-third of the Parties or by the Parties the combined merchant fleets of which constitute not less than fifty per cent of the gross tonnage of the world's merchant fleet whichever condition is fulfilled;</w:t>
      </w:r>
    </w:p>
    <w:p w:rsidR="00923A0D" w:rsidRPr="00303AFE" w:rsidRDefault="00923A0D" w:rsidP="00923A0D">
      <w:pPr>
        <w:rPr>
          <w:rFonts w:eastAsia="Arial Unicode MS"/>
          <w:noProof/>
        </w:rPr>
      </w:pPr>
      <w:r>
        <w:rPr>
          <w:rFonts w:eastAsia="Arial Unicode MS"/>
          <w:noProof/>
        </w:rPr>
        <w:t>Based on the below provisions under article 16(2)(g), t</w:t>
      </w:r>
      <w:r w:rsidRPr="00303AFE">
        <w:rPr>
          <w:rFonts w:eastAsia="Arial Unicode MS"/>
          <w:noProof/>
        </w:rPr>
        <w:t>he amendment shall enter into force under the following conditions:</w:t>
      </w:r>
    </w:p>
    <w:p w:rsidR="00923A0D" w:rsidRPr="00303AFE" w:rsidRDefault="00923A0D" w:rsidP="00923A0D">
      <w:pPr>
        <w:rPr>
          <w:rFonts w:eastAsia="Arial Unicode MS"/>
          <w:noProof/>
        </w:rPr>
      </w:pPr>
      <w:r w:rsidRPr="00303AFE">
        <w:rPr>
          <w:rFonts w:eastAsia="Arial Unicode MS"/>
          <w:noProof/>
        </w:rPr>
        <w:t>(i) in the case of an amendment to an Article of the Convention, to Protocol II, or to Protocol I or to an Annex to the Convention not under the procedure specified in sub- paragraph (f)(iii), the amendment accepted in conformity with the foregoing provisions shall enter into force six months after the date of its acceptance with respect to the Parties which have declared that they have accepted it;</w:t>
      </w:r>
    </w:p>
    <w:p w:rsidR="00923A0D" w:rsidRDefault="00923A0D" w:rsidP="00923A0D">
      <w:pPr>
        <w:rPr>
          <w:rFonts w:eastAsia="Arial Unicode MS"/>
          <w:noProof/>
        </w:rPr>
      </w:pPr>
      <w:r w:rsidRPr="00303AFE">
        <w:rPr>
          <w:rFonts w:eastAsia="Arial Unicode MS"/>
          <w:noProof/>
        </w:rPr>
        <w:t>(ii) in the case of an amendment to Protocol I, to an Appendix to an Annex or to an Annex to the Convention under the procedure specified in sub-paragraph (f)(iii), the amendment deemed to have been accepted in accordance with the foregoing conditions shall enter into force six months after its acceptance for all the Parties with the exception of those which, before that date, have made a declaration that they do not accept it or a declaration under sub-paragraph (f)(ii), that their express approval is necessary.</w:t>
      </w:r>
    </w:p>
    <w:p w:rsidR="00923A0D" w:rsidRDefault="00923A0D" w:rsidP="004A38D8">
      <w:pPr>
        <w:rPr>
          <w:rFonts w:eastAsia="Arial Unicode MS"/>
          <w:noProof/>
        </w:rPr>
      </w:pPr>
    </w:p>
    <w:p w:rsidR="006E28E5" w:rsidRPr="007C734B" w:rsidRDefault="00F97BE1" w:rsidP="00F97BE1">
      <w:pPr>
        <w:pStyle w:val="ManualHeading2"/>
        <w:rPr>
          <w:noProof/>
        </w:rPr>
      </w:pPr>
      <w:bookmarkStart w:id="5" w:name="_Hlk145513897"/>
      <w:r w:rsidRPr="00F97BE1">
        <w:rPr>
          <w:noProof/>
        </w:rPr>
        <w:t>2.3.</w:t>
      </w:r>
      <w:r w:rsidRPr="00F97BE1">
        <w:rPr>
          <w:noProof/>
        </w:rPr>
        <w:tab/>
      </w:r>
      <w:r w:rsidR="006E28E5" w:rsidRPr="007C734B">
        <w:rPr>
          <w:noProof/>
        </w:rPr>
        <w:t>The envisaged act</w:t>
      </w:r>
      <w:r w:rsidR="002D2924">
        <w:rPr>
          <w:noProof/>
        </w:rPr>
        <w:t xml:space="preserve"> </w:t>
      </w:r>
      <w:r w:rsidR="006E28E5" w:rsidRPr="007C734B">
        <w:rPr>
          <w:noProof/>
        </w:rPr>
        <w:t xml:space="preserve">of the IMO’s </w:t>
      </w:r>
      <w:r w:rsidR="00680829">
        <w:rPr>
          <w:noProof/>
        </w:rPr>
        <w:t>Marine Environment Protection Committee</w:t>
      </w:r>
      <w:r w:rsidR="00680829" w:rsidDel="00680829">
        <w:rPr>
          <w:noProof/>
        </w:rPr>
        <w:t xml:space="preserve"> </w:t>
      </w:r>
    </w:p>
    <w:p w:rsidR="00BA490A" w:rsidRPr="00BA490A" w:rsidRDefault="00680829" w:rsidP="004A38D8">
      <w:pPr>
        <w:pStyle w:val="Point0"/>
        <w:ind w:left="0" w:firstLine="0"/>
        <w:rPr>
          <w:rFonts w:eastAsia="Arial Unicode MS"/>
          <w:noProof/>
        </w:rPr>
      </w:pPr>
      <w:r w:rsidRPr="001A7757">
        <w:rPr>
          <w:rFonts w:eastAsia="Arial Unicode MS"/>
          <w:noProof/>
        </w:rPr>
        <w:t xml:space="preserve">On </w:t>
      </w:r>
      <w:r>
        <w:rPr>
          <w:rFonts w:eastAsia="Arial Unicode MS"/>
          <w:noProof/>
        </w:rPr>
        <w:t>14 to 17 October 2025</w:t>
      </w:r>
      <w:r w:rsidRPr="001A7757">
        <w:rPr>
          <w:rFonts w:eastAsia="Arial Unicode MS"/>
          <w:noProof/>
        </w:rPr>
        <w:t>, during its</w:t>
      </w:r>
      <w:r w:rsidR="00AB2DF3">
        <w:rPr>
          <w:rFonts w:eastAsia="Arial Unicode MS"/>
          <w:noProof/>
        </w:rPr>
        <w:t xml:space="preserve"> second</w:t>
      </w:r>
      <w:r w:rsidRPr="001A7757">
        <w:rPr>
          <w:rFonts w:eastAsia="Arial Unicode MS"/>
          <w:noProof/>
        </w:rPr>
        <w:t xml:space="preserve"> </w:t>
      </w:r>
      <w:r w:rsidR="00EB4814">
        <w:rPr>
          <w:rFonts w:eastAsia="Arial Unicode MS"/>
          <w:noProof/>
        </w:rPr>
        <w:t>extraordinary</w:t>
      </w:r>
      <w:r>
        <w:rPr>
          <w:rFonts w:eastAsia="Arial Unicode MS"/>
          <w:noProof/>
        </w:rPr>
        <w:t xml:space="preserve"> </w:t>
      </w:r>
      <w:r w:rsidRPr="001A7757">
        <w:rPr>
          <w:rFonts w:eastAsia="Arial Unicode MS"/>
          <w:noProof/>
        </w:rPr>
        <w:t xml:space="preserve">session, </w:t>
      </w:r>
      <w:r w:rsidR="001B6143">
        <w:rPr>
          <w:rFonts w:eastAsia="Arial Unicode MS"/>
          <w:noProof/>
        </w:rPr>
        <w:t>MEPC</w:t>
      </w:r>
      <w:r w:rsidRPr="001A7757">
        <w:rPr>
          <w:rFonts w:eastAsia="Arial Unicode MS"/>
          <w:noProof/>
        </w:rPr>
        <w:t xml:space="preserve"> is to adopt amendments to</w:t>
      </w:r>
      <w:r w:rsidR="00BA490A">
        <w:rPr>
          <w:rFonts w:eastAsia="Arial Unicode MS"/>
          <w:noProof/>
        </w:rPr>
        <w:t xml:space="preserve"> </w:t>
      </w:r>
      <w:r w:rsidRPr="006E28E5">
        <w:rPr>
          <w:rFonts w:eastAsia="Arial Unicode MS"/>
          <w:noProof/>
        </w:rPr>
        <w:t xml:space="preserve">Annex VI </w:t>
      </w:r>
      <w:r w:rsidR="00C157FD">
        <w:rPr>
          <w:rFonts w:eastAsia="Arial Unicode MS"/>
          <w:noProof/>
        </w:rPr>
        <w:t>of</w:t>
      </w:r>
      <w:r w:rsidRPr="006E28E5">
        <w:rPr>
          <w:rFonts w:eastAsia="Arial Unicode MS"/>
          <w:noProof/>
        </w:rPr>
        <w:t xml:space="preserve"> MARPOL</w:t>
      </w:r>
      <w:r w:rsidR="00BA490A">
        <w:rPr>
          <w:rFonts w:eastAsia="Arial Unicode MS"/>
          <w:noProof/>
        </w:rPr>
        <w:t xml:space="preserve"> </w:t>
      </w:r>
      <w:r w:rsidR="00BA490A" w:rsidRPr="00BA490A">
        <w:rPr>
          <w:rFonts w:eastAsia="Arial Unicode MS"/>
          <w:noProof/>
        </w:rPr>
        <w:t>concerning the:</w:t>
      </w:r>
    </w:p>
    <w:p w:rsidR="00BA490A" w:rsidRDefault="00BA490A" w:rsidP="00C763F7">
      <w:pPr>
        <w:pStyle w:val="Point0"/>
        <w:rPr>
          <w:rFonts w:eastAsia="Arial Unicode MS"/>
          <w:noProof/>
        </w:rPr>
      </w:pPr>
      <w:r w:rsidRPr="00BA490A">
        <w:rPr>
          <w:rFonts w:eastAsia="Arial Unicode MS"/>
          <w:noProof/>
        </w:rPr>
        <w:t>designation of the North-East Atlantic as a new Emission Control Area (ECA)</w:t>
      </w:r>
      <w:r>
        <w:rPr>
          <w:rFonts w:eastAsia="Arial Unicode MS"/>
          <w:noProof/>
        </w:rPr>
        <w:t xml:space="preserve"> </w:t>
      </w:r>
      <w:r w:rsidRPr="00BA490A">
        <w:rPr>
          <w:rFonts w:eastAsia="Arial Unicode MS"/>
          <w:noProof/>
        </w:rPr>
        <w:t xml:space="preserve">(regulations 13 and 14 and Appendix VII of MARPOL Annex VI); </w:t>
      </w:r>
    </w:p>
    <w:p w:rsidR="00BA490A" w:rsidRPr="00BA490A" w:rsidRDefault="00BA490A" w:rsidP="00C763F7">
      <w:pPr>
        <w:pStyle w:val="Point0"/>
        <w:rPr>
          <w:rFonts w:eastAsia="Arial Unicode MS"/>
          <w:noProof/>
        </w:rPr>
      </w:pPr>
      <w:r w:rsidRPr="00BA490A">
        <w:rPr>
          <w:rFonts w:eastAsia="Arial Unicode MS"/>
          <w:noProof/>
        </w:rPr>
        <w:t>accessibility of the IMO Ship Fuel Oil Consumption Database (IMO DCS) and review clause of the short-term GHG reduction measure (regulations 20, 25,</w:t>
      </w:r>
      <w:r>
        <w:rPr>
          <w:rFonts w:eastAsia="Arial Unicode MS"/>
          <w:noProof/>
        </w:rPr>
        <w:t xml:space="preserve"> </w:t>
      </w:r>
      <w:r w:rsidRPr="00BA490A">
        <w:rPr>
          <w:rFonts w:eastAsia="Arial Unicode MS"/>
          <w:noProof/>
        </w:rPr>
        <w:t>27 and 28); and</w:t>
      </w:r>
    </w:p>
    <w:p w:rsidR="001B6143" w:rsidRPr="005A1939" w:rsidRDefault="00BA490A" w:rsidP="00C763F7">
      <w:pPr>
        <w:pStyle w:val="Point0"/>
        <w:rPr>
          <w:b/>
          <w:bCs/>
          <w:noProof/>
        </w:rPr>
      </w:pPr>
      <w:r w:rsidRPr="00BA490A">
        <w:rPr>
          <w:rFonts w:eastAsia="Arial Unicode MS"/>
          <w:noProof/>
        </w:rPr>
        <w:t>IMO Net-Zero Framework (new chapter 5).</w:t>
      </w:r>
    </w:p>
    <w:p w:rsidR="00103E24" w:rsidRPr="007C734B" w:rsidRDefault="00F97BE1" w:rsidP="00F97BE1">
      <w:pPr>
        <w:pStyle w:val="ManualHeading1"/>
        <w:rPr>
          <w:noProof/>
        </w:rPr>
      </w:pPr>
      <w:bookmarkStart w:id="6" w:name="_Hlk145337231"/>
      <w:bookmarkEnd w:id="5"/>
      <w:r w:rsidRPr="00F97BE1">
        <w:rPr>
          <w:noProof/>
        </w:rPr>
        <w:t>3.</w:t>
      </w:r>
      <w:r w:rsidRPr="00F97BE1">
        <w:rPr>
          <w:noProof/>
        </w:rPr>
        <w:tab/>
      </w:r>
      <w:r w:rsidR="00103E24" w:rsidRPr="007C734B">
        <w:rPr>
          <w:noProof/>
        </w:rPr>
        <w:t>Position to be taken on the Union's behalf</w:t>
      </w:r>
      <w:r w:rsidR="00103E24">
        <w:rPr>
          <w:noProof/>
        </w:rPr>
        <w:t xml:space="preserve"> in </w:t>
      </w:r>
      <w:r w:rsidR="00680829">
        <w:rPr>
          <w:noProof/>
        </w:rPr>
        <w:t xml:space="preserve">the </w:t>
      </w:r>
      <w:r w:rsidR="00EB4814">
        <w:rPr>
          <w:noProof/>
        </w:rPr>
        <w:t>extraordinary</w:t>
      </w:r>
      <w:r w:rsidR="00680829">
        <w:rPr>
          <w:noProof/>
        </w:rPr>
        <w:t xml:space="preserve"> session of </w:t>
      </w:r>
      <w:r w:rsidR="006C2C12">
        <w:rPr>
          <w:noProof/>
        </w:rPr>
        <w:t>THE MARINE</w:t>
      </w:r>
      <w:r w:rsidR="00680829" w:rsidRPr="00E63CE5">
        <w:rPr>
          <w:noProof/>
        </w:rPr>
        <w:t xml:space="preserve"> Environment Protection Committee</w:t>
      </w:r>
      <w:r w:rsidR="00680829" w:rsidDel="00680829">
        <w:rPr>
          <w:noProof/>
        </w:rPr>
        <w:t xml:space="preserve"> </w:t>
      </w:r>
    </w:p>
    <w:p w:rsidR="00B933B7" w:rsidRPr="006F6D4B" w:rsidRDefault="00F97BE1" w:rsidP="00F97BE1">
      <w:pPr>
        <w:pStyle w:val="ManualHeading2"/>
        <w:rPr>
          <w:bCs/>
          <w:noProof/>
          <w:lang w:val="en-IE"/>
        </w:rPr>
      </w:pPr>
      <w:bookmarkStart w:id="7" w:name="_Hlk145442971"/>
      <w:bookmarkEnd w:id="6"/>
      <w:r w:rsidRPr="00F97BE1">
        <w:rPr>
          <w:noProof/>
        </w:rPr>
        <w:t>3.1.</w:t>
      </w:r>
      <w:r w:rsidRPr="00F97BE1">
        <w:rPr>
          <w:noProof/>
        </w:rPr>
        <w:tab/>
      </w:r>
      <w:r w:rsidR="005F2DE4" w:rsidRPr="002A131A">
        <w:rPr>
          <w:noProof/>
          <w:lang w:val="en-IE"/>
        </w:rPr>
        <w:t>A</w:t>
      </w:r>
      <w:r w:rsidR="00D473B5" w:rsidRPr="002A131A">
        <w:rPr>
          <w:noProof/>
          <w:lang w:val="en-IE"/>
        </w:rPr>
        <w:t xml:space="preserve">mendments to </w:t>
      </w:r>
      <w:r w:rsidR="00680829" w:rsidRPr="002A131A">
        <w:rPr>
          <w:noProof/>
          <w:lang w:val="en-IE"/>
        </w:rPr>
        <w:t>regulations 13 and 14 and Appendix</w:t>
      </w:r>
      <w:r w:rsidR="00680829" w:rsidRPr="00680829">
        <w:rPr>
          <w:noProof/>
          <w:lang w:val="en-IE"/>
        </w:rPr>
        <w:t xml:space="preserve"> VII of MARPOL Annex VI</w:t>
      </w:r>
      <w:r w:rsidR="00680829" w:rsidRPr="00680829" w:rsidDel="00680829">
        <w:rPr>
          <w:noProof/>
          <w:lang w:val="en-IE"/>
        </w:rPr>
        <w:t xml:space="preserve"> </w:t>
      </w:r>
    </w:p>
    <w:bookmarkEnd w:id="7"/>
    <w:p w:rsidR="000E7D55" w:rsidRPr="005A1939" w:rsidRDefault="00447EB4" w:rsidP="004A38D8">
      <w:pPr>
        <w:pStyle w:val="Text1"/>
        <w:ind w:left="0"/>
        <w:rPr>
          <w:noProof/>
        </w:rPr>
      </w:pPr>
      <w:r w:rsidRPr="00447EB4">
        <w:rPr>
          <w:noProof/>
        </w:rPr>
        <w:t xml:space="preserve">The </w:t>
      </w:r>
      <w:r w:rsidR="00280D9E">
        <w:rPr>
          <w:noProof/>
        </w:rPr>
        <w:t>EU Member States and the European Commission</w:t>
      </w:r>
      <w:r w:rsidRPr="00447EB4">
        <w:rPr>
          <w:noProof/>
        </w:rPr>
        <w:t xml:space="preserve">, together with the UK, Iceland, Denmark (Greenland), Faroes Islands submitted </w:t>
      </w:r>
      <w:r w:rsidR="000E7D55">
        <w:rPr>
          <w:noProof/>
        </w:rPr>
        <w:t xml:space="preserve">a document </w:t>
      </w:r>
      <w:r w:rsidR="000E7D55" w:rsidRPr="005A1939">
        <w:rPr>
          <w:noProof/>
        </w:rPr>
        <w:t>to MEPC 83,</w:t>
      </w:r>
      <w:r w:rsidRPr="005A1939">
        <w:rPr>
          <w:noProof/>
        </w:rPr>
        <w:t xml:space="preserve"> proposing to designate the North-East Atlantic Ocean as an Emission Control Area for sulphur oxides, particulate matter and nitrogen oxides, pursuant to MARPOL Annex VI. The Commission has been actively taking part to the preparatory work together with the littoral states under the coordination of the delegation of Portugal. </w:t>
      </w:r>
    </w:p>
    <w:p w:rsidR="00C00CA7" w:rsidRPr="006C2C12" w:rsidRDefault="000E7D55" w:rsidP="004A38D8">
      <w:pPr>
        <w:pStyle w:val="Text1"/>
        <w:ind w:left="0"/>
        <w:rPr>
          <w:noProof/>
          <w:highlight w:val="yellow"/>
        </w:rPr>
      </w:pPr>
      <w:r w:rsidRPr="005A1939">
        <w:rPr>
          <w:noProof/>
        </w:rPr>
        <w:t xml:space="preserve">The Technical Group </w:t>
      </w:r>
      <w:r w:rsidR="005A1939" w:rsidRPr="005A1939">
        <w:rPr>
          <w:noProof/>
        </w:rPr>
        <w:t xml:space="preserve">on the Designation of </w:t>
      </w:r>
      <w:r w:rsidR="00923A0D">
        <w:rPr>
          <w:noProof/>
        </w:rPr>
        <w:t>Particular Sensitive Sea Areas</w:t>
      </w:r>
      <w:r w:rsidR="00923A0D" w:rsidRPr="005A1939">
        <w:rPr>
          <w:noProof/>
        </w:rPr>
        <w:t xml:space="preserve"> </w:t>
      </w:r>
      <w:r w:rsidR="00923A0D">
        <w:rPr>
          <w:noProof/>
        </w:rPr>
        <w:t>(</w:t>
      </w:r>
      <w:r w:rsidR="005A1939" w:rsidRPr="005A1939">
        <w:rPr>
          <w:noProof/>
        </w:rPr>
        <w:t>PSSAs</w:t>
      </w:r>
      <w:r w:rsidR="00923A0D">
        <w:rPr>
          <w:noProof/>
        </w:rPr>
        <w:t>)</w:t>
      </w:r>
      <w:r w:rsidR="005A1939" w:rsidRPr="005A1939">
        <w:rPr>
          <w:noProof/>
        </w:rPr>
        <w:t xml:space="preserve"> and Special Areas</w:t>
      </w:r>
      <w:r w:rsidR="005A1939">
        <w:rPr>
          <w:noProof/>
        </w:rPr>
        <w:t xml:space="preserve"> </w:t>
      </w:r>
      <w:r w:rsidRPr="005A1939">
        <w:rPr>
          <w:noProof/>
        </w:rPr>
        <w:t>had determined that the proposed</w:t>
      </w:r>
      <w:r>
        <w:rPr>
          <w:noProof/>
        </w:rPr>
        <w:t xml:space="preserve"> ECA satisfied the criteria set forth in Section 3 of Appendix III to MARPOL Annex VI</w:t>
      </w:r>
      <w:r w:rsidR="00E7529A">
        <w:rPr>
          <w:noProof/>
        </w:rPr>
        <w:t xml:space="preserve">. Having noted the outcome of the technical group, </w:t>
      </w:r>
      <w:r>
        <w:rPr>
          <w:noProof/>
        </w:rPr>
        <w:t xml:space="preserve">MEPC 83 approved the </w:t>
      </w:r>
      <w:r w:rsidRPr="000E7D55">
        <w:rPr>
          <w:noProof/>
          <w:lang w:val="en-IE"/>
        </w:rPr>
        <w:t>designation of an ECA for the control of SOx, PM and NOx, for the North-East Atlantic Ocean</w:t>
      </w:r>
      <w:r w:rsidR="00E7529A">
        <w:rPr>
          <w:noProof/>
          <w:lang w:val="en-IE"/>
        </w:rPr>
        <w:t xml:space="preserve"> </w:t>
      </w:r>
      <w:r w:rsidR="00E7529A" w:rsidRPr="00E7529A">
        <w:rPr>
          <w:noProof/>
        </w:rPr>
        <w:t>with a view to adoption at the extraordinary MEPC session in October 2025</w:t>
      </w:r>
      <w:r w:rsidR="007E7DC9">
        <w:rPr>
          <w:noProof/>
        </w:rPr>
        <w:t xml:space="preserve"> (</w:t>
      </w:r>
      <w:r w:rsidR="007E7DC9" w:rsidRPr="007E7DC9">
        <w:rPr>
          <w:noProof/>
        </w:rPr>
        <w:t>MEPC/ES.2</w:t>
      </w:r>
      <w:r w:rsidR="007E7DC9">
        <w:rPr>
          <w:noProof/>
        </w:rPr>
        <w:t>)</w:t>
      </w:r>
      <w:r w:rsidR="00E7529A" w:rsidRPr="00E7529A">
        <w:rPr>
          <w:noProof/>
        </w:rPr>
        <w:t xml:space="preserve">. </w:t>
      </w:r>
      <w:r>
        <w:rPr>
          <w:noProof/>
          <w:lang w:val="en-IE"/>
        </w:rPr>
        <w:t>The</w:t>
      </w:r>
      <w:r w:rsidR="00E7529A">
        <w:rPr>
          <w:noProof/>
          <w:lang w:val="en-IE"/>
        </w:rPr>
        <w:t>se</w:t>
      </w:r>
      <w:r>
        <w:rPr>
          <w:noProof/>
          <w:lang w:val="en-IE"/>
        </w:rPr>
        <w:t xml:space="preserve"> amendments have been circulated </w:t>
      </w:r>
      <w:r w:rsidR="00E7529A">
        <w:rPr>
          <w:noProof/>
          <w:lang w:val="en-IE"/>
        </w:rPr>
        <w:t xml:space="preserve">through IMO Circular Letter </w:t>
      </w:r>
      <w:r w:rsidR="00E7529A" w:rsidRPr="00E7529A">
        <w:rPr>
          <w:noProof/>
        </w:rPr>
        <w:t xml:space="preserve">No.5005 </w:t>
      </w:r>
      <w:r w:rsidR="00E7529A">
        <w:rPr>
          <w:noProof/>
        </w:rPr>
        <w:t xml:space="preserve">of </w:t>
      </w:r>
      <w:r w:rsidR="00E7529A" w:rsidRPr="00E7529A">
        <w:rPr>
          <w:noProof/>
        </w:rPr>
        <w:t>11 April 2025</w:t>
      </w:r>
      <w:r>
        <w:rPr>
          <w:noProof/>
          <w:lang w:val="en-IE"/>
        </w:rPr>
        <w:t>.</w:t>
      </w:r>
    </w:p>
    <w:p w:rsidR="00566D8E" w:rsidRPr="00221987" w:rsidRDefault="00C00CA7" w:rsidP="004A38D8">
      <w:pPr>
        <w:tabs>
          <w:tab w:val="left" w:pos="851"/>
        </w:tabs>
        <w:rPr>
          <w:noProof/>
        </w:rPr>
      </w:pPr>
      <w:r>
        <w:rPr>
          <w:noProof/>
        </w:rPr>
        <w:t xml:space="preserve">The Union </w:t>
      </w:r>
      <w:r w:rsidR="001B6143">
        <w:rPr>
          <w:noProof/>
        </w:rPr>
        <w:t>should</w:t>
      </w:r>
      <w:r>
        <w:rPr>
          <w:noProof/>
        </w:rPr>
        <w:t xml:space="preserve"> </w:t>
      </w:r>
      <w:r w:rsidRPr="00C00CA7">
        <w:rPr>
          <w:noProof/>
        </w:rPr>
        <w:t xml:space="preserve">support the proposal </w:t>
      </w:r>
      <w:r w:rsidR="000E7D55">
        <w:rPr>
          <w:noProof/>
        </w:rPr>
        <w:t xml:space="preserve">set out in the revised draft amendments </w:t>
      </w:r>
      <w:r w:rsidRPr="00C00CA7">
        <w:rPr>
          <w:noProof/>
        </w:rPr>
        <w:t xml:space="preserve">to designate the </w:t>
      </w:r>
      <w:r w:rsidRPr="002A131A">
        <w:rPr>
          <w:noProof/>
        </w:rPr>
        <w:t xml:space="preserve">North-East Atlantic </w:t>
      </w:r>
      <w:r w:rsidRPr="002408A0">
        <w:rPr>
          <w:noProof/>
        </w:rPr>
        <w:t>Ocean as an Emission Control Area for sulphur oxides, particulate matter and nitrogen oxides, pursuant to MARPOL Annex VI</w:t>
      </w:r>
      <w:r w:rsidR="00566D8E">
        <w:rPr>
          <w:noProof/>
        </w:rPr>
        <w:t>, because it will contribute to preventing, reducing, and controlling NO</w:t>
      </w:r>
      <w:r w:rsidR="00566D8E">
        <w:rPr>
          <w:noProof/>
          <w:vertAlign w:val="subscript"/>
        </w:rPr>
        <w:t>x</w:t>
      </w:r>
      <w:r w:rsidR="00566D8E">
        <w:rPr>
          <w:noProof/>
        </w:rPr>
        <w:t>, SO</w:t>
      </w:r>
      <w:r w:rsidR="00566D8E">
        <w:rPr>
          <w:noProof/>
          <w:vertAlign w:val="subscript"/>
        </w:rPr>
        <w:t>x</w:t>
      </w:r>
      <w:r w:rsidR="00566D8E">
        <w:rPr>
          <w:noProof/>
        </w:rPr>
        <w:t xml:space="preserve"> and PM emissions from ships to achieve related health and environmental benefits while keeping the economic impact to the maritime sector manageable. </w:t>
      </w:r>
    </w:p>
    <w:p w:rsidR="00D13F5B" w:rsidRPr="002408A0" w:rsidRDefault="00F97BE1" w:rsidP="00F97BE1">
      <w:pPr>
        <w:pStyle w:val="ManualHeading2"/>
        <w:rPr>
          <w:bCs/>
          <w:noProof/>
        </w:rPr>
      </w:pPr>
      <w:r w:rsidRPr="00F97BE1">
        <w:rPr>
          <w:noProof/>
        </w:rPr>
        <w:t>3.2.</w:t>
      </w:r>
      <w:r w:rsidRPr="00F97BE1">
        <w:rPr>
          <w:noProof/>
        </w:rPr>
        <w:tab/>
      </w:r>
      <w:r w:rsidR="00812396" w:rsidRPr="002408A0">
        <w:rPr>
          <w:noProof/>
          <w:lang w:val="en-IE"/>
        </w:rPr>
        <w:t xml:space="preserve">Amendments to </w:t>
      </w:r>
      <w:r w:rsidR="00D75103" w:rsidRPr="002408A0">
        <w:rPr>
          <w:noProof/>
          <w:lang w:val="en-IE"/>
        </w:rPr>
        <w:t>regulations 20, 25, 27 and 28</w:t>
      </w:r>
      <w:r w:rsidR="007E7DC9">
        <w:rPr>
          <w:noProof/>
          <w:lang w:val="en-IE"/>
        </w:rPr>
        <w:t xml:space="preserve"> </w:t>
      </w:r>
      <w:r w:rsidR="007E7DC9" w:rsidRPr="00680829">
        <w:rPr>
          <w:noProof/>
          <w:lang w:val="en-IE"/>
        </w:rPr>
        <w:t>of MARPOL Annex VI</w:t>
      </w:r>
    </w:p>
    <w:p w:rsidR="007E7DC9" w:rsidRDefault="007E7DC9" w:rsidP="004A38D8">
      <w:pPr>
        <w:rPr>
          <w:noProof/>
        </w:rPr>
      </w:pPr>
      <w:r>
        <w:rPr>
          <w:noProof/>
        </w:rPr>
        <w:t xml:space="preserve">MEPC 82 had established the Correspondence Group on the review of the short-term GHG reduction measure, under the joint </w:t>
      </w:r>
      <w:r w:rsidRPr="004A32BB">
        <w:rPr>
          <w:noProof/>
        </w:rPr>
        <w:t>coordination of Brazil, Japan and the European Commission</w:t>
      </w:r>
      <w:r>
        <w:rPr>
          <w:noProof/>
        </w:rPr>
        <w:t xml:space="preserve">. </w:t>
      </w:r>
    </w:p>
    <w:p w:rsidR="007E7DC9" w:rsidRDefault="007E7DC9" w:rsidP="004A38D8">
      <w:pPr>
        <w:rPr>
          <w:noProof/>
        </w:rPr>
      </w:pPr>
      <w:r>
        <w:rPr>
          <w:noProof/>
        </w:rPr>
        <w:t>At its first meeting, the Intersessional Working Group on Air Pollution and Energy Efficiency (ISWG-APEE 1) considered among other topics the a</w:t>
      </w:r>
      <w:r w:rsidRPr="00324D68">
        <w:rPr>
          <w:noProof/>
        </w:rPr>
        <w:t xml:space="preserve">ccessibility of </w:t>
      </w:r>
      <w:r w:rsidR="00EB5B26">
        <w:rPr>
          <w:noProof/>
        </w:rPr>
        <w:t xml:space="preserve">IMO </w:t>
      </w:r>
      <w:r w:rsidR="00EB5B26" w:rsidRPr="00BA490A">
        <w:rPr>
          <w:rFonts w:eastAsia="Arial Unicode MS"/>
          <w:noProof/>
        </w:rPr>
        <w:t xml:space="preserve">Ship Fuel Oil Consumption Database (IMO DCS) </w:t>
      </w:r>
      <w:r w:rsidRPr="00324D68">
        <w:rPr>
          <w:noProof/>
        </w:rPr>
        <w:t>data for analysis</w:t>
      </w:r>
      <w:r>
        <w:rPr>
          <w:noProof/>
        </w:rPr>
        <w:t xml:space="preserve"> and the</w:t>
      </w:r>
      <w:r w:rsidRPr="00324D68">
        <w:rPr>
          <w:noProof/>
        </w:rPr>
        <w:t xml:space="preserve"> review clause</w:t>
      </w:r>
      <w:r>
        <w:rPr>
          <w:noProof/>
        </w:rPr>
        <w:t xml:space="preserve"> </w:t>
      </w:r>
      <w:r w:rsidRPr="00324D68">
        <w:rPr>
          <w:noProof/>
        </w:rPr>
        <w:t>of the short-term GHG reduction measure</w:t>
      </w:r>
      <w:r>
        <w:rPr>
          <w:noProof/>
        </w:rPr>
        <w:t xml:space="preserve">. </w:t>
      </w:r>
    </w:p>
    <w:p w:rsidR="000B6AF2" w:rsidRDefault="000B6AF2" w:rsidP="004A38D8">
      <w:pPr>
        <w:rPr>
          <w:noProof/>
        </w:rPr>
      </w:pPr>
      <w:r>
        <w:rPr>
          <w:noProof/>
        </w:rPr>
        <w:t>With regard to the a</w:t>
      </w:r>
      <w:r w:rsidRPr="00324D68">
        <w:rPr>
          <w:noProof/>
        </w:rPr>
        <w:t>ccessibility of IMO DCS data</w:t>
      </w:r>
      <w:r>
        <w:rPr>
          <w:noProof/>
        </w:rPr>
        <w:t xml:space="preserve">, </w:t>
      </w:r>
      <w:r w:rsidR="004A32BB">
        <w:rPr>
          <w:noProof/>
        </w:rPr>
        <w:t>ISWG-APEE 1 considered the report of the Correspondence Group, which had agreed to</w:t>
      </w:r>
      <w:r w:rsidR="004A32BB" w:rsidRPr="004A32BB">
        <w:rPr>
          <w:noProof/>
        </w:rPr>
        <w:t xml:space="preserve"> improve the IMO DCS data accessibility at Phase 1</w:t>
      </w:r>
      <w:r w:rsidR="001A38FB">
        <w:rPr>
          <w:noProof/>
        </w:rPr>
        <w:t>.</w:t>
      </w:r>
      <w:r w:rsidR="001A38FB" w:rsidRPr="001A38FB">
        <w:rPr>
          <w:noProof/>
        </w:rPr>
        <w:t xml:space="preserve"> Following considerations, the Group prepared draft amendments to regulation 27 of MARPOL Annex VI</w:t>
      </w:r>
      <w:r w:rsidR="001A38FB">
        <w:rPr>
          <w:noProof/>
        </w:rPr>
        <w:t xml:space="preserve">. </w:t>
      </w:r>
    </w:p>
    <w:p w:rsidR="001A38FB" w:rsidRDefault="001A38FB" w:rsidP="004A38D8">
      <w:pPr>
        <w:rPr>
          <w:noProof/>
        </w:rPr>
      </w:pPr>
      <w:r>
        <w:rPr>
          <w:noProof/>
        </w:rPr>
        <w:t xml:space="preserve">MEPC 83 </w:t>
      </w:r>
      <w:r w:rsidRPr="00010D52">
        <w:rPr>
          <w:noProof/>
        </w:rPr>
        <w:t>instructed the APEE Working Group</w:t>
      </w:r>
      <w:r>
        <w:rPr>
          <w:noProof/>
        </w:rPr>
        <w:t xml:space="preserve"> among others to</w:t>
      </w:r>
      <w:r w:rsidRPr="00010D52">
        <w:rPr>
          <w:noProof/>
        </w:rPr>
        <w:t xml:space="preserve"> finaliz</w:t>
      </w:r>
      <w:r>
        <w:rPr>
          <w:noProof/>
        </w:rPr>
        <w:t>e</w:t>
      </w:r>
      <w:r w:rsidRPr="00010D52">
        <w:rPr>
          <w:noProof/>
        </w:rPr>
        <w:t xml:space="preserve"> draft amendments to MARPOL Annex VI and associated guidelines regarding IMO DCS accessibility</w:t>
      </w:r>
      <w:r w:rsidR="000B6AF2">
        <w:rPr>
          <w:noProof/>
        </w:rPr>
        <w:t>.</w:t>
      </w:r>
    </w:p>
    <w:p w:rsidR="001A38FB" w:rsidRDefault="14FA6B85" w:rsidP="004A38D8">
      <w:pPr>
        <w:rPr>
          <w:noProof/>
        </w:rPr>
      </w:pPr>
      <w:r>
        <w:rPr>
          <w:noProof/>
        </w:rPr>
        <w:t xml:space="preserve">Having noted that the Working Group had further considered the draft amendments to regulation 27 of MARPOL Annex VI and to associated guidelines regarding IMO DCS accessibility prepared by ISWG-APEE 1, </w:t>
      </w:r>
      <w:r w:rsidR="5CE20306">
        <w:rPr>
          <w:noProof/>
        </w:rPr>
        <w:t>MEPC 83</w:t>
      </w:r>
      <w:r>
        <w:rPr>
          <w:noProof/>
        </w:rPr>
        <w:t xml:space="preserve"> approved draft amendments to regulation 27 of MARPOL Annex VI on IMO DCS accessibility</w:t>
      </w:r>
      <w:r w:rsidR="5CE20306">
        <w:rPr>
          <w:noProof/>
        </w:rPr>
        <w:t>, with a view to adoption at the extraordinary MEPC session in October 2025 (MEPC/ES.2)</w:t>
      </w:r>
      <w:r>
        <w:rPr>
          <w:noProof/>
        </w:rPr>
        <w:t>.</w:t>
      </w:r>
      <w:r w:rsidR="5CE20306">
        <w:rPr>
          <w:noProof/>
        </w:rPr>
        <w:t xml:space="preserve"> These amendments have been circulated by the </w:t>
      </w:r>
      <w:r w:rsidR="00086417">
        <w:rPr>
          <w:noProof/>
        </w:rPr>
        <w:t xml:space="preserve">IMO </w:t>
      </w:r>
      <w:r w:rsidR="00315E52">
        <w:rPr>
          <w:noProof/>
        </w:rPr>
        <w:t xml:space="preserve">Secretariat </w:t>
      </w:r>
      <w:r w:rsidR="5CE20306">
        <w:rPr>
          <w:noProof/>
        </w:rPr>
        <w:t>through IMO Circular Letter No.5005 of 11 April 2025.</w:t>
      </w:r>
    </w:p>
    <w:p w:rsidR="00AF3121" w:rsidRDefault="00AF3121" w:rsidP="004A38D8">
      <w:pPr>
        <w:rPr>
          <w:noProof/>
        </w:rPr>
      </w:pPr>
      <w:r>
        <w:rPr>
          <w:noProof/>
        </w:rPr>
        <w:t xml:space="preserve">The Union submitted a proposal on the matter (ISWG-GHG 13/7), asking to </w:t>
      </w:r>
      <w:r w:rsidRPr="00AF3121">
        <w:rPr>
          <w:noProof/>
        </w:rPr>
        <w:t>amend the DCS related to the granularity of data, additional data and</w:t>
      </w:r>
      <w:r>
        <w:rPr>
          <w:noProof/>
        </w:rPr>
        <w:t xml:space="preserve"> accessibility.  The draft amendments are coherent with ISWG-GHG 13/7 in relation to increased accessibility.</w:t>
      </w:r>
    </w:p>
    <w:p w:rsidR="007E7DC9" w:rsidRDefault="007E7DC9" w:rsidP="004A38D8">
      <w:pPr>
        <w:rPr>
          <w:noProof/>
        </w:rPr>
      </w:pPr>
      <w:r>
        <w:rPr>
          <w:noProof/>
        </w:rPr>
        <w:t>The Union’s position at ISWG-APEE 1 and MEPC 83 was to support the draft amendments to regulation 27</w:t>
      </w:r>
      <w:r w:rsidR="004A38D8">
        <w:rPr>
          <w:noProof/>
        </w:rPr>
        <w:t>.</w:t>
      </w:r>
    </w:p>
    <w:p w:rsidR="00EB5B26" w:rsidRDefault="00EB5B26" w:rsidP="00EB5B26">
      <w:pPr>
        <w:rPr>
          <w:noProof/>
        </w:rPr>
      </w:pPr>
      <w:r>
        <w:rPr>
          <w:noProof/>
        </w:rPr>
        <w:t>The Union should support these amendments because they will further improve the accessibility of IMO DCS data to ensure the robust implementation of the CII framework and to facilitate its review.</w:t>
      </w:r>
    </w:p>
    <w:p w:rsidR="00324D68" w:rsidRDefault="000B6AF2" w:rsidP="004A38D8">
      <w:pPr>
        <w:rPr>
          <w:noProof/>
        </w:rPr>
      </w:pPr>
      <w:r>
        <w:rPr>
          <w:noProof/>
        </w:rPr>
        <w:t xml:space="preserve">With regard to the </w:t>
      </w:r>
      <w:r w:rsidRPr="000B6AF2">
        <w:rPr>
          <w:noProof/>
        </w:rPr>
        <w:t>clauses on the review of the short-term measure</w:t>
      </w:r>
      <w:r>
        <w:rPr>
          <w:noProof/>
        </w:rPr>
        <w:t xml:space="preserve">, ISWG-APEE 1 </w:t>
      </w:r>
      <w:r w:rsidRPr="000B6AF2">
        <w:rPr>
          <w:noProof/>
        </w:rPr>
        <w:t>prepared draft amendments to regulations 20, 25 and 28 of MARPOL Annex VI, using the annex to document MEPC 83/6/11</w:t>
      </w:r>
      <w:r w:rsidR="007E7DC9">
        <w:rPr>
          <w:noProof/>
        </w:rPr>
        <w:t xml:space="preserve">, prepared </w:t>
      </w:r>
      <w:r w:rsidR="007E7DC9" w:rsidRPr="007E7DC9">
        <w:rPr>
          <w:noProof/>
        </w:rPr>
        <w:t xml:space="preserve">by the Correspondence Group on </w:t>
      </w:r>
      <w:r w:rsidR="00AF3121">
        <w:rPr>
          <w:noProof/>
        </w:rPr>
        <w:t xml:space="preserve">an update of the reference to the IMO Strategy and on </w:t>
      </w:r>
      <w:r w:rsidR="007E7DC9" w:rsidRPr="007E7DC9">
        <w:rPr>
          <w:noProof/>
        </w:rPr>
        <w:t>the Review of the Short-term GHG Reduction Measure</w:t>
      </w:r>
      <w:r w:rsidR="007E7DC9">
        <w:rPr>
          <w:noProof/>
        </w:rPr>
        <w:t xml:space="preserve">, </w:t>
      </w:r>
      <w:r w:rsidRPr="000B6AF2">
        <w:rPr>
          <w:noProof/>
        </w:rPr>
        <w:t>as a basis</w:t>
      </w:r>
      <w:r w:rsidR="006632B0">
        <w:rPr>
          <w:noProof/>
        </w:rPr>
        <w:t>.</w:t>
      </w:r>
    </w:p>
    <w:p w:rsidR="00324D68" w:rsidRDefault="007E7DC9" w:rsidP="004A38D8">
      <w:pPr>
        <w:rPr>
          <w:noProof/>
        </w:rPr>
      </w:pPr>
      <w:r>
        <w:rPr>
          <w:noProof/>
        </w:rPr>
        <w:t>MEPC 83</w:t>
      </w:r>
      <w:r w:rsidR="00324D68" w:rsidRPr="00324D68">
        <w:rPr>
          <w:noProof/>
        </w:rPr>
        <w:t xml:space="preserve"> approved the draft amendments to regulations 20, 25 and 28 of MARPOL Annex VI </w:t>
      </w:r>
      <w:r w:rsidR="0045518D" w:rsidRPr="00E7529A">
        <w:rPr>
          <w:noProof/>
        </w:rPr>
        <w:t>with a view to adoption at the extraordinary MEPC session in October 2025</w:t>
      </w:r>
      <w:r w:rsidR="0045518D">
        <w:rPr>
          <w:noProof/>
        </w:rPr>
        <w:t xml:space="preserve"> (</w:t>
      </w:r>
      <w:r w:rsidR="0045518D" w:rsidRPr="007E7DC9">
        <w:rPr>
          <w:noProof/>
        </w:rPr>
        <w:t>MEPC/ES.2</w:t>
      </w:r>
      <w:r w:rsidR="0045518D">
        <w:rPr>
          <w:noProof/>
        </w:rPr>
        <w:t xml:space="preserve">). </w:t>
      </w:r>
      <w:r w:rsidR="0045518D" w:rsidRPr="007E7DC9">
        <w:rPr>
          <w:noProof/>
        </w:rPr>
        <w:t xml:space="preserve">These amendments have been circulated by the </w:t>
      </w:r>
      <w:r w:rsidR="00086417">
        <w:rPr>
          <w:noProof/>
        </w:rPr>
        <w:t xml:space="preserve">IMO </w:t>
      </w:r>
      <w:r w:rsidR="00234A8A">
        <w:rPr>
          <w:noProof/>
        </w:rPr>
        <w:t xml:space="preserve">Secretariat </w:t>
      </w:r>
      <w:r w:rsidR="0045518D" w:rsidRPr="007E7DC9">
        <w:rPr>
          <w:noProof/>
        </w:rPr>
        <w:t>through IMO Circular Letter No.5005 of 11 April 2025</w:t>
      </w:r>
      <w:r w:rsidR="00324D68" w:rsidRPr="00324D68">
        <w:rPr>
          <w:noProof/>
        </w:rPr>
        <w:t>.</w:t>
      </w:r>
    </w:p>
    <w:p w:rsidR="007E7DC9" w:rsidRPr="001B6143" w:rsidRDefault="007E7DC9" w:rsidP="004A38D8">
      <w:pPr>
        <w:rPr>
          <w:noProof/>
        </w:rPr>
      </w:pPr>
      <w:r w:rsidRPr="005A1939">
        <w:rPr>
          <w:noProof/>
        </w:rPr>
        <w:t>The Union’s position at ISWG-APEE 1 and MEPC 83 was to support the draft amendments as presented in MEPC 83/6/11.</w:t>
      </w:r>
    </w:p>
    <w:p w:rsidR="0045518D" w:rsidRPr="004A38D8" w:rsidRDefault="0045518D" w:rsidP="004A38D8">
      <w:pPr>
        <w:rPr>
          <w:noProof/>
        </w:rPr>
      </w:pPr>
      <w:r w:rsidRPr="005A1939">
        <w:rPr>
          <w:noProof/>
        </w:rPr>
        <w:t>The Union</w:t>
      </w:r>
      <w:r w:rsidR="001B6143" w:rsidRPr="005A1939">
        <w:rPr>
          <w:noProof/>
        </w:rPr>
        <w:t xml:space="preserve"> should support these amendments because </w:t>
      </w:r>
      <w:r w:rsidR="00AF3121" w:rsidRPr="005A1939">
        <w:rPr>
          <w:noProof/>
        </w:rPr>
        <w:t>they</w:t>
      </w:r>
      <w:r w:rsidR="00AF3121" w:rsidRPr="00AF3121">
        <w:rPr>
          <w:noProof/>
        </w:rPr>
        <w:t xml:space="preserve"> </w:t>
      </w:r>
      <w:r w:rsidR="00AF3121">
        <w:rPr>
          <w:noProof/>
        </w:rPr>
        <w:t xml:space="preserve">are </w:t>
      </w:r>
      <w:r w:rsidR="00AF3121" w:rsidRPr="00AF3121">
        <w:rPr>
          <w:noProof/>
        </w:rPr>
        <w:t xml:space="preserve">consequential to the </w:t>
      </w:r>
      <w:r w:rsidR="00AF3121">
        <w:rPr>
          <w:noProof/>
        </w:rPr>
        <w:t xml:space="preserve">adoption of the 2023 GHG IMO Strategy and consequential to the finalization </w:t>
      </w:r>
      <w:r w:rsidR="00AF3121" w:rsidRPr="00AF3121">
        <w:rPr>
          <w:noProof/>
        </w:rPr>
        <w:t xml:space="preserve">of the review </w:t>
      </w:r>
      <w:r w:rsidR="00AF3121">
        <w:rPr>
          <w:noProof/>
        </w:rPr>
        <w:t xml:space="preserve">of the Short Term Measures </w:t>
      </w:r>
      <w:r w:rsidR="00AF3121" w:rsidRPr="00AF3121">
        <w:rPr>
          <w:noProof/>
        </w:rPr>
        <w:t>by the IMO and allows for further review of these regulations</w:t>
      </w:r>
      <w:r w:rsidR="00AF3121">
        <w:rPr>
          <w:noProof/>
        </w:rPr>
        <w:t>.</w:t>
      </w:r>
    </w:p>
    <w:p w:rsidR="006B3056" w:rsidRPr="006C2C12" w:rsidRDefault="00F97BE1" w:rsidP="00F97BE1">
      <w:pPr>
        <w:pStyle w:val="ManualHeading2"/>
        <w:rPr>
          <w:bCs/>
          <w:noProof/>
          <w:lang w:val="en-IE"/>
        </w:rPr>
      </w:pPr>
      <w:bookmarkStart w:id="8" w:name="_Hlk189742104"/>
      <w:r w:rsidRPr="00F97BE1">
        <w:rPr>
          <w:noProof/>
        </w:rPr>
        <w:t>3.3.</w:t>
      </w:r>
      <w:r w:rsidRPr="00F97BE1">
        <w:rPr>
          <w:noProof/>
        </w:rPr>
        <w:tab/>
      </w:r>
      <w:r w:rsidR="00D22586">
        <w:rPr>
          <w:noProof/>
          <w:lang w:val="en-IE"/>
        </w:rPr>
        <w:t>Introduction</w:t>
      </w:r>
      <w:r w:rsidR="006B3056" w:rsidRPr="006C2C12">
        <w:rPr>
          <w:noProof/>
          <w:lang w:val="en-IE"/>
        </w:rPr>
        <w:t xml:space="preserve"> </w:t>
      </w:r>
      <w:r w:rsidR="004A38D8">
        <w:rPr>
          <w:noProof/>
          <w:lang w:val="en-IE"/>
        </w:rPr>
        <w:t>of</w:t>
      </w:r>
      <w:r w:rsidR="006B3056" w:rsidRPr="006C2C12">
        <w:rPr>
          <w:noProof/>
          <w:lang w:val="en-IE"/>
        </w:rPr>
        <w:t xml:space="preserve"> </w:t>
      </w:r>
      <w:r w:rsidR="006C2C12" w:rsidRPr="006C2C12">
        <w:rPr>
          <w:noProof/>
          <w:lang w:val="en-IE"/>
        </w:rPr>
        <w:t xml:space="preserve">the </w:t>
      </w:r>
      <w:r w:rsidR="00D75103" w:rsidRPr="006C2C12">
        <w:rPr>
          <w:noProof/>
          <w:lang w:val="en-IE"/>
        </w:rPr>
        <w:t>new chapter 5</w:t>
      </w:r>
      <w:r w:rsidR="00D22586" w:rsidRPr="00D22586">
        <w:rPr>
          <w:noProof/>
        </w:rPr>
        <w:t xml:space="preserve"> </w:t>
      </w:r>
      <w:r w:rsidR="00D22586" w:rsidRPr="00D22586">
        <w:rPr>
          <w:noProof/>
          <w:lang w:val="en-IE"/>
        </w:rPr>
        <w:t>to MARPOL Annex VI</w:t>
      </w:r>
    </w:p>
    <w:bookmarkEnd w:id="8"/>
    <w:p w:rsidR="002207FA" w:rsidRDefault="3012D4C1" w:rsidP="004A38D8">
      <w:pPr>
        <w:rPr>
          <w:noProof/>
        </w:rPr>
      </w:pPr>
      <w:r>
        <w:rPr>
          <w:noProof/>
        </w:rPr>
        <w:t xml:space="preserve">At MEPC 76 in 2021, the Committee </w:t>
      </w:r>
      <w:r w:rsidR="48A2BC97">
        <w:rPr>
          <w:noProof/>
        </w:rPr>
        <w:t>approved</w:t>
      </w:r>
      <w:r>
        <w:rPr>
          <w:noProof/>
        </w:rPr>
        <w:t xml:space="preserve"> a Workplan for </w:t>
      </w:r>
      <w:r w:rsidR="48A2BC97">
        <w:rPr>
          <w:noProof/>
        </w:rPr>
        <w:t>m</w:t>
      </w:r>
      <w:r>
        <w:rPr>
          <w:noProof/>
        </w:rPr>
        <w:t xml:space="preserve">id- and </w:t>
      </w:r>
      <w:r w:rsidR="48A2BC97">
        <w:rPr>
          <w:noProof/>
        </w:rPr>
        <w:t>l</w:t>
      </w:r>
      <w:r>
        <w:rPr>
          <w:noProof/>
        </w:rPr>
        <w:t xml:space="preserve">ong-Term measures. </w:t>
      </w:r>
      <w:r w:rsidR="48A2BC97">
        <w:rPr>
          <w:noProof/>
        </w:rPr>
        <w:t>During the discussions in subsequent MEPC and ISWG-GHG sessions</w:t>
      </w:r>
      <w:r w:rsidR="00086417">
        <w:rPr>
          <w:noProof/>
        </w:rPr>
        <w:t xml:space="preserve">, </w:t>
      </w:r>
      <w:r w:rsidR="65B17A4C">
        <w:rPr>
          <w:noProof/>
        </w:rPr>
        <w:t>delegates' divergent views progressively neared on outstanding aspects such as the timeline leading international shipping to zero GHG emissions, the possible inclusion of upstream emissions from fuel production and distribution, the nature (economic or technical) of the measures and the number and possible combination of measures necessary to achieve any overarching objective.</w:t>
      </w:r>
    </w:p>
    <w:p w:rsidR="00D22586" w:rsidRDefault="48A2BC97" w:rsidP="004A38D8">
      <w:pPr>
        <w:rPr>
          <w:noProof/>
        </w:rPr>
      </w:pPr>
      <w:r>
        <w:rPr>
          <w:noProof/>
        </w:rPr>
        <w:t>MEPC 80 agreed to initiate Phase III of the Work Plan on the development of mid-term measures, with a view to be approved by MEPC 83 (Spring 2025)</w:t>
      </w:r>
      <w:r w:rsidR="0A56CD8D">
        <w:rPr>
          <w:noProof/>
        </w:rPr>
        <w:t xml:space="preserve">. </w:t>
      </w:r>
      <w:r w:rsidR="2BB650F2">
        <w:rPr>
          <w:noProof/>
        </w:rPr>
        <w:t>A</w:t>
      </w:r>
      <w:r>
        <w:rPr>
          <w:noProof/>
        </w:rPr>
        <w:t xml:space="preserve">doption during an extraordinary MEPC (six months after MEPC 83 – autumn 2025) </w:t>
      </w:r>
      <w:r w:rsidR="276C8153">
        <w:rPr>
          <w:noProof/>
        </w:rPr>
        <w:t xml:space="preserve">has been agreed </w:t>
      </w:r>
      <w:r>
        <w:rPr>
          <w:noProof/>
        </w:rPr>
        <w:t xml:space="preserve">in order to come into force 16 months after adoption (2027). </w:t>
      </w:r>
    </w:p>
    <w:p w:rsidR="00D22586" w:rsidRDefault="00D22586" w:rsidP="004A38D8">
      <w:pPr>
        <w:rPr>
          <w:noProof/>
        </w:rPr>
      </w:pPr>
      <w:r>
        <w:rPr>
          <w:noProof/>
        </w:rPr>
        <w:t xml:space="preserve">ISWG-GHG 16 held ahead of MEPC 81 discussed ways how to develop the basket of candidate </w:t>
      </w:r>
      <w:r w:rsidR="004A38D8">
        <w:rPr>
          <w:noProof/>
        </w:rPr>
        <w:t>mid-term measures</w:t>
      </w:r>
      <w:r>
        <w:rPr>
          <w:noProof/>
        </w:rPr>
        <w:t xml:space="preserve"> to achieve the targets of the 2023 IMO GHG Strategy. ISWG-GHG 17 further developed </w:t>
      </w:r>
      <w:r w:rsidRPr="00D22586">
        <w:rPr>
          <w:noProof/>
        </w:rPr>
        <w:t>the basket of candidate mid-term measure(s) and, in particular, agreed to use the possible draft amendments to MARPOL Annex VI on the net-zero framework as the basis for further consideration</w:t>
      </w:r>
      <w:r>
        <w:rPr>
          <w:noProof/>
        </w:rPr>
        <w:t xml:space="preserve">. This progress was noted by MEPC 82. </w:t>
      </w:r>
    </w:p>
    <w:p w:rsidR="00D22586" w:rsidRDefault="48A2BC97" w:rsidP="004A38D8">
      <w:pPr>
        <w:rPr>
          <w:noProof/>
        </w:rPr>
      </w:pPr>
      <w:r>
        <w:rPr>
          <w:noProof/>
        </w:rPr>
        <w:t xml:space="preserve">During ISWG-GHG 18, further discussion took place on how to develop the basket of candidate mid-term measures to achieve the targets of the 2023 IMO GHG Strategy by further developing the draft amendments to MARPOL Annex VI on the 'IMO net-zero framework. Although there was willingness to achieve consensus several issues remained open and there was still strong disagreement as regards the economic element. The majority of delegations, including the Union, advocated for a levy mechanism, while other delegations </w:t>
      </w:r>
      <w:r w:rsidR="29561048">
        <w:rPr>
          <w:noProof/>
        </w:rPr>
        <w:t>favour</w:t>
      </w:r>
      <w:r w:rsidR="701D8527">
        <w:rPr>
          <w:noProof/>
        </w:rPr>
        <w:t>ed</w:t>
      </w:r>
      <w:r w:rsidR="29561048">
        <w:rPr>
          <w:noProof/>
        </w:rPr>
        <w:t xml:space="preserve"> </w:t>
      </w:r>
      <w:r w:rsidR="008323DC">
        <w:rPr>
          <w:noProof/>
        </w:rPr>
        <w:t xml:space="preserve">a flexible </w:t>
      </w:r>
      <w:r w:rsidR="006638FB">
        <w:rPr>
          <w:noProof/>
        </w:rPr>
        <w:t>economic mechanism revolving around the GHG intensity levels of fuel</w:t>
      </w:r>
      <w:r w:rsidR="0D76EE8F">
        <w:rPr>
          <w:noProof/>
        </w:rPr>
        <w:t xml:space="preserve">. </w:t>
      </w:r>
      <w:r w:rsidR="4ED3879B">
        <w:rPr>
          <w:noProof/>
        </w:rPr>
        <w:t>During and immediately after ISWG-GHG 18, IMO Parties tabled</w:t>
      </w:r>
      <w:r w:rsidR="00CA363D">
        <w:rPr>
          <w:noProof/>
        </w:rPr>
        <w:t xml:space="preserve"> two distinct</w:t>
      </w:r>
      <w:r w:rsidR="4ED3879B">
        <w:rPr>
          <w:noProof/>
        </w:rPr>
        <w:t xml:space="preserve"> proposals to </w:t>
      </w:r>
      <w:r w:rsidR="589E31EE">
        <w:rPr>
          <w:noProof/>
        </w:rPr>
        <w:t>compose divergences</w:t>
      </w:r>
      <w:r w:rsidR="4ED3879B">
        <w:rPr>
          <w:noProof/>
        </w:rPr>
        <w:t xml:space="preserve">. </w:t>
      </w:r>
    </w:p>
    <w:p w:rsidR="008273A9" w:rsidRDefault="008273A9" w:rsidP="004A38D8">
      <w:pPr>
        <w:rPr>
          <w:noProof/>
        </w:rPr>
      </w:pPr>
      <w:r>
        <w:rPr>
          <w:noProof/>
        </w:rPr>
        <w:t xml:space="preserve">ISWG-GHG 19 continued the work on the development of an IMO net-zero framework, which continued during MEPC 83 at the </w:t>
      </w:r>
      <w:r w:rsidRPr="008273A9">
        <w:rPr>
          <w:noProof/>
        </w:rPr>
        <w:t>Working Group on Reduction of GHG Emissions from Ships</w:t>
      </w:r>
      <w:r>
        <w:rPr>
          <w:noProof/>
        </w:rPr>
        <w:t>. Following extensive discussion</w:t>
      </w:r>
      <w:r w:rsidR="005631EF">
        <w:rPr>
          <w:noProof/>
        </w:rPr>
        <w:t xml:space="preserve">, </w:t>
      </w:r>
      <w:r w:rsidR="005631EF" w:rsidRPr="005631EF">
        <w:rPr>
          <w:noProof/>
        </w:rPr>
        <w:t xml:space="preserve">the </w:t>
      </w:r>
      <w:r w:rsidR="005631EF">
        <w:rPr>
          <w:noProof/>
        </w:rPr>
        <w:t xml:space="preserve">Working </w:t>
      </w:r>
      <w:r w:rsidR="005631EF" w:rsidRPr="005631EF">
        <w:rPr>
          <w:noProof/>
        </w:rPr>
        <w:t>Group finalized and agreed to the draft amendments to MARPOL Annex VI on the IMO net-zero framework</w:t>
      </w:r>
      <w:r w:rsidR="005631EF">
        <w:rPr>
          <w:noProof/>
        </w:rPr>
        <w:t xml:space="preserve">. </w:t>
      </w:r>
    </w:p>
    <w:p w:rsidR="005631EF" w:rsidRDefault="58158F88" w:rsidP="004A38D8">
      <w:pPr>
        <w:rPr>
          <w:noProof/>
        </w:rPr>
      </w:pPr>
      <w:r>
        <w:rPr>
          <w:noProof/>
        </w:rPr>
        <w:t xml:space="preserve">During the consideration of the reports of ISWG-GHG 19 and the Working Group on Reduction of GHG Emissions from Ships, </w:t>
      </w:r>
      <w:r w:rsidR="1276B7F0">
        <w:rPr>
          <w:noProof/>
        </w:rPr>
        <w:t xml:space="preserve">one </w:t>
      </w:r>
      <w:r>
        <w:rPr>
          <w:noProof/>
        </w:rPr>
        <w:t xml:space="preserve">IMO Party requested a roll-call vote in relation to the approval of the draft amendments to MARPOL Annex VI on the IMO net-zero framework. The roll-call voted </w:t>
      </w:r>
      <w:r w:rsidR="344739BE">
        <w:rPr>
          <w:noProof/>
        </w:rPr>
        <w:t xml:space="preserve">resulted in </w:t>
      </w:r>
      <w:r>
        <w:rPr>
          <w:noProof/>
        </w:rPr>
        <w:t>63 affirmative</w:t>
      </w:r>
      <w:r w:rsidR="2669BA8C">
        <w:rPr>
          <w:noProof/>
        </w:rPr>
        <w:t>,</w:t>
      </w:r>
      <w:r>
        <w:rPr>
          <w:noProof/>
        </w:rPr>
        <w:t xml:space="preserve"> 16 negative votes casted</w:t>
      </w:r>
      <w:r w:rsidR="3FB9F76D">
        <w:rPr>
          <w:noProof/>
        </w:rPr>
        <w:t>,</w:t>
      </w:r>
      <w:r w:rsidR="538C07C0">
        <w:rPr>
          <w:noProof/>
        </w:rPr>
        <w:t xml:space="preserve"> while</w:t>
      </w:r>
      <w:r w:rsidR="2D84174A">
        <w:rPr>
          <w:noProof/>
        </w:rPr>
        <w:t xml:space="preserve"> </w:t>
      </w:r>
      <w:r w:rsidR="1AE7035B">
        <w:rPr>
          <w:noProof/>
        </w:rPr>
        <w:t xml:space="preserve">approximately </w:t>
      </w:r>
      <w:r w:rsidR="2D84174A">
        <w:rPr>
          <w:noProof/>
        </w:rPr>
        <w:t>25 abstained</w:t>
      </w:r>
      <w:r>
        <w:rPr>
          <w:noProof/>
        </w:rPr>
        <w:t xml:space="preserve">. </w:t>
      </w:r>
    </w:p>
    <w:p w:rsidR="004A38D8" w:rsidRDefault="005631EF" w:rsidP="004A38D8">
      <w:pPr>
        <w:rPr>
          <w:noProof/>
        </w:rPr>
      </w:pPr>
      <w:r>
        <w:rPr>
          <w:noProof/>
        </w:rPr>
        <w:t xml:space="preserve">Thus, MEPC 83 approved the draft amendments to MARPOL Annex VI on the IMO net-zero framework </w:t>
      </w:r>
      <w:r w:rsidRPr="00E7529A">
        <w:rPr>
          <w:noProof/>
        </w:rPr>
        <w:t>with a view to adoption at the extraordinary MEPC session in October 2025</w:t>
      </w:r>
      <w:r>
        <w:rPr>
          <w:noProof/>
        </w:rPr>
        <w:t xml:space="preserve"> (</w:t>
      </w:r>
      <w:r w:rsidRPr="007E7DC9">
        <w:rPr>
          <w:noProof/>
        </w:rPr>
        <w:t>MEPC/ES.2</w:t>
      </w:r>
      <w:r>
        <w:rPr>
          <w:noProof/>
        </w:rPr>
        <w:t xml:space="preserve">). </w:t>
      </w:r>
      <w:r w:rsidRPr="007E7DC9">
        <w:rPr>
          <w:noProof/>
        </w:rPr>
        <w:t>These amendments have been circulated through IMO Circular Letter No.5005 of 11 April 2025</w:t>
      </w:r>
      <w:r w:rsidRPr="00324D68">
        <w:rPr>
          <w:noProof/>
        </w:rPr>
        <w:t>.</w:t>
      </w:r>
      <w:r w:rsidR="004A38D8" w:rsidRPr="004A38D8">
        <w:rPr>
          <w:noProof/>
        </w:rPr>
        <w:t xml:space="preserve"> </w:t>
      </w:r>
    </w:p>
    <w:p w:rsidR="004A38D8" w:rsidRDefault="004A38D8" w:rsidP="004A38D8">
      <w:pPr>
        <w:rPr>
          <w:noProof/>
        </w:rPr>
      </w:pPr>
      <w:r w:rsidRPr="00D716E4">
        <w:rPr>
          <w:noProof/>
        </w:rPr>
        <w:t xml:space="preserve">The </w:t>
      </w:r>
      <w:r>
        <w:rPr>
          <w:noProof/>
        </w:rPr>
        <w:t xml:space="preserve">Union </w:t>
      </w:r>
      <w:r w:rsidRPr="00D716E4">
        <w:rPr>
          <w:noProof/>
        </w:rPr>
        <w:t>support</w:t>
      </w:r>
      <w:r>
        <w:rPr>
          <w:noProof/>
        </w:rPr>
        <w:t xml:space="preserve">ed and submitted various documents proposing the development of </w:t>
      </w:r>
      <w:r w:rsidRPr="00D716E4">
        <w:rPr>
          <w:noProof/>
        </w:rPr>
        <w:t xml:space="preserve">a Greenhouse Gas Fuel Standard (GFS) and a </w:t>
      </w:r>
      <w:r w:rsidR="001B6143">
        <w:rPr>
          <w:noProof/>
        </w:rPr>
        <w:t>GHG-</w:t>
      </w:r>
      <w:r w:rsidRPr="00D716E4">
        <w:rPr>
          <w:noProof/>
        </w:rPr>
        <w:t xml:space="preserve">pricing levy. </w:t>
      </w:r>
      <w:r>
        <w:rPr>
          <w:noProof/>
        </w:rPr>
        <w:t>The Union has</w:t>
      </w:r>
      <w:r w:rsidR="0054242D">
        <w:rPr>
          <w:noProof/>
        </w:rPr>
        <w:t xml:space="preserve"> been</w:t>
      </w:r>
      <w:r>
        <w:rPr>
          <w:noProof/>
        </w:rPr>
        <w:t xml:space="preserve"> playing a major role in the negotiations during the various sessions of MEPC and ISWG-GHG </w:t>
      </w:r>
      <w:r w:rsidR="0054242D">
        <w:rPr>
          <w:noProof/>
        </w:rPr>
        <w:t xml:space="preserve">for </w:t>
      </w:r>
      <w:r>
        <w:rPr>
          <w:noProof/>
        </w:rPr>
        <w:t xml:space="preserve">the development of the net-zero framework. IMO’s net-zero framework </w:t>
      </w:r>
      <w:r w:rsidR="0054242D" w:rsidRPr="0054242D">
        <w:rPr>
          <w:noProof/>
        </w:rPr>
        <w:t>include</w:t>
      </w:r>
      <w:r w:rsidR="0054242D">
        <w:rPr>
          <w:noProof/>
        </w:rPr>
        <w:t>s</w:t>
      </w:r>
      <w:r w:rsidR="0054242D" w:rsidRPr="0054242D">
        <w:rPr>
          <w:noProof/>
        </w:rPr>
        <w:t xml:space="preserve"> a new </w:t>
      </w:r>
      <w:r w:rsidR="0054242D">
        <w:rPr>
          <w:noProof/>
        </w:rPr>
        <w:t xml:space="preserve">global </w:t>
      </w:r>
      <w:r w:rsidR="0054242D" w:rsidRPr="0054242D">
        <w:rPr>
          <w:noProof/>
        </w:rPr>
        <w:t xml:space="preserve">fuel standard for ships and a global pricing mechanism for emissions.  </w:t>
      </w:r>
    </w:p>
    <w:p w:rsidR="00CC15B0" w:rsidRDefault="6D01140F" w:rsidP="004A38D8">
      <w:pPr>
        <w:pStyle w:val="Text1"/>
        <w:ind w:left="0"/>
        <w:rPr>
          <w:noProof/>
          <w:lang w:val="en-IE"/>
        </w:rPr>
      </w:pPr>
      <w:r w:rsidRPr="24306BE2">
        <w:rPr>
          <w:noProof/>
          <w:lang w:val="en-IE"/>
        </w:rPr>
        <w:t>The Union should support the</w:t>
      </w:r>
      <w:r w:rsidR="122AC8FB" w:rsidRPr="24306BE2">
        <w:rPr>
          <w:noProof/>
          <w:lang w:val="en-IE"/>
        </w:rPr>
        <w:t xml:space="preserve"> new Chapter 5</w:t>
      </w:r>
      <w:r w:rsidRPr="24306BE2">
        <w:rPr>
          <w:noProof/>
          <w:lang w:val="en-IE"/>
        </w:rPr>
        <w:t xml:space="preserve"> because </w:t>
      </w:r>
      <w:r w:rsidR="122AC8FB" w:rsidRPr="24306BE2">
        <w:rPr>
          <w:noProof/>
          <w:lang w:val="en-IE"/>
        </w:rPr>
        <w:t xml:space="preserve">it </w:t>
      </w:r>
      <w:r w:rsidR="5E921731" w:rsidRPr="24306BE2">
        <w:rPr>
          <w:noProof/>
          <w:lang w:val="en-IE"/>
        </w:rPr>
        <w:t xml:space="preserve">comprises provisions designed to </w:t>
      </w:r>
      <w:r w:rsidR="122AC8FB" w:rsidRPr="24306BE2">
        <w:rPr>
          <w:noProof/>
          <w:lang w:val="en-IE"/>
        </w:rPr>
        <w:t xml:space="preserve">reduce greenhouse gas (GHG) emissions from </w:t>
      </w:r>
      <w:r w:rsidR="2481F3B1" w:rsidRPr="24306BE2">
        <w:rPr>
          <w:noProof/>
          <w:lang w:val="en-IE"/>
        </w:rPr>
        <w:t xml:space="preserve">international shipping </w:t>
      </w:r>
      <w:r w:rsidR="118A0974" w:rsidRPr="24306BE2">
        <w:rPr>
          <w:noProof/>
          <w:lang w:val="en-IE"/>
        </w:rPr>
        <w:t xml:space="preserve">aimed at </w:t>
      </w:r>
      <w:r w:rsidR="122AC8FB" w:rsidRPr="24306BE2">
        <w:rPr>
          <w:noProof/>
          <w:lang w:val="en-IE"/>
        </w:rPr>
        <w:t>achieving net-zero greenhouse gas (GHG) emissions by 2050. It will also constitu</w:t>
      </w:r>
      <w:r w:rsidR="2481F3B1" w:rsidRPr="24306BE2">
        <w:rPr>
          <w:noProof/>
          <w:lang w:val="en-IE"/>
        </w:rPr>
        <w:t>te a strong</w:t>
      </w:r>
      <w:r w:rsidR="2481F3B1">
        <w:rPr>
          <w:noProof/>
        </w:rPr>
        <w:t xml:space="preserve"> foundation for the required energy transition of shipping. </w:t>
      </w:r>
      <w:r w:rsidR="240F6B93">
        <w:rPr>
          <w:noProof/>
        </w:rPr>
        <w:t>Its</w:t>
      </w:r>
      <w:r w:rsidR="2481F3B1">
        <w:rPr>
          <w:noProof/>
        </w:rPr>
        <w:t xml:space="preserve"> goal is to achieve the targets set out in the 2023 IMO Strategy on the Reduction of GHG Emissions from Ships, accelerate the introduction of zero and near</w:t>
      </w:r>
      <w:r w:rsidR="599A68C2">
        <w:rPr>
          <w:noProof/>
        </w:rPr>
        <w:t>-</w:t>
      </w:r>
      <w:r w:rsidR="2481F3B1">
        <w:rPr>
          <w:noProof/>
        </w:rPr>
        <w:t>zero GHG fuels, technologies and energy sources, and support a just and equitable transition. </w:t>
      </w:r>
    </w:p>
    <w:p w:rsidR="005A3E73" w:rsidRDefault="00F97BE1" w:rsidP="00F97BE1">
      <w:pPr>
        <w:pStyle w:val="ManualHeading1"/>
        <w:rPr>
          <w:noProof/>
          <w:lang w:val="fr-BE"/>
        </w:rPr>
      </w:pPr>
      <w:r w:rsidRPr="00F97BE1">
        <w:rPr>
          <w:noProof/>
        </w:rPr>
        <w:t>4.</w:t>
      </w:r>
      <w:r w:rsidRPr="00F97BE1">
        <w:rPr>
          <w:noProof/>
        </w:rPr>
        <w:tab/>
      </w:r>
      <w:r w:rsidR="008E4DFC" w:rsidRPr="007C734B">
        <w:rPr>
          <w:noProof/>
          <w:lang w:val="fr-BE"/>
        </w:rPr>
        <w:t>Relevant EU legislation and EU competence</w:t>
      </w:r>
    </w:p>
    <w:p w:rsidR="00705550" w:rsidRDefault="00705550" w:rsidP="00705550">
      <w:pPr>
        <w:pStyle w:val="Text1"/>
        <w:ind w:left="0"/>
        <w:rPr>
          <w:noProof/>
          <w:lang w:val="en-IE"/>
        </w:rPr>
      </w:pPr>
      <w:r>
        <w:rPr>
          <w:noProof/>
          <w:lang w:val="fr-BE"/>
        </w:rPr>
        <w:t xml:space="preserve">4.1. Relevant EU legislation </w:t>
      </w:r>
    </w:p>
    <w:p w:rsidR="008115E3" w:rsidRPr="006C2C12" w:rsidRDefault="00F97BE1" w:rsidP="00F97BE1">
      <w:pPr>
        <w:pStyle w:val="ManualHeading3"/>
        <w:rPr>
          <w:noProof/>
          <w:lang w:val="en-IE"/>
        </w:rPr>
      </w:pPr>
      <w:r w:rsidRPr="00F97BE1">
        <w:rPr>
          <w:noProof/>
        </w:rPr>
        <w:t>4.1.1.</w:t>
      </w:r>
      <w:r w:rsidRPr="00F97BE1">
        <w:rPr>
          <w:noProof/>
        </w:rPr>
        <w:tab/>
      </w:r>
      <w:r w:rsidR="008115E3" w:rsidRPr="006C2C12">
        <w:rPr>
          <w:noProof/>
          <w:lang w:val="en-IE"/>
        </w:rPr>
        <w:t xml:space="preserve">Amendments to regulations 13 and 14 and Appendix VII of MARPOL Annex VI </w:t>
      </w:r>
    </w:p>
    <w:p w:rsidR="004536C5" w:rsidRPr="004536C5" w:rsidRDefault="004536C5" w:rsidP="004536C5">
      <w:pPr>
        <w:rPr>
          <w:i/>
          <w:iCs/>
          <w:noProof/>
          <w:lang w:val="en-US"/>
        </w:rPr>
      </w:pPr>
      <w:r w:rsidRPr="004536C5">
        <w:rPr>
          <w:noProof/>
          <w:lang w:val="en-US"/>
        </w:rPr>
        <w:t>Directive (EU) 2016/802 aims to reduce emissions of sulphur dioxide from certain liquid fuels</w:t>
      </w:r>
      <w:r w:rsidRPr="00C763F7">
        <w:rPr>
          <w:rStyle w:val="FootnoteReference"/>
          <w:noProof/>
        </w:rPr>
        <w:footnoteReference w:id="3"/>
      </w:r>
      <w:r w:rsidRPr="004536C5">
        <w:rPr>
          <w:noProof/>
          <w:lang w:val="en-US"/>
        </w:rPr>
        <w:t>. It seeks to prevent and control air pollution caused by noxious emissions resulting from the combustion of liquid fuels with high sulphur content, which harm human health, the environment, and contribute to acid deposition</w:t>
      </w:r>
      <w:r w:rsidRPr="004536C5">
        <w:rPr>
          <w:i/>
          <w:iCs/>
          <w:noProof/>
          <w:lang w:val="en-US"/>
        </w:rPr>
        <w:t>.</w:t>
      </w:r>
      <w:r w:rsidRPr="004536C5">
        <w:rPr>
          <w:noProof/>
          <w:lang w:val="en-US"/>
        </w:rPr>
        <w:t xml:space="preserve"> </w:t>
      </w:r>
      <w:r w:rsidR="00302DB4" w:rsidRPr="00C72813">
        <w:rPr>
          <w:noProof/>
          <w:lang w:val="en-US"/>
        </w:rPr>
        <w:t>Article 6 and Article 13 as well as Annex I refer to the rules laid down in MARPOL Annex VI on maximum sulphur content in ship’s fuels and SOx emissions of ships in EU waters.</w:t>
      </w:r>
    </w:p>
    <w:p w:rsidR="004536C5" w:rsidRPr="004536C5" w:rsidRDefault="004536C5" w:rsidP="004536C5">
      <w:pPr>
        <w:rPr>
          <w:noProof/>
          <w:lang w:val="en-US"/>
        </w:rPr>
      </w:pPr>
      <w:r w:rsidRPr="004536C5">
        <w:rPr>
          <w:noProof/>
          <w:lang w:val="en-US"/>
        </w:rPr>
        <w:t>The Marine Strategy Framework Directive</w:t>
      </w:r>
      <w:r w:rsidRPr="00C763F7">
        <w:rPr>
          <w:rStyle w:val="FootnoteReference"/>
          <w:noProof/>
        </w:rPr>
        <w:footnoteReference w:id="4"/>
      </w:r>
      <w:r w:rsidRPr="004536C5">
        <w:rPr>
          <w:noProof/>
          <w:lang w:val="en-US"/>
        </w:rPr>
        <w:t xml:space="preserve"> requires Member States to take the necessary measures to achieve or maintain 'good environmental status' in the marine environment by 2020. Good environmental status means "the environmental status of marine waters where these provide ecologically diverse and dynamic oceans and seas which are clean, healthy, and productive within their intrinsic conditions, and the use of the marine environment is at a level that is sustainable, thus safeguarding, the potential uses and activities by current and future generations" (Article 3(5) of the Marine Strategy Framework Directive). Determining good environmental status requires, inter alia, that human-induced eutrophication is minimised, especially adverse effects thereof, such as losses in biodiversity, ecosystem degradation, harmful algae blooms and oxygen deficiency in bottom waters. Reducing nitrogen inputs originating from maritime shipping through the application of the Tier III requirements following from the designation of the Northeast Atlantic as NECA, will support the EU Member States bordering those seas with achieving 'good environmental status' under the Marine Strategy Framework Directive. </w:t>
      </w:r>
    </w:p>
    <w:p w:rsidR="004536C5" w:rsidRPr="004536C5" w:rsidRDefault="004536C5" w:rsidP="004536C5">
      <w:pPr>
        <w:rPr>
          <w:noProof/>
          <w:lang w:val="en-US"/>
        </w:rPr>
      </w:pPr>
      <w:r w:rsidRPr="004536C5">
        <w:rPr>
          <w:noProof/>
          <w:lang w:val="en-US"/>
        </w:rPr>
        <w:t>The Ambient Air Quality Directive</w:t>
      </w:r>
      <w:r w:rsidRPr="00C763F7">
        <w:rPr>
          <w:rStyle w:val="FootnoteReference"/>
          <w:noProof/>
        </w:rPr>
        <w:footnoteReference w:id="5"/>
      </w:r>
      <w:r w:rsidRPr="004536C5">
        <w:rPr>
          <w:noProof/>
          <w:lang w:val="en-US"/>
        </w:rPr>
        <w:t xml:space="preserve"> (revised in 2024) sets, inter alia, limit values for NO</w:t>
      </w:r>
      <w:r w:rsidRPr="004536C5">
        <w:rPr>
          <w:noProof/>
          <w:vertAlign w:val="subscript"/>
          <w:lang w:val="en-US"/>
        </w:rPr>
        <w:t>2</w:t>
      </w:r>
      <w:r w:rsidRPr="004536C5">
        <w:rPr>
          <w:noProof/>
          <w:lang w:val="en-US"/>
        </w:rPr>
        <w:t xml:space="preserve"> with the aim of avoiding, preventing or reducing harmful effects on human health and/or the environment caused by air pollution. The Ambient Air Quality Directive recognizes that in order to achieve the objectives set out in that Directive, it is particularly important to combat emissions of pollutants at source in particular by measures which would limit the exhaust emissions of the engines of various mobile and stationary sources through engine or fuel quality standards. The Union has put in place various pieces of legislation regulating emissions by means of engine standards for various road transport modes (cars, trucks and vans through the Euro standards</w:t>
      </w:r>
      <w:r w:rsidRPr="00C763F7">
        <w:rPr>
          <w:rStyle w:val="FootnoteReference"/>
          <w:noProof/>
        </w:rPr>
        <w:footnoteReference w:id="6"/>
      </w:r>
      <w:r w:rsidRPr="004536C5">
        <w:rPr>
          <w:noProof/>
          <w:lang w:val="en-US"/>
        </w:rPr>
        <w:t>) and non-road mobile machinery sources (inland waterway vessels and locomotives through the Non-Road Mobile Machinery Directive</w:t>
      </w:r>
      <w:r w:rsidRPr="00C763F7">
        <w:rPr>
          <w:rStyle w:val="FootnoteReference"/>
          <w:noProof/>
        </w:rPr>
        <w:footnoteReference w:id="7"/>
      </w:r>
      <w:r w:rsidRPr="004536C5">
        <w:rPr>
          <w:noProof/>
          <w:lang w:val="en-US"/>
        </w:rPr>
        <w:t xml:space="preserve">. </w:t>
      </w:r>
    </w:p>
    <w:p w:rsidR="00C72813" w:rsidRDefault="00B36E74" w:rsidP="00B36E74">
      <w:pPr>
        <w:pStyle w:val="Text1"/>
        <w:ind w:left="0"/>
        <w:rPr>
          <w:noProof/>
          <w:lang w:val="en-IE"/>
        </w:rPr>
      </w:pPr>
      <w:r w:rsidRPr="00D37AF7">
        <w:rPr>
          <w:noProof/>
        </w:rPr>
        <w:t xml:space="preserve">Therefore, the </w:t>
      </w:r>
      <w:bookmarkStart w:id="9" w:name="_Hlk147741357"/>
      <w:r w:rsidR="00BB51B9" w:rsidRPr="00D37AF7">
        <w:rPr>
          <w:noProof/>
        </w:rPr>
        <w:t>amendments to regulations 13 and 14 and Appendix VII of MARPOL Annex VI</w:t>
      </w:r>
      <w:r w:rsidR="00BB51B9" w:rsidRPr="006C2C12" w:rsidDel="00BB51B9">
        <w:rPr>
          <w:noProof/>
        </w:rPr>
        <w:t xml:space="preserve"> </w:t>
      </w:r>
      <w:r w:rsidR="004536C5">
        <w:rPr>
          <w:noProof/>
        </w:rPr>
        <w:t xml:space="preserve">on the adoption of an Emission Control Area </w:t>
      </w:r>
      <w:r w:rsidR="0035740A" w:rsidRPr="00D37AF7">
        <w:rPr>
          <w:noProof/>
        </w:rPr>
        <w:t xml:space="preserve">are </w:t>
      </w:r>
      <w:r w:rsidR="0045746D" w:rsidRPr="00D37AF7">
        <w:rPr>
          <w:noProof/>
        </w:rPr>
        <w:t xml:space="preserve">capable of </w:t>
      </w:r>
      <w:r w:rsidR="00742BB2" w:rsidRPr="00D37AF7">
        <w:rPr>
          <w:noProof/>
        </w:rPr>
        <w:t>decisively</w:t>
      </w:r>
      <w:r w:rsidR="0045746D" w:rsidRPr="00D37AF7">
        <w:rPr>
          <w:noProof/>
        </w:rPr>
        <w:t xml:space="preserve"> </w:t>
      </w:r>
      <w:r w:rsidR="00923A0D">
        <w:rPr>
          <w:noProof/>
        </w:rPr>
        <w:t>affecting</w:t>
      </w:r>
      <w:r w:rsidR="00923A0D" w:rsidRPr="00D37AF7">
        <w:rPr>
          <w:noProof/>
        </w:rPr>
        <w:t xml:space="preserve"> </w:t>
      </w:r>
      <w:r w:rsidR="00742BB2" w:rsidRPr="00D37AF7">
        <w:rPr>
          <w:noProof/>
        </w:rPr>
        <w:t xml:space="preserve">the </w:t>
      </w:r>
      <w:r w:rsidR="003B1486" w:rsidRPr="00D37AF7">
        <w:rPr>
          <w:noProof/>
        </w:rPr>
        <w:t xml:space="preserve">content </w:t>
      </w:r>
      <w:r w:rsidR="00742BB2" w:rsidRPr="00D37AF7">
        <w:rPr>
          <w:noProof/>
        </w:rPr>
        <w:t xml:space="preserve">of </w:t>
      </w:r>
      <w:r w:rsidR="00540980" w:rsidRPr="004536C5">
        <w:rPr>
          <w:noProof/>
          <w:lang w:val="en-IE"/>
        </w:rPr>
        <w:t>Directive (EU) 2016/802</w:t>
      </w:r>
      <w:bookmarkEnd w:id="9"/>
      <w:r w:rsidR="004536C5" w:rsidRPr="004536C5">
        <w:rPr>
          <w:noProof/>
          <w:lang w:val="en-IE"/>
        </w:rPr>
        <w:t>.</w:t>
      </w:r>
      <w:r w:rsidR="00C72813">
        <w:rPr>
          <w:noProof/>
          <w:lang w:val="en-IE"/>
        </w:rPr>
        <w:t xml:space="preserve"> </w:t>
      </w:r>
      <w:r w:rsidR="00302DB4">
        <w:rPr>
          <w:noProof/>
          <w:lang w:val="en-IE"/>
        </w:rPr>
        <w:t xml:space="preserve">This is because the </w:t>
      </w:r>
      <w:r w:rsidR="00302DB4" w:rsidRPr="00C72813">
        <w:rPr>
          <w:noProof/>
          <w:lang w:val="en-IE"/>
        </w:rPr>
        <w:t xml:space="preserve">establishment of an Emission Control Area within EU Member </w:t>
      </w:r>
      <w:r w:rsidR="00302DB4">
        <w:rPr>
          <w:noProof/>
          <w:lang w:val="en-IE"/>
        </w:rPr>
        <w:t>S</w:t>
      </w:r>
      <w:r w:rsidR="00302DB4" w:rsidRPr="00C72813">
        <w:rPr>
          <w:noProof/>
          <w:lang w:val="en-IE"/>
        </w:rPr>
        <w:t xml:space="preserve">tates would affect the application of this Directive </w:t>
      </w:r>
      <w:r w:rsidR="00302DB4">
        <w:rPr>
          <w:noProof/>
          <w:lang w:val="en-IE"/>
        </w:rPr>
        <w:t xml:space="preserve">as its </w:t>
      </w:r>
      <w:r w:rsidR="00302DB4" w:rsidRPr="00C72813">
        <w:rPr>
          <w:noProof/>
          <w:lang w:val="en-IE"/>
        </w:rPr>
        <w:t>Article 6</w:t>
      </w:r>
      <w:r w:rsidR="00302DB4">
        <w:rPr>
          <w:noProof/>
          <w:lang w:val="en-IE"/>
        </w:rPr>
        <w:t xml:space="preserve">, </w:t>
      </w:r>
      <w:r w:rsidR="00302DB4" w:rsidRPr="00C72813">
        <w:rPr>
          <w:noProof/>
          <w:lang w:val="en-IE"/>
        </w:rPr>
        <w:t xml:space="preserve">Article 13 </w:t>
      </w:r>
      <w:r w:rsidR="00302DB4">
        <w:rPr>
          <w:noProof/>
          <w:lang w:val="en-IE"/>
        </w:rPr>
        <w:t>and its</w:t>
      </w:r>
      <w:r w:rsidR="00302DB4" w:rsidRPr="00C72813">
        <w:rPr>
          <w:noProof/>
          <w:lang w:val="en-IE"/>
        </w:rPr>
        <w:t xml:space="preserve"> Annex I refer to the rules laid down in MARPOL Annex VI on maximum sulphur content in ship’s fuels and SOx emissions of ships in EU waters.</w:t>
      </w:r>
    </w:p>
    <w:p w:rsidR="00442269" w:rsidRPr="004536C5" w:rsidRDefault="00F97BE1" w:rsidP="00F97BE1">
      <w:pPr>
        <w:pStyle w:val="ManualHeading3"/>
        <w:rPr>
          <w:noProof/>
          <w:lang w:val="en-IE"/>
        </w:rPr>
      </w:pPr>
      <w:r w:rsidRPr="00F97BE1">
        <w:rPr>
          <w:noProof/>
        </w:rPr>
        <w:t>4.1.2.</w:t>
      </w:r>
      <w:r w:rsidRPr="00F97BE1">
        <w:rPr>
          <w:noProof/>
        </w:rPr>
        <w:tab/>
      </w:r>
      <w:r w:rsidR="00442269" w:rsidRPr="004536C5">
        <w:rPr>
          <w:noProof/>
          <w:lang w:val="en-IE"/>
        </w:rPr>
        <w:t>Amendments to regulations 20, 25, 27 and 28</w:t>
      </w:r>
      <w:r w:rsidR="004536C5" w:rsidRPr="004536C5">
        <w:rPr>
          <w:noProof/>
        </w:rPr>
        <w:t xml:space="preserve"> </w:t>
      </w:r>
      <w:r w:rsidR="004536C5" w:rsidRPr="00D37AF7">
        <w:rPr>
          <w:noProof/>
        </w:rPr>
        <w:t>of MARPOL Annex VI</w:t>
      </w:r>
    </w:p>
    <w:p w:rsidR="00705550" w:rsidRPr="00AB6771" w:rsidRDefault="25D64843" w:rsidP="00705550">
      <w:pPr>
        <w:rPr>
          <w:noProof/>
          <w:lang w:val="en-US"/>
        </w:rPr>
      </w:pPr>
      <w:bookmarkStart w:id="10" w:name="_Hlk153384043"/>
      <w:r w:rsidRPr="3AD8383E">
        <w:rPr>
          <w:noProof/>
        </w:rPr>
        <w:t>Regulation (EU) 2015/757 on the monitoring, reporting and verification of carbon dioxide emissions from maritime transport</w:t>
      </w:r>
      <w:r w:rsidR="00705550" w:rsidRPr="3AD8383E">
        <w:rPr>
          <w:rStyle w:val="FootnoteReference"/>
          <w:noProof/>
        </w:rPr>
        <w:footnoteReference w:id="8"/>
      </w:r>
      <w:r w:rsidRPr="3AD8383E">
        <w:rPr>
          <w:noProof/>
        </w:rPr>
        <w:t xml:space="preserve"> (EU MRV Regulation) establishes the legal framework for an EU system to monitor, report and verify (MRV) GHG emissions. </w:t>
      </w:r>
      <w:bookmarkEnd w:id="10"/>
      <w:r w:rsidRPr="3AD8383E">
        <w:rPr>
          <w:noProof/>
        </w:rPr>
        <w:t xml:space="preserve">The regulation aims to deliver robust and verifiable GHG emissions data and energy efficiency indicators, inform policy makers and stimulate the market uptake of energy efficient technologies and behaviours. It does so by addressing market barriers such as the lack of information. It entered into force on 1 July 2015. </w:t>
      </w:r>
      <w:r w:rsidR="4712F38C">
        <w:rPr>
          <w:noProof/>
        </w:rPr>
        <w:t xml:space="preserve">Improving the accessibility of </w:t>
      </w:r>
      <w:r w:rsidR="44B46614" w:rsidRPr="3AD8383E">
        <w:rPr>
          <w:noProof/>
        </w:rPr>
        <w:t>the IMO Ship Fuel Oil Consumption Database (IMO DCS) to the general public and introducing the review clause of the short-term GHG reduction measure are aimed to reduce the carbon intensity of international shipping</w:t>
      </w:r>
      <w:r w:rsidR="7579D832" w:rsidRPr="3AD8383E">
        <w:rPr>
          <w:noProof/>
        </w:rPr>
        <w:t xml:space="preserve"> in a manner consistent with</w:t>
      </w:r>
      <w:r w:rsidR="44B46614" w:rsidRPr="3AD8383E">
        <w:rPr>
          <w:noProof/>
        </w:rPr>
        <w:t xml:space="preserve"> the level of ambition set out in the IMO Strategy on reduction of GHG emissions from ships. Improving the </w:t>
      </w:r>
      <w:r w:rsidR="4B52FD73">
        <w:rPr>
          <w:noProof/>
        </w:rPr>
        <w:t>consistency/quality of data reported under DCS</w:t>
      </w:r>
      <w:r w:rsidR="44B46614" w:rsidRPr="3AD8383E">
        <w:rPr>
          <w:noProof/>
        </w:rPr>
        <w:t xml:space="preserve"> in the IMO DCS and </w:t>
      </w:r>
      <w:r w:rsidR="1373CC68">
        <w:rPr>
          <w:noProof/>
        </w:rPr>
        <w:t>expanding</w:t>
      </w:r>
      <w:r w:rsidR="53F99F3F">
        <w:rPr>
          <w:noProof/>
        </w:rPr>
        <w:t xml:space="preserve"> data access for the general public</w:t>
      </w:r>
      <w:r w:rsidR="44B46614" w:rsidRPr="3AD8383E">
        <w:rPr>
          <w:noProof/>
        </w:rPr>
        <w:t xml:space="preserve"> has implications to the collection and reporting of ship fuel oil consumption data, and therefore could affect the monitoring, verification and reporting of GHG emissions from shipping under the EU MRV Regulation.</w:t>
      </w:r>
    </w:p>
    <w:p w:rsidR="004536C5" w:rsidRPr="004536C5" w:rsidRDefault="004536C5" w:rsidP="004536C5">
      <w:pPr>
        <w:rPr>
          <w:noProof/>
          <w:lang w:val="en-US"/>
        </w:rPr>
      </w:pPr>
      <w:r w:rsidRPr="004536C5">
        <w:rPr>
          <w:noProof/>
          <w:lang w:val="en-US"/>
        </w:rPr>
        <w:t>The EU Climate Law</w:t>
      </w:r>
      <w:r w:rsidRPr="00C763F7">
        <w:rPr>
          <w:rStyle w:val="FootnoteReference"/>
          <w:noProof/>
        </w:rPr>
        <w:footnoteReference w:id="9"/>
      </w:r>
      <w:r w:rsidRPr="004536C5">
        <w:rPr>
          <w:noProof/>
          <w:lang w:val="en-US"/>
        </w:rPr>
        <w:t xml:space="preserve"> </w:t>
      </w:r>
      <w:r w:rsidR="003E40A0" w:rsidRPr="003E40A0">
        <w:rPr>
          <w:noProof/>
        </w:rPr>
        <w:t>sets a binding Union climate targets (compared to 1990) of a reduction of net greenhouse gas emissions—emissions after deduction of removals—by at least 55% by 2030 and by 90% by 2040 (proposal by the Commission)</w:t>
      </w:r>
      <w:r w:rsidR="003E40A0">
        <w:rPr>
          <w:noProof/>
        </w:rPr>
        <w:t>.</w:t>
      </w:r>
      <w:r w:rsidR="003E40A0" w:rsidRPr="003E40A0">
        <w:rPr>
          <w:noProof/>
          <w:vertAlign w:val="superscript"/>
        </w:rPr>
        <w:t xml:space="preserve"> </w:t>
      </w:r>
      <w:r w:rsidRPr="004536C5">
        <w:rPr>
          <w:noProof/>
          <w:lang w:val="en-US"/>
        </w:rPr>
        <w:t>It also includes the aim of climate neutrality by 2050 and an aspirational goal for net negative emissions after this time.</w:t>
      </w:r>
      <w:r w:rsidR="002414FF" w:rsidRPr="0D0D91C6">
        <w:rPr>
          <w:noProof/>
          <w:lang w:val="en-US"/>
        </w:rPr>
        <w:t xml:space="preserve"> </w:t>
      </w:r>
    </w:p>
    <w:p w:rsidR="00705550" w:rsidRPr="00AB6771" w:rsidRDefault="00705550" w:rsidP="00705550">
      <w:pPr>
        <w:rPr>
          <w:iCs/>
          <w:noProof/>
        </w:rPr>
      </w:pPr>
      <w:r w:rsidRPr="00AB6771">
        <w:rPr>
          <w:iCs/>
          <w:noProof/>
        </w:rPr>
        <w:t xml:space="preserve">Based on the Commission’s proposals of the </w:t>
      </w:r>
      <w:r w:rsidRPr="00AB6771">
        <w:rPr>
          <w:i/>
          <w:iCs/>
          <w:noProof/>
        </w:rPr>
        <w:t>Fit for 55</w:t>
      </w:r>
      <w:r w:rsidRPr="00AB6771">
        <w:rPr>
          <w:iCs/>
          <w:noProof/>
        </w:rPr>
        <w:t xml:space="preserve"> package to reduce GHG emissions, the EU legislators adopted the following legal acts specifically targeting GHG emissions from the shipping sector: </w:t>
      </w:r>
    </w:p>
    <w:p w:rsidR="00141773" w:rsidRPr="0000670E" w:rsidRDefault="00141773" w:rsidP="006B0D00">
      <w:pPr>
        <w:pStyle w:val="Bullet1"/>
        <w:numPr>
          <w:ilvl w:val="0"/>
          <w:numId w:val="13"/>
        </w:numPr>
        <w:rPr>
          <w:noProof/>
          <w:lang w:val="en-IE" w:eastAsia="en-GB"/>
        </w:rPr>
      </w:pPr>
      <w:r w:rsidRPr="0000670E">
        <w:rPr>
          <w:noProof/>
          <w:lang w:val="en-IE" w:eastAsia="en-GB"/>
        </w:rPr>
        <w:t>the revision of the EU Emission Trading System (ETS)</w:t>
      </w:r>
      <w:r w:rsidR="00050A58" w:rsidRPr="0D0D91C6">
        <w:rPr>
          <w:noProof/>
          <w:lang w:val="en-IE" w:eastAsia="en-GB"/>
        </w:rPr>
        <w:t xml:space="preserve"> </w:t>
      </w:r>
      <w:r w:rsidR="00086417" w:rsidRPr="00086417">
        <w:rPr>
          <w:noProof/>
          <w:lang w:val="en-IE" w:eastAsia="en-GB"/>
        </w:rPr>
        <w:t>Directive 2003/87/EC</w:t>
      </w:r>
      <w:r w:rsidR="00086417" w:rsidRPr="00C763F7">
        <w:rPr>
          <w:rStyle w:val="FootnoteReference"/>
          <w:noProof/>
        </w:rPr>
        <w:footnoteReference w:id="10"/>
      </w:r>
      <w:r w:rsidR="00086417" w:rsidRPr="00086417">
        <w:rPr>
          <w:noProof/>
          <w:lang w:val="en-IE" w:eastAsia="en-GB"/>
        </w:rPr>
        <w:t xml:space="preserve"> by</w:t>
      </w:r>
      <w:r w:rsidR="00086417" w:rsidRPr="00086417">
        <w:rPr>
          <w:noProof/>
          <w:vertAlign w:val="superscript"/>
          <w:lang w:val="en-IE" w:eastAsia="en-GB"/>
        </w:rPr>
        <w:t xml:space="preserve"> </w:t>
      </w:r>
      <w:r w:rsidR="00086417" w:rsidRPr="00086417">
        <w:rPr>
          <w:noProof/>
          <w:lang w:val="en-IE" w:eastAsia="en-GB"/>
        </w:rPr>
        <w:t>Directive (EU) 2023/959</w:t>
      </w:r>
      <w:r w:rsidR="00086417" w:rsidRPr="00C763F7">
        <w:rPr>
          <w:rStyle w:val="FootnoteReference"/>
          <w:noProof/>
        </w:rPr>
        <w:footnoteReference w:id="11"/>
      </w:r>
      <w:r w:rsidR="00086417" w:rsidRPr="00086417">
        <w:rPr>
          <w:noProof/>
          <w:lang w:val="en-IE" w:eastAsia="en-GB"/>
        </w:rPr>
        <w:t xml:space="preserve"> to extend the EU ETS to the maritime transport sector to apply as of 1 January 2024, (together with the necessary amendments to the EU MRV Regulation,</w:t>
      </w:r>
      <w:r w:rsidR="00086417" w:rsidRPr="00C763F7">
        <w:rPr>
          <w:rStyle w:val="FootnoteReference"/>
          <w:noProof/>
        </w:rPr>
        <w:footnoteReference w:id="12"/>
      </w:r>
      <w:r w:rsidR="00086417" w:rsidRPr="00086417">
        <w:rPr>
          <w:noProof/>
          <w:lang w:val="en-IE" w:eastAsia="en-GB"/>
        </w:rPr>
        <w:t xml:space="preserve"> to revise monitoring and reporting rules, also through the revision of the relevant implementing and delegated acts).</w:t>
      </w:r>
    </w:p>
    <w:p w:rsidR="00705550" w:rsidRPr="00AB6771" w:rsidRDefault="00705550" w:rsidP="00705550">
      <w:pPr>
        <w:pStyle w:val="Bullet1"/>
        <w:rPr>
          <w:noProof/>
          <w:lang w:val="en-IE"/>
        </w:rPr>
      </w:pPr>
      <w:r w:rsidRPr="00AB6771">
        <w:rPr>
          <w:noProof/>
          <w:lang w:val="en-IE"/>
        </w:rPr>
        <w:t>Regulation (EU) 2023/1805 focuses on the use of renewable and low-carbon fuels in the maritime sector</w:t>
      </w:r>
      <w:r w:rsidRPr="0D0D91C6">
        <w:rPr>
          <w:rStyle w:val="FootnoteReference"/>
          <w:noProof/>
          <w:lang w:val="en-IE"/>
        </w:rPr>
        <w:footnoteReference w:id="13"/>
      </w:r>
      <w:r w:rsidRPr="00AB6771">
        <w:rPr>
          <w:noProof/>
          <w:lang w:val="en-IE"/>
        </w:rPr>
        <w:t xml:space="preserve"> (FuelEU Maritime Regulation) and mandates the uptake thereof by ships calling at EU ports to apply as of 1 January 2025.</w:t>
      </w:r>
    </w:p>
    <w:p w:rsidR="00705550" w:rsidRPr="00AB6771" w:rsidRDefault="00705550" w:rsidP="00705550">
      <w:pPr>
        <w:rPr>
          <w:noProof/>
        </w:rPr>
      </w:pPr>
      <w:bookmarkStart w:id="11" w:name="_Hlk153384346"/>
      <w:r w:rsidRPr="00AB6771">
        <w:rPr>
          <w:noProof/>
        </w:rPr>
        <w:t>Compliance with the new obligations stemming from the extension of the EU E</w:t>
      </w:r>
      <w:r>
        <w:rPr>
          <w:noProof/>
        </w:rPr>
        <w:t xml:space="preserve">mission </w:t>
      </w:r>
      <w:r w:rsidRPr="00AB6771">
        <w:rPr>
          <w:noProof/>
        </w:rPr>
        <w:t>T</w:t>
      </w:r>
      <w:r>
        <w:rPr>
          <w:noProof/>
        </w:rPr>
        <w:t>rading System (ETS)</w:t>
      </w:r>
      <w:r w:rsidRPr="00AB6771">
        <w:rPr>
          <w:noProof/>
        </w:rPr>
        <w:t xml:space="preserve"> to maritime transport and the FuelEU Maritime Regulation will build on the monitoring, reporting, and verification system established by the EU MRV Regulation. </w:t>
      </w:r>
    </w:p>
    <w:p w:rsidR="00705550" w:rsidRPr="00AB6771" w:rsidRDefault="25D64843" w:rsidP="00705550">
      <w:pPr>
        <w:rPr>
          <w:noProof/>
        </w:rPr>
      </w:pPr>
      <w:r>
        <w:rPr>
          <w:noProof/>
        </w:rPr>
        <w:t xml:space="preserve">These EU acts are in turn strongly linked with the IMO measures on GHG such as the IMO Data Collection System, the Energy Efficiency Existing Ship Index (EEXI), and the Carbon Intensity Indicator (CII) aiming to collect and publish information on </w:t>
      </w:r>
      <w:r w:rsidR="4B9C9B11">
        <w:rPr>
          <w:noProof/>
        </w:rPr>
        <w:t xml:space="preserve">fuel consumption and on </w:t>
      </w:r>
      <w:r>
        <w:rPr>
          <w:noProof/>
        </w:rPr>
        <w:t xml:space="preserve">the technical and operational energy efficiency of ships on a per-ship basis. </w:t>
      </w:r>
    </w:p>
    <w:bookmarkEnd w:id="11"/>
    <w:p w:rsidR="00705550" w:rsidRDefault="00705550" w:rsidP="00705550">
      <w:pPr>
        <w:rPr>
          <w:noProof/>
          <w:lang w:val="en-US"/>
        </w:rPr>
      </w:pPr>
      <w:r w:rsidRPr="00AB6771">
        <w:rPr>
          <w:iCs/>
          <w:noProof/>
        </w:rPr>
        <w:t xml:space="preserve">Any IMO measure on GHG matters, which will require the monitoring, verification and reporting of GHG emissions from shipping, could affect the EU MRV Regulation as well as the EU ETS Directive and the FuelEU Maritime Regulation. </w:t>
      </w:r>
    </w:p>
    <w:p w:rsidR="00705550" w:rsidRPr="00302DB4" w:rsidRDefault="00705550" w:rsidP="00705550">
      <w:pPr>
        <w:rPr>
          <w:noProof/>
        </w:rPr>
      </w:pPr>
      <w:r w:rsidRPr="009D25B4">
        <w:rPr>
          <w:noProof/>
          <w:lang w:val="en-IE"/>
        </w:rPr>
        <w:t xml:space="preserve">Therefore, the amendments to </w:t>
      </w:r>
      <w:r w:rsidRPr="006C2C12">
        <w:rPr>
          <w:noProof/>
          <w:lang w:val="en-IE"/>
        </w:rPr>
        <w:t xml:space="preserve">regulations 20, 25, 27 and 28 of </w:t>
      </w:r>
      <w:r w:rsidRPr="009D25B4">
        <w:rPr>
          <w:noProof/>
          <w:lang w:val="en-IE"/>
        </w:rPr>
        <w:t>Annex VI of MARPOL</w:t>
      </w:r>
      <w:r>
        <w:rPr>
          <w:noProof/>
          <w:lang w:val="en-IE"/>
        </w:rPr>
        <w:t xml:space="preserve"> concerning the </w:t>
      </w:r>
      <w:r w:rsidRPr="00C55B5E">
        <w:rPr>
          <w:rFonts w:eastAsia="Calibri"/>
          <w:iCs/>
          <w:noProof/>
          <w:color w:val="000000"/>
        </w:rPr>
        <w:t>accessibility of the IMO Ship Fuel Oil Consumption Database (IMO DCS) and</w:t>
      </w:r>
      <w:r>
        <w:rPr>
          <w:rFonts w:eastAsia="Calibri"/>
          <w:iCs/>
          <w:noProof/>
          <w:color w:val="000000"/>
        </w:rPr>
        <w:t xml:space="preserve"> the</w:t>
      </w:r>
      <w:r w:rsidRPr="00C55B5E">
        <w:rPr>
          <w:rFonts w:eastAsia="Calibri"/>
          <w:iCs/>
          <w:noProof/>
          <w:color w:val="000000"/>
        </w:rPr>
        <w:t xml:space="preserve"> review clause of the short-term GHG reduction measure</w:t>
      </w:r>
      <w:r w:rsidRPr="009D25B4">
        <w:rPr>
          <w:noProof/>
          <w:lang w:val="en-IE"/>
        </w:rPr>
        <w:t xml:space="preserve"> are capable of decisively </w:t>
      </w:r>
      <w:r w:rsidR="00923A0D">
        <w:rPr>
          <w:noProof/>
          <w:lang w:val="en-IE"/>
        </w:rPr>
        <w:t>affecting</w:t>
      </w:r>
      <w:r w:rsidR="00923A0D" w:rsidRPr="009D25B4">
        <w:rPr>
          <w:noProof/>
          <w:lang w:val="en-IE"/>
        </w:rPr>
        <w:t xml:space="preserve"> </w:t>
      </w:r>
      <w:r w:rsidRPr="009D25B4">
        <w:rPr>
          <w:noProof/>
          <w:lang w:val="en-IE"/>
        </w:rPr>
        <w:t>the requirements applicable under Regulation (EU) 2015/757, Regulation (EU) 2023/1805</w:t>
      </w:r>
      <w:r w:rsidR="00141773">
        <w:rPr>
          <w:noProof/>
          <w:lang w:val="en-IE"/>
        </w:rPr>
        <w:t xml:space="preserve"> and </w:t>
      </w:r>
      <w:r w:rsidR="00141773" w:rsidRPr="0000670E">
        <w:rPr>
          <w:noProof/>
          <w:lang w:val="en-IE" w:eastAsia="en-GB"/>
        </w:rPr>
        <w:t>Directive (EU) 2023/959</w:t>
      </w:r>
      <w:r w:rsidR="00141773">
        <w:rPr>
          <w:noProof/>
          <w:lang w:val="en-IE" w:eastAsia="en-GB"/>
        </w:rPr>
        <w:t>.</w:t>
      </w:r>
      <w:r w:rsidR="00302DB4">
        <w:rPr>
          <w:noProof/>
          <w:lang w:val="en-IE" w:eastAsia="en-GB"/>
        </w:rPr>
        <w:t xml:space="preserve"> </w:t>
      </w:r>
    </w:p>
    <w:p w:rsidR="00705550" w:rsidRPr="00705550" w:rsidRDefault="00F97BE1" w:rsidP="00F97BE1">
      <w:pPr>
        <w:pStyle w:val="ManualHeading3"/>
        <w:rPr>
          <w:noProof/>
          <w:lang w:val="en-IE"/>
        </w:rPr>
      </w:pPr>
      <w:r w:rsidRPr="00F97BE1">
        <w:rPr>
          <w:noProof/>
        </w:rPr>
        <w:t>4.1.3.</w:t>
      </w:r>
      <w:r w:rsidRPr="00F97BE1">
        <w:rPr>
          <w:noProof/>
        </w:rPr>
        <w:tab/>
      </w:r>
      <w:r w:rsidR="00705550" w:rsidRPr="00705550">
        <w:rPr>
          <w:noProof/>
          <w:lang w:val="en-IE"/>
        </w:rPr>
        <w:t>Introduction of the new chapter 5 to MARPOL Annex VI</w:t>
      </w:r>
    </w:p>
    <w:p w:rsidR="00141773" w:rsidRPr="00141773" w:rsidRDefault="00141773" w:rsidP="00141773">
      <w:pPr>
        <w:tabs>
          <w:tab w:val="left" w:pos="851"/>
        </w:tabs>
        <w:rPr>
          <w:rFonts w:eastAsia="MS Mincho"/>
          <w:iCs/>
          <w:noProof/>
          <w:lang w:eastAsia="en-GB"/>
        </w:rPr>
      </w:pPr>
      <w:r w:rsidRPr="0D0D91C6">
        <w:rPr>
          <w:rFonts w:eastAsia="MS Mincho"/>
          <w:noProof/>
          <w:lang w:eastAsia="en-GB"/>
        </w:rPr>
        <w:t>Regulation (EU) 2015/757 on the monitoring, reporting and verification of carbon dioxide emissions from maritime transport, and amending Directive 2009/16/EC</w:t>
      </w:r>
      <w:r w:rsidRPr="00C763F7">
        <w:rPr>
          <w:rStyle w:val="FootnoteReference"/>
          <w:noProof/>
        </w:rPr>
        <w:footnoteReference w:id="14"/>
      </w:r>
      <w:r w:rsidRPr="0D0D91C6">
        <w:rPr>
          <w:rFonts w:eastAsia="MS Mincho"/>
          <w:noProof/>
          <w:lang w:eastAsia="en-GB"/>
        </w:rPr>
        <w:t xml:space="preserve"> establishes the legal framework for an EU system to monitor, report and verify GHG emissions and energy efficiency from shipping (MRV Regulation). The regulation aims to deliver robust and verifiable GHG emissions data, inform policy makers and stimulate the market uptake of energy efficient technologies and behaviours. It does so by addressing market barriers such as the lack of information. </w:t>
      </w:r>
    </w:p>
    <w:p w:rsidR="00141773" w:rsidRPr="00141773" w:rsidRDefault="00141773" w:rsidP="0D0D91C6">
      <w:pPr>
        <w:tabs>
          <w:tab w:val="left" w:pos="851"/>
        </w:tabs>
        <w:rPr>
          <w:rFonts w:eastAsia="MS Mincho"/>
          <w:noProof/>
          <w:lang w:val="en-US" w:eastAsia="en-GB"/>
        </w:rPr>
      </w:pPr>
      <w:r w:rsidRPr="0D0D91C6">
        <w:rPr>
          <w:rFonts w:eastAsia="MS Mincho"/>
          <w:noProof/>
          <w:lang w:val="en-US" w:eastAsia="en-GB"/>
        </w:rPr>
        <w:t>The EU Climate Law</w:t>
      </w:r>
      <w:r w:rsidRPr="00C763F7">
        <w:rPr>
          <w:rStyle w:val="FootnoteReference"/>
          <w:noProof/>
        </w:rPr>
        <w:footnoteReference w:id="15"/>
      </w:r>
      <w:r w:rsidRPr="0D0D91C6">
        <w:rPr>
          <w:rFonts w:eastAsia="MS Mincho"/>
          <w:noProof/>
          <w:lang w:val="en-US" w:eastAsia="en-GB"/>
        </w:rPr>
        <w:t xml:space="preserve"> </w:t>
      </w:r>
      <w:r w:rsidR="003E40A0" w:rsidRPr="003E40A0">
        <w:rPr>
          <w:rFonts w:eastAsia="MS Mincho"/>
          <w:noProof/>
          <w:lang w:eastAsia="en-GB"/>
        </w:rPr>
        <w:t>sets a binding Union climate targets (compared to 1990) of a reduction of net greenhouse gas emissions—emissions after deduction of removals—by at least 55% by 2030 and by 90% by 2040 (proposal by the Commission)</w:t>
      </w:r>
      <w:r w:rsidR="003E40A0">
        <w:rPr>
          <w:rFonts w:eastAsia="MS Mincho"/>
          <w:noProof/>
          <w:vertAlign w:val="superscript"/>
          <w:lang w:eastAsia="en-GB"/>
        </w:rPr>
        <w:t xml:space="preserve">. </w:t>
      </w:r>
      <w:r w:rsidRPr="0D0D91C6">
        <w:rPr>
          <w:rFonts w:eastAsia="MS Mincho"/>
          <w:noProof/>
          <w:lang w:val="en-US" w:eastAsia="en-GB"/>
        </w:rPr>
        <w:t>It also includes the aim of climate neutrality by 2050 and an aspirational goal for net negative emissions after this time.</w:t>
      </w:r>
      <w:r w:rsidR="000903CC" w:rsidRPr="0D0D91C6">
        <w:rPr>
          <w:rFonts w:eastAsia="MS Mincho"/>
          <w:noProof/>
          <w:lang w:val="en-US" w:eastAsia="en-GB"/>
        </w:rPr>
        <w:t xml:space="preserve"> </w:t>
      </w:r>
    </w:p>
    <w:p w:rsidR="00141773" w:rsidRPr="00141773" w:rsidRDefault="00141773" w:rsidP="00141773">
      <w:pPr>
        <w:tabs>
          <w:tab w:val="left" w:pos="851"/>
        </w:tabs>
        <w:rPr>
          <w:rFonts w:eastAsia="MS Mincho"/>
          <w:iCs/>
          <w:noProof/>
          <w:lang w:eastAsia="en-GB"/>
        </w:rPr>
      </w:pPr>
      <w:r w:rsidRPr="00141773">
        <w:rPr>
          <w:rFonts w:eastAsia="MS Mincho"/>
          <w:iCs/>
          <w:noProof/>
          <w:lang w:eastAsia="en-GB"/>
        </w:rPr>
        <w:t xml:space="preserve">Based on the Commission’s proposals of the </w:t>
      </w:r>
      <w:r w:rsidRPr="00141773">
        <w:rPr>
          <w:rFonts w:eastAsia="MS Mincho"/>
          <w:i/>
          <w:iCs/>
          <w:noProof/>
          <w:lang w:eastAsia="en-GB"/>
        </w:rPr>
        <w:t>Fit for 55</w:t>
      </w:r>
      <w:r w:rsidRPr="00141773">
        <w:rPr>
          <w:rFonts w:eastAsia="MS Mincho"/>
          <w:iCs/>
          <w:noProof/>
          <w:lang w:eastAsia="en-GB"/>
        </w:rPr>
        <w:t xml:space="preserve"> package to reduce GHG emissions, the EU legislators adopted the following legal acts specifically targeting GHG emissions from the shipping sector: </w:t>
      </w:r>
    </w:p>
    <w:p w:rsidR="00AF492E" w:rsidRPr="00AF492E" w:rsidRDefault="00141773" w:rsidP="00CD49FF">
      <w:pPr>
        <w:pStyle w:val="Bullet1"/>
        <w:rPr>
          <w:iCs/>
          <w:noProof/>
          <w:lang w:val="en-IE" w:eastAsia="en-GB"/>
        </w:rPr>
      </w:pPr>
      <w:r w:rsidRPr="00AF492E">
        <w:rPr>
          <w:noProof/>
          <w:lang w:val="en-IE" w:eastAsia="en-GB"/>
        </w:rPr>
        <w:t>the revision of the EU Emission Trading System (ETS)</w:t>
      </w:r>
      <w:r w:rsidR="00086417" w:rsidRPr="00AF492E">
        <w:rPr>
          <w:noProof/>
          <w:lang w:val="en-IE" w:eastAsia="en-GB"/>
        </w:rPr>
        <w:t xml:space="preserve"> </w:t>
      </w:r>
      <w:r w:rsidR="3DCF696C" w:rsidRPr="00AF492E">
        <w:rPr>
          <w:noProof/>
          <w:lang w:val="en-IE" w:eastAsia="en-GB"/>
        </w:rPr>
        <w:t>Directive 2003/87/EC</w:t>
      </w:r>
      <w:r w:rsidR="00086417">
        <w:rPr>
          <w:rStyle w:val="FootnoteReference"/>
          <w:noProof/>
          <w:lang w:val="en-IE" w:eastAsia="en-GB"/>
        </w:rPr>
        <w:footnoteReference w:id="16"/>
      </w:r>
      <w:r w:rsidR="00086417" w:rsidRPr="00AF492E">
        <w:rPr>
          <w:noProof/>
          <w:lang w:val="en-IE" w:eastAsia="en-GB"/>
        </w:rPr>
        <w:t xml:space="preserve"> </w:t>
      </w:r>
      <w:r w:rsidR="005B4ECE" w:rsidRPr="00AF492E">
        <w:rPr>
          <w:noProof/>
          <w:lang w:val="en-IE" w:eastAsia="en-GB"/>
        </w:rPr>
        <w:t>by</w:t>
      </w:r>
      <w:r w:rsidRPr="00AF492E">
        <w:rPr>
          <w:noProof/>
          <w:vertAlign w:val="superscript"/>
          <w:lang w:val="en-IE" w:eastAsia="en-GB"/>
        </w:rPr>
        <w:t xml:space="preserve"> </w:t>
      </w:r>
      <w:r w:rsidRPr="00AF492E">
        <w:rPr>
          <w:noProof/>
          <w:lang w:val="en-IE" w:eastAsia="en-GB"/>
        </w:rPr>
        <w:t>Directive (EU) 2023/959</w:t>
      </w:r>
      <w:r w:rsidRPr="00C763F7">
        <w:rPr>
          <w:rStyle w:val="FootnoteReference"/>
          <w:noProof/>
        </w:rPr>
        <w:footnoteReference w:id="17"/>
      </w:r>
      <w:r w:rsidRPr="00AF492E">
        <w:rPr>
          <w:noProof/>
          <w:lang w:val="en-IE" w:eastAsia="en-GB"/>
        </w:rPr>
        <w:t xml:space="preserve"> to extend the EU ETS to the maritime transport sector to apply as of 1 January 2024, (together with the necessary amendments to the EU MRV Regulation,</w:t>
      </w:r>
      <w:r w:rsidRPr="00C763F7">
        <w:rPr>
          <w:rStyle w:val="FootnoteReference"/>
          <w:noProof/>
        </w:rPr>
        <w:footnoteReference w:id="18"/>
      </w:r>
      <w:r w:rsidRPr="00AF492E">
        <w:rPr>
          <w:noProof/>
          <w:lang w:val="en-IE" w:eastAsia="en-GB"/>
        </w:rPr>
        <w:t xml:space="preserve"> to revise monitoring and reporting rules, also through the revision of the relevant implementing and delegated acts). </w:t>
      </w:r>
    </w:p>
    <w:p w:rsidR="00141773" w:rsidRPr="00AF492E" w:rsidRDefault="00141773" w:rsidP="00CD49FF">
      <w:pPr>
        <w:pStyle w:val="Bullet1"/>
        <w:rPr>
          <w:iCs/>
          <w:noProof/>
          <w:lang w:val="en-IE" w:eastAsia="en-GB"/>
        </w:rPr>
      </w:pPr>
      <w:r w:rsidRPr="00AF492E">
        <w:rPr>
          <w:noProof/>
          <w:lang w:val="en-IE" w:eastAsia="en-GB"/>
        </w:rPr>
        <w:t>Regulation (EU) 2023/1805</w:t>
      </w:r>
      <w:r w:rsidRPr="00C763F7">
        <w:rPr>
          <w:rStyle w:val="FootnoteReference"/>
          <w:noProof/>
        </w:rPr>
        <w:footnoteReference w:id="19"/>
      </w:r>
      <w:r w:rsidRPr="00AF492E">
        <w:rPr>
          <w:noProof/>
          <w:lang w:val="en-IE" w:eastAsia="en-GB"/>
        </w:rPr>
        <w:t xml:space="preserve"> (FuelEU Maritime Regulation) focuses on the use of renewable and low-carbon fuels in the maritime sector and mandates the uptake thereof by ships calling at EU ports to apply as of 1 January 2025.</w:t>
      </w:r>
    </w:p>
    <w:p w:rsidR="00141773" w:rsidRPr="00141773" w:rsidRDefault="00141773" w:rsidP="00141773">
      <w:pPr>
        <w:tabs>
          <w:tab w:val="left" w:pos="851"/>
        </w:tabs>
        <w:rPr>
          <w:rFonts w:eastAsia="MS Mincho"/>
          <w:iCs/>
          <w:noProof/>
          <w:lang w:eastAsia="en-GB"/>
        </w:rPr>
      </w:pPr>
      <w:r w:rsidRPr="00141773">
        <w:rPr>
          <w:rFonts w:eastAsia="MS Mincho"/>
          <w:iCs/>
          <w:noProof/>
          <w:lang w:eastAsia="en-GB"/>
        </w:rPr>
        <w:t xml:space="preserve">Compliance with the new obligations stemming from the extension of the EU ETS to maritime transport and the FuelEU Maritime Regulation will build on the monitoring, reporting, and verification system established by the EU MRV Regulation. </w:t>
      </w:r>
    </w:p>
    <w:p w:rsidR="006A3710" w:rsidRDefault="006A3710" w:rsidP="006A3710">
      <w:pPr>
        <w:tabs>
          <w:tab w:val="left" w:pos="851"/>
        </w:tabs>
        <w:rPr>
          <w:rFonts w:eastAsia="MS Mincho"/>
          <w:iCs/>
          <w:noProof/>
          <w:lang w:eastAsia="en-GB"/>
        </w:rPr>
      </w:pPr>
      <w:r>
        <w:rPr>
          <w:rFonts w:eastAsia="MS Mincho"/>
          <w:iCs/>
          <w:noProof/>
          <w:lang w:eastAsia="en-GB"/>
        </w:rPr>
        <w:t xml:space="preserve">Both the </w:t>
      </w:r>
      <w:r w:rsidRPr="006A3710">
        <w:rPr>
          <w:rFonts w:eastAsia="MS Mincho"/>
          <w:iCs/>
          <w:noProof/>
          <w:lang w:eastAsia="en-GB"/>
        </w:rPr>
        <w:t>EU ETS Directive and</w:t>
      </w:r>
      <w:r>
        <w:rPr>
          <w:rFonts w:eastAsia="MS Mincho"/>
          <w:iCs/>
          <w:noProof/>
          <w:lang w:eastAsia="en-GB"/>
        </w:rPr>
        <w:t xml:space="preserve"> the FuelEU Maritime Regulation </w:t>
      </w:r>
      <w:r w:rsidRPr="006A3710">
        <w:rPr>
          <w:rFonts w:eastAsia="MS Mincho"/>
          <w:iCs/>
          <w:noProof/>
          <w:lang w:eastAsia="en-GB"/>
        </w:rPr>
        <w:t>contain review clauses</w:t>
      </w:r>
      <w:r>
        <w:rPr>
          <w:rFonts w:eastAsia="MS Mincho"/>
          <w:iCs/>
          <w:noProof/>
          <w:lang w:eastAsia="en-GB"/>
        </w:rPr>
        <w:t xml:space="preserve"> for the event that IMO adopts a global fuel standard or a market-based measure. More precisely: </w:t>
      </w:r>
    </w:p>
    <w:p w:rsidR="006A3710" w:rsidRPr="00AF492E" w:rsidRDefault="006A3710" w:rsidP="00CD49FF">
      <w:pPr>
        <w:pStyle w:val="Bullet1"/>
        <w:rPr>
          <w:iCs/>
          <w:noProof/>
          <w:lang w:val="en-IE" w:eastAsia="en-GB"/>
        </w:rPr>
      </w:pPr>
      <w:r w:rsidRPr="00AF492E">
        <w:rPr>
          <w:iCs/>
          <w:noProof/>
          <w:lang w:eastAsia="en-GB"/>
        </w:rPr>
        <w:t>The FuelEU Maritime Regulation in its Article 30(5) stipulates that</w:t>
      </w:r>
      <w:r w:rsidRPr="00AF492E">
        <w:rPr>
          <w:noProof/>
          <w:lang w:eastAsia="en-GB"/>
        </w:rPr>
        <w:t xml:space="preserve"> i</w:t>
      </w:r>
      <w:r w:rsidRPr="00AF492E">
        <w:rPr>
          <w:noProof/>
          <w:lang w:val="en-IE" w:eastAsia="en-GB"/>
        </w:rPr>
        <w:t>n the event of the adoption by the IMO of a global GHG fuel standard or global GHG intensity limits for the energy used on board by ships, the Commission shall present a report to the European Parliament and to the Council. In that report, the Commission shall examine that global measure as regards its ambition in light of the objectives of the Paris Agreement and its overall environmental integrity. It shall also examine any issue related to the possible articulation or alignment of this Regulation with that global measure, including the need to avoid duplicating regulation of GHG emissions from maritime transport at Union as well as international level. Where appropriate, that report may be accompanied by a legislative proposal to amend this Regulation, consistent with the Union economy-wide GHG emission commitments, and with the aim of preserving the environmental integrity and effectiveness of the Union climate action.</w:t>
      </w:r>
    </w:p>
    <w:p w:rsidR="0034601E" w:rsidRPr="00AF492E" w:rsidRDefault="004A5F05" w:rsidP="00CD49FF">
      <w:pPr>
        <w:pStyle w:val="Bullet1"/>
        <w:rPr>
          <w:noProof/>
          <w:lang w:val="en-IE" w:eastAsia="en-GB"/>
        </w:rPr>
      </w:pPr>
      <w:r w:rsidRPr="00AF492E">
        <w:rPr>
          <w:iCs/>
          <w:noProof/>
          <w:lang w:eastAsia="en-GB"/>
        </w:rPr>
        <w:t xml:space="preserve">the EU ETS Directive </w:t>
      </w:r>
      <w:r w:rsidR="006A3710" w:rsidRPr="00AF492E">
        <w:rPr>
          <w:iCs/>
          <w:noProof/>
          <w:lang w:eastAsia="en-GB"/>
        </w:rPr>
        <w:t xml:space="preserve">in its Article 3gg(1) stipulates that </w:t>
      </w:r>
      <w:r w:rsidR="006A3710" w:rsidRPr="00AF492E">
        <w:rPr>
          <w:noProof/>
          <w:lang w:eastAsia="en-GB"/>
        </w:rPr>
        <w:t>In the event of the adoption by IMO of a global market-based measure to reduce greenhouse gas emissions from maritime transport, the Commission shall review this Directive in light of that adopted measure. To that end, the Commission shall submit a report to the European Parliament and to the Council within 18 months of the adoption of such a global market-based measure and before it becomes operational. In that report, the Commission shall examine the global market-based measure as regards: (a) its ambition in light of the objectives of the Paris Agreement; (b) its overall environmental integrity, including in comparison with the provisions of this Directive covering maritime transport; and (c) any issue related to the coherence between the EU ETS and that measure. Where appropriate, the Commission may accompany the report with a legislative proposal to amend this Directive in a manner that is consistent with the Union 2030 climate target and the climate-neutrality objective set out in Regulation (EU) 2021/1119, and with the aim of preserving the environmental integrity and effectiveness of Union climate action, in order to ensure coherence between the implementation of the global market-based measure and the EU ETS, while avoiding any significant double burden.</w:t>
      </w:r>
    </w:p>
    <w:p w:rsidR="00141773" w:rsidRDefault="00141773" w:rsidP="00141773">
      <w:pPr>
        <w:tabs>
          <w:tab w:val="left" w:pos="851"/>
        </w:tabs>
        <w:rPr>
          <w:rFonts w:eastAsia="MS Mincho"/>
          <w:iCs/>
          <w:noProof/>
          <w:lang w:eastAsia="en-GB"/>
        </w:rPr>
      </w:pPr>
      <w:r w:rsidRPr="00141773">
        <w:rPr>
          <w:rFonts w:eastAsia="MS Mincho"/>
          <w:iCs/>
          <w:noProof/>
          <w:lang w:eastAsia="en-GB"/>
        </w:rPr>
        <w:t xml:space="preserve">Any IMO measure on GHG matters, which will require the monitoring, verification and reporting of GHG emissions from shipping, could affect the EU MRV Regulation as well as the EU ETS Directive and the FuelEU Maritime Regulation. </w:t>
      </w:r>
    </w:p>
    <w:p w:rsidR="00141773" w:rsidRPr="00141773" w:rsidRDefault="00141773" w:rsidP="00141773">
      <w:pPr>
        <w:rPr>
          <w:rFonts w:eastAsia="MS Mincho"/>
          <w:iCs/>
          <w:noProof/>
          <w:lang w:val="en-IE" w:eastAsia="en-GB"/>
        </w:rPr>
      </w:pPr>
      <w:r w:rsidRPr="009D25B4">
        <w:rPr>
          <w:noProof/>
          <w:lang w:val="en-IE"/>
        </w:rPr>
        <w:t xml:space="preserve">Therefore, the </w:t>
      </w:r>
      <w:r>
        <w:rPr>
          <w:noProof/>
          <w:lang w:val="en-IE"/>
        </w:rPr>
        <w:t>new chapter 5 to</w:t>
      </w:r>
      <w:r w:rsidRPr="006C2C12">
        <w:rPr>
          <w:noProof/>
          <w:lang w:val="en-IE"/>
        </w:rPr>
        <w:t xml:space="preserve"> </w:t>
      </w:r>
      <w:r w:rsidRPr="009D25B4">
        <w:rPr>
          <w:noProof/>
          <w:lang w:val="en-IE"/>
        </w:rPr>
        <w:t>Annex VI of MARPOL</w:t>
      </w:r>
      <w:r>
        <w:rPr>
          <w:noProof/>
          <w:lang w:val="en-IE"/>
        </w:rPr>
        <w:t xml:space="preserve"> on the IMO Net-zero framework is</w:t>
      </w:r>
      <w:r w:rsidRPr="009D25B4">
        <w:rPr>
          <w:noProof/>
          <w:lang w:val="en-IE"/>
        </w:rPr>
        <w:t xml:space="preserve"> capable of decisively </w:t>
      </w:r>
      <w:r w:rsidR="00923A0D">
        <w:rPr>
          <w:noProof/>
          <w:lang w:val="en-IE"/>
        </w:rPr>
        <w:t>affecting</w:t>
      </w:r>
      <w:r w:rsidR="00923A0D" w:rsidRPr="009D25B4">
        <w:rPr>
          <w:noProof/>
          <w:lang w:val="en-IE"/>
        </w:rPr>
        <w:t xml:space="preserve"> </w:t>
      </w:r>
      <w:r w:rsidRPr="009D25B4">
        <w:rPr>
          <w:noProof/>
          <w:lang w:val="en-IE"/>
        </w:rPr>
        <w:t>the requirements applicable under Regulation (EU) 2015/757, Regulation (EU) 2023/1805</w:t>
      </w:r>
      <w:r>
        <w:rPr>
          <w:noProof/>
          <w:lang w:val="en-IE"/>
        </w:rPr>
        <w:t xml:space="preserve"> and </w:t>
      </w:r>
      <w:r w:rsidRPr="0000670E">
        <w:rPr>
          <w:noProof/>
          <w:lang w:val="en-IE" w:eastAsia="en-GB"/>
        </w:rPr>
        <w:t>Directive (EU) 2023/959</w:t>
      </w:r>
      <w:r>
        <w:rPr>
          <w:noProof/>
          <w:lang w:val="en-IE" w:eastAsia="en-GB"/>
        </w:rPr>
        <w:t>.</w:t>
      </w:r>
    </w:p>
    <w:p w:rsidR="008E4DFC" w:rsidRPr="005A3E73" w:rsidRDefault="00F97BE1" w:rsidP="00F97BE1">
      <w:pPr>
        <w:pStyle w:val="ManualHeading2"/>
        <w:rPr>
          <w:bCs/>
          <w:noProof/>
        </w:rPr>
      </w:pPr>
      <w:r w:rsidRPr="00F97BE1">
        <w:rPr>
          <w:noProof/>
        </w:rPr>
        <w:t>4.2.</w:t>
      </w:r>
      <w:r w:rsidRPr="00F97BE1">
        <w:rPr>
          <w:noProof/>
        </w:rPr>
        <w:tab/>
      </w:r>
      <w:r w:rsidR="008E4DFC" w:rsidRPr="005A3E73">
        <w:rPr>
          <w:noProof/>
        </w:rPr>
        <w:t>EU competence</w:t>
      </w:r>
    </w:p>
    <w:p w:rsidR="00F33B59" w:rsidRPr="002D556F" w:rsidRDefault="00F33B59" w:rsidP="00F33B59">
      <w:pPr>
        <w:rPr>
          <w:rFonts w:eastAsia="Arial Unicode MS"/>
          <w:bCs/>
          <w:iCs/>
          <w:noProof/>
        </w:rPr>
      </w:pPr>
      <w:r w:rsidRPr="00163FE2">
        <w:rPr>
          <w:rFonts w:eastAsia="Arial Unicode MS"/>
          <w:bCs/>
          <w:iCs/>
          <w:noProof/>
        </w:rPr>
        <w:t>The subject matter of the envisaged acts concerns an area for which the Union has exclusive external competence by virtue of the last limb of Article 3(2) TFEU</w:t>
      </w:r>
      <w:r w:rsidR="00FC3632">
        <w:rPr>
          <w:rFonts w:eastAsia="Arial Unicode MS"/>
          <w:bCs/>
          <w:iCs/>
          <w:noProof/>
        </w:rPr>
        <w:t>, as the</w:t>
      </w:r>
      <w:r w:rsidR="00FC3632" w:rsidRPr="00FC3632">
        <w:rPr>
          <w:noProof/>
        </w:rPr>
        <w:t xml:space="preserve"> </w:t>
      </w:r>
      <w:r w:rsidR="00FC3632">
        <w:rPr>
          <w:noProof/>
        </w:rPr>
        <w:t>envisaged acts are liable to ‘affect common rules or alter their scope</w:t>
      </w:r>
      <w:r w:rsidR="003D6FBE">
        <w:rPr>
          <w:noProof/>
        </w:rPr>
        <w:t>’.</w:t>
      </w:r>
    </w:p>
    <w:p w:rsidR="00996C46" w:rsidRPr="007C734B" w:rsidRDefault="00F97BE1" w:rsidP="00F97BE1">
      <w:pPr>
        <w:pStyle w:val="ManualHeading1"/>
        <w:rPr>
          <w:noProof/>
        </w:rPr>
      </w:pPr>
      <w:r w:rsidRPr="00F97BE1">
        <w:rPr>
          <w:noProof/>
        </w:rPr>
        <w:t>5.</w:t>
      </w:r>
      <w:r w:rsidRPr="00F97BE1">
        <w:rPr>
          <w:noProof/>
        </w:rPr>
        <w:tab/>
      </w:r>
      <w:r w:rsidR="00996C46" w:rsidRPr="007C734B">
        <w:rPr>
          <w:noProof/>
        </w:rPr>
        <w:t>Legal basis</w:t>
      </w:r>
    </w:p>
    <w:p w:rsidR="00996C46" w:rsidRPr="007C734B" w:rsidRDefault="00F97BE1" w:rsidP="00F97BE1">
      <w:pPr>
        <w:pStyle w:val="ManualHeading2"/>
        <w:rPr>
          <w:noProof/>
        </w:rPr>
      </w:pPr>
      <w:r w:rsidRPr="00F97BE1">
        <w:rPr>
          <w:noProof/>
        </w:rPr>
        <w:t>5.1.</w:t>
      </w:r>
      <w:r w:rsidRPr="00F97BE1">
        <w:rPr>
          <w:noProof/>
        </w:rPr>
        <w:tab/>
      </w:r>
      <w:r w:rsidR="00996C46" w:rsidRPr="007C734B">
        <w:rPr>
          <w:noProof/>
        </w:rPr>
        <w:t>Procedural legal basis</w:t>
      </w:r>
    </w:p>
    <w:p w:rsidR="00996C46" w:rsidRPr="007C734B" w:rsidRDefault="00F97BE1" w:rsidP="00F97BE1">
      <w:pPr>
        <w:pStyle w:val="ManualHeading3"/>
        <w:rPr>
          <w:noProof/>
        </w:rPr>
      </w:pPr>
      <w:r w:rsidRPr="00F97BE1">
        <w:rPr>
          <w:noProof/>
        </w:rPr>
        <w:t>5.1.1.</w:t>
      </w:r>
      <w:r w:rsidRPr="00F97BE1">
        <w:rPr>
          <w:noProof/>
        </w:rPr>
        <w:tab/>
      </w:r>
      <w:r w:rsidR="00996C46" w:rsidRPr="007C734B">
        <w:rPr>
          <w:noProof/>
        </w:rPr>
        <w:t>Principles</w:t>
      </w:r>
    </w:p>
    <w:p w:rsidR="008C3B61" w:rsidRPr="007C734B" w:rsidRDefault="008C3B61" w:rsidP="008C3B61">
      <w:pPr>
        <w:rPr>
          <w:noProof/>
        </w:rPr>
      </w:pPr>
      <w:r w:rsidRPr="007C734B">
        <w:rPr>
          <w:noProof/>
        </w:rPr>
        <w:t xml:space="preserve">Article 218(9) of the Treaty on the Functioning of the European Union (TFEU) provides for decisions establishing </w:t>
      </w:r>
      <w:r w:rsidRPr="007C734B">
        <w:rPr>
          <w:i/>
          <w:noProof/>
        </w:rPr>
        <w:t>‘the positions to be adopted on the Union’s behalf in a body set up by an agreement, when that body is called upon to adopt acts having legal effects, with the exception of acts supplementing or amending the institutional framework of the agreement.’</w:t>
      </w:r>
    </w:p>
    <w:p w:rsidR="008C3B61" w:rsidRDefault="008C3B61" w:rsidP="008C3B61">
      <w:pPr>
        <w:rPr>
          <w:noProof/>
        </w:rPr>
      </w:pPr>
      <w:r w:rsidRPr="007C734B">
        <w:rPr>
          <w:noProof/>
        </w:rPr>
        <w:t>Article 218(9) TFEU applies regardless of whether the Union is a member of the body or a party to the agreement.</w:t>
      </w:r>
      <w:r w:rsidRPr="007D6229">
        <w:rPr>
          <w:rStyle w:val="FootnoteReference"/>
          <w:noProof/>
        </w:rPr>
        <w:footnoteReference w:id="20"/>
      </w:r>
    </w:p>
    <w:p w:rsidR="00923A0D" w:rsidRDefault="00923A0D" w:rsidP="00923A0D">
      <w:pPr>
        <w:rPr>
          <w:noProof/>
          <w:lang w:val="en-IE"/>
        </w:rPr>
      </w:pPr>
      <w:r w:rsidRPr="00923A0D">
        <w:rPr>
          <w:noProof/>
        </w:rPr>
        <w:t>The concept of ‘</w:t>
      </w:r>
      <w:r w:rsidRPr="00923A0D">
        <w:rPr>
          <w:i/>
          <w:noProof/>
        </w:rPr>
        <w:t>acts having legal effects</w:t>
      </w:r>
      <w:r w:rsidRPr="00923A0D">
        <w:rPr>
          <w:noProof/>
        </w:rPr>
        <w:t xml:space="preserve">’ includes acts that have legal effects by virtue of the rules of international law governing the body in question. It </w:t>
      </w:r>
      <w:r w:rsidRPr="00923A0D">
        <w:rPr>
          <w:noProof/>
          <w:lang w:val="en-IE"/>
        </w:rPr>
        <w:t>concerns, in particular, the situation where the international agreement that sets up the body provides that its decisions shall be binding upon the parties. This is the case for instance when the international agreement grants the body the power to amend certain aspects of the agreement or its annexes.</w:t>
      </w:r>
    </w:p>
    <w:p w:rsidR="00923A0D" w:rsidRPr="00923A0D" w:rsidRDefault="00F97BE1" w:rsidP="00F97BE1">
      <w:pPr>
        <w:pStyle w:val="ManualHeading3"/>
        <w:rPr>
          <w:noProof/>
        </w:rPr>
      </w:pPr>
      <w:r w:rsidRPr="00F97BE1">
        <w:rPr>
          <w:noProof/>
        </w:rPr>
        <w:t>5.1.2.</w:t>
      </w:r>
      <w:r w:rsidRPr="00F97BE1">
        <w:rPr>
          <w:noProof/>
        </w:rPr>
        <w:tab/>
      </w:r>
      <w:r w:rsidR="00923A0D" w:rsidRPr="00923A0D">
        <w:rPr>
          <w:noProof/>
        </w:rPr>
        <w:t>Application to the present case</w:t>
      </w:r>
    </w:p>
    <w:p w:rsidR="00923A0D" w:rsidRPr="00923A0D" w:rsidRDefault="00923A0D" w:rsidP="00923A0D">
      <w:pPr>
        <w:rPr>
          <w:noProof/>
        </w:rPr>
      </w:pPr>
      <w:r w:rsidRPr="00923A0D">
        <w:rPr>
          <w:noProof/>
        </w:rPr>
        <w:t xml:space="preserve">The IMO’s Marine Environment Protection Committee is a body set up by an agreement, the Convention on the International Maritime Organization. </w:t>
      </w:r>
    </w:p>
    <w:p w:rsidR="00AF492E" w:rsidRDefault="00923A0D" w:rsidP="00AF492E">
      <w:pPr>
        <w:rPr>
          <w:noProof/>
        </w:rPr>
      </w:pPr>
      <w:r w:rsidRPr="00923A0D">
        <w:rPr>
          <w:noProof/>
        </w:rPr>
        <w:t>The envisaged acts which this IMO committee is called upon to adopt are amendments to the MARPOL Convention’s Annex VI. Such amendments will be binding under international law in accordance with Article 1 of the MARPOL Convention.</w:t>
      </w:r>
    </w:p>
    <w:p w:rsidR="00996C46" w:rsidRPr="007C734B" w:rsidRDefault="00996C46" w:rsidP="00AF492E">
      <w:pPr>
        <w:rPr>
          <w:noProof/>
        </w:rPr>
      </w:pPr>
      <w:r w:rsidRPr="007C734B">
        <w:rPr>
          <w:noProof/>
        </w:rPr>
        <w:t>The envisaged act</w:t>
      </w:r>
      <w:r w:rsidR="00843862" w:rsidRPr="007C734B">
        <w:rPr>
          <w:noProof/>
        </w:rPr>
        <w:t>s</w:t>
      </w:r>
      <w:r w:rsidRPr="007C734B">
        <w:rPr>
          <w:noProof/>
        </w:rPr>
        <w:t xml:space="preserve"> do not supplement or amend the institutional framework of the Agreement.</w:t>
      </w:r>
    </w:p>
    <w:p w:rsidR="00996C46" w:rsidRPr="007C734B" w:rsidRDefault="00996C46" w:rsidP="00991DDA">
      <w:pPr>
        <w:rPr>
          <w:noProof/>
        </w:rPr>
      </w:pPr>
      <w:r w:rsidRPr="007C734B">
        <w:rPr>
          <w:noProof/>
        </w:rPr>
        <w:t>Therefore, the procedural legal basis for the proposed decision is Article 218(9) TFEU.</w:t>
      </w:r>
    </w:p>
    <w:p w:rsidR="00996C46" w:rsidRPr="007C734B" w:rsidRDefault="00F97BE1" w:rsidP="00F97BE1">
      <w:pPr>
        <w:pStyle w:val="ManualHeading2"/>
        <w:rPr>
          <w:noProof/>
        </w:rPr>
      </w:pPr>
      <w:r w:rsidRPr="00F97BE1">
        <w:rPr>
          <w:noProof/>
        </w:rPr>
        <w:t>5.2.</w:t>
      </w:r>
      <w:r w:rsidRPr="00F97BE1">
        <w:rPr>
          <w:noProof/>
        </w:rPr>
        <w:tab/>
      </w:r>
      <w:r w:rsidR="00996C46" w:rsidRPr="007C734B">
        <w:rPr>
          <w:noProof/>
        </w:rPr>
        <w:t>Substantive legal basis</w:t>
      </w:r>
    </w:p>
    <w:p w:rsidR="00996C46" w:rsidRPr="007C734B" w:rsidRDefault="00F97BE1" w:rsidP="00F97BE1">
      <w:pPr>
        <w:pStyle w:val="ManualHeading3"/>
        <w:rPr>
          <w:noProof/>
        </w:rPr>
      </w:pPr>
      <w:r w:rsidRPr="00F97BE1">
        <w:rPr>
          <w:noProof/>
        </w:rPr>
        <w:t>5.2.1.</w:t>
      </w:r>
      <w:r w:rsidRPr="00F97BE1">
        <w:rPr>
          <w:noProof/>
        </w:rPr>
        <w:tab/>
      </w:r>
      <w:r w:rsidR="00996C46" w:rsidRPr="007C734B">
        <w:rPr>
          <w:noProof/>
        </w:rPr>
        <w:t>Principles</w:t>
      </w:r>
    </w:p>
    <w:p w:rsidR="00984E3D" w:rsidRPr="007C734B" w:rsidRDefault="00984E3D" w:rsidP="00984E3D">
      <w:pPr>
        <w:rPr>
          <w:noProof/>
        </w:rPr>
      </w:pPr>
      <w:r w:rsidRPr="007C734B">
        <w:rPr>
          <w:noProof/>
        </w:rPr>
        <w:t>The substantive legal basis for a decision under Article 218(9) TFEU depends primarily on the objective and content of the envisaged act in respect of which a position is taken on the Union's behalf. If the envisaged act pursues two aims or has two components and if one of those aims or components is identifiable as the main one, whereas the other is merely incidental, the decision under Article 218(9) TFEU must be founded on a single substantive legal basis, namely that required by the main or predominant aim or component.</w:t>
      </w:r>
    </w:p>
    <w:p w:rsidR="00996C46" w:rsidRPr="007C734B" w:rsidRDefault="00F97BE1" w:rsidP="00F97BE1">
      <w:pPr>
        <w:pStyle w:val="ManualHeading3"/>
        <w:rPr>
          <w:noProof/>
        </w:rPr>
      </w:pPr>
      <w:r w:rsidRPr="00F97BE1">
        <w:rPr>
          <w:noProof/>
        </w:rPr>
        <w:t>5.2.2.</w:t>
      </w:r>
      <w:r w:rsidRPr="00F97BE1">
        <w:rPr>
          <w:noProof/>
        </w:rPr>
        <w:tab/>
      </w:r>
      <w:r w:rsidR="00996C46" w:rsidRPr="007C734B">
        <w:rPr>
          <w:noProof/>
        </w:rPr>
        <w:t>Application to the present case</w:t>
      </w:r>
    </w:p>
    <w:p w:rsidR="00923A0D" w:rsidRDefault="00923A0D" w:rsidP="00923A0D">
      <w:pPr>
        <w:rPr>
          <w:noProof/>
        </w:rPr>
      </w:pPr>
      <w:r>
        <w:rPr>
          <w:noProof/>
        </w:rPr>
        <w:t xml:space="preserve">IMO is the United Nations specialized agency set up by a Convention, the IMO Convention, with responsibility for the safety and security of shipping and the prevention of marine and atmospheric pollution by ships. </w:t>
      </w:r>
    </w:p>
    <w:p w:rsidR="00923A0D" w:rsidRDefault="00923A0D" w:rsidP="00923A0D">
      <w:pPr>
        <w:rPr>
          <w:noProof/>
        </w:rPr>
      </w:pPr>
      <w:r>
        <w:rPr>
          <w:noProof/>
        </w:rPr>
        <w:t xml:space="preserve">According to the IMO Convention, the purpose of the Organization is to provide machinery for co-operation among Governments in the field of governmental regulation and practices relating to technical matters of all kinds affecting shipping engaged in international trade; to encourage and facilitate the general adoption of the highest practicable standards in matters concerning the maritime safety, efficiency of navigation and prevention and control of marine pollution from ships. </w:t>
      </w:r>
    </w:p>
    <w:p w:rsidR="00923A0D" w:rsidRDefault="00923A0D" w:rsidP="00923A0D">
      <w:pPr>
        <w:rPr>
          <w:noProof/>
        </w:rPr>
      </w:pPr>
      <w:r>
        <w:rPr>
          <w:noProof/>
        </w:rPr>
        <w:t xml:space="preserve">IMO’s MEPC Committee will adopt amendments to Annex VI of the MARPOL Convention, which is the main international convention covering prevention of pollution of the marine environment by ships from operational or accidental causes. </w:t>
      </w:r>
    </w:p>
    <w:p w:rsidR="00923A0D" w:rsidRDefault="00923A0D" w:rsidP="00923A0D">
      <w:pPr>
        <w:rPr>
          <w:noProof/>
        </w:rPr>
      </w:pPr>
      <w:r>
        <w:rPr>
          <w:noProof/>
        </w:rPr>
        <w:t xml:space="preserve">These amendments focus on preventing, reducing, and controlling emissions from international shipping, while promoting global connectivity through maritime transport. </w:t>
      </w:r>
    </w:p>
    <w:p w:rsidR="00923A0D" w:rsidRDefault="00923A0D" w:rsidP="00923A0D">
      <w:pPr>
        <w:rPr>
          <w:noProof/>
        </w:rPr>
      </w:pPr>
      <w:r>
        <w:rPr>
          <w:noProof/>
        </w:rPr>
        <w:t>The above-mentioned amendments to Annex VI to the MARPOL Convention pursue several objectives in the areas of maritime transport and environment which are inseparably linked without one being secondary and indirect in relation to the other. Therefore, the substantive legal basis of the decision has to include the corresponding substantive legal bases, namely both Articles 100(2) and 192(1) TFEU.</w:t>
      </w:r>
    </w:p>
    <w:p w:rsidR="00996C46" w:rsidRPr="007C734B" w:rsidRDefault="00F97BE1" w:rsidP="00F97BE1">
      <w:pPr>
        <w:pStyle w:val="ManualHeading2"/>
        <w:rPr>
          <w:noProof/>
        </w:rPr>
      </w:pPr>
      <w:r w:rsidRPr="00F97BE1">
        <w:rPr>
          <w:noProof/>
        </w:rPr>
        <w:t>5.3.</w:t>
      </w:r>
      <w:r w:rsidRPr="00F97BE1">
        <w:rPr>
          <w:noProof/>
        </w:rPr>
        <w:tab/>
      </w:r>
      <w:r w:rsidR="00996C46" w:rsidRPr="007C734B">
        <w:rPr>
          <w:noProof/>
        </w:rPr>
        <w:t>Conclusion</w:t>
      </w:r>
    </w:p>
    <w:p w:rsidR="00984E3D" w:rsidRPr="007C734B" w:rsidRDefault="00984E3D" w:rsidP="00984E3D">
      <w:pPr>
        <w:rPr>
          <w:noProof/>
        </w:rPr>
      </w:pPr>
      <w:r w:rsidRPr="007C734B">
        <w:rPr>
          <w:noProof/>
        </w:rPr>
        <w:t>The legal basis of the proposed decision should be Article 100(2)</w:t>
      </w:r>
      <w:r w:rsidR="00730F74" w:rsidRPr="00730F74">
        <w:rPr>
          <w:noProof/>
        </w:rPr>
        <w:t xml:space="preserve"> </w:t>
      </w:r>
      <w:r w:rsidR="00730F74">
        <w:rPr>
          <w:noProof/>
        </w:rPr>
        <w:t>and 192(1)</w:t>
      </w:r>
      <w:r w:rsidRPr="007C734B">
        <w:rPr>
          <w:noProof/>
        </w:rPr>
        <w:t xml:space="preserve"> TFEU, in conjunction with Article 218(9) TFEU.</w:t>
      </w:r>
    </w:p>
    <w:p w:rsidR="00996C46" w:rsidRPr="007C734B" w:rsidRDefault="00996C46" w:rsidP="00991DDA">
      <w:pPr>
        <w:rPr>
          <w:noProof/>
        </w:rPr>
        <w:sectPr w:rsidR="00996C46" w:rsidRPr="007C734B" w:rsidSect="00C7625F">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rsidR="0095327A" w:rsidRDefault="00DE5217">
      <w:pPr>
        <w:pStyle w:val="Rfrenceinterinstitutionnelle"/>
        <w:rPr>
          <w:noProof/>
        </w:rPr>
      </w:pPr>
      <w:r>
        <w:rPr>
          <w:noProof/>
        </w:rPr>
        <w:t>2025/0242 (NLE)</w:t>
      </w:r>
    </w:p>
    <w:p w:rsidR="0030628F" w:rsidRDefault="00AA3043" w:rsidP="00AA3043">
      <w:pPr>
        <w:pStyle w:val="Statut"/>
        <w:rPr>
          <w:noProof/>
        </w:rPr>
      </w:pPr>
      <w:r w:rsidRPr="00AA3043">
        <w:rPr>
          <w:noProof/>
        </w:rPr>
        <w:t>Proposal for a</w:t>
      </w:r>
    </w:p>
    <w:p w:rsidR="0030628F" w:rsidRDefault="00AA3043" w:rsidP="00AA3043">
      <w:pPr>
        <w:pStyle w:val="Typedudocument"/>
        <w:rPr>
          <w:noProof/>
        </w:rPr>
      </w:pPr>
      <w:r w:rsidRPr="00AA3043">
        <w:rPr>
          <w:noProof/>
        </w:rPr>
        <w:t>COUNCIL DECISION</w:t>
      </w:r>
    </w:p>
    <w:p w:rsidR="0030628F" w:rsidRDefault="00AA3043" w:rsidP="00AA3043">
      <w:pPr>
        <w:pStyle w:val="Titreobjet"/>
        <w:rPr>
          <w:noProof/>
        </w:rPr>
      </w:pPr>
      <w:r w:rsidRPr="00AA3043">
        <w:rPr>
          <w:noProof/>
        </w:rPr>
        <w:t>on the position to be taken on behalf of the European Union in the International Maritime Organization during the second extraordinary session of the Marine Environment Protection Committee on the adoption of amendments to the International Convention for the Prevention of Pollution from Ships (MARPOL)</w:t>
      </w:r>
    </w:p>
    <w:p w:rsidR="00996C46" w:rsidRPr="007C734B" w:rsidRDefault="00996C46" w:rsidP="00991DDA">
      <w:pPr>
        <w:pStyle w:val="Institutionquiagit"/>
        <w:rPr>
          <w:noProof/>
        </w:rPr>
      </w:pPr>
      <w:r w:rsidRPr="007C734B">
        <w:rPr>
          <w:noProof/>
        </w:rPr>
        <w:t>THE COUNCIL OF THE EUROPEAN UNION,</w:t>
      </w:r>
    </w:p>
    <w:p w:rsidR="00996C46" w:rsidRPr="007C734B" w:rsidRDefault="00996C46" w:rsidP="00991DDA">
      <w:pPr>
        <w:rPr>
          <w:noProof/>
        </w:rPr>
      </w:pPr>
      <w:r w:rsidRPr="007C734B">
        <w:rPr>
          <w:noProof/>
        </w:rPr>
        <w:t xml:space="preserve">Having regard to the Treaty on the Functioning of the European Union, and in particular Article </w:t>
      </w:r>
      <w:r w:rsidR="001F6A13" w:rsidRPr="007C734B">
        <w:rPr>
          <w:noProof/>
        </w:rPr>
        <w:t>100(2)</w:t>
      </w:r>
      <w:r w:rsidR="00730F74" w:rsidRPr="00730F74">
        <w:rPr>
          <w:noProof/>
        </w:rPr>
        <w:t xml:space="preserve"> </w:t>
      </w:r>
      <w:r w:rsidR="00730F74">
        <w:rPr>
          <w:noProof/>
        </w:rPr>
        <w:t>and 192(1)</w:t>
      </w:r>
      <w:r w:rsidRPr="007C734B">
        <w:rPr>
          <w:noProof/>
        </w:rPr>
        <w:t>, in conjunction with Article 218(9) thereof,</w:t>
      </w:r>
    </w:p>
    <w:p w:rsidR="002D4C70" w:rsidRDefault="00996C46" w:rsidP="00991DDA">
      <w:pPr>
        <w:rPr>
          <w:noProof/>
        </w:rPr>
      </w:pPr>
      <w:r w:rsidRPr="007C734B">
        <w:rPr>
          <w:noProof/>
        </w:rPr>
        <w:t>Having regard to the proposal from the European Commission,</w:t>
      </w:r>
      <w:r w:rsidR="0055690C" w:rsidRPr="007C734B">
        <w:rPr>
          <w:noProof/>
        </w:rPr>
        <w:t xml:space="preserve"> </w:t>
      </w:r>
    </w:p>
    <w:p w:rsidR="00996C46" w:rsidRPr="007C734B" w:rsidRDefault="22E48372" w:rsidP="00991DDA">
      <w:pPr>
        <w:rPr>
          <w:noProof/>
        </w:rPr>
      </w:pPr>
      <w:r>
        <w:rPr>
          <w:noProof/>
        </w:rPr>
        <w:t>W</w:t>
      </w:r>
      <w:r w:rsidR="3278A721">
        <w:rPr>
          <w:noProof/>
        </w:rPr>
        <w:t>hereas:</w:t>
      </w:r>
    </w:p>
    <w:p w:rsidR="00D81A07" w:rsidRPr="007C734B" w:rsidRDefault="00F97BE1" w:rsidP="00F97BE1">
      <w:pPr>
        <w:pStyle w:val="ManualConsidrant"/>
        <w:rPr>
          <w:noProof/>
        </w:rPr>
      </w:pPr>
      <w:r w:rsidRPr="00F97BE1">
        <w:rPr>
          <w:noProof/>
        </w:rPr>
        <w:t>(1)</w:t>
      </w:r>
      <w:r w:rsidRPr="00F97BE1">
        <w:rPr>
          <w:noProof/>
        </w:rPr>
        <w:tab/>
      </w:r>
      <w:r w:rsidR="00D81A07" w:rsidRPr="007C734B">
        <w:rPr>
          <w:noProof/>
        </w:rPr>
        <w:t>The Convention on the International Maritime Organization (</w:t>
      </w:r>
      <w:r w:rsidR="00624139">
        <w:rPr>
          <w:noProof/>
        </w:rPr>
        <w:t>‘</w:t>
      </w:r>
      <w:r w:rsidR="00D81A07" w:rsidRPr="007C734B">
        <w:rPr>
          <w:noProof/>
        </w:rPr>
        <w:t>IMO</w:t>
      </w:r>
      <w:r w:rsidR="00624139">
        <w:rPr>
          <w:noProof/>
        </w:rPr>
        <w:t>’</w:t>
      </w:r>
      <w:r w:rsidR="00D81A07" w:rsidRPr="007C734B">
        <w:rPr>
          <w:noProof/>
        </w:rPr>
        <w:t xml:space="preserve">) entered into force on 17 March 1958. </w:t>
      </w:r>
    </w:p>
    <w:p w:rsidR="00D81A07" w:rsidRPr="007C734B" w:rsidRDefault="00F97BE1" w:rsidP="00F97BE1">
      <w:pPr>
        <w:pStyle w:val="ManualConsidrant"/>
        <w:rPr>
          <w:noProof/>
        </w:rPr>
      </w:pPr>
      <w:r w:rsidRPr="00F97BE1">
        <w:rPr>
          <w:noProof/>
        </w:rPr>
        <w:t>(2)</w:t>
      </w:r>
      <w:r w:rsidRPr="00F97BE1">
        <w:rPr>
          <w:noProof/>
        </w:rPr>
        <w:tab/>
      </w:r>
      <w:r w:rsidR="3ABE34CB">
        <w:rPr>
          <w:noProof/>
        </w:rPr>
        <w:t>The IMO is a specialised agency of the United Nations with responsibility for the safety and security of shipping and the prevention of marine and atmospheric pollution by ships.</w:t>
      </w:r>
      <w:r w:rsidR="338F26E7">
        <w:rPr>
          <w:noProof/>
        </w:rPr>
        <w:t xml:space="preserve"> All Union Member States are members of the IMO.</w:t>
      </w:r>
      <w:r w:rsidR="46DD2AEA">
        <w:rPr>
          <w:noProof/>
        </w:rPr>
        <w:t xml:space="preserve"> The Union is not a member of the IMO.</w:t>
      </w:r>
    </w:p>
    <w:p w:rsidR="00400C9D" w:rsidRDefault="00F97BE1" w:rsidP="00F97BE1">
      <w:pPr>
        <w:pStyle w:val="ManualConsidrant"/>
        <w:rPr>
          <w:noProof/>
        </w:rPr>
      </w:pPr>
      <w:r w:rsidRPr="00F97BE1">
        <w:rPr>
          <w:noProof/>
        </w:rPr>
        <w:t>(3)</w:t>
      </w:r>
      <w:r w:rsidRPr="00F97BE1">
        <w:rPr>
          <w:noProof/>
        </w:rPr>
        <w:tab/>
      </w:r>
      <w:r w:rsidR="35547F42">
        <w:rPr>
          <w:noProof/>
        </w:rPr>
        <w:t xml:space="preserve">Pursuant to Article 38(a) of the Convention on the IMO, the Marine Environment Protection Committee </w:t>
      </w:r>
      <w:r w:rsidR="00923A0D">
        <w:rPr>
          <w:noProof/>
        </w:rPr>
        <w:t xml:space="preserve">(MEPC) </w:t>
      </w:r>
      <w:r w:rsidR="35547F42">
        <w:rPr>
          <w:noProof/>
        </w:rPr>
        <w:t>performs such functions as are or may be conferred upon the IMO by or under international conventions for the prevention and control of marine pollution from ships, particularly with respect to the adoption and amendment of regulations or other provisions.</w:t>
      </w:r>
      <w:r w:rsidR="00923A0D">
        <w:rPr>
          <w:noProof/>
        </w:rPr>
        <w:t xml:space="preserve"> </w:t>
      </w:r>
      <w:r w:rsidR="00923A0D" w:rsidRPr="00923A0D">
        <w:rPr>
          <w:noProof/>
        </w:rPr>
        <w:t>MEPC during its second extraordinary meeting will adopt amendments to MARPOL in accordance with article 16 paragraph (2) subpoints (b), (c) and (d).</w:t>
      </w:r>
      <w:r w:rsidR="00923A0D">
        <w:rPr>
          <w:noProof/>
        </w:rPr>
        <w:t xml:space="preserve"> </w:t>
      </w:r>
    </w:p>
    <w:p w:rsidR="00B9192D" w:rsidRDefault="00F97BE1" w:rsidP="00F97BE1">
      <w:pPr>
        <w:pStyle w:val="ManualConsidrant"/>
        <w:rPr>
          <w:noProof/>
        </w:rPr>
      </w:pPr>
      <w:r w:rsidRPr="00F97BE1">
        <w:rPr>
          <w:noProof/>
        </w:rPr>
        <w:t>(4)</w:t>
      </w:r>
      <w:r w:rsidRPr="00F97BE1">
        <w:rPr>
          <w:noProof/>
        </w:rPr>
        <w:tab/>
      </w:r>
      <w:r w:rsidR="00B9192D">
        <w:rPr>
          <w:noProof/>
        </w:rPr>
        <w:t xml:space="preserve">The IMO’s Marine Environment Protection Committee, in its </w:t>
      </w:r>
      <w:r w:rsidR="002042B6">
        <w:rPr>
          <w:noProof/>
        </w:rPr>
        <w:t xml:space="preserve">second </w:t>
      </w:r>
      <w:r w:rsidR="00EB4814">
        <w:rPr>
          <w:noProof/>
        </w:rPr>
        <w:t>extraordinary</w:t>
      </w:r>
      <w:r w:rsidR="00B9192D">
        <w:rPr>
          <w:noProof/>
        </w:rPr>
        <w:t xml:space="preserve"> session from 14 </w:t>
      </w:r>
      <w:r w:rsidR="00B9192D" w:rsidRPr="007F2CFF">
        <w:rPr>
          <w:noProof/>
        </w:rPr>
        <w:t xml:space="preserve">to </w:t>
      </w:r>
      <w:r w:rsidR="00B9192D">
        <w:rPr>
          <w:noProof/>
        </w:rPr>
        <w:t>17 October</w:t>
      </w:r>
      <w:r w:rsidR="00B9192D" w:rsidRPr="007F2CFF">
        <w:rPr>
          <w:noProof/>
        </w:rPr>
        <w:t xml:space="preserve"> </w:t>
      </w:r>
      <w:r w:rsidR="00B9192D">
        <w:rPr>
          <w:noProof/>
        </w:rPr>
        <w:t>2025, is to adopt amendments to Annex VI of the International Convention for the Prevention of Pollution from Ships (MARPOL)</w:t>
      </w:r>
      <w:bookmarkStart w:id="13" w:name="_Hlk153445366"/>
      <w:r w:rsidR="00B9192D">
        <w:rPr>
          <w:noProof/>
        </w:rPr>
        <w:t xml:space="preserve"> on the designation of the North-East Atlantic as a new Emission Control Area</w:t>
      </w:r>
      <w:r w:rsidR="00352615">
        <w:rPr>
          <w:noProof/>
        </w:rPr>
        <w:t xml:space="preserve"> (</w:t>
      </w:r>
      <w:r w:rsidR="00352615" w:rsidRPr="002A131A">
        <w:rPr>
          <w:noProof/>
          <w:lang w:val="en-IE"/>
        </w:rPr>
        <w:t>regulations 13 and 14 and Appendix</w:t>
      </w:r>
      <w:r w:rsidR="00352615" w:rsidRPr="00680829">
        <w:rPr>
          <w:noProof/>
          <w:lang w:val="en-IE"/>
        </w:rPr>
        <w:t xml:space="preserve"> VII</w:t>
      </w:r>
      <w:r w:rsidR="00352615">
        <w:rPr>
          <w:noProof/>
          <w:lang w:val="en-IE"/>
        </w:rPr>
        <w:t>)</w:t>
      </w:r>
      <w:r w:rsidR="00B9192D">
        <w:rPr>
          <w:noProof/>
        </w:rPr>
        <w:t>, on the accessibility of the IMO Ship Fuel Oil Consumption Database (IMO DCS) and review clause of the short-term GHG reduction measure</w:t>
      </w:r>
      <w:r w:rsidR="00352615">
        <w:rPr>
          <w:noProof/>
        </w:rPr>
        <w:t xml:space="preserve"> (</w:t>
      </w:r>
      <w:r w:rsidR="00352615" w:rsidRPr="00F80879">
        <w:rPr>
          <w:noProof/>
        </w:rPr>
        <w:t>regulations 20, 25, 27 and 28</w:t>
      </w:r>
      <w:r w:rsidR="00352615">
        <w:rPr>
          <w:noProof/>
        </w:rPr>
        <w:t>)</w:t>
      </w:r>
      <w:r w:rsidR="00B9192D">
        <w:rPr>
          <w:noProof/>
        </w:rPr>
        <w:t>, and on the IMO Net-Zero Framework</w:t>
      </w:r>
      <w:r w:rsidR="00352615">
        <w:rPr>
          <w:noProof/>
        </w:rPr>
        <w:t xml:space="preserve"> (new chapter 5)</w:t>
      </w:r>
      <w:r w:rsidR="00B9192D">
        <w:rPr>
          <w:noProof/>
        </w:rPr>
        <w:t>.</w:t>
      </w:r>
    </w:p>
    <w:p w:rsidR="00923A0D" w:rsidRDefault="00F97BE1" w:rsidP="00F97BE1">
      <w:pPr>
        <w:pStyle w:val="ManualConsidrant"/>
        <w:rPr>
          <w:noProof/>
        </w:rPr>
      </w:pPr>
      <w:r w:rsidRPr="00F97BE1">
        <w:rPr>
          <w:noProof/>
        </w:rPr>
        <w:t>(5)</w:t>
      </w:r>
      <w:r w:rsidRPr="00F97BE1">
        <w:rPr>
          <w:noProof/>
        </w:rPr>
        <w:tab/>
      </w:r>
      <w:r w:rsidR="00923A0D">
        <w:rPr>
          <w:noProof/>
        </w:rPr>
        <w:t>The envisaged acts of the MEPC will have legal effects.</w:t>
      </w:r>
    </w:p>
    <w:bookmarkEnd w:id="13"/>
    <w:p w:rsidR="006D5741" w:rsidRDefault="00F97BE1" w:rsidP="00F97BE1">
      <w:pPr>
        <w:pStyle w:val="ManualConsidrant"/>
        <w:rPr>
          <w:noProof/>
        </w:rPr>
      </w:pPr>
      <w:r w:rsidRPr="00F97BE1">
        <w:rPr>
          <w:noProof/>
        </w:rPr>
        <w:t>(6)</w:t>
      </w:r>
      <w:r w:rsidRPr="00F97BE1">
        <w:rPr>
          <w:noProof/>
        </w:rPr>
        <w:tab/>
      </w:r>
      <w:r w:rsidR="006178B3">
        <w:rPr>
          <w:noProof/>
        </w:rPr>
        <w:tab/>
      </w:r>
      <w:r w:rsidR="10F1DFBD" w:rsidRPr="00B9192D">
        <w:rPr>
          <w:noProof/>
        </w:rPr>
        <w:t xml:space="preserve">It is </w:t>
      </w:r>
      <w:r w:rsidR="00923A0D">
        <w:rPr>
          <w:noProof/>
        </w:rPr>
        <w:t xml:space="preserve">therefore </w:t>
      </w:r>
      <w:r w:rsidR="10F1DFBD" w:rsidRPr="00B9192D">
        <w:rPr>
          <w:noProof/>
        </w:rPr>
        <w:t xml:space="preserve">appropriate to establish the position to be taken on the Union’s behalf during the </w:t>
      </w:r>
      <w:r w:rsidR="685D5E24">
        <w:rPr>
          <w:noProof/>
        </w:rPr>
        <w:t>extraordinary</w:t>
      </w:r>
      <w:r w:rsidR="10F1DFBD" w:rsidRPr="00B9192D">
        <w:rPr>
          <w:noProof/>
        </w:rPr>
        <w:t xml:space="preserve"> session of the IMO’s Marine Protection Environment Committee, as the envisioned acts are capable of decisively influencing the contents of Union law, namely</w:t>
      </w:r>
      <w:r w:rsidR="10F1DFBD" w:rsidRPr="00B9192D" w:rsidDel="00B9192D">
        <w:rPr>
          <w:noProof/>
        </w:rPr>
        <w:t xml:space="preserve"> </w:t>
      </w:r>
      <w:r w:rsidR="3910FE41" w:rsidRPr="006B4096">
        <w:rPr>
          <w:noProof/>
        </w:rPr>
        <w:t>Directive (EU) 2016/802</w:t>
      </w:r>
      <w:r w:rsidR="3910FE41">
        <w:rPr>
          <w:noProof/>
        </w:rPr>
        <w:t xml:space="preserve"> </w:t>
      </w:r>
      <w:r w:rsidR="3910FE41" w:rsidRPr="006B4096">
        <w:rPr>
          <w:noProof/>
        </w:rPr>
        <w:t>relating to a reduction in the sulphur content of certain liquid fuels</w:t>
      </w:r>
      <w:r w:rsidR="007432B1">
        <w:rPr>
          <w:rStyle w:val="FootnoteReference"/>
          <w:noProof/>
        </w:rPr>
        <w:footnoteReference w:id="21"/>
      </w:r>
      <w:r w:rsidR="3910FE41">
        <w:rPr>
          <w:noProof/>
        </w:rPr>
        <w:t xml:space="preserve">, </w:t>
      </w:r>
      <w:r w:rsidR="3910FE41" w:rsidRPr="006B4096">
        <w:rPr>
          <w:noProof/>
        </w:rPr>
        <w:t>Regulation (EU) 2015/757</w:t>
      </w:r>
      <w:r w:rsidR="3910FE41">
        <w:rPr>
          <w:noProof/>
        </w:rPr>
        <w:t xml:space="preserve"> </w:t>
      </w:r>
      <w:r w:rsidR="3910FE41" w:rsidRPr="006B4096">
        <w:rPr>
          <w:noProof/>
        </w:rPr>
        <w:t>on the monitoring, reporting and verification of carbon dioxide emissions from maritime transport</w:t>
      </w:r>
      <w:r w:rsidR="007432B1">
        <w:rPr>
          <w:rStyle w:val="FootnoteReference"/>
          <w:noProof/>
        </w:rPr>
        <w:footnoteReference w:id="22"/>
      </w:r>
      <w:r w:rsidR="3910FE41">
        <w:rPr>
          <w:noProof/>
        </w:rPr>
        <w:t xml:space="preserve">, </w:t>
      </w:r>
      <w:r w:rsidR="3910FE41" w:rsidRPr="24306BE2">
        <w:rPr>
          <w:noProof/>
          <w:lang w:val="en-IE"/>
        </w:rPr>
        <w:t>Directive (EU) 2023/959 amending Directive 2003/87/EC establishing a system for greenhouse gas emission allowance trading within the Union and Decision (EU) 2015/1814 concerning the establishment and operation of a market stability reserve for the Union greenhouse gas emission trading system</w:t>
      </w:r>
      <w:r w:rsidR="007432B1" w:rsidRPr="24306BE2">
        <w:rPr>
          <w:rStyle w:val="FootnoteReference"/>
          <w:noProof/>
          <w:lang w:val="en-IE"/>
        </w:rPr>
        <w:footnoteReference w:id="23"/>
      </w:r>
      <w:r w:rsidR="3910FE41">
        <w:rPr>
          <w:noProof/>
        </w:rPr>
        <w:t xml:space="preserve">, </w:t>
      </w:r>
      <w:r w:rsidR="3910FE41" w:rsidRPr="00F50DF1">
        <w:rPr>
          <w:noProof/>
        </w:rPr>
        <w:t>Regulation (EU) 2023/1805 on the use of renewable and low-carbon fuels in maritime transport</w:t>
      </w:r>
      <w:r w:rsidR="007432B1">
        <w:rPr>
          <w:rStyle w:val="FootnoteReference"/>
          <w:noProof/>
        </w:rPr>
        <w:footnoteReference w:id="24"/>
      </w:r>
      <w:r w:rsidR="5B5E6DB3">
        <w:rPr>
          <w:noProof/>
        </w:rPr>
        <w:t>.</w:t>
      </w:r>
    </w:p>
    <w:p w:rsidR="00352615" w:rsidRDefault="00F97BE1" w:rsidP="00F97BE1">
      <w:pPr>
        <w:pStyle w:val="ManualConsidrant"/>
        <w:rPr>
          <w:noProof/>
          <w:lang w:val="en-IE"/>
        </w:rPr>
      </w:pPr>
      <w:r w:rsidRPr="00F97BE1">
        <w:rPr>
          <w:noProof/>
        </w:rPr>
        <w:t>(7)</w:t>
      </w:r>
      <w:r w:rsidRPr="00F97BE1">
        <w:rPr>
          <w:noProof/>
        </w:rPr>
        <w:tab/>
      </w:r>
      <w:r w:rsidR="5B5E6DB3">
        <w:rPr>
          <w:noProof/>
        </w:rPr>
        <w:t xml:space="preserve">Therefore, the Union should support the amendments to </w:t>
      </w:r>
      <w:r w:rsidR="5B5E6DB3" w:rsidRPr="24306BE2">
        <w:rPr>
          <w:noProof/>
          <w:lang w:val="en-IE"/>
        </w:rPr>
        <w:t xml:space="preserve">regulations 13 and 14 and Appendix VII </w:t>
      </w:r>
      <w:r w:rsidR="0D1FD573" w:rsidRPr="24306BE2">
        <w:rPr>
          <w:noProof/>
          <w:lang w:val="en-IE"/>
        </w:rPr>
        <w:t>to</w:t>
      </w:r>
      <w:r w:rsidR="5B5E6DB3">
        <w:rPr>
          <w:noProof/>
        </w:rPr>
        <w:t xml:space="preserve"> Annex VI of MARPOL because it will contribute to preventing, reducing, and controlling NO</w:t>
      </w:r>
      <w:r w:rsidR="5B5E6DB3" w:rsidRPr="24306BE2">
        <w:rPr>
          <w:noProof/>
          <w:vertAlign w:val="subscript"/>
        </w:rPr>
        <w:t>x</w:t>
      </w:r>
      <w:r w:rsidR="5B5E6DB3">
        <w:rPr>
          <w:noProof/>
        </w:rPr>
        <w:t>, SO</w:t>
      </w:r>
      <w:r w:rsidR="5B5E6DB3" w:rsidRPr="24306BE2">
        <w:rPr>
          <w:noProof/>
          <w:vertAlign w:val="subscript"/>
        </w:rPr>
        <w:t>x</w:t>
      </w:r>
      <w:r w:rsidR="5B5E6DB3">
        <w:rPr>
          <w:noProof/>
        </w:rPr>
        <w:t xml:space="preserve"> and PM emissions from ships to achieve related health and environmental benefits while keeping the economic impact to the maritime sector manageable. The Union shall also support the amendments to regulation</w:t>
      </w:r>
      <w:r w:rsidR="0D1FD573">
        <w:rPr>
          <w:noProof/>
        </w:rPr>
        <w:t xml:space="preserve"> 27 of Annex VI of MARPOL, because they will further improve the accessibility of IMO DCS data to ensure the robust implementation of the CII framework and to facilitate its review. The Union shall support the amendments to regulations </w:t>
      </w:r>
      <w:r w:rsidR="5B5E6DB3">
        <w:rPr>
          <w:noProof/>
        </w:rPr>
        <w:t xml:space="preserve">20, 25, 27 and 28 of Annex VI of MARPOL, </w:t>
      </w:r>
      <w:r w:rsidR="0D1FD573">
        <w:rPr>
          <w:noProof/>
        </w:rPr>
        <w:t xml:space="preserve">because </w:t>
      </w:r>
      <w:r w:rsidR="5B5E6DB3">
        <w:rPr>
          <w:noProof/>
        </w:rPr>
        <w:t xml:space="preserve">they are consequential to the adoption of the 2023 GHG IMO Strategy and to the finalization of the review of the Short-Term Measures by the IMO and allow for further review of these regulations. </w:t>
      </w:r>
      <w:r w:rsidR="0D1FD573">
        <w:rPr>
          <w:noProof/>
        </w:rPr>
        <w:t>T</w:t>
      </w:r>
      <w:r w:rsidR="5B5E6DB3">
        <w:rPr>
          <w:noProof/>
        </w:rPr>
        <w:t xml:space="preserve">he Union should also support the introduction </w:t>
      </w:r>
      <w:r w:rsidR="5B5E6DB3" w:rsidRPr="24306BE2">
        <w:rPr>
          <w:noProof/>
          <w:lang w:val="en-IE"/>
        </w:rPr>
        <w:t>of the new chapter 5</w:t>
      </w:r>
      <w:r w:rsidR="5B5E6DB3">
        <w:rPr>
          <w:noProof/>
        </w:rPr>
        <w:t xml:space="preserve"> </w:t>
      </w:r>
      <w:r w:rsidR="5B5E6DB3" w:rsidRPr="24306BE2">
        <w:rPr>
          <w:noProof/>
          <w:lang w:val="en-IE"/>
        </w:rPr>
        <w:t xml:space="preserve">to </w:t>
      </w:r>
      <w:r w:rsidR="0D1FD573" w:rsidRPr="24306BE2">
        <w:rPr>
          <w:noProof/>
          <w:lang w:val="en-IE"/>
        </w:rPr>
        <w:t xml:space="preserve">Annex VI of </w:t>
      </w:r>
      <w:r w:rsidR="5B5E6DB3" w:rsidRPr="24306BE2">
        <w:rPr>
          <w:noProof/>
          <w:lang w:val="en-IE"/>
        </w:rPr>
        <w:t xml:space="preserve">MARPOL, because it </w:t>
      </w:r>
      <w:r w:rsidR="3A48D000" w:rsidRPr="24306BE2">
        <w:rPr>
          <w:noProof/>
          <w:lang w:val="en-IE"/>
        </w:rPr>
        <w:t xml:space="preserve">comprises provisions designed to </w:t>
      </w:r>
      <w:r w:rsidR="5B5E6DB3" w:rsidRPr="24306BE2">
        <w:rPr>
          <w:noProof/>
          <w:lang w:val="en-IE"/>
        </w:rPr>
        <w:t xml:space="preserve">reduce greenhouse gas (GHG) emissions from international shipping </w:t>
      </w:r>
      <w:r w:rsidR="3410488E" w:rsidRPr="24306BE2">
        <w:rPr>
          <w:noProof/>
          <w:lang w:val="en-IE"/>
        </w:rPr>
        <w:t xml:space="preserve">aimed at </w:t>
      </w:r>
      <w:r w:rsidR="5B5E6DB3" w:rsidRPr="24306BE2">
        <w:rPr>
          <w:noProof/>
          <w:lang w:val="en-IE"/>
        </w:rPr>
        <w:t>achieving net-zero greenhouse gas (GHG) emissions by 2050.</w:t>
      </w:r>
      <w:r w:rsidR="0D1FD573">
        <w:rPr>
          <w:noProof/>
        </w:rPr>
        <w:t xml:space="preserve"> </w:t>
      </w:r>
      <w:r w:rsidR="0D1FD573" w:rsidRPr="24306BE2">
        <w:rPr>
          <w:noProof/>
          <w:lang w:val="en-IE"/>
        </w:rPr>
        <w:t>It will also constitute a strong foundation for the required energy transition of shipping. Its goal is to achieve the climate targets set out in the 2023 IMO Strategy on the Reduction of GHG Emissions from Ships, accelerate the introduction of zero and near zero GHG fuels, technologies and energy sources, and support a just and equitable transition. </w:t>
      </w:r>
    </w:p>
    <w:p w:rsidR="009833E7" w:rsidRDefault="00F97BE1" w:rsidP="00F97BE1">
      <w:pPr>
        <w:pStyle w:val="ManualConsidrant"/>
        <w:rPr>
          <w:noProof/>
        </w:rPr>
      </w:pPr>
      <w:r w:rsidRPr="00F97BE1">
        <w:rPr>
          <w:noProof/>
        </w:rPr>
        <w:t>(8)</w:t>
      </w:r>
      <w:r w:rsidRPr="00F97BE1">
        <w:rPr>
          <w:noProof/>
        </w:rPr>
        <w:tab/>
      </w:r>
      <w:r w:rsidR="00AB3E6A">
        <w:rPr>
          <w:noProof/>
        </w:rPr>
        <w:t>The Union's position is to be expressed by the Member States of the Union that are members of the IMO, and by the Commission, acting jointly,</w:t>
      </w:r>
      <w:r w:rsidR="00923A0D">
        <w:rPr>
          <w:noProof/>
        </w:rPr>
        <w:t xml:space="preserve"> in the interest of the European Union.</w:t>
      </w:r>
    </w:p>
    <w:p w:rsidR="00996C46" w:rsidRPr="007C734B" w:rsidRDefault="00996C46" w:rsidP="00686008">
      <w:pPr>
        <w:pStyle w:val="Formuledadoption"/>
        <w:rPr>
          <w:noProof/>
        </w:rPr>
      </w:pPr>
      <w:r w:rsidRPr="007C734B">
        <w:rPr>
          <w:noProof/>
        </w:rPr>
        <w:t>HAS ADOPTED THIS DECISION:</w:t>
      </w:r>
    </w:p>
    <w:p w:rsidR="00AF53A3" w:rsidRPr="007C59B9" w:rsidRDefault="00AF53A3" w:rsidP="00AF53A3">
      <w:pPr>
        <w:pStyle w:val="Titrearticle"/>
        <w:ind w:left="720"/>
        <w:rPr>
          <w:noProof/>
        </w:rPr>
      </w:pPr>
      <w:r w:rsidRPr="007C734B">
        <w:rPr>
          <w:noProof/>
          <w:color w:val="000000"/>
        </w:rPr>
        <w:t xml:space="preserve">Article </w:t>
      </w:r>
      <w:r w:rsidR="002A23D1">
        <w:rPr>
          <w:noProof/>
          <w:color w:val="000000"/>
        </w:rPr>
        <w:t>1</w:t>
      </w:r>
    </w:p>
    <w:p w:rsidR="007C0CCE" w:rsidRDefault="007C0CCE" w:rsidP="007C0CCE">
      <w:pPr>
        <w:rPr>
          <w:noProof/>
        </w:rPr>
      </w:pPr>
      <w:bookmarkStart w:id="14" w:name="_Hlk153448389"/>
      <w:r>
        <w:rPr>
          <w:noProof/>
          <w:color w:val="000000"/>
        </w:rPr>
        <w:t xml:space="preserve">The </w:t>
      </w:r>
      <w:r w:rsidRPr="006F4F86">
        <w:rPr>
          <w:noProof/>
          <w:color w:val="000000"/>
        </w:rPr>
        <w:t xml:space="preserve">position to be taken on the Union’s behalf in the </w:t>
      </w:r>
      <w:r w:rsidR="009944F7">
        <w:rPr>
          <w:noProof/>
          <w:color w:val="000000"/>
        </w:rPr>
        <w:t xml:space="preserve">second </w:t>
      </w:r>
      <w:r w:rsidR="00EB4814">
        <w:rPr>
          <w:noProof/>
          <w:color w:val="000000"/>
        </w:rPr>
        <w:t>extraordinary</w:t>
      </w:r>
      <w:r>
        <w:rPr>
          <w:noProof/>
          <w:color w:val="000000"/>
        </w:rPr>
        <w:t xml:space="preserve"> </w:t>
      </w:r>
      <w:r w:rsidRPr="006F4F86">
        <w:rPr>
          <w:noProof/>
          <w:color w:val="000000"/>
        </w:rPr>
        <w:t xml:space="preserve">session of the </w:t>
      </w:r>
      <w:r w:rsidRPr="006F4F86">
        <w:rPr>
          <w:noProof/>
        </w:rPr>
        <w:t xml:space="preserve">International Maritime Organization’s (‘IMO’) </w:t>
      </w:r>
      <w:r>
        <w:rPr>
          <w:noProof/>
        </w:rPr>
        <w:t>Marine Environment Protection Committee</w:t>
      </w:r>
      <w:r w:rsidRPr="006F4F86">
        <w:rPr>
          <w:noProof/>
        </w:rPr>
        <w:t xml:space="preserve"> </w:t>
      </w:r>
      <w:r w:rsidRPr="006F4F86">
        <w:rPr>
          <w:noProof/>
          <w:color w:val="000000"/>
        </w:rPr>
        <w:t xml:space="preserve">shall be to </w:t>
      </w:r>
      <w:r w:rsidRPr="006632B0">
        <w:rPr>
          <w:noProof/>
          <w:color w:val="000000"/>
        </w:rPr>
        <w:t>agree</w:t>
      </w:r>
      <w:r w:rsidRPr="009944F7">
        <w:rPr>
          <w:noProof/>
          <w:color w:val="000000"/>
        </w:rPr>
        <w:t xml:space="preserve"> to </w:t>
      </w:r>
      <w:r w:rsidRPr="009944F7">
        <w:rPr>
          <w:noProof/>
        </w:rPr>
        <w:t>the</w:t>
      </w:r>
      <w:r w:rsidRPr="006F4F86">
        <w:rPr>
          <w:noProof/>
        </w:rPr>
        <w:t xml:space="preserve"> </w:t>
      </w:r>
      <w:r>
        <w:rPr>
          <w:noProof/>
        </w:rPr>
        <w:t xml:space="preserve">adoption of: </w:t>
      </w:r>
    </w:p>
    <w:p w:rsidR="007C0CCE" w:rsidRDefault="00F97BE1" w:rsidP="00F97BE1">
      <w:pPr>
        <w:pStyle w:val="Point0"/>
        <w:rPr>
          <w:noProof/>
        </w:rPr>
      </w:pPr>
      <w:r w:rsidRPr="00F97BE1">
        <w:rPr>
          <w:noProof/>
        </w:rPr>
        <w:t>(a)</w:t>
      </w:r>
      <w:r w:rsidRPr="00F97BE1">
        <w:rPr>
          <w:noProof/>
        </w:rPr>
        <w:tab/>
      </w:r>
      <w:r w:rsidR="009944F7">
        <w:rPr>
          <w:noProof/>
          <w:lang w:val="en-IE"/>
        </w:rPr>
        <w:t>the amendments to r</w:t>
      </w:r>
      <w:r w:rsidR="009944F7" w:rsidRPr="002A131A">
        <w:rPr>
          <w:noProof/>
          <w:lang w:val="en-IE"/>
        </w:rPr>
        <w:t>egulations 13 and 14 and Appendix</w:t>
      </w:r>
      <w:r w:rsidR="009944F7" w:rsidRPr="00680829">
        <w:rPr>
          <w:noProof/>
          <w:lang w:val="en-IE"/>
        </w:rPr>
        <w:t xml:space="preserve"> VII </w:t>
      </w:r>
      <w:r w:rsidR="009944F7">
        <w:rPr>
          <w:noProof/>
          <w:lang w:val="en-IE"/>
        </w:rPr>
        <w:t xml:space="preserve">to Annex VI of </w:t>
      </w:r>
      <w:r w:rsidR="009944F7" w:rsidRPr="00680829">
        <w:rPr>
          <w:noProof/>
          <w:lang w:val="en-IE"/>
        </w:rPr>
        <w:t xml:space="preserve">MARPOL </w:t>
      </w:r>
      <w:r w:rsidR="009944F7">
        <w:rPr>
          <w:noProof/>
        </w:rPr>
        <w:t>concerning the d</w:t>
      </w:r>
      <w:r w:rsidR="007C0CCE">
        <w:rPr>
          <w:noProof/>
        </w:rPr>
        <w:t xml:space="preserve">esignation of the North-East Atlantic as a new Emission Control Area (ECA), </w:t>
      </w:r>
    </w:p>
    <w:p w:rsidR="007C0CCE" w:rsidRDefault="00F97BE1" w:rsidP="00F97BE1">
      <w:pPr>
        <w:pStyle w:val="Point0"/>
        <w:rPr>
          <w:noProof/>
        </w:rPr>
      </w:pPr>
      <w:r w:rsidRPr="00F97BE1">
        <w:rPr>
          <w:noProof/>
        </w:rPr>
        <w:t>(b)</w:t>
      </w:r>
      <w:r w:rsidRPr="00F97BE1">
        <w:rPr>
          <w:noProof/>
        </w:rPr>
        <w:tab/>
      </w:r>
      <w:r w:rsidR="009944F7">
        <w:rPr>
          <w:noProof/>
          <w:lang w:val="en-IE"/>
        </w:rPr>
        <w:t>the amendments to r</w:t>
      </w:r>
      <w:r w:rsidR="009944F7" w:rsidRPr="002408A0">
        <w:rPr>
          <w:noProof/>
          <w:lang w:val="en-IE"/>
        </w:rPr>
        <w:t>egulations 20, 25, 27 and 28</w:t>
      </w:r>
      <w:r w:rsidR="009944F7">
        <w:rPr>
          <w:noProof/>
          <w:lang w:val="en-IE"/>
        </w:rPr>
        <w:t xml:space="preserve"> </w:t>
      </w:r>
      <w:r w:rsidR="009944F7" w:rsidRPr="00680829">
        <w:rPr>
          <w:noProof/>
          <w:lang w:val="en-IE"/>
        </w:rPr>
        <w:t xml:space="preserve">of Annex VI </w:t>
      </w:r>
      <w:r w:rsidR="009944F7">
        <w:rPr>
          <w:noProof/>
          <w:lang w:val="en-IE"/>
        </w:rPr>
        <w:t xml:space="preserve">of </w:t>
      </w:r>
      <w:r w:rsidR="009944F7" w:rsidRPr="00680829">
        <w:rPr>
          <w:noProof/>
          <w:lang w:val="en-IE"/>
        </w:rPr>
        <w:t xml:space="preserve">MARPOL </w:t>
      </w:r>
      <w:r w:rsidR="009944F7">
        <w:rPr>
          <w:noProof/>
        </w:rPr>
        <w:t>concerning the a</w:t>
      </w:r>
      <w:r w:rsidR="007C0CCE">
        <w:rPr>
          <w:noProof/>
        </w:rPr>
        <w:t>ccessibility of the IMO Ship Fuel Oil Consumption Database (IMO DCS) and review clause of the short-term GHG reduction measure</w:t>
      </w:r>
      <w:r w:rsidR="007C0CCE" w:rsidRPr="00B97EB9">
        <w:rPr>
          <w:noProof/>
        </w:rPr>
        <w:t>, and</w:t>
      </w:r>
      <w:r w:rsidR="007C0CCE" w:rsidRPr="00A937AD">
        <w:rPr>
          <w:noProof/>
        </w:rPr>
        <w:t xml:space="preserve"> </w:t>
      </w:r>
    </w:p>
    <w:p w:rsidR="007C0CCE" w:rsidRDefault="00F97BE1" w:rsidP="00F97BE1">
      <w:pPr>
        <w:pStyle w:val="Point0"/>
        <w:rPr>
          <w:noProof/>
        </w:rPr>
      </w:pPr>
      <w:r w:rsidRPr="00F97BE1">
        <w:rPr>
          <w:noProof/>
        </w:rPr>
        <w:t>(c)</w:t>
      </w:r>
      <w:r w:rsidRPr="00F97BE1">
        <w:rPr>
          <w:noProof/>
        </w:rPr>
        <w:tab/>
      </w:r>
      <w:r w:rsidR="009944F7">
        <w:rPr>
          <w:noProof/>
        </w:rPr>
        <w:t>the i</w:t>
      </w:r>
      <w:r w:rsidR="009944F7" w:rsidRPr="00C66B56">
        <w:rPr>
          <w:noProof/>
        </w:rPr>
        <w:t>ntroduction of the new chapter 5 to Annex VI</w:t>
      </w:r>
      <w:r w:rsidR="009944F7">
        <w:rPr>
          <w:noProof/>
        </w:rPr>
        <w:t xml:space="preserve"> of </w:t>
      </w:r>
      <w:r w:rsidR="009944F7" w:rsidRPr="00C66B56">
        <w:rPr>
          <w:noProof/>
        </w:rPr>
        <w:t xml:space="preserve">MARPOL </w:t>
      </w:r>
      <w:r w:rsidR="009944F7">
        <w:rPr>
          <w:noProof/>
        </w:rPr>
        <w:t xml:space="preserve">concerning the </w:t>
      </w:r>
      <w:r w:rsidR="007C0CCE">
        <w:rPr>
          <w:noProof/>
        </w:rPr>
        <w:t>IMO Net-Zero Framework</w:t>
      </w:r>
      <w:r w:rsidR="007C0CCE" w:rsidRPr="00465A7A">
        <w:rPr>
          <w:noProof/>
          <w:lang w:val="en-IE"/>
        </w:rPr>
        <w:t>.</w:t>
      </w:r>
    </w:p>
    <w:bookmarkEnd w:id="14"/>
    <w:p w:rsidR="00810B8F" w:rsidRPr="007C59B9" w:rsidRDefault="00810B8F" w:rsidP="007C59B9">
      <w:pPr>
        <w:pStyle w:val="Titrearticle"/>
        <w:rPr>
          <w:noProof/>
        </w:rPr>
      </w:pPr>
      <w:r w:rsidRPr="007C734B">
        <w:rPr>
          <w:noProof/>
          <w:color w:val="000000"/>
        </w:rPr>
        <w:t xml:space="preserve">Article </w:t>
      </w:r>
      <w:r w:rsidR="002A23D1">
        <w:rPr>
          <w:noProof/>
        </w:rPr>
        <w:t>2</w:t>
      </w:r>
    </w:p>
    <w:p w:rsidR="007C0CCE" w:rsidRPr="009944F7" w:rsidRDefault="007C0CCE" w:rsidP="006C2C12">
      <w:pPr>
        <w:rPr>
          <w:iCs/>
          <w:noProof/>
        </w:rPr>
      </w:pPr>
      <w:r w:rsidRPr="006632B0">
        <w:rPr>
          <w:iCs/>
          <w:noProof/>
          <w:color w:val="000000"/>
        </w:rPr>
        <w:t>The position referred to in Article 1 shall be expressed by the Commission and by the Member States of the Union that are members of the IMO’s Marine Environment Protection Committee, acting jointly in the interest of the Union.</w:t>
      </w:r>
    </w:p>
    <w:p w:rsidR="00836BCC" w:rsidRPr="007C734B" w:rsidRDefault="007C59B9" w:rsidP="00700E7E">
      <w:pPr>
        <w:pStyle w:val="Titrearticle"/>
        <w:rPr>
          <w:noProof/>
        </w:rPr>
      </w:pPr>
      <w:r>
        <w:rPr>
          <w:noProof/>
        </w:rPr>
        <w:t xml:space="preserve">Article </w:t>
      </w:r>
      <w:r w:rsidR="002A23D1">
        <w:rPr>
          <w:noProof/>
        </w:rPr>
        <w:t>3</w:t>
      </w:r>
    </w:p>
    <w:p w:rsidR="00836BCC" w:rsidRPr="007C734B" w:rsidRDefault="00836BCC" w:rsidP="00836BCC">
      <w:pPr>
        <w:rPr>
          <w:noProof/>
          <w:color w:val="000000"/>
        </w:rPr>
      </w:pPr>
      <w:r w:rsidRPr="007C734B">
        <w:rPr>
          <w:noProof/>
          <w:color w:val="000000"/>
        </w:rPr>
        <w:t xml:space="preserve">This Decision </w:t>
      </w:r>
      <w:r w:rsidR="008B48FB" w:rsidRPr="007C734B">
        <w:rPr>
          <w:noProof/>
          <w:color w:val="000000"/>
        </w:rPr>
        <w:t xml:space="preserve">is addressed to the </w:t>
      </w:r>
      <w:r w:rsidR="00442E06">
        <w:rPr>
          <w:noProof/>
          <w:color w:val="000000"/>
        </w:rPr>
        <w:t>Commission</w:t>
      </w:r>
      <w:r w:rsidR="00442E06" w:rsidRPr="007C734B">
        <w:rPr>
          <w:noProof/>
          <w:color w:val="000000"/>
        </w:rPr>
        <w:t xml:space="preserve"> </w:t>
      </w:r>
      <w:r w:rsidR="00442E06">
        <w:rPr>
          <w:noProof/>
          <w:color w:val="000000"/>
        </w:rPr>
        <w:t>and the</w:t>
      </w:r>
      <w:r w:rsidR="00442E06" w:rsidRPr="007C734B">
        <w:rPr>
          <w:noProof/>
          <w:color w:val="000000"/>
        </w:rPr>
        <w:t xml:space="preserve"> </w:t>
      </w:r>
      <w:r w:rsidR="008B48FB" w:rsidRPr="007C734B">
        <w:rPr>
          <w:noProof/>
          <w:color w:val="000000"/>
        </w:rPr>
        <w:t xml:space="preserve">Member States.  </w:t>
      </w:r>
    </w:p>
    <w:p w:rsidR="00836BCC" w:rsidRPr="007C734B" w:rsidRDefault="00836BCC" w:rsidP="00810B8F">
      <w:pPr>
        <w:rPr>
          <w:noProof/>
          <w:color w:val="000000"/>
        </w:rPr>
      </w:pPr>
    </w:p>
    <w:p w:rsidR="00836BCC" w:rsidRPr="007C734B" w:rsidRDefault="00836BCC" w:rsidP="00810B8F">
      <w:pPr>
        <w:rPr>
          <w:noProof/>
          <w:color w:val="000000"/>
        </w:rPr>
      </w:pPr>
    </w:p>
    <w:p w:rsidR="00996C46" w:rsidRPr="007C734B" w:rsidRDefault="00AA3043" w:rsidP="00423751">
      <w:pPr>
        <w:pStyle w:val="Fait"/>
        <w:rPr>
          <w:noProof/>
        </w:rPr>
      </w:pPr>
      <w:r>
        <w:rPr>
          <w:noProof/>
        </w:rPr>
        <w:t>Done at Brussels,</w:t>
      </w:r>
    </w:p>
    <w:p w:rsidR="00996C46" w:rsidRPr="007C734B" w:rsidRDefault="00996C46" w:rsidP="00423751">
      <w:pPr>
        <w:pStyle w:val="Institutionquisigne"/>
        <w:rPr>
          <w:noProof/>
        </w:rPr>
      </w:pPr>
      <w:r w:rsidRPr="007C734B">
        <w:rPr>
          <w:noProof/>
        </w:rPr>
        <w:tab/>
        <w:t>For the Council</w:t>
      </w:r>
    </w:p>
    <w:p w:rsidR="00996C46" w:rsidRPr="00996C46" w:rsidRDefault="00996C46" w:rsidP="00996C46">
      <w:pPr>
        <w:pStyle w:val="Personnequisigne"/>
        <w:rPr>
          <w:noProof/>
        </w:rPr>
      </w:pPr>
      <w:r w:rsidRPr="007C734B">
        <w:rPr>
          <w:noProof/>
        </w:rPr>
        <w:tab/>
        <w:t>The President</w:t>
      </w:r>
    </w:p>
    <w:sectPr w:rsidR="00996C46" w:rsidRPr="00996C46" w:rsidSect="00C7625F">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D8C" w:rsidRDefault="00ED6D8C" w:rsidP="00996C46">
      <w:pPr>
        <w:spacing w:before="0" w:after="0"/>
      </w:pPr>
      <w:r>
        <w:separator/>
      </w:r>
    </w:p>
  </w:endnote>
  <w:endnote w:type="continuationSeparator" w:id="0">
    <w:p w:rsidR="00ED6D8C" w:rsidRDefault="00ED6D8C" w:rsidP="00996C46">
      <w:pPr>
        <w:spacing w:before="0" w:after="0"/>
      </w:pPr>
      <w:r>
        <w:continuationSeparator/>
      </w:r>
    </w:p>
  </w:endnote>
  <w:endnote w:type="continuationNotice" w:id="1">
    <w:p w:rsidR="00ED6D8C" w:rsidRDefault="00ED6D8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5F" w:rsidRPr="00C7625F" w:rsidRDefault="00C7625F" w:rsidP="00C7625F">
    <w:pPr>
      <w:pStyle w:val="Footer"/>
      <w:rPr>
        <w:rFonts w:ascii="Arial" w:hAnsi="Arial" w:cs="Arial"/>
        <w:b/>
        <w:sz w:val="48"/>
      </w:rPr>
    </w:pPr>
    <w:r w:rsidRPr="00C7625F">
      <w:rPr>
        <w:rFonts w:ascii="Arial" w:hAnsi="Arial" w:cs="Arial"/>
        <w:b/>
        <w:sz w:val="48"/>
      </w:rPr>
      <w:t>EN</w:t>
    </w:r>
    <w:r w:rsidRPr="00C7625F">
      <w:rPr>
        <w:rFonts w:ascii="Arial" w:hAnsi="Arial" w:cs="Arial"/>
        <w:b/>
        <w:sz w:val="48"/>
      </w:rPr>
      <w:tab/>
    </w:r>
    <w:r w:rsidRPr="00C7625F">
      <w:rPr>
        <w:rFonts w:ascii="Arial" w:hAnsi="Arial" w:cs="Arial"/>
        <w:b/>
        <w:sz w:val="48"/>
      </w:rPr>
      <w:tab/>
    </w:r>
    <w:r w:rsidRPr="00C7625F">
      <w:tab/>
    </w:r>
    <w:r w:rsidRPr="00C7625F">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5F" w:rsidRPr="00C7625F" w:rsidRDefault="00C7625F" w:rsidP="00C7625F">
    <w:pPr>
      <w:pStyle w:val="Footer"/>
      <w:rPr>
        <w:rFonts w:ascii="Arial" w:hAnsi="Arial" w:cs="Arial"/>
        <w:b/>
        <w:sz w:val="48"/>
      </w:rPr>
    </w:pPr>
    <w:r w:rsidRPr="00C7625F">
      <w:rPr>
        <w:rFonts w:ascii="Arial" w:hAnsi="Arial" w:cs="Arial"/>
        <w:b/>
        <w:sz w:val="48"/>
      </w:rPr>
      <w:t>EN</w:t>
    </w:r>
    <w:r w:rsidRPr="00C7625F">
      <w:rPr>
        <w:rFonts w:ascii="Arial" w:hAnsi="Arial" w:cs="Arial"/>
        <w:b/>
        <w:sz w:val="48"/>
      </w:rPr>
      <w:tab/>
    </w:r>
    <w:r w:rsidRPr="00C7625F">
      <w:rPr>
        <w:rFonts w:ascii="Arial" w:hAnsi="Arial" w:cs="Arial"/>
        <w:b/>
        <w:sz w:val="48"/>
      </w:rPr>
      <w:tab/>
    </w:r>
    <w:r w:rsidRPr="00C7625F">
      <w:tab/>
    </w:r>
    <w:r w:rsidRPr="00C7625F">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5F" w:rsidRDefault="00C7625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5F" w:rsidRPr="00C7625F" w:rsidRDefault="00C7625F" w:rsidP="00C7625F">
    <w:pPr>
      <w:pStyle w:val="Footer"/>
      <w:rPr>
        <w:rFonts w:ascii="Arial" w:hAnsi="Arial" w:cs="Arial"/>
        <w:b/>
        <w:sz w:val="48"/>
      </w:rPr>
    </w:pPr>
    <w:r w:rsidRPr="00C7625F">
      <w:rPr>
        <w:rFonts w:ascii="Arial" w:hAnsi="Arial" w:cs="Arial"/>
        <w:b/>
        <w:sz w:val="48"/>
      </w:rPr>
      <w:t>EN</w:t>
    </w:r>
    <w:r w:rsidRPr="00C7625F">
      <w:rPr>
        <w:rFonts w:ascii="Arial" w:hAnsi="Arial" w:cs="Arial"/>
        <w:b/>
        <w:sz w:val="48"/>
      </w:rPr>
      <w:tab/>
    </w:r>
    <w:r>
      <w:fldChar w:fldCharType="begin"/>
    </w:r>
    <w:r>
      <w:instrText xml:space="preserve"> PAGE  \* MERGEFORMAT </w:instrText>
    </w:r>
    <w:r>
      <w:fldChar w:fldCharType="separate"/>
    </w:r>
    <w:r w:rsidR="00423751">
      <w:rPr>
        <w:noProof/>
      </w:rPr>
      <w:t>14</w:t>
    </w:r>
    <w:r>
      <w:fldChar w:fldCharType="end"/>
    </w:r>
    <w:r>
      <w:tab/>
    </w:r>
    <w:r w:rsidRPr="00C7625F">
      <w:tab/>
    </w:r>
    <w:r w:rsidRPr="00C7625F">
      <w:rPr>
        <w:rFonts w:ascii="Arial" w:hAnsi="Arial" w:cs="Arial"/>
        <w:b/>
        <w:sz w:val="48"/>
      </w:rPr>
      <w:t>EN</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5F" w:rsidRDefault="00C7625F" w:rsidP="00C76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D8C" w:rsidRDefault="00ED6D8C" w:rsidP="00996C46">
      <w:pPr>
        <w:spacing w:before="0" w:after="0"/>
      </w:pPr>
      <w:r>
        <w:separator/>
      </w:r>
    </w:p>
  </w:footnote>
  <w:footnote w:type="continuationSeparator" w:id="0">
    <w:p w:rsidR="00ED6D8C" w:rsidRDefault="00ED6D8C" w:rsidP="00996C46">
      <w:pPr>
        <w:spacing w:before="0" w:after="0"/>
      </w:pPr>
      <w:r>
        <w:continuationSeparator/>
      </w:r>
    </w:p>
  </w:footnote>
  <w:footnote w:type="continuationNotice" w:id="1">
    <w:p w:rsidR="00ED6D8C" w:rsidRDefault="00ED6D8C">
      <w:pPr>
        <w:spacing w:before="0" w:after="0"/>
      </w:pPr>
    </w:p>
  </w:footnote>
  <w:footnote w:id="2">
    <w:p w:rsidR="00923A0D" w:rsidRPr="005A1939" w:rsidRDefault="00923A0D" w:rsidP="00923A0D">
      <w:pPr>
        <w:pStyle w:val="FootnoteText"/>
        <w:rPr>
          <w:lang w:val="en-IE"/>
        </w:rPr>
      </w:pPr>
      <w:r w:rsidRPr="00C763F7">
        <w:rPr>
          <w:rStyle w:val="FootnoteReference"/>
        </w:rPr>
        <w:footnoteRef/>
      </w:r>
      <w:r w:rsidR="00C763F7">
        <w:tab/>
      </w:r>
      <w:r>
        <w:t>Austria and Hungary have not yet ratified Annex VI of MARPOL.</w:t>
      </w:r>
    </w:p>
  </w:footnote>
  <w:footnote w:id="3">
    <w:p w:rsidR="004536C5" w:rsidRPr="00AF3121" w:rsidRDefault="004536C5" w:rsidP="004536C5">
      <w:pPr>
        <w:pStyle w:val="FootnoteText"/>
        <w:rPr>
          <w:lang w:val="nl-BE"/>
        </w:rPr>
      </w:pPr>
      <w:r w:rsidRPr="00C763F7">
        <w:rPr>
          <w:rStyle w:val="FootnoteReference"/>
        </w:rPr>
        <w:footnoteRef/>
      </w:r>
      <w:r w:rsidR="00C763F7">
        <w:rPr>
          <w:lang w:val="nl-BE"/>
        </w:rPr>
        <w:tab/>
      </w:r>
      <w:r w:rsidRPr="00AF3121">
        <w:rPr>
          <w:lang w:val="nl-BE"/>
        </w:rPr>
        <w:t>OJ L 132, 21.5.2016, p. 58.</w:t>
      </w:r>
    </w:p>
  </w:footnote>
  <w:footnote w:id="4">
    <w:p w:rsidR="004536C5" w:rsidRPr="00AF3121" w:rsidRDefault="004536C5" w:rsidP="004536C5">
      <w:pPr>
        <w:pStyle w:val="FootnoteText"/>
        <w:rPr>
          <w:lang w:val="nl-BE"/>
        </w:rPr>
      </w:pPr>
      <w:r w:rsidRPr="00C763F7">
        <w:rPr>
          <w:rStyle w:val="FootnoteReference"/>
        </w:rPr>
        <w:footnoteRef/>
      </w:r>
      <w:r w:rsidR="00C763F7">
        <w:rPr>
          <w:lang w:val="nl-BE"/>
        </w:rPr>
        <w:tab/>
      </w:r>
      <w:r w:rsidRPr="00AF3121">
        <w:rPr>
          <w:lang w:val="nl-BE"/>
        </w:rPr>
        <w:t>OJ L 164, 25.6.2008, p. 19.</w:t>
      </w:r>
    </w:p>
  </w:footnote>
  <w:footnote w:id="5">
    <w:p w:rsidR="004536C5" w:rsidRPr="00AF3121" w:rsidRDefault="004536C5" w:rsidP="004536C5">
      <w:pPr>
        <w:pStyle w:val="FootnoteText"/>
        <w:rPr>
          <w:lang w:val="nl-BE"/>
        </w:rPr>
      </w:pPr>
      <w:r w:rsidRPr="00C763F7">
        <w:rPr>
          <w:rStyle w:val="FootnoteReference"/>
        </w:rPr>
        <w:footnoteRef/>
      </w:r>
      <w:r w:rsidR="00C763F7">
        <w:rPr>
          <w:lang w:val="nl-BE"/>
        </w:rPr>
        <w:tab/>
      </w:r>
      <w:r w:rsidRPr="00AF3121">
        <w:rPr>
          <w:lang w:val="nl-BE"/>
        </w:rPr>
        <w:t>OJ L 152, 11.6.2008, p. 1</w:t>
      </w:r>
    </w:p>
  </w:footnote>
  <w:footnote w:id="6">
    <w:p w:rsidR="004536C5" w:rsidRPr="00157DA0" w:rsidRDefault="004536C5" w:rsidP="004536C5">
      <w:pPr>
        <w:pStyle w:val="FootnoteText"/>
        <w:ind w:left="0" w:firstLine="0"/>
      </w:pPr>
      <w:r w:rsidRPr="00C763F7">
        <w:rPr>
          <w:rStyle w:val="FootnoteReference"/>
        </w:rPr>
        <w:footnoteRef/>
      </w:r>
      <w:r w:rsidR="00C763F7">
        <w:tab/>
      </w:r>
      <w:r w:rsidRPr="00157DA0">
        <w:t>Regulation (EC) No 715/2007 of the European Parliament and of the Council of 20 June 2007 on type approval of motor vehicles with respect to emissions from light passenger and commercial vehicles (Euro 5 and Euro 6) and on access to vehicle repair and maintenance information [OJ L 171, 29.6.2007, p. 1] and Regulation (EC) No 595/2009 of the European Parliament and of the Council of 18 June 2009 on type-approval of motor vehicles and engines with respect to emissions from heavy duty vehicles (Euro VI) and on access to vehicle repair and maintenance information [OJ L 188, 18.7.2009, p. 1]</w:t>
      </w:r>
    </w:p>
  </w:footnote>
  <w:footnote w:id="7">
    <w:p w:rsidR="004536C5" w:rsidRPr="00157DA0" w:rsidRDefault="004536C5" w:rsidP="004536C5">
      <w:pPr>
        <w:pStyle w:val="FootnoteText"/>
      </w:pPr>
      <w:r w:rsidRPr="00C763F7">
        <w:rPr>
          <w:rStyle w:val="FootnoteReference"/>
        </w:rPr>
        <w:footnoteRef/>
      </w:r>
      <w:r w:rsidR="00C763F7">
        <w:tab/>
      </w:r>
      <w:r w:rsidRPr="00157DA0">
        <w:t>OJ L 59, 27.2.1998, p. 1</w:t>
      </w:r>
    </w:p>
  </w:footnote>
  <w:footnote w:id="8">
    <w:p w:rsidR="00705550" w:rsidRPr="00930580" w:rsidRDefault="00705550" w:rsidP="004536C5">
      <w:pPr>
        <w:pStyle w:val="FootnoteText"/>
        <w:ind w:left="0" w:firstLine="0"/>
        <w:rPr>
          <w:lang w:val="es-ES"/>
        </w:rPr>
      </w:pPr>
      <w:r w:rsidRPr="00C763F7">
        <w:rPr>
          <w:rStyle w:val="FootnoteReference"/>
        </w:rPr>
        <w:footnoteRef/>
      </w:r>
      <w:r w:rsidR="00C763F7">
        <w:rPr>
          <w:lang w:val="es-ES"/>
        </w:rPr>
        <w:tab/>
      </w:r>
      <w:r w:rsidRPr="00930580">
        <w:rPr>
          <w:lang w:val="es-ES"/>
        </w:rPr>
        <w:t>OJ L 123, 19.5.2015, p. 55</w:t>
      </w:r>
    </w:p>
  </w:footnote>
  <w:footnote w:id="9">
    <w:p w:rsidR="004536C5" w:rsidRPr="00086417" w:rsidRDefault="004536C5" w:rsidP="00086417">
      <w:pPr>
        <w:pStyle w:val="FootnoteText"/>
        <w:ind w:left="0" w:firstLine="0"/>
        <w:rPr>
          <w:lang w:val="en-IE"/>
        </w:rPr>
      </w:pPr>
      <w:r w:rsidRPr="00C763F7">
        <w:rPr>
          <w:rStyle w:val="FootnoteReference"/>
        </w:rPr>
        <w:footnoteRef/>
      </w:r>
      <w:r w:rsidR="00C763F7">
        <w:rPr>
          <w:lang w:val="en-IE"/>
        </w:rPr>
        <w:tab/>
      </w:r>
      <w:r w:rsidRPr="00086417">
        <w:rPr>
          <w:lang w:val="en-IE"/>
        </w:rPr>
        <w:t>Regulation (EU) 2021/1119 of the European Parliament and of the Council of 30 June 2021 establishing the framework for achieving climate neutrality and amending Regulations (EC) No 401/2009 and (EU) 2018/1999 (‘European Climate Law’); OJ L 243, 9.7.2021, p. 1–17</w:t>
      </w:r>
    </w:p>
  </w:footnote>
  <w:footnote w:id="10">
    <w:p w:rsidR="00086417" w:rsidRPr="00086417" w:rsidRDefault="00086417" w:rsidP="00086417">
      <w:pPr>
        <w:pStyle w:val="FootnoteText"/>
        <w:ind w:left="0" w:firstLine="0"/>
      </w:pPr>
      <w:r w:rsidRPr="00C763F7">
        <w:rPr>
          <w:rStyle w:val="FootnoteReference"/>
        </w:rPr>
        <w:footnoteRef/>
      </w:r>
      <w:r w:rsidR="00C763F7">
        <w:tab/>
      </w:r>
      <w:r w:rsidRPr="00086417">
        <w:t>Directive 2003/87/EC of the European Parliament and of the Council of 13 October 2003 establishing a scheme for greenhouse gas emission allowance trading within the Community and amending Council Directive 96/61/EC (Text with EEA relevance) OJ L 275, 25.10.2003, p. 32–46</w:t>
      </w:r>
    </w:p>
  </w:footnote>
  <w:footnote w:id="11">
    <w:p w:rsidR="00086417" w:rsidRPr="00086417" w:rsidRDefault="00086417" w:rsidP="00086417">
      <w:pPr>
        <w:pStyle w:val="FootnoteText"/>
        <w:ind w:left="0" w:firstLine="0"/>
        <w:rPr>
          <w:lang w:val="en-IE"/>
        </w:rPr>
      </w:pPr>
      <w:r w:rsidRPr="00C763F7">
        <w:rPr>
          <w:rStyle w:val="FootnoteReference"/>
        </w:rPr>
        <w:footnoteRef/>
      </w:r>
      <w:r w:rsidR="00C763F7">
        <w:rPr>
          <w:lang w:val="en-IE"/>
        </w:rPr>
        <w:tab/>
      </w:r>
      <w:r w:rsidRPr="00086417">
        <w:rPr>
          <w:lang w:val="en-IE"/>
        </w:rPr>
        <w:t>Directive (EU) 2023/959 of the European Parliament and of the Council of 10 May 2023 amending Directive 2003/87/EC establishing a system for greenhouse gas emission allowance trading within the Union and Decision (EU) 2015/1814 concerning the establishment and operation of a market stability reserve for the Union greenhouse gas emission trading system, OJ L 130, 16.5.2023, p. 134–202</w:t>
      </w:r>
    </w:p>
  </w:footnote>
  <w:footnote w:id="12">
    <w:p w:rsidR="00086417" w:rsidRPr="00086417" w:rsidRDefault="00086417" w:rsidP="00086417">
      <w:pPr>
        <w:pStyle w:val="FootnoteText"/>
        <w:ind w:left="0" w:firstLine="0"/>
        <w:rPr>
          <w:lang w:val="en-IE"/>
        </w:rPr>
      </w:pPr>
      <w:r w:rsidRPr="00C763F7">
        <w:rPr>
          <w:rStyle w:val="FootnoteReference"/>
        </w:rPr>
        <w:footnoteRef/>
      </w:r>
      <w:r w:rsidR="00C763F7">
        <w:rPr>
          <w:lang w:val="en-IE"/>
        </w:rPr>
        <w:tab/>
      </w:r>
      <w:r w:rsidRPr="00086417">
        <w:rPr>
          <w:lang w:val="en-IE"/>
        </w:rPr>
        <w:t>Regulation (EU) 2023/957 of the European Parliament and of the Council of 10 May 2023 amending Regulation (EU) 2015/757 in order to provide for the inclusion of maritime transport activities in the EU Emissions Trading System and for the monitoring, reporting and verification of emissions of additional greenhouse gases and emissions from additional ship types, OJ L 130, 16.5.2023, p. 105–114</w:t>
      </w:r>
      <w:r w:rsidRPr="00086417">
        <w:rPr>
          <w:i/>
          <w:iCs/>
          <w:lang w:val="en-IE"/>
        </w:rPr>
        <w:t xml:space="preserve"> </w:t>
      </w:r>
    </w:p>
  </w:footnote>
  <w:footnote w:id="13">
    <w:p w:rsidR="00705550" w:rsidRPr="00382AE0" w:rsidRDefault="00705550" w:rsidP="00086417">
      <w:pPr>
        <w:pStyle w:val="FootnoteText"/>
        <w:ind w:left="0" w:firstLine="0"/>
        <w:rPr>
          <w:lang w:val="en-IE"/>
        </w:rPr>
      </w:pPr>
      <w:r w:rsidRPr="00C763F7">
        <w:rPr>
          <w:rStyle w:val="FootnoteReference"/>
        </w:rPr>
        <w:footnoteRef/>
      </w:r>
      <w:r w:rsidR="00C763F7">
        <w:rPr>
          <w:lang w:val="en-IE"/>
        </w:rPr>
        <w:tab/>
      </w:r>
      <w:r w:rsidRPr="00086417">
        <w:rPr>
          <w:lang w:val="en-IE"/>
        </w:rPr>
        <w:t>OJ L 234, 22.9.2023, p. 48</w:t>
      </w:r>
    </w:p>
  </w:footnote>
  <w:footnote w:id="14">
    <w:p w:rsidR="00141773" w:rsidRPr="00086417" w:rsidRDefault="00141773" w:rsidP="00086417">
      <w:pPr>
        <w:pStyle w:val="FootnoteText"/>
        <w:ind w:left="0" w:firstLine="0"/>
      </w:pPr>
      <w:r w:rsidRPr="00C763F7">
        <w:rPr>
          <w:rStyle w:val="FootnoteReference"/>
        </w:rPr>
        <w:footnoteRef/>
      </w:r>
      <w:r w:rsidR="00C763F7">
        <w:tab/>
      </w:r>
      <w:r w:rsidRPr="00086417">
        <w:t>OJ L 123, 19.5.2015, p. 55.</w:t>
      </w:r>
    </w:p>
  </w:footnote>
  <w:footnote w:id="15">
    <w:p w:rsidR="00141773" w:rsidRPr="00086417" w:rsidRDefault="00141773" w:rsidP="00086417">
      <w:pPr>
        <w:pStyle w:val="FootnoteText"/>
        <w:ind w:left="0" w:firstLine="0"/>
      </w:pPr>
      <w:r w:rsidRPr="00C763F7">
        <w:rPr>
          <w:rStyle w:val="FootnoteReference"/>
        </w:rPr>
        <w:footnoteRef/>
      </w:r>
      <w:r w:rsidR="00C763F7">
        <w:tab/>
      </w:r>
      <w:r w:rsidRPr="00086417">
        <w:t>Regulation (EU) 2021/1119 of the European Parliament and of the Council of 30 June 2021 establishing the framework for achieving climate neutrality and amending Regulations (EC) No 401/2009 and (EU) 2018/1999 (‘European Climate Law’); OJ L 243, 9.7.2021, p. 1–17</w:t>
      </w:r>
    </w:p>
  </w:footnote>
  <w:footnote w:id="16">
    <w:p w:rsidR="00086417" w:rsidRPr="00086417" w:rsidRDefault="00086417" w:rsidP="00086417">
      <w:pPr>
        <w:pStyle w:val="FootnoteText"/>
        <w:ind w:left="0" w:firstLine="0"/>
      </w:pPr>
      <w:r w:rsidRPr="00C763F7">
        <w:rPr>
          <w:rStyle w:val="FootnoteReference"/>
        </w:rPr>
        <w:footnoteRef/>
      </w:r>
      <w:r w:rsidR="00C763F7">
        <w:tab/>
      </w:r>
      <w:r w:rsidRPr="00086417">
        <w:t>Directive 2003/87/EC of the European Parliament and of the Council of 13 October 2003 establishing a scheme for greenhouse gas emission allowance trading within the Community and amending Council Directive 96/61/EC (Text with EEA relevance) OJ L 275, 25.10.2003, p. 32–46</w:t>
      </w:r>
    </w:p>
  </w:footnote>
  <w:footnote w:id="17">
    <w:p w:rsidR="00141773" w:rsidRPr="00086417" w:rsidRDefault="00141773" w:rsidP="00086417">
      <w:pPr>
        <w:pStyle w:val="FootnoteText"/>
        <w:ind w:left="0" w:firstLine="0"/>
        <w:rPr>
          <w:lang w:val="en-IE"/>
        </w:rPr>
      </w:pPr>
      <w:r w:rsidRPr="00C763F7">
        <w:rPr>
          <w:rStyle w:val="FootnoteReference"/>
        </w:rPr>
        <w:footnoteRef/>
      </w:r>
      <w:r w:rsidR="00C763F7">
        <w:rPr>
          <w:lang w:val="en-IE"/>
        </w:rPr>
        <w:tab/>
      </w:r>
      <w:r w:rsidRPr="00086417">
        <w:rPr>
          <w:lang w:val="en-IE"/>
        </w:rPr>
        <w:t>Directive (EU) 2023/959 of the European Parliament and of the Council of 10 May 2023 amending Directive 2003/87/EC establishing a system for greenhouse gas emission allowance trading within the Union and Decision (EU) 2015/1814 concerning the establishment and operation of a market stability reserve for the Union greenhouse gas emission trading system, OJ L 130, 16.5.2023, p. 134–202</w:t>
      </w:r>
    </w:p>
  </w:footnote>
  <w:footnote w:id="18">
    <w:p w:rsidR="00141773" w:rsidRPr="00086417" w:rsidRDefault="00141773" w:rsidP="00086417">
      <w:pPr>
        <w:pStyle w:val="FootnoteText"/>
        <w:ind w:left="0" w:firstLine="0"/>
        <w:rPr>
          <w:lang w:val="en-IE"/>
        </w:rPr>
      </w:pPr>
      <w:r w:rsidRPr="00C763F7">
        <w:rPr>
          <w:rStyle w:val="FootnoteReference"/>
        </w:rPr>
        <w:footnoteRef/>
      </w:r>
      <w:r w:rsidR="00C763F7">
        <w:rPr>
          <w:lang w:val="en-IE"/>
        </w:rPr>
        <w:tab/>
      </w:r>
      <w:bookmarkStart w:id="12" w:name="_Hlk152250300"/>
      <w:r w:rsidRPr="00086417">
        <w:rPr>
          <w:lang w:val="en-IE"/>
        </w:rPr>
        <w:t>Regulation (EU) 2023/957 of the European Parliament and of the Council of 10 May 2023 amending Regulation (EU) 2015/757 in order to provide for the inclusion of maritime transport activities in the EU Emissions Trading System and for the monitoring, reporting and verification of emissions of additional greenhouse gases and emissions from additional ship types, OJ L 130, 16.5.2023, p. 105–114</w:t>
      </w:r>
      <w:r w:rsidRPr="00086417">
        <w:rPr>
          <w:i/>
          <w:iCs/>
          <w:lang w:val="en-IE"/>
        </w:rPr>
        <w:t xml:space="preserve"> </w:t>
      </w:r>
      <w:bookmarkEnd w:id="12"/>
    </w:p>
  </w:footnote>
  <w:footnote w:id="19">
    <w:p w:rsidR="00141773" w:rsidRPr="00717516" w:rsidRDefault="00141773" w:rsidP="00141773">
      <w:pPr>
        <w:pStyle w:val="FootnoteText"/>
        <w:ind w:left="142" w:hanging="142"/>
        <w:rPr>
          <w:szCs w:val="18"/>
        </w:rPr>
      </w:pPr>
      <w:r w:rsidRPr="00C763F7">
        <w:rPr>
          <w:rStyle w:val="FootnoteReference"/>
        </w:rPr>
        <w:footnoteRef/>
      </w:r>
      <w:r w:rsidR="00C763F7">
        <w:rPr>
          <w:szCs w:val="18"/>
          <w:vertAlign w:val="superscript"/>
        </w:rPr>
        <w:tab/>
      </w:r>
      <w:r w:rsidRPr="00717516">
        <w:rPr>
          <w:szCs w:val="18"/>
        </w:rPr>
        <w:t>Regulation (EU) 2023/1805 of the European Parliament and of the Council of 13 September 2023 on the use of renewable and low-carbon fuels in maritime transport, and amending Directive 2009/16/EC</w:t>
      </w:r>
      <w:r>
        <w:rPr>
          <w:szCs w:val="18"/>
        </w:rPr>
        <w:t xml:space="preserve">, </w:t>
      </w:r>
      <w:r w:rsidRPr="00717516">
        <w:rPr>
          <w:szCs w:val="18"/>
        </w:rPr>
        <w:t>OJ L 234, 22.9.2023, p. 48–100</w:t>
      </w:r>
    </w:p>
  </w:footnote>
  <w:footnote w:id="20">
    <w:p w:rsidR="00E63531" w:rsidRPr="00D1599C" w:rsidRDefault="00E63531" w:rsidP="008C3B61">
      <w:pPr>
        <w:pStyle w:val="FootnoteText"/>
      </w:pPr>
      <w:r w:rsidRPr="00C2301D">
        <w:rPr>
          <w:rStyle w:val="FootnoteReference"/>
        </w:rPr>
        <w:footnoteRef/>
      </w:r>
      <w:r w:rsidR="00C2301D">
        <w:tab/>
      </w:r>
      <w:r w:rsidRPr="00D1599C">
        <w:t xml:space="preserve">Case C-399/12 Germany v Council (OIV), ECLI:EU:C:2014:2258, paragraph 64. </w:t>
      </w:r>
    </w:p>
  </w:footnote>
  <w:footnote w:id="21">
    <w:p w:rsidR="007432B1" w:rsidRPr="000405BF" w:rsidRDefault="007432B1" w:rsidP="007432B1">
      <w:pPr>
        <w:pStyle w:val="FootnoteText"/>
        <w:rPr>
          <w:lang w:val="es-ES"/>
        </w:rPr>
      </w:pPr>
      <w:r>
        <w:rPr>
          <w:rStyle w:val="FootnoteReference"/>
        </w:rPr>
        <w:footnoteRef/>
      </w:r>
      <w:r w:rsidRPr="000405BF">
        <w:rPr>
          <w:lang w:val="es-ES"/>
        </w:rPr>
        <w:tab/>
        <w:t>OJ L 132, 21.5.2016, p. 58</w:t>
      </w:r>
    </w:p>
  </w:footnote>
  <w:footnote w:id="22">
    <w:p w:rsidR="007432B1" w:rsidRPr="000405BF" w:rsidRDefault="007432B1" w:rsidP="007432B1">
      <w:pPr>
        <w:pStyle w:val="FootnoteText"/>
        <w:rPr>
          <w:lang w:val="es-ES"/>
        </w:rPr>
      </w:pPr>
      <w:r>
        <w:rPr>
          <w:rStyle w:val="FootnoteReference"/>
        </w:rPr>
        <w:footnoteRef/>
      </w:r>
      <w:r w:rsidRPr="000405BF">
        <w:rPr>
          <w:lang w:val="es-ES"/>
        </w:rPr>
        <w:tab/>
        <w:t>OJ L 123, 19.5.2015, p. 55</w:t>
      </w:r>
    </w:p>
  </w:footnote>
  <w:footnote w:id="23">
    <w:p w:rsidR="007432B1" w:rsidRPr="00AF3121" w:rsidRDefault="007432B1">
      <w:pPr>
        <w:pStyle w:val="FootnoteText"/>
        <w:rPr>
          <w:lang w:val="nl-BE"/>
        </w:rPr>
      </w:pPr>
      <w:r w:rsidRPr="00C763F7">
        <w:rPr>
          <w:rStyle w:val="FootnoteReference"/>
        </w:rPr>
        <w:footnoteRef/>
      </w:r>
      <w:r w:rsidR="00C763F7">
        <w:rPr>
          <w:lang w:val="nl-BE"/>
        </w:rPr>
        <w:tab/>
      </w:r>
      <w:r w:rsidRPr="00AF3121">
        <w:rPr>
          <w:szCs w:val="18"/>
          <w:lang w:val="nl-BE"/>
        </w:rPr>
        <w:t>OJ L 130, 16.5.2023, p. 134</w:t>
      </w:r>
    </w:p>
  </w:footnote>
  <w:footnote w:id="24">
    <w:p w:rsidR="007432B1" w:rsidRPr="000405BF" w:rsidRDefault="007432B1" w:rsidP="007432B1">
      <w:pPr>
        <w:pStyle w:val="FootnoteText"/>
        <w:rPr>
          <w:lang w:val="es-ES"/>
        </w:rPr>
      </w:pPr>
      <w:r>
        <w:rPr>
          <w:rStyle w:val="FootnoteReference"/>
        </w:rPr>
        <w:footnoteRef/>
      </w:r>
      <w:r w:rsidRPr="000405BF">
        <w:rPr>
          <w:lang w:val="es-ES"/>
        </w:rPr>
        <w:tab/>
        <w:t>OJ L 234, 22.9.2023, p. 48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5F" w:rsidRDefault="00C762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25F" w:rsidRDefault="00C76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656D76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EBD2636C"/>
    <w:name w:val="Point"/>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ED38401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E6E691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B0CE5F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5BE7F0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8D0C9A42"/>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81B68BA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7280071"/>
    <w:multiLevelType w:val="multilevel"/>
    <w:tmpl w:val="39C25228"/>
    <w:name w:val="Heading 123"/>
    <w:lvl w:ilvl="0">
      <w:start w:val="1"/>
      <w:numFmt w:val="decimal"/>
      <w:lvlRestart w:val="0"/>
      <w:pStyle w:val="Heading123"/>
      <w:lvlText w:val="%1."/>
      <w:lvlJc w:val="left"/>
      <w:pPr>
        <w:tabs>
          <w:tab w:val="num" w:pos="567"/>
        </w:tabs>
        <w:ind w:left="567" w:hanging="56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
  </w:num>
  <w:num w:numId="6">
    <w:abstractNumId w:val="6"/>
  </w:num>
  <w:num w:numId="7">
    <w:abstractNumId w:val="2"/>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num>
  <w:num w:numId="11">
    <w:abstractNumId w:val="23"/>
  </w:num>
  <w:num w:numId="12">
    <w:abstractNumId w:val="22"/>
  </w:num>
  <w:num w:numId="13">
    <w:abstractNumId w:val="17"/>
    <w:lvlOverride w:ilvl="0">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12"/>
  </w:num>
  <w:num w:numId="17">
    <w:abstractNumId w:val="21"/>
  </w:num>
  <w:num w:numId="18">
    <w:abstractNumId w:val="11"/>
  </w:num>
  <w:num w:numId="19">
    <w:abstractNumId w:val="13"/>
  </w:num>
  <w:num w:numId="20">
    <w:abstractNumId w:val="14"/>
  </w:num>
  <w:num w:numId="21">
    <w:abstractNumId w:val="9"/>
  </w:num>
  <w:num w:numId="22">
    <w:abstractNumId w:val="20"/>
  </w:num>
  <w:num w:numId="23">
    <w:abstractNumId w:val="8"/>
  </w:num>
  <w:num w:numId="24">
    <w:abstractNumId w:val="15"/>
  </w:num>
  <w:num w:numId="25">
    <w:abstractNumId w:val="17"/>
  </w:num>
  <w:num w:numId="26">
    <w:abstractNumId w:val="18"/>
  </w:num>
  <w:num w:numId="27">
    <w:abstractNumId w:val="10"/>
  </w:num>
  <w:num w:numId="28">
    <w:abstractNumId w:val="16"/>
  </w:num>
  <w:num w:numId="29">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es-ES" w:vendorID="64" w:dllVersion="0" w:nlCheck="1" w:checkStyle="0"/>
  <w:activeWritingStyle w:appName="MSWord" w:lang="en-GB" w:vendorID="64" w:dllVersion="0" w:nlCheck="1" w:checkStyle="0"/>
  <w:activeWritingStyle w:appName="MSWord" w:lang="en-IE" w:vendorID="64" w:dllVersion="0" w:nlCheck="1" w:checkStyle="0"/>
  <w:activeWritingStyle w:appName="MSWord" w:lang="fr-BE" w:vendorID="64" w:dllVersion="0" w:nlCheck="1" w:checkStyle="0"/>
  <w:activeWritingStyle w:appName="MSWord" w:lang="en-US" w:vendorID="64" w:dllVersion="0" w:nlCheck="1" w:checkStyle="0"/>
  <w:activeWritingStyle w:appName="MSWord" w:lang="nl-BE" w:vendorID="64" w:dllVersion="0" w:nlCheck="1" w:checkStyle="0"/>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_RefLast" w:val="0"/>
    <w:docVar w:name="dgnword-docGUID" w:val="{3EDE5AF0-BCC9-4183-9E22-6BA87EB969F2}"/>
    <w:docVar w:name="dgnword-eventsink" w:val="860125544"/>
    <w:docVar w:name="DQCDateTime" w:val="2025-07-26 13:07:27"/>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70CE750B-42F4-4256-BE9A-0F09655BE225"/>
    <w:docVar w:name="LW_COVERPAGE_TYPE" w:val="1"/>
    <w:docVar w:name="LW_CROSSREFERENCE" w:val="&lt;UNUSED&gt;"/>
    <w:docVar w:name="LW_DocType" w:val="COM"/>
    <w:docVar w:name="LW_EMISSION" w:val="30.7.2025"/>
    <w:docVar w:name="LW_EMISSION_ISODATE" w:val="2025-07-30"/>
    <w:docVar w:name="LW_EMISSION_LOCATION" w:val="BRX"/>
    <w:docVar w:name="LW_EMISSION_PREFIX" w:val="Brussels, "/>
    <w:docVar w:name="LW_EMISSION_SUFFIX" w:val=" "/>
    <w:docVar w:name="LW_ID_DOCMODEL" w:val="SJ-043"/>
    <w:docVar w:name="LW_ID_DOCSIGNATURE" w:val="SJ-019"/>
    <w:docVar w:name="LW_ID_DOCSTRUCTURE" w:val="COM/PL/ORG"/>
    <w:docVar w:name="LW_ID_DOCTYPE" w:val="SJ-043"/>
    <w:docVar w:name="LW_ID_EXP.MOTIFS.NEW" w:val="EM_PL2_"/>
    <w:docVar w:name="LW_ID_STATUT" w:val="SJ-019"/>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NLE"/>
    <w:docVar w:name="LW_REF.II.NEW.CP_NUMBER" w:val="0242"/>
    <w:docVar w:name="LW_REF.II.NEW.CP_YEAR" w:val="2025"/>
    <w:docVar w:name="LW_REF.INST.NEW" w:val="COM"/>
    <w:docVar w:name="LW_REF.INST.NEW_ADOPTED" w:val="final"/>
    <w:docVar w:name="LW_REF.INST.NEW_TEXT" w:val="(2025) 431"/>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position to be taken on behalf of the European Union in the International Maritime Organization during the second extraordinary session of the Marine Environment Protection Committee on the adoption of amendments to the International Convention for the Prevention of Pollution from Ships (MARPOL)"/>
    <w:docVar w:name="LW_TYPE.DOC.CP" w:val="COUNCIL DECISION"/>
    <w:docVar w:name="LwApiVersions" w:val="LW4CoDe 1.24.5.0; LW 9.0, Build 20240221"/>
  </w:docVars>
  <w:rsids>
    <w:rsidRoot w:val="00996C46"/>
    <w:rsid w:val="00002617"/>
    <w:rsid w:val="00002796"/>
    <w:rsid w:val="000027A3"/>
    <w:rsid w:val="00002C81"/>
    <w:rsid w:val="00003807"/>
    <w:rsid w:val="00003ED8"/>
    <w:rsid w:val="000055C4"/>
    <w:rsid w:val="00005771"/>
    <w:rsid w:val="00005D5D"/>
    <w:rsid w:val="000076E0"/>
    <w:rsid w:val="00010D52"/>
    <w:rsid w:val="0001303B"/>
    <w:rsid w:val="0001427C"/>
    <w:rsid w:val="00015649"/>
    <w:rsid w:val="00015B98"/>
    <w:rsid w:val="0002037E"/>
    <w:rsid w:val="000203E7"/>
    <w:rsid w:val="00020E62"/>
    <w:rsid w:val="00023D24"/>
    <w:rsid w:val="000244B7"/>
    <w:rsid w:val="000260C6"/>
    <w:rsid w:val="000276A1"/>
    <w:rsid w:val="00030CBE"/>
    <w:rsid w:val="00031653"/>
    <w:rsid w:val="00032037"/>
    <w:rsid w:val="00034BB5"/>
    <w:rsid w:val="00037A7F"/>
    <w:rsid w:val="00040390"/>
    <w:rsid w:val="000405BF"/>
    <w:rsid w:val="00042583"/>
    <w:rsid w:val="0004574E"/>
    <w:rsid w:val="00045890"/>
    <w:rsid w:val="000461E8"/>
    <w:rsid w:val="00050A58"/>
    <w:rsid w:val="00050EC7"/>
    <w:rsid w:val="000603F1"/>
    <w:rsid w:val="00060F65"/>
    <w:rsid w:val="000663CC"/>
    <w:rsid w:val="00072743"/>
    <w:rsid w:val="000732DE"/>
    <w:rsid w:val="000770E7"/>
    <w:rsid w:val="00081FB9"/>
    <w:rsid w:val="00082064"/>
    <w:rsid w:val="00084EE6"/>
    <w:rsid w:val="00086417"/>
    <w:rsid w:val="00086F55"/>
    <w:rsid w:val="000903CC"/>
    <w:rsid w:val="00090428"/>
    <w:rsid w:val="0009047A"/>
    <w:rsid w:val="00090B3A"/>
    <w:rsid w:val="00091261"/>
    <w:rsid w:val="0009185B"/>
    <w:rsid w:val="0009299F"/>
    <w:rsid w:val="00095B44"/>
    <w:rsid w:val="00095CC7"/>
    <w:rsid w:val="00097A5B"/>
    <w:rsid w:val="000A230A"/>
    <w:rsid w:val="000A2B2D"/>
    <w:rsid w:val="000A55D8"/>
    <w:rsid w:val="000A6997"/>
    <w:rsid w:val="000A7517"/>
    <w:rsid w:val="000B2B2E"/>
    <w:rsid w:val="000B40B5"/>
    <w:rsid w:val="000B41D6"/>
    <w:rsid w:val="000B6AF2"/>
    <w:rsid w:val="000B7492"/>
    <w:rsid w:val="000B75D5"/>
    <w:rsid w:val="000C0442"/>
    <w:rsid w:val="000C09FE"/>
    <w:rsid w:val="000C0C28"/>
    <w:rsid w:val="000C1BE6"/>
    <w:rsid w:val="000C41EB"/>
    <w:rsid w:val="000C43A0"/>
    <w:rsid w:val="000C5BCF"/>
    <w:rsid w:val="000C7E5A"/>
    <w:rsid w:val="000C7F6F"/>
    <w:rsid w:val="000D00C1"/>
    <w:rsid w:val="000D1E49"/>
    <w:rsid w:val="000D2812"/>
    <w:rsid w:val="000D6215"/>
    <w:rsid w:val="000D7D4D"/>
    <w:rsid w:val="000E0DBB"/>
    <w:rsid w:val="000E198E"/>
    <w:rsid w:val="000E4889"/>
    <w:rsid w:val="000E495D"/>
    <w:rsid w:val="000E7CD6"/>
    <w:rsid w:val="000E7D55"/>
    <w:rsid w:val="000F16FD"/>
    <w:rsid w:val="000F52BF"/>
    <w:rsid w:val="000F5F2F"/>
    <w:rsid w:val="000F7011"/>
    <w:rsid w:val="000F70A1"/>
    <w:rsid w:val="0010079B"/>
    <w:rsid w:val="0010294F"/>
    <w:rsid w:val="00103B07"/>
    <w:rsid w:val="00103E24"/>
    <w:rsid w:val="00106719"/>
    <w:rsid w:val="001076EF"/>
    <w:rsid w:val="00107A5C"/>
    <w:rsid w:val="00114031"/>
    <w:rsid w:val="0011696E"/>
    <w:rsid w:val="00122342"/>
    <w:rsid w:val="00125A0D"/>
    <w:rsid w:val="001267BF"/>
    <w:rsid w:val="001278DD"/>
    <w:rsid w:val="00130544"/>
    <w:rsid w:val="00130F63"/>
    <w:rsid w:val="001311A7"/>
    <w:rsid w:val="00134A93"/>
    <w:rsid w:val="00137D3D"/>
    <w:rsid w:val="00141773"/>
    <w:rsid w:val="001421C6"/>
    <w:rsid w:val="00143753"/>
    <w:rsid w:val="00150C0D"/>
    <w:rsid w:val="00152740"/>
    <w:rsid w:val="001533E7"/>
    <w:rsid w:val="00154285"/>
    <w:rsid w:val="00154D39"/>
    <w:rsid w:val="00155790"/>
    <w:rsid w:val="0015616A"/>
    <w:rsid w:val="00157887"/>
    <w:rsid w:val="0016091C"/>
    <w:rsid w:val="0016123A"/>
    <w:rsid w:val="001613DB"/>
    <w:rsid w:val="001614EE"/>
    <w:rsid w:val="0016169B"/>
    <w:rsid w:val="0016189F"/>
    <w:rsid w:val="00163CB7"/>
    <w:rsid w:val="00163E82"/>
    <w:rsid w:val="00164658"/>
    <w:rsid w:val="00165E72"/>
    <w:rsid w:val="00166B4D"/>
    <w:rsid w:val="0016742F"/>
    <w:rsid w:val="001701B4"/>
    <w:rsid w:val="00172BE5"/>
    <w:rsid w:val="00173BE2"/>
    <w:rsid w:val="00181913"/>
    <w:rsid w:val="0018332E"/>
    <w:rsid w:val="00183A2E"/>
    <w:rsid w:val="00184961"/>
    <w:rsid w:val="001852FD"/>
    <w:rsid w:val="0018625D"/>
    <w:rsid w:val="00187D4F"/>
    <w:rsid w:val="00191BCB"/>
    <w:rsid w:val="0019201B"/>
    <w:rsid w:val="00193459"/>
    <w:rsid w:val="001938FB"/>
    <w:rsid w:val="00194C1F"/>
    <w:rsid w:val="001953AF"/>
    <w:rsid w:val="00195739"/>
    <w:rsid w:val="001959D4"/>
    <w:rsid w:val="00196C20"/>
    <w:rsid w:val="00197DC9"/>
    <w:rsid w:val="001A1A5E"/>
    <w:rsid w:val="001A2211"/>
    <w:rsid w:val="001A3721"/>
    <w:rsid w:val="001A38FB"/>
    <w:rsid w:val="001A4ADD"/>
    <w:rsid w:val="001A58B9"/>
    <w:rsid w:val="001A5B15"/>
    <w:rsid w:val="001A6DDA"/>
    <w:rsid w:val="001A7757"/>
    <w:rsid w:val="001B0B45"/>
    <w:rsid w:val="001B3CA4"/>
    <w:rsid w:val="001B6143"/>
    <w:rsid w:val="001B796C"/>
    <w:rsid w:val="001B7FEB"/>
    <w:rsid w:val="001C0196"/>
    <w:rsid w:val="001C1AE5"/>
    <w:rsid w:val="001C2816"/>
    <w:rsid w:val="001C2BB1"/>
    <w:rsid w:val="001C3207"/>
    <w:rsid w:val="001C64D4"/>
    <w:rsid w:val="001C79F8"/>
    <w:rsid w:val="001D0D26"/>
    <w:rsid w:val="001D1C09"/>
    <w:rsid w:val="001D28B0"/>
    <w:rsid w:val="001D40E9"/>
    <w:rsid w:val="001D6F87"/>
    <w:rsid w:val="001D7742"/>
    <w:rsid w:val="001E164E"/>
    <w:rsid w:val="001E241B"/>
    <w:rsid w:val="001E2D77"/>
    <w:rsid w:val="001E3F0F"/>
    <w:rsid w:val="001E4438"/>
    <w:rsid w:val="001E4C89"/>
    <w:rsid w:val="001F4D00"/>
    <w:rsid w:val="001F50A9"/>
    <w:rsid w:val="001F6A13"/>
    <w:rsid w:val="001F6E4F"/>
    <w:rsid w:val="00200757"/>
    <w:rsid w:val="0020229E"/>
    <w:rsid w:val="00203E0F"/>
    <w:rsid w:val="002042B6"/>
    <w:rsid w:val="002042CD"/>
    <w:rsid w:val="0020478F"/>
    <w:rsid w:val="002068AD"/>
    <w:rsid w:val="00206E63"/>
    <w:rsid w:val="002074E2"/>
    <w:rsid w:val="002078D0"/>
    <w:rsid w:val="00210631"/>
    <w:rsid w:val="0021074C"/>
    <w:rsid w:val="00210AA9"/>
    <w:rsid w:val="00212470"/>
    <w:rsid w:val="002134E5"/>
    <w:rsid w:val="002207FA"/>
    <w:rsid w:val="002223B8"/>
    <w:rsid w:val="00222A9A"/>
    <w:rsid w:val="00224378"/>
    <w:rsid w:val="00227C9C"/>
    <w:rsid w:val="002307E6"/>
    <w:rsid w:val="00231817"/>
    <w:rsid w:val="00232444"/>
    <w:rsid w:val="00232827"/>
    <w:rsid w:val="002341F8"/>
    <w:rsid w:val="00234A8A"/>
    <w:rsid w:val="00234B74"/>
    <w:rsid w:val="00234FB5"/>
    <w:rsid w:val="002359CC"/>
    <w:rsid w:val="002408A0"/>
    <w:rsid w:val="002414FF"/>
    <w:rsid w:val="0024216F"/>
    <w:rsid w:val="002509F8"/>
    <w:rsid w:val="00254565"/>
    <w:rsid w:val="00254D48"/>
    <w:rsid w:val="0025639C"/>
    <w:rsid w:val="00260804"/>
    <w:rsid w:val="00267ABD"/>
    <w:rsid w:val="00270A9D"/>
    <w:rsid w:val="0027102F"/>
    <w:rsid w:val="002716EA"/>
    <w:rsid w:val="00273039"/>
    <w:rsid w:val="0027645F"/>
    <w:rsid w:val="00277A4B"/>
    <w:rsid w:val="00280D9E"/>
    <w:rsid w:val="002822A5"/>
    <w:rsid w:val="00286930"/>
    <w:rsid w:val="00293F39"/>
    <w:rsid w:val="002A06A0"/>
    <w:rsid w:val="002A0AB8"/>
    <w:rsid w:val="002A0F2F"/>
    <w:rsid w:val="002A0F66"/>
    <w:rsid w:val="002A131A"/>
    <w:rsid w:val="002A135C"/>
    <w:rsid w:val="002A23D1"/>
    <w:rsid w:val="002A244E"/>
    <w:rsid w:val="002A33B0"/>
    <w:rsid w:val="002A3698"/>
    <w:rsid w:val="002A6D77"/>
    <w:rsid w:val="002A7767"/>
    <w:rsid w:val="002A7CC3"/>
    <w:rsid w:val="002B101A"/>
    <w:rsid w:val="002B436B"/>
    <w:rsid w:val="002B4B4F"/>
    <w:rsid w:val="002B6DC9"/>
    <w:rsid w:val="002B7D7D"/>
    <w:rsid w:val="002C0BF4"/>
    <w:rsid w:val="002C2CED"/>
    <w:rsid w:val="002C3178"/>
    <w:rsid w:val="002C3A66"/>
    <w:rsid w:val="002C3FA5"/>
    <w:rsid w:val="002C48D7"/>
    <w:rsid w:val="002C5075"/>
    <w:rsid w:val="002C5DD7"/>
    <w:rsid w:val="002C6454"/>
    <w:rsid w:val="002C6B92"/>
    <w:rsid w:val="002C7358"/>
    <w:rsid w:val="002D2924"/>
    <w:rsid w:val="002D3914"/>
    <w:rsid w:val="002D4C70"/>
    <w:rsid w:val="002E50F6"/>
    <w:rsid w:val="002E782F"/>
    <w:rsid w:val="002F16B8"/>
    <w:rsid w:val="002F305E"/>
    <w:rsid w:val="002F6BC2"/>
    <w:rsid w:val="002F743A"/>
    <w:rsid w:val="002F77D9"/>
    <w:rsid w:val="00302DB4"/>
    <w:rsid w:val="00302FA1"/>
    <w:rsid w:val="00303791"/>
    <w:rsid w:val="0030628F"/>
    <w:rsid w:val="00310221"/>
    <w:rsid w:val="00311A2F"/>
    <w:rsid w:val="0031264A"/>
    <w:rsid w:val="00314224"/>
    <w:rsid w:val="00314B03"/>
    <w:rsid w:val="00315827"/>
    <w:rsid w:val="00315E52"/>
    <w:rsid w:val="0031605C"/>
    <w:rsid w:val="00317EFE"/>
    <w:rsid w:val="0032029D"/>
    <w:rsid w:val="00320377"/>
    <w:rsid w:val="003212DE"/>
    <w:rsid w:val="00321CA2"/>
    <w:rsid w:val="00322F7E"/>
    <w:rsid w:val="00324D68"/>
    <w:rsid w:val="00324E08"/>
    <w:rsid w:val="00325AA5"/>
    <w:rsid w:val="003315DD"/>
    <w:rsid w:val="00332AD6"/>
    <w:rsid w:val="00335977"/>
    <w:rsid w:val="00336064"/>
    <w:rsid w:val="00336DF3"/>
    <w:rsid w:val="003371A2"/>
    <w:rsid w:val="00340A26"/>
    <w:rsid w:val="0034488F"/>
    <w:rsid w:val="00344DD7"/>
    <w:rsid w:val="0034562D"/>
    <w:rsid w:val="0034601E"/>
    <w:rsid w:val="0034607B"/>
    <w:rsid w:val="00347D9D"/>
    <w:rsid w:val="00350B74"/>
    <w:rsid w:val="003518AC"/>
    <w:rsid w:val="00351FC7"/>
    <w:rsid w:val="00352615"/>
    <w:rsid w:val="00352811"/>
    <w:rsid w:val="003550FA"/>
    <w:rsid w:val="003570C6"/>
    <w:rsid w:val="0035740A"/>
    <w:rsid w:val="00357AC8"/>
    <w:rsid w:val="003645A6"/>
    <w:rsid w:val="00370349"/>
    <w:rsid w:val="003731AD"/>
    <w:rsid w:val="00374131"/>
    <w:rsid w:val="0037455E"/>
    <w:rsid w:val="00376722"/>
    <w:rsid w:val="00380162"/>
    <w:rsid w:val="00382AE0"/>
    <w:rsid w:val="003836F3"/>
    <w:rsid w:val="003841C0"/>
    <w:rsid w:val="0038428C"/>
    <w:rsid w:val="0038445F"/>
    <w:rsid w:val="00384E57"/>
    <w:rsid w:val="00392F57"/>
    <w:rsid w:val="00392FBC"/>
    <w:rsid w:val="00393AB6"/>
    <w:rsid w:val="00393ADA"/>
    <w:rsid w:val="00393F0E"/>
    <w:rsid w:val="00396938"/>
    <w:rsid w:val="00396F8B"/>
    <w:rsid w:val="003A0A2B"/>
    <w:rsid w:val="003A1A9B"/>
    <w:rsid w:val="003A1C6F"/>
    <w:rsid w:val="003A3853"/>
    <w:rsid w:val="003A55FF"/>
    <w:rsid w:val="003A5D64"/>
    <w:rsid w:val="003A6999"/>
    <w:rsid w:val="003B0FBB"/>
    <w:rsid w:val="003B1486"/>
    <w:rsid w:val="003B223B"/>
    <w:rsid w:val="003B2E56"/>
    <w:rsid w:val="003B39A6"/>
    <w:rsid w:val="003B3A4B"/>
    <w:rsid w:val="003B554D"/>
    <w:rsid w:val="003B60CC"/>
    <w:rsid w:val="003B6A7A"/>
    <w:rsid w:val="003C0101"/>
    <w:rsid w:val="003C2F93"/>
    <w:rsid w:val="003C3770"/>
    <w:rsid w:val="003C52CA"/>
    <w:rsid w:val="003C5E5E"/>
    <w:rsid w:val="003C6FC9"/>
    <w:rsid w:val="003D0FC6"/>
    <w:rsid w:val="003D161A"/>
    <w:rsid w:val="003D170B"/>
    <w:rsid w:val="003D6123"/>
    <w:rsid w:val="003D6FBE"/>
    <w:rsid w:val="003D72F4"/>
    <w:rsid w:val="003D7DA6"/>
    <w:rsid w:val="003E1C7C"/>
    <w:rsid w:val="003E3312"/>
    <w:rsid w:val="003E3CD0"/>
    <w:rsid w:val="003E40A0"/>
    <w:rsid w:val="003E5197"/>
    <w:rsid w:val="003F19A3"/>
    <w:rsid w:val="003F2BB8"/>
    <w:rsid w:val="003F3500"/>
    <w:rsid w:val="003F395B"/>
    <w:rsid w:val="003F3DA4"/>
    <w:rsid w:val="003F4DEA"/>
    <w:rsid w:val="003F736F"/>
    <w:rsid w:val="00400C90"/>
    <w:rsid w:val="00400C9D"/>
    <w:rsid w:val="00404635"/>
    <w:rsid w:val="00404ECB"/>
    <w:rsid w:val="00406257"/>
    <w:rsid w:val="004100E2"/>
    <w:rsid w:val="00410F2C"/>
    <w:rsid w:val="00412435"/>
    <w:rsid w:val="00414C1F"/>
    <w:rsid w:val="00414F9A"/>
    <w:rsid w:val="0041577C"/>
    <w:rsid w:val="00421C43"/>
    <w:rsid w:val="004223F5"/>
    <w:rsid w:val="00423751"/>
    <w:rsid w:val="00424221"/>
    <w:rsid w:val="00426330"/>
    <w:rsid w:val="004320BD"/>
    <w:rsid w:val="00433E93"/>
    <w:rsid w:val="00435381"/>
    <w:rsid w:val="004357DA"/>
    <w:rsid w:val="004366EF"/>
    <w:rsid w:val="00437A54"/>
    <w:rsid w:val="0044031C"/>
    <w:rsid w:val="00442269"/>
    <w:rsid w:val="00442E06"/>
    <w:rsid w:val="0044310D"/>
    <w:rsid w:val="00445DE3"/>
    <w:rsid w:val="00446310"/>
    <w:rsid w:val="00447EB4"/>
    <w:rsid w:val="004504F8"/>
    <w:rsid w:val="00450A71"/>
    <w:rsid w:val="004515E4"/>
    <w:rsid w:val="004536C5"/>
    <w:rsid w:val="0045518D"/>
    <w:rsid w:val="00455816"/>
    <w:rsid w:val="00456D17"/>
    <w:rsid w:val="0045746D"/>
    <w:rsid w:val="004609FF"/>
    <w:rsid w:val="0046330C"/>
    <w:rsid w:val="0046361F"/>
    <w:rsid w:val="00464070"/>
    <w:rsid w:val="00465A7A"/>
    <w:rsid w:val="0046685A"/>
    <w:rsid w:val="00466E5F"/>
    <w:rsid w:val="004670AC"/>
    <w:rsid w:val="00470D0B"/>
    <w:rsid w:val="00473773"/>
    <w:rsid w:val="00475AC3"/>
    <w:rsid w:val="00476EAB"/>
    <w:rsid w:val="00481679"/>
    <w:rsid w:val="00482098"/>
    <w:rsid w:val="00482B47"/>
    <w:rsid w:val="004834D3"/>
    <w:rsid w:val="00484ED6"/>
    <w:rsid w:val="00485329"/>
    <w:rsid w:val="004904BA"/>
    <w:rsid w:val="00491364"/>
    <w:rsid w:val="00496002"/>
    <w:rsid w:val="004A2565"/>
    <w:rsid w:val="004A2D55"/>
    <w:rsid w:val="004A32BB"/>
    <w:rsid w:val="004A38D8"/>
    <w:rsid w:val="004A511D"/>
    <w:rsid w:val="004A5F05"/>
    <w:rsid w:val="004B3128"/>
    <w:rsid w:val="004B31EF"/>
    <w:rsid w:val="004B337C"/>
    <w:rsid w:val="004C0120"/>
    <w:rsid w:val="004C092E"/>
    <w:rsid w:val="004C0CE3"/>
    <w:rsid w:val="004C1F2F"/>
    <w:rsid w:val="004C2522"/>
    <w:rsid w:val="004C2DB9"/>
    <w:rsid w:val="004C3D46"/>
    <w:rsid w:val="004C5FCF"/>
    <w:rsid w:val="004C6E26"/>
    <w:rsid w:val="004C6E9A"/>
    <w:rsid w:val="004D0434"/>
    <w:rsid w:val="004D2645"/>
    <w:rsid w:val="004D37B9"/>
    <w:rsid w:val="004D3C20"/>
    <w:rsid w:val="004D4336"/>
    <w:rsid w:val="004D7B57"/>
    <w:rsid w:val="004D7CC3"/>
    <w:rsid w:val="004E4559"/>
    <w:rsid w:val="004E5AF6"/>
    <w:rsid w:val="004E61CE"/>
    <w:rsid w:val="004E708B"/>
    <w:rsid w:val="004E7966"/>
    <w:rsid w:val="004E7DD0"/>
    <w:rsid w:val="004F0981"/>
    <w:rsid w:val="004F4A6B"/>
    <w:rsid w:val="004F4E77"/>
    <w:rsid w:val="004F5E75"/>
    <w:rsid w:val="00501DC4"/>
    <w:rsid w:val="00502479"/>
    <w:rsid w:val="00502CE9"/>
    <w:rsid w:val="00503100"/>
    <w:rsid w:val="005046AD"/>
    <w:rsid w:val="00504FEE"/>
    <w:rsid w:val="00505640"/>
    <w:rsid w:val="00507819"/>
    <w:rsid w:val="00510450"/>
    <w:rsid w:val="00510680"/>
    <w:rsid w:val="005113C1"/>
    <w:rsid w:val="00512FD9"/>
    <w:rsid w:val="00520256"/>
    <w:rsid w:val="00523435"/>
    <w:rsid w:val="0053253C"/>
    <w:rsid w:val="00533DCC"/>
    <w:rsid w:val="00535392"/>
    <w:rsid w:val="00535714"/>
    <w:rsid w:val="00535F25"/>
    <w:rsid w:val="00540980"/>
    <w:rsid w:val="0054221B"/>
    <w:rsid w:val="0054242D"/>
    <w:rsid w:val="005447EE"/>
    <w:rsid w:val="00545874"/>
    <w:rsid w:val="00546D0A"/>
    <w:rsid w:val="00546DC4"/>
    <w:rsid w:val="00546F3B"/>
    <w:rsid w:val="005513AE"/>
    <w:rsid w:val="0055475D"/>
    <w:rsid w:val="0055690C"/>
    <w:rsid w:val="00556D0F"/>
    <w:rsid w:val="00557138"/>
    <w:rsid w:val="00557614"/>
    <w:rsid w:val="00557C12"/>
    <w:rsid w:val="00560E2A"/>
    <w:rsid w:val="00562554"/>
    <w:rsid w:val="00562C1C"/>
    <w:rsid w:val="005631EF"/>
    <w:rsid w:val="00564D31"/>
    <w:rsid w:val="005661AE"/>
    <w:rsid w:val="00566D8E"/>
    <w:rsid w:val="00567AD4"/>
    <w:rsid w:val="00571BC0"/>
    <w:rsid w:val="00571C18"/>
    <w:rsid w:val="00572098"/>
    <w:rsid w:val="005725B7"/>
    <w:rsid w:val="005729FC"/>
    <w:rsid w:val="005732F9"/>
    <w:rsid w:val="00573D8B"/>
    <w:rsid w:val="005745F3"/>
    <w:rsid w:val="00574F1E"/>
    <w:rsid w:val="00577E65"/>
    <w:rsid w:val="00581325"/>
    <w:rsid w:val="0058196F"/>
    <w:rsid w:val="00582FE9"/>
    <w:rsid w:val="00583577"/>
    <w:rsid w:val="00583B5E"/>
    <w:rsid w:val="00586FFD"/>
    <w:rsid w:val="0058734F"/>
    <w:rsid w:val="00590A6E"/>
    <w:rsid w:val="00592CF2"/>
    <w:rsid w:val="00593307"/>
    <w:rsid w:val="00596722"/>
    <w:rsid w:val="00596D84"/>
    <w:rsid w:val="005A1629"/>
    <w:rsid w:val="005A1939"/>
    <w:rsid w:val="005A29B2"/>
    <w:rsid w:val="005A3E73"/>
    <w:rsid w:val="005A5160"/>
    <w:rsid w:val="005A53D6"/>
    <w:rsid w:val="005A700B"/>
    <w:rsid w:val="005B019E"/>
    <w:rsid w:val="005B3025"/>
    <w:rsid w:val="005B4B00"/>
    <w:rsid w:val="005B4ECE"/>
    <w:rsid w:val="005B4EEF"/>
    <w:rsid w:val="005C0422"/>
    <w:rsid w:val="005C2E44"/>
    <w:rsid w:val="005C686A"/>
    <w:rsid w:val="005C6981"/>
    <w:rsid w:val="005C6EF5"/>
    <w:rsid w:val="005D03D5"/>
    <w:rsid w:val="005D12B2"/>
    <w:rsid w:val="005D23B6"/>
    <w:rsid w:val="005D49E8"/>
    <w:rsid w:val="005E40BE"/>
    <w:rsid w:val="005F1778"/>
    <w:rsid w:val="005F2875"/>
    <w:rsid w:val="005F2DE4"/>
    <w:rsid w:val="005F2F36"/>
    <w:rsid w:val="005F4C22"/>
    <w:rsid w:val="005F6F76"/>
    <w:rsid w:val="00601BFB"/>
    <w:rsid w:val="0060506E"/>
    <w:rsid w:val="00612873"/>
    <w:rsid w:val="00612F36"/>
    <w:rsid w:val="00614117"/>
    <w:rsid w:val="006147B6"/>
    <w:rsid w:val="006148B3"/>
    <w:rsid w:val="00616FC9"/>
    <w:rsid w:val="006178B3"/>
    <w:rsid w:val="00617EAE"/>
    <w:rsid w:val="00621AFC"/>
    <w:rsid w:val="00624139"/>
    <w:rsid w:val="00625DCD"/>
    <w:rsid w:val="006270AD"/>
    <w:rsid w:val="00627DC1"/>
    <w:rsid w:val="00627E1D"/>
    <w:rsid w:val="00630828"/>
    <w:rsid w:val="00630E79"/>
    <w:rsid w:val="00631006"/>
    <w:rsid w:val="00631A86"/>
    <w:rsid w:val="00631E20"/>
    <w:rsid w:val="00634662"/>
    <w:rsid w:val="006362FD"/>
    <w:rsid w:val="00636D0A"/>
    <w:rsid w:val="00641305"/>
    <w:rsid w:val="0064344B"/>
    <w:rsid w:val="006441C1"/>
    <w:rsid w:val="00644234"/>
    <w:rsid w:val="00646D13"/>
    <w:rsid w:val="00646DFB"/>
    <w:rsid w:val="00651F88"/>
    <w:rsid w:val="00654F58"/>
    <w:rsid w:val="006555E7"/>
    <w:rsid w:val="00660923"/>
    <w:rsid w:val="0066109F"/>
    <w:rsid w:val="00661689"/>
    <w:rsid w:val="006632B0"/>
    <w:rsid w:val="00663405"/>
    <w:rsid w:val="006638FB"/>
    <w:rsid w:val="006647D4"/>
    <w:rsid w:val="0066628D"/>
    <w:rsid w:val="006665F3"/>
    <w:rsid w:val="006736FD"/>
    <w:rsid w:val="006742B3"/>
    <w:rsid w:val="0067750E"/>
    <w:rsid w:val="00680829"/>
    <w:rsid w:val="00681EE0"/>
    <w:rsid w:val="006822A0"/>
    <w:rsid w:val="006823C0"/>
    <w:rsid w:val="00682611"/>
    <w:rsid w:val="0068284D"/>
    <w:rsid w:val="00682EF5"/>
    <w:rsid w:val="006843C6"/>
    <w:rsid w:val="00686008"/>
    <w:rsid w:val="00686292"/>
    <w:rsid w:val="00691201"/>
    <w:rsid w:val="00693033"/>
    <w:rsid w:val="00695F77"/>
    <w:rsid w:val="0069616A"/>
    <w:rsid w:val="0069725A"/>
    <w:rsid w:val="0069776D"/>
    <w:rsid w:val="006A10CA"/>
    <w:rsid w:val="006A13A4"/>
    <w:rsid w:val="006A1B6F"/>
    <w:rsid w:val="006A1CD4"/>
    <w:rsid w:val="006A3710"/>
    <w:rsid w:val="006A3C57"/>
    <w:rsid w:val="006B0388"/>
    <w:rsid w:val="006B0D00"/>
    <w:rsid w:val="006B24DC"/>
    <w:rsid w:val="006B2B62"/>
    <w:rsid w:val="006B3056"/>
    <w:rsid w:val="006B350E"/>
    <w:rsid w:val="006B4096"/>
    <w:rsid w:val="006B42CD"/>
    <w:rsid w:val="006B4F14"/>
    <w:rsid w:val="006B6664"/>
    <w:rsid w:val="006B7FE5"/>
    <w:rsid w:val="006C02FB"/>
    <w:rsid w:val="006C23F8"/>
    <w:rsid w:val="006C2C12"/>
    <w:rsid w:val="006C47DF"/>
    <w:rsid w:val="006C554B"/>
    <w:rsid w:val="006C6482"/>
    <w:rsid w:val="006C654A"/>
    <w:rsid w:val="006C7595"/>
    <w:rsid w:val="006D2AF7"/>
    <w:rsid w:val="006D3609"/>
    <w:rsid w:val="006D48DC"/>
    <w:rsid w:val="006D5485"/>
    <w:rsid w:val="006D5741"/>
    <w:rsid w:val="006D750F"/>
    <w:rsid w:val="006E28E5"/>
    <w:rsid w:val="006E2B68"/>
    <w:rsid w:val="006E3A78"/>
    <w:rsid w:val="006E4AA2"/>
    <w:rsid w:val="006E78CD"/>
    <w:rsid w:val="006E7A88"/>
    <w:rsid w:val="006F456F"/>
    <w:rsid w:val="006F4F86"/>
    <w:rsid w:val="006F5ADD"/>
    <w:rsid w:val="006F6B8A"/>
    <w:rsid w:val="006F6D4B"/>
    <w:rsid w:val="00700055"/>
    <w:rsid w:val="007009B1"/>
    <w:rsid w:val="00700BB6"/>
    <w:rsid w:val="00700E7E"/>
    <w:rsid w:val="00700EC1"/>
    <w:rsid w:val="0070128F"/>
    <w:rsid w:val="00701BC2"/>
    <w:rsid w:val="00702C0C"/>
    <w:rsid w:val="0070394A"/>
    <w:rsid w:val="00704598"/>
    <w:rsid w:val="00705550"/>
    <w:rsid w:val="00705A3F"/>
    <w:rsid w:val="007069A7"/>
    <w:rsid w:val="00706FA4"/>
    <w:rsid w:val="0071002B"/>
    <w:rsid w:val="0071112C"/>
    <w:rsid w:val="0071472A"/>
    <w:rsid w:val="00715198"/>
    <w:rsid w:val="0071730C"/>
    <w:rsid w:val="00717A7F"/>
    <w:rsid w:val="007216AF"/>
    <w:rsid w:val="007245F0"/>
    <w:rsid w:val="00724BC1"/>
    <w:rsid w:val="00726AD8"/>
    <w:rsid w:val="00727BA1"/>
    <w:rsid w:val="00730D72"/>
    <w:rsid w:val="00730F74"/>
    <w:rsid w:val="00734ADA"/>
    <w:rsid w:val="00736AF3"/>
    <w:rsid w:val="007404A2"/>
    <w:rsid w:val="007408BA"/>
    <w:rsid w:val="00742492"/>
    <w:rsid w:val="0074277E"/>
    <w:rsid w:val="00742BB2"/>
    <w:rsid w:val="007432B1"/>
    <w:rsid w:val="007432C0"/>
    <w:rsid w:val="0074741F"/>
    <w:rsid w:val="00752737"/>
    <w:rsid w:val="007561C8"/>
    <w:rsid w:val="00757188"/>
    <w:rsid w:val="0075795D"/>
    <w:rsid w:val="00762A22"/>
    <w:rsid w:val="00763244"/>
    <w:rsid w:val="00766E10"/>
    <w:rsid w:val="00771355"/>
    <w:rsid w:val="00771703"/>
    <w:rsid w:val="007721DF"/>
    <w:rsid w:val="00772451"/>
    <w:rsid w:val="0077404D"/>
    <w:rsid w:val="0077567E"/>
    <w:rsid w:val="00776147"/>
    <w:rsid w:val="007768F7"/>
    <w:rsid w:val="00782CC4"/>
    <w:rsid w:val="007838AC"/>
    <w:rsid w:val="0078475F"/>
    <w:rsid w:val="007903A2"/>
    <w:rsid w:val="00793E0A"/>
    <w:rsid w:val="00795BF3"/>
    <w:rsid w:val="007968AB"/>
    <w:rsid w:val="007973D5"/>
    <w:rsid w:val="007A29BE"/>
    <w:rsid w:val="007A3486"/>
    <w:rsid w:val="007A355F"/>
    <w:rsid w:val="007A3A81"/>
    <w:rsid w:val="007A3C74"/>
    <w:rsid w:val="007A3E3B"/>
    <w:rsid w:val="007A5633"/>
    <w:rsid w:val="007A7BCE"/>
    <w:rsid w:val="007B207B"/>
    <w:rsid w:val="007B27EE"/>
    <w:rsid w:val="007B3352"/>
    <w:rsid w:val="007B6119"/>
    <w:rsid w:val="007B739E"/>
    <w:rsid w:val="007B7807"/>
    <w:rsid w:val="007B7A84"/>
    <w:rsid w:val="007C0451"/>
    <w:rsid w:val="007C06F6"/>
    <w:rsid w:val="007C0CCE"/>
    <w:rsid w:val="007C41E1"/>
    <w:rsid w:val="007C5835"/>
    <w:rsid w:val="007C59B9"/>
    <w:rsid w:val="007C734B"/>
    <w:rsid w:val="007C7C88"/>
    <w:rsid w:val="007D016E"/>
    <w:rsid w:val="007D0A97"/>
    <w:rsid w:val="007D0DE1"/>
    <w:rsid w:val="007D3A65"/>
    <w:rsid w:val="007D582D"/>
    <w:rsid w:val="007D58F1"/>
    <w:rsid w:val="007D6229"/>
    <w:rsid w:val="007D7697"/>
    <w:rsid w:val="007E166D"/>
    <w:rsid w:val="007E1940"/>
    <w:rsid w:val="007E1B03"/>
    <w:rsid w:val="007E67DA"/>
    <w:rsid w:val="007E6E14"/>
    <w:rsid w:val="007E7DC9"/>
    <w:rsid w:val="007E7E07"/>
    <w:rsid w:val="007F00C3"/>
    <w:rsid w:val="007F1589"/>
    <w:rsid w:val="007F247E"/>
    <w:rsid w:val="007F2CFF"/>
    <w:rsid w:val="007F3323"/>
    <w:rsid w:val="007F3BFE"/>
    <w:rsid w:val="007F4167"/>
    <w:rsid w:val="007F4A23"/>
    <w:rsid w:val="007F67D4"/>
    <w:rsid w:val="007F6F65"/>
    <w:rsid w:val="00800445"/>
    <w:rsid w:val="00806378"/>
    <w:rsid w:val="0080774F"/>
    <w:rsid w:val="00807F44"/>
    <w:rsid w:val="00810534"/>
    <w:rsid w:val="00810632"/>
    <w:rsid w:val="00810B8F"/>
    <w:rsid w:val="008115E3"/>
    <w:rsid w:val="00812396"/>
    <w:rsid w:val="00812B46"/>
    <w:rsid w:val="00813137"/>
    <w:rsid w:val="00814A13"/>
    <w:rsid w:val="00815DB9"/>
    <w:rsid w:val="00817161"/>
    <w:rsid w:val="00817C62"/>
    <w:rsid w:val="00821022"/>
    <w:rsid w:val="00821687"/>
    <w:rsid w:val="008225C7"/>
    <w:rsid w:val="00822D05"/>
    <w:rsid w:val="008241C6"/>
    <w:rsid w:val="00825990"/>
    <w:rsid w:val="008273A9"/>
    <w:rsid w:val="008301AD"/>
    <w:rsid w:val="008323DC"/>
    <w:rsid w:val="00833D29"/>
    <w:rsid w:val="00836BCC"/>
    <w:rsid w:val="00837775"/>
    <w:rsid w:val="008429FA"/>
    <w:rsid w:val="00843862"/>
    <w:rsid w:val="0084676E"/>
    <w:rsid w:val="00847C28"/>
    <w:rsid w:val="00851D17"/>
    <w:rsid w:val="0085513B"/>
    <w:rsid w:val="00857D53"/>
    <w:rsid w:val="0086253C"/>
    <w:rsid w:val="00864D55"/>
    <w:rsid w:val="00867154"/>
    <w:rsid w:val="0087482E"/>
    <w:rsid w:val="00875707"/>
    <w:rsid w:val="008762CB"/>
    <w:rsid w:val="00877730"/>
    <w:rsid w:val="00877B95"/>
    <w:rsid w:val="00881E73"/>
    <w:rsid w:val="00882F6D"/>
    <w:rsid w:val="00885508"/>
    <w:rsid w:val="00886814"/>
    <w:rsid w:val="00887313"/>
    <w:rsid w:val="008910FC"/>
    <w:rsid w:val="008938FA"/>
    <w:rsid w:val="008945C5"/>
    <w:rsid w:val="00895ACE"/>
    <w:rsid w:val="00897BCB"/>
    <w:rsid w:val="00897F97"/>
    <w:rsid w:val="008A08F7"/>
    <w:rsid w:val="008A20C4"/>
    <w:rsid w:val="008A7647"/>
    <w:rsid w:val="008B203C"/>
    <w:rsid w:val="008B3FBB"/>
    <w:rsid w:val="008B48FB"/>
    <w:rsid w:val="008B5009"/>
    <w:rsid w:val="008C2A0E"/>
    <w:rsid w:val="008C2AD1"/>
    <w:rsid w:val="008C39F2"/>
    <w:rsid w:val="008C3B61"/>
    <w:rsid w:val="008C4096"/>
    <w:rsid w:val="008C4A77"/>
    <w:rsid w:val="008C630B"/>
    <w:rsid w:val="008C6B32"/>
    <w:rsid w:val="008C6C5A"/>
    <w:rsid w:val="008C7986"/>
    <w:rsid w:val="008D0034"/>
    <w:rsid w:val="008D01D7"/>
    <w:rsid w:val="008D299F"/>
    <w:rsid w:val="008E0AE8"/>
    <w:rsid w:val="008E19FF"/>
    <w:rsid w:val="008E4DFC"/>
    <w:rsid w:val="008E5863"/>
    <w:rsid w:val="008F6C3C"/>
    <w:rsid w:val="008F6EDA"/>
    <w:rsid w:val="009038AC"/>
    <w:rsid w:val="00904339"/>
    <w:rsid w:val="009044C7"/>
    <w:rsid w:val="009108F8"/>
    <w:rsid w:val="00910DC1"/>
    <w:rsid w:val="00914B27"/>
    <w:rsid w:val="00914E07"/>
    <w:rsid w:val="00915150"/>
    <w:rsid w:val="0091747A"/>
    <w:rsid w:val="00917501"/>
    <w:rsid w:val="00917886"/>
    <w:rsid w:val="009179D6"/>
    <w:rsid w:val="00917A31"/>
    <w:rsid w:val="0092065A"/>
    <w:rsid w:val="00920F7F"/>
    <w:rsid w:val="00923A0D"/>
    <w:rsid w:val="009256D0"/>
    <w:rsid w:val="00926A7A"/>
    <w:rsid w:val="00930580"/>
    <w:rsid w:val="00933D58"/>
    <w:rsid w:val="00934380"/>
    <w:rsid w:val="00942916"/>
    <w:rsid w:val="0094388E"/>
    <w:rsid w:val="00944982"/>
    <w:rsid w:val="00944EDB"/>
    <w:rsid w:val="0094724E"/>
    <w:rsid w:val="0095028C"/>
    <w:rsid w:val="009506C0"/>
    <w:rsid w:val="00950F0F"/>
    <w:rsid w:val="0095327A"/>
    <w:rsid w:val="00953CD6"/>
    <w:rsid w:val="0095545C"/>
    <w:rsid w:val="00955D27"/>
    <w:rsid w:val="0095635D"/>
    <w:rsid w:val="009578AA"/>
    <w:rsid w:val="00960AC2"/>
    <w:rsid w:val="00960C0E"/>
    <w:rsid w:val="00960EA0"/>
    <w:rsid w:val="00961618"/>
    <w:rsid w:val="00961725"/>
    <w:rsid w:val="00964CA9"/>
    <w:rsid w:val="009700CA"/>
    <w:rsid w:val="00973CE3"/>
    <w:rsid w:val="00975447"/>
    <w:rsid w:val="00977CA8"/>
    <w:rsid w:val="00980082"/>
    <w:rsid w:val="00980D83"/>
    <w:rsid w:val="009833E7"/>
    <w:rsid w:val="009839EE"/>
    <w:rsid w:val="00984249"/>
    <w:rsid w:val="00984E3D"/>
    <w:rsid w:val="00985F0E"/>
    <w:rsid w:val="00986B33"/>
    <w:rsid w:val="00986DD2"/>
    <w:rsid w:val="00986ECC"/>
    <w:rsid w:val="009872FA"/>
    <w:rsid w:val="00987AD5"/>
    <w:rsid w:val="0099126A"/>
    <w:rsid w:val="00991DDA"/>
    <w:rsid w:val="009944F7"/>
    <w:rsid w:val="00996675"/>
    <w:rsid w:val="00996C46"/>
    <w:rsid w:val="009971D6"/>
    <w:rsid w:val="009A0193"/>
    <w:rsid w:val="009A2CF0"/>
    <w:rsid w:val="009A3EE4"/>
    <w:rsid w:val="009B4479"/>
    <w:rsid w:val="009B4E20"/>
    <w:rsid w:val="009B512E"/>
    <w:rsid w:val="009B603E"/>
    <w:rsid w:val="009B7138"/>
    <w:rsid w:val="009B7300"/>
    <w:rsid w:val="009C0949"/>
    <w:rsid w:val="009C3754"/>
    <w:rsid w:val="009C3DA1"/>
    <w:rsid w:val="009D011C"/>
    <w:rsid w:val="009D114E"/>
    <w:rsid w:val="009D25B4"/>
    <w:rsid w:val="009D2DEA"/>
    <w:rsid w:val="009D538D"/>
    <w:rsid w:val="009D5880"/>
    <w:rsid w:val="009D7131"/>
    <w:rsid w:val="009D776A"/>
    <w:rsid w:val="009E0763"/>
    <w:rsid w:val="009E129D"/>
    <w:rsid w:val="009E2CAA"/>
    <w:rsid w:val="009E3852"/>
    <w:rsid w:val="009E39D8"/>
    <w:rsid w:val="009E6648"/>
    <w:rsid w:val="009F21F1"/>
    <w:rsid w:val="00A00C8A"/>
    <w:rsid w:val="00A01B5B"/>
    <w:rsid w:val="00A01F4E"/>
    <w:rsid w:val="00A028AD"/>
    <w:rsid w:val="00A02C75"/>
    <w:rsid w:val="00A0390D"/>
    <w:rsid w:val="00A057A3"/>
    <w:rsid w:val="00A1198C"/>
    <w:rsid w:val="00A12FA0"/>
    <w:rsid w:val="00A13FC4"/>
    <w:rsid w:val="00A223B7"/>
    <w:rsid w:val="00A2269F"/>
    <w:rsid w:val="00A234A4"/>
    <w:rsid w:val="00A23A65"/>
    <w:rsid w:val="00A25C95"/>
    <w:rsid w:val="00A2610B"/>
    <w:rsid w:val="00A263BE"/>
    <w:rsid w:val="00A274B4"/>
    <w:rsid w:val="00A27BC6"/>
    <w:rsid w:val="00A27E3B"/>
    <w:rsid w:val="00A324CD"/>
    <w:rsid w:val="00A324F4"/>
    <w:rsid w:val="00A3368B"/>
    <w:rsid w:val="00A34FFE"/>
    <w:rsid w:val="00A3514B"/>
    <w:rsid w:val="00A352DB"/>
    <w:rsid w:val="00A35E88"/>
    <w:rsid w:val="00A3627E"/>
    <w:rsid w:val="00A366CB"/>
    <w:rsid w:val="00A36BBE"/>
    <w:rsid w:val="00A37AA9"/>
    <w:rsid w:val="00A37B33"/>
    <w:rsid w:val="00A4062C"/>
    <w:rsid w:val="00A40970"/>
    <w:rsid w:val="00A40ABB"/>
    <w:rsid w:val="00A41182"/>
    <w:rsid w:val="00A4156B"/>
    <w:rsid w:val="00A41B2B"/>
    <w:rsid w:val="00A4628E"/>
    <w:rsid w:val="00A47184"/>
    <w:rsid w:val="00A50603"/>
    <w:rsid w:val="00A51AB6"/>
    <w:rsid w:val="00A52B67"/>
    <w:rsid w:val="00A538AA"/>
    <w:rsid w:val="00A54381"/>
    <w:rsid w:val="00A55AFD"/>
    <w:rsid w:val="00A56A95"/>
    <w:rsid w:val="00A57B6D"/>
    <w:rsid w:val="00A6207D"/>
    <w:rsid w:val="00A62623"/>
    <w:rsid w:val="00A632CC"/>
    <w:rsid w:val="00A654E3"/>
    <w:rsid w:val="00A70FF5"/>
    <w:rsid w:val="00A71829"/>
    <w:rsid w:val="00A72122"/>
    <w:rsid w:val="00A7410D"/>
    <w:rsid w:val="00A75862"/>
    <w:rsid w:val="00A775E1"/>
    <w:rsid w:val="00A81A7A"/>
    <w:rsid w:val="00A84355"/>
    <w:rsid w:val="00A85387"/>
    <w:rsid w:val="00A86C21"/>
    <w:rsid w:val="00A86C24"/>
    <w:rsid w:val="00A87339"/>
    <w:rsid w:val="00A90826"/>
    <w:rsid w:val="00A9088B"/>
    <w:rsid w:val="00A90BF5"/>
    <w:rsid w:val="00A915CB"/>
    <w:rsid w:val="00A92C0E"/>
    <w:rsid w:val="00A937AD"/>
    <w:rsid w:val="00A93BF1"/>
    <w:rsid w:val="00A95E46"/>
    <w:rsid w:val="00AA0601"/>
    <w:rsid w:val="00AA2783"/>
    <w:rsid w:val="00AA29C3"/>
    <w:rsid w:val="00AA3043"/>
    <w:rsid w:val="00AA4381"/>
    <w:rsid w:val="00AB1AD3"/>
    <w:rsid w:val="00AB2DF3"/>
    <w:rsid w:val="00AB3E6A"/>
    <w:rsid w:val="00AB5741"/>
    <w:rsid w:val="00AB5824"/>
    <w:rsid w:val="00AB5DD2"/>
    <w:rsid w:val="00AB6771"/>
    <w:rsid w:val="00AC46B3"/>
    <w:rsid w:val="00AC46E1"/>
    <w:rsid w:val="00AC7159"/>
    <w:rsid w:val="00AC7563"/>
    <w:rsid w:val="00AC7EFC"/>
    <w:rsid w:val="00AD18C9"/>
    <w:rsid w:val="00AD35A8"/>
    <w:rsid w:val="00AD362E"/>
    <w:rsid w:val="00AD47AD"/>
    <w:rsid w:val="00AD6136"/>
    <w:rsid w:val="00AD66A2"/>
    <w:rsid w:val="00AD674F"/>
    <w:rsid w:val="00AD79B8"/>
    <w:rsid w:val="00AE2F57"/>
    <w:rsid w:val="00AE33D8"/>
    <w:rsid w:val="00AE434A"/>
    <w:rsid w:val="00AE5235"/>
    <w:rsid w:val="00AE5318"/>
    <w:rsid w:val="00AE617E"/>
    <w:rsid w:val="00AE79C5"/>
    <w:rsid w:val="00AF136E"/>
    <w:rsid w:val="00AF13FE"/>
    <w:rsid w:val="00AF1CFF"/>
    <w:rsid w:val="00AF2F5D"/>
    <w:rsid w:val="00AF3121"/>
    <w:rsid w:val="00AF492E"/>
    <w:rsid w:val="00AF53A3"/>
    <w:rsid w:val="00B0631D"/>
    <w:rsid w:val="00B07291"/>
    <w:rsid w:val="00B10883"/>
    <w:rsid w:val="00B10E8B"/>
    <w:rsid w:val="00B15793"/>
    <w:rsid w:val="00B15911"/>
    <w:rsid w:val="00B27E08"/>
    <w:rsid w:val="00B308F7"/>
    <w:rsid w:val="00B31499"/>
    <w:rsid w:val="00B31940"/>
    <w:rsid w:val="00B31B69"/>
    <w:rsid w:val="00B32774"/>
    <w:rsid w:val="00B33957"/>
    <w:rsid w:val="00B352D9"/>
    <w:rsid w:val="00B36B18"/>
    <w:rsid w:val="00B36E74"/>
    <w:rsid w:val="00B37C70"/>
    <w:rsid w:val="00B41490"/>
    <w:rsid w:val="00B42295"/>
    <w:rsid w:val="00B4324A"/>
    <w:rsid w:val="00B46DFF"/>
    <w:rsid w:val="00B4715F"/>
    <w:rsid w:val="00B4795A"/>
    <w:rsid w:val="00B5099D"/>
    <w:rsid w:val="00B514C7"/>
    <w:rsid w:val="00B54B4C"/>
    <w:rsid w:val="00B561D6"/>
    <w:rsid w:val="00B62CF5"/>
    <w:rsid w:val="00B64EBD"/>
    <w:rsid w:val="00B65AFC"/>
    <w:rsid w:val="00B65CBA"/>
    <w:rsid w:val="00B66F8F"/>
    <w:rsid w:val="00B702E2"/>
    <w:rsid w:val="00B71D97"/>
    <w:rsid w:val="00B72098"/>
    <w:rsid w:val="00B7285B"/>
    <w:rsid w:val="00B74D46"/>
    <w:rsid w:val="00B772C3"/>
    <w:rsid w:val="00B775BC"/>
    <w:rsid w:val="00B7795B"/>
    <w:rsid w:val="00B81600"/>
    <w:rsid w:val="00B83256"/>
    <w:rsid w:val="00B837F5"/>
    <w:rsid w:val="00B83DC9"/>
    <w:rsid w:val="00B85136"/>
    <w:rsid w:val="00B87324"/>
    <w:rsid w:val="00B877ED"/>
    <w:rsid w:val="00B904E0"/>
    <w:rsid w:val="00B9192D"/>
    <w:rsid w:val="00B9313D"/>
    <w:rsid w:val="00B933B7"/>
    <w:rsid w:val="00B94181"/>
    <w:rsid w:val="00B95696"/>
    <w:rsid w:val="00B9595C"/>
    <w:rsid w:val="00B96492"/>
    <w:rsid w:val="00B97EB9"/>
    <w:rsid w:val="00BA0522"/>
    <w:rsid w:val="00BA21C5"/>
    <w:rsid w:val="00BA45F7"/>
    <w:rsid w:val="00BA490A"/>
    <w:rsid w:val="00BB51B9"/>
    <w:rsid w:val="00BB5548"/>
    <w:rsid w:val="00BB7C95"/>
    <w:rsid w:val="00BC2A65"/>
    <w:rsid w:val="00BC4138"/>
    <w:rsid w:val="00BC57A8"/>
    <w:rsid w:val="00BC7E27"/>
    <w:rsid w:val="00BC7F44"/>
    <w:rsid w:val="00BD0853"/>
    <w:rsid w:val="00BD0898"/>
    <w:rsid w:val="00BD3061"/>
    <w:rsid w:val="00BD40AD"/>
    <w:rsid w:val="00BD68BD"/>
    <w:rsid w:val="00BE2301"/>
    <w:rsid w:val="00BE246D"/>
    <w:rsid w:val="00BE3551"/>
    <w:rsid w:val="00BE66D2"/>
    <w:rsid w:val="00BE67F8"/>
    <w:rsid w:val="00BE6AFD"/>
    <w:rsid w:val="00BE6C4E"/>
    <w:rsid w:val="00BE6D88"/>
    <w:rsid w:val="00BE6F2E"/>
    <w:rsid w:val="00BF101D"/>
    <w:rsid w:val="00BF17AA"/>
    <w:rsid w:val="00BF1B97"/>
    <w:rsid w:val="00BF22F0"/>
    <w:rsid w:val="00BF2F13"/>
    <w:rsid w:val="00BF36B3"/>
    <w:rsid w:val="00BF4116"/>
    <w:rsid w:val="00BF4D23"/>
    <w:rsid w:val="00BF7164"/>
    <w:rsid w:val="00BF7277"/>
    <w:rsid w:val="00BF7A38"/>
    <w:rsid w:val="00C00CA7"/>
    <w:rsid w:val="00C041F7"/>
    <w:rsid w:val="00C06157"/>
    <w:rsid w:val="00C10472"/>
    <w:rsid w:val="00C11DB8"/>
    <w:rsid w:val="00C13429"/>
    <w:rsid w:val="00C14971"/>
    <w:rsid w:val="00C151BE"/>
    <w:rsid w:val="00C157FD"/>
    <w:rsid w:val="00C16B0F"/>
    <w:rsid w:val="00C2274A"/>
    <w:rsid w:val="00C2301D"/>
    <w:rsid w:val="00C2362B"/>
    <w:rsid w:val="00C24556"/>
    <w:rsid w:val="00C317A2"/>
    <w:rsid w:val="00C33999"/>
    <w:rsid w:val="00C33A74"/>
    <w:rsid w:val="00C34C14"/>
    <w:rsid w:val="00C34FAB"/>
    <w:rsid w:val="00C3560E"/>
    <w:rsid w:val="00C35F69"/>
    <w:rsid w:val="00C3639C"/>
    <w:rsid w:val="00C37A00"/>
    <w:rsid w:val="00C40AE5"/>
    <w:rsid w:val="00C41BA9"/>
    <w:rsid w:val="00C44318"/>
    <w:rsid w:val="00C45011"/>
    <w:rsid w:val="00C452A4"/>
    <w:rsid w:val="00C470C2"/>
    <w:rsid w:val="00C472EC"/>
    <w:rsid w:val="00C50E26"/>
    <w:rsid w:val="00C5178C"/>
    <w:rsid w:val="00C534CB"/>
    <w:rsid w:val="00C54017"/>
    <w:rsid w:val="00C57F8D"/>
    <w:rsid w:val="00C60313"/>
    <w:rsid w:val="00C61CB5"/>
    <w:rsid w:val="00C6275E"/>
    <w:rsid w:val="00C63070"/>
    <w:rsid w:val="00C6346C"/>
    <w:rsid w:val="00C65D86"/>
    <w:rsid w:val="00C661B3"/>
    <w:rsid w:val="00C66594"/>
    <w:rsid w:val="00C6681F"/>
    <w:rsid w:val="00C668DE"/>
    <w:rsid w:val="00C6768F"/>
    <w:rsid w:val="00C7056E"/>
    <w:rsid w:val="00C71A20"/>
    <w:rsid w:val="00C71CC0"/>
    <w:rsid w:val="00C72813"/>
    <w:rsid w:val="00C72988"/>
    <w:rsid w:val="00C740F6"/>
    <w:rsid w:val="00C7594A"/>
    <w:rsid w:val="00C759F6"/>
    <w:rsid w:val="00C7625F"/>
    <w:rsid w:val="00C763F7"/>
    <w:rsid w:val="00C81296"/>
    <w:rsid w:val="00C818FA"/>
    <w:rsid w:val="00C82CF3"/>
    <w:rsid w:val="00C82CF4"/>
    <w:rsid w:val="00C8358E"/>
    <w:rsid w:val="00C86792"/>
    <w:rsid w:val="00C87669"/>
    <w:rsid w:val="00C90295"/>
    <w:rsid w:val="00C9075C"/>
    <w:rsid w:val="00C9391C"/>
    <w:rsid w:val="00C9418F"/>
    <w:rsid w:val="00C951DC"/>
    <w:rsid w:val="00C95B89"/>
    <w:rsid w:val="00C97B13"/>
    <w:rsid w:val="00C97B4C"/>
    <w:rsid w:val="00C97E7F"/>
    <w:rsid w:val="00CA05F4"/>
    <w:rsid w:val="00CA166A"/>
    <w:rsid w:val="00CA17FF"/>
    <w:rsid w:val="00CA1D25"/>
    <w:rsid w:val="00CA363D"/>
    <w:rsid w:val="00CA40D9"/>
    <w:rsid w:val="00CA4D47"/>
    <w:rsid w:val="00CA63E4"/>
    <w:rsid w:val="00CA66EB"/>
    <w:rsid w:val="00CA7AEE"/>
    <w:rsid w:val="00CB10A4"/>
    <w:rsid w:val="00CB1CD1"/>
    <w:rsid w:val="00CB32A7"/>
    <w:rsid w:val="00CB4E1D"/>
    <w:rsid w:val="00CB57F7"/>
    <w:rsid w:val="00CB5EB3"/>
    <w:rsid w:val="00CB6220"/>
    <w:rsid w:val="00CB6EB8"/>
    <w:rsid w:val="00CB70F7"/>
    <w:rsid w:val="00CB727E"/>
    <w:rsid w:val="00CC15B0"/>
    <w:rsid w:val="00CC56F7"/>
    <w:rsid w:val="00CD031C"/>
    <w:rsid w:val="00CD2CA3"/>
    <w:rsid w:val="00CD49FF"/>
    <w:rsid w:val="00CD4AD9"/>
    <w:rsid w:val="00CD5303"/>
    <w:rsid w:val="00CD6570"/>
    <w:rsid w:val="00CD736D"/>
    <w:rsid w:val="00CE22BD"/>
    <w:rsid w:val="00CE3066"/>
    <w:rsid w:val="00CE3773"/>
    <w:rsid w:val="00CE4C87"/>
    <w:rsid w:val="00CE4FC2"/>
    <w:rsid w:val="00CE5316"/>
    <w:rsid w:val="00CE5498"/>
    <w:rsid w:val="00CE67B8"/>
    <w:rsid w:val="00CE6ED6"/>
    <w:rsid w:val="00CF013E"/>
    <w:rsid w:val="00CF0291"/>
    <w:rsid w:val="00CF044C"/>
    <w:rsid w:val="00CF082D"/>
    <w:rsid w:val="00CF3BD9"/>
    <w:rsid w:val="00CF489B"/>
    <w:rsid w:val="00CF6C5F"/>
    <w:rsid w:val="00D005A8"/>
    <w:rsid w:val="00D015E5"/>
    <w:rsid w:val="00D01EEB"/>
    <w:rsid w:val="00D02B3A"/>
    <w:rsid w:val="00D0662E"/>
    <w:rsid w:val="00D07FB0"/>
    <w:rsid w:val="00D11D68"/>
    <w:rsid w:val="00D1323D"/>
    <w:rsid w:val="00D13F5B"/>
    <w:rsid w:val="00D17D60"/>
    <w:rsid w:val="00D17D88"/>
    <w:rsid w:val="00D17F7A"/>
    <w:rsid w:val="00D20030"/>
    <w:rsid w:val="00D2099F"/>
    <w:rsid w:val="00D22586"/>
    <w:rsid w:val="00D22639"/>
    <w:rsid w:val="00D23B3B"/>
    <w:rsid w:val="00D23D1A"/>
    <w:rsid w:val="00D266A3"/>
    <w:rsid w:val="00D26DAB"/>
    <w:rsid w:val="00D27262"/>
    <w:rsid w:val="00D34B88"/>
    <w:rsid w:val="00D34CBF"/>
    <w:rsid w:val="00D34EA9"/>
    <w:rsid w:val="00D3563E"/>
    <w:rsid w:val="00D35B6D"/>
    <w:rsid w:val="00D36498"/>
    <w:rsid w:val="00D36966"/>
    <w:rsid w:val="00D37057"/>
    <w:rsid w:val="00D37A85"/>
    <w:rsid w:val="00D37AF7"/>
    <w:rsid w:val="00D37BCF"/>
    <w:rsid w:val="00D40C85"/>
    <w:rsid w:val="00D415B7"/>
    <w:rsid w:val="00D436B4"/>
    <w:rsid w:val="00D44987"/>
    <w:rsid w:val="00D44A06"/>
    <w:rsid w:val="00D473B5"/>
    <w:rsid w:val="00D47AB3"/>
    <w:rsid w:val="00D50E9D"/>
    <w:rsid w:val="00D510C2"/>
    <w:rsid w:val="00D54A07"/>
    <w:rsid w:val="00D54CEE"/>
    <w:rsid w:val="00D55C8C"/>
    <w:rsid w:val="00D55DE3"/>
    <w:rsid w:val="00D56554"/>
    <w:rsid w:val="00D576CB"/>
    <w:rsid w:val="00D62FC7"/>
    <w:rsid w:val="00D6329F"/>
    <w:rsid w:val="00D64B9D"/>
    <w:rsid w:val="00D65445"/>
    <w:rsid w:val="00D6623A"/>
    <w:rsid w:val="00D717CD"/>
    <w:rsid w:val="00D71822"/>
    <w:rsid w:val="00D732E8"/>
    <w:rsid w:val="00D748BF"/>
    <w:rsid w:val="00D75103"/>
    <w:rsid w:val="00D77931"/>
    <w:rsid w:val="00D81A07"/>
    <w:rsid w:val="00D826D8"/>
    <w:rsid w:val="00D82E9A"/>
    <w:rsid w:val="00D839EE"/>
    <w:rsid w:val="00D87444"/>
    <w:rsid w:val="00D87852"/>
    <w:rsid w:val="00D87CEC"/>
    <w:rsid w:val="00D87DDF"/>
    <w:rsid w:val="00D91BEE"/>
    <w:rsid w:val="00D92263"/>
    <w:rsid w:val="00D93B1B"/>
    <w:rsid w:val="00D94ABD"/>
    <w:rsid w:val="00D96209"/>
    <w:rsid w:val="00D97A7D"/>
    <w:rsid w:val="00D97ACD"/>
    <w:rsid w:val="00D97F0F"/>
    <w:rsid w:val="00DA2D92"/>
    <w:rsid w:val="00DA2E7F"/>
    <w:rsid w:val="00DA6B22"/>
    <w:rsid w:val="00DB078E"/>
    <w:rsid w:val="00DB07DB"/>
    <w:rsid w:val="00DB1439"/>
    <w:rsid w:val="00DB27FE"/>
    <w:rsid w:val="00DB3326"/>
    <w:rsid w:val="00DB79B1"/>
    <w:rsid w:val="00DC0642"/>
    <w:rsid w:val="00DC38D4"/>
    <w:rsid w:val="00DC3FC5"/>
    <w:rsid w:val="00DD0216"/>
    <w:rsid w:val="00DD0CA6"/>
    <w:rsid w:val="00DD152B"/>
    <w:rsid w:val="00DD3007"/>
    <w:rsid w:val="00DD4B16"/>
    <w:rsid w:val="00DD6A81"/>
    <w:rsid w:val="00DD6C4C"/>
    <w:rsid w:val="00DD7998"/>
    <w:rsid w:val="00DE0DB1"/>
    <w:rsid w:val="00DE403B"/>
    <w:rsid w:val="00DE5108"/>
    <w:rsid w:val="00DE5A1F"/>
    <w:rsid w:val="00DE5C69"/>
    <w:rsid w:val="00DF0281"/>
    <w:rsid w:val="00DF2B50"/>
    <w:rsid w:val="00DF5134"/>
    <w:rsid w:val="00DF5215"/>
    <w:rsid w:val="00DF6A13"/>
    <w:rsid w:val="00E0163C"/>
    <w:rsid w:val="00E0230D"/>
    <w:rsid w:val="00E02FD0"/>
    <w:rsid w:val="00E03C7C"/>
    <w:rsid w:val="00E04224"/>
    <w:rsid w:val="00E05218"/>
    <w:rsid w:val="00E06C72"/>
    <w:rsid w:val="00E1290C"/>
    <w:rsid w:val="00E12DA7"/>
    <w:rsid w:val="00E13668"/>
    <w:rsid w:val="00E14A50"/>
    <w:rsid w:val="00E16FCA"/>
    <w:rsid w:val="00E20738"/>
    <w:rsid w:val="00E22216"/>
    <w:rsid w:val="00E27846"/>
    <w:rsid w:val="00E3298C"/>
    <w:rsid w:val="00E4103A"/>
    <w:rsid w:val="00E41EB2"/>
    <w:rsid w:val="00E44634"/>
    <w:rsid w:val="00E46446"/>
    <w:rsid w:val="00E47F8C"/>
    <w:rsid w:val="00E53543"/>
    <w:rsid w:val="00E54024"/>
    <w:rsid w:val="00E565C1"/>
    <w:rsid w:val="00E572A9"/>
    <w:rsid w:val="00E63531"/>
    <w:rsid w:val="00E63CE5"/>
    <w:rsid w:val="00E64F8E"/>
    <w:rsid w:val="00E65347"/>
    <w:rsid w:val="00E66A91"/>
    <w:rsid w:val="00E66E12"/>
    <w:rsid w:val="00E66F29"/>
    <w:rsid w:val="00E66F95"/>
    <w:rsid w:val="00E670CE"/>
    <w:rsid w:val="00E67561"/>
    <w:rsid w:val="00E67A89"/>
    <w:rsid w:val="00E707B2"/>
    <w:rsid w:val="00E71702"/>
    <w:rsid w:val="00E7529A"/>
    <w:rsid w:val="00E77AB0"/>
    <w:rsid w:val="00E82079"/>
    <w:rsid w:val="00E82592"/>
    <w:rsid w:val="00E83BBE"/>
    <w:rsid w:val="00E841CB"/>
    <w:rsid w:val="00E84C32"/>
    <w:rsid w:val="00E86D64"/>
    <w:rsid w:val="00E87FA5"/>
    <w:rsid w:val="00E91954"/>
    <w:rsid w:val="00E919C0"/>
    <w:rsid w:val="00E93D5F"/>
    <w:rsid w:val="00E9512B"/>
    <w:rsid w:val="00E960EF"/>
    <w:rsid w:val="00E96ED5"/>
    <w:rsid w:val="00EA2DE9"/>
    <w:rsid w:val="00EA31A7"/>
    <w:rsid w:val="00EA40CD"/>
    <w:rsid w:val="00EA57F0"/>
    <w:rsid w:val="00EA5ACE"/>
    <w:rsid w:val="00EA72B9"/>
    <w:rsid w:val="00EA7F21"/>
    <w:rsid w:val="00EB11EC"/>
    <w:rsid w:val="00EB30AA"/>
    <w:rsid w:val="00EB4814"/>
    <w:rsid w:val="00EB5B26"/>
    <w:rsid w:val="00EB5CA9"/>
    <w:rsid w:val="00EB6C57"/>
    <w:rsid w:val="00EB711E"/>
    <w:rsid w:val="00EC0B8A"/>
    <w:rsid w:val="00EC11F7"/>
    <w:rsid w:val="00EC38B4"/>
    <w:rsid w:val="00ED2836"/>
    <w:rsid w:val="00ED3E46"/>
    <w:rsid w:val="00ED5ECC"/>
    <w:rsid w:val="00ED6D8C"/>
    <w:rsid w:val="00ED717B"/>
    <w:rsid w:val="00EE3689"/>
    <w:rsid w:val="00EE3996"/>
    <w:rsid w:val="00EE4BD5"/>
    <w:rsid w:val="00EE5EAE"/>
    <w:rsid w:val="00EE69D6"/>
    <w:rsid w:val="00EF06DA"/>
    <w:rsid w:val="00EF1D2D"/>
    <w:rsid w:val="00EF21AE"/>
    <w:rsid w:val="00EF42BD"/>
    <w:rsid w:val="00EF4937"/>
    <w:rsid w:val="00EF702F"/>
    <w:rsid w:val="00EF7892"/>
    <w:rsid w:val="00F0305D"/>
    <w:rsid w:val="00F04FE5"/>
    <w:rsid w:val="00F0765C"/>
    <w:rsid w:val="00F07707"/>
    <w:rsid w:val="00F131E9"/>
    <w:rsid w:val="00F1366A"/>
    <w:rsid w:val="00F16487"/>
    <w:rsid w:val="00F20062"/>
    <w:rsid w:val="00F20BA8"/>
    <w:rsid w:val="00F210A4"/>
    <w:rsid w:val="00F22445"/>
    <w:rsid w:val="00F242C5"/>
    <w:rsid w:val="00F24C3E"/>
    <w:rsid w:val="00F25A65"/>
    <w:rsid w:val="00F26102"/>
    <w:rsid w:val="00F278EC"/>
    <w:rsid w:val="00F33B59"/>
    <w:rsid w:val="00F3500A"/>
    <w:rsid w:val="00F35C06"/>
    <w:rsid w:val="00F36544"/>
    <w:rsid w:val="00F36982"/>
    <w:rsid w:val="00F40360"/>
    <w:rsid w:val="00F42873"/>
    <w:rsid w:val="00F44FFE"/>
    <w:rsid w:val="00F45307"/>
    <w:rsid w:val="00F456EA"/>
    <w:rsid w:val="00F467F9"/>
    <w:rsid w:val="00F4768E"/>
    <w:rsid w:val="00F50DF1"/>
    <w:rsid w:val="00F51D71"/>
    <w:rsid w:val="00F52C44"/>
    <w:rsid w:val="00F52CCF"/>
    <w:rsid w:val="00F534F4"/>
    <w:rsid w:val="00F555F8"/>
    <w:rsid w:val="00F61EE4"/>
    <w:rsid w:val="00F64016"/>
    <w:rsid w:val="00F648D1"/>
    <w:rsid w:val="00F64D11"/>
    <w:rsid w:val="00F65EA2"/>
    <w:rsid w:val="00F6609B"/>
    <w:rsid w:val="00F66EA5"/>
    <w:rsid w:val="00F677AB"/>
    <w:rsid w:val="00F720BA"/>
    <w:rsid w:val="00F723E3"/>
    <w:rsid w:val="00F72F55"/>
    <w:rsid w:val="00F75D8F"/>
    <w:rsid w:val="00F77272"/>
    <w:rsid w:val="00F82340"/>
    <w:rsid w:val="00F84C9D"/>
    <w:rsid w:val="00F84F35"/>
    <w:rsid w:val="00F86B7E"/>
    <w:rsid w:val="00F86F16"/>
    <w:rsid w:val="00F86F51"/>
    <w:rsid w:val="00F878BF"/>
    <w:rsid w:val="00F9061E"/>
    <w:rsid w:val="00F924C1"/>
    <w:rsid w:val="00F92A00"/>
    <w:rsid w:val="00F92AFE"/>
    <w:rsid w:val="00F92C8B"/>
    <w:rsid w:val="00F92E70"/>
    <w:rsid w:val="00F940DE"/>
    <w:rsid w:val="00F953E6"/>
    <w:rsid w:val="00F962FC"/>
    <w:rsid w:val="00F96D15"/>
    <w:rsid w:val="00F970AF"/>
    <w:rsid w:val="00F97BE1"/>
    <w:rsid w:val="00FA10AE"/>
    <w:rsid w:val="00FA3F00"/>
    <w:rsid w:val="00FA3F71"/>
    <w:rsid w:val="00FA5F41"/>
    <w:rsid w:val="00FA7D3F"/>
    <w:rsid w:val="00FB4B7F"/>
    <w:rsid w:val="00FC1423"/>
    <w:rsid w:val="00FC2165"/>
    <w:rsid w:val="00FC29DD"/>
    <w:rsid w:val="00FC30DF"/>
    <w:rsid w:val="00FC32E2"/>
    <w:rsid w:val="00FC3632"/>
    <w:rsid w:val="00FC45F3"/>
    <w:rsid w:val="00FC516E"/>
    <w:rsid w:val="00FD03DD"/>
    <w:rsid w:val="00FD1698"/>
    <w:rsid w:val="00FD2D42"/>
    <w:rsid w:val="00FD481C"/>
    <w:rsid w:val="00FD6472"/>
    <w:rsid w:val="00FD6BFC"/>
    <w:rsid w:val="00FE16A0"/>
    <w:rsid w:val="00FE51FB"/>
    <w:rsid w:val="00FE6D33"/>
    <w:rsid w:val="00FF129A"/>
    <w:rsid w:val="00FF180A"/>
    <w:rsid w:val="00FF46CF"/>
    <w:rsid w:val="00FF5D74"/>
    <w:rsid w:val="0185A777"/>
    <w:rsid w:val="022F142D"/>
    <w:rsid w:val="02785C7B"/>
    <w:rsid w:val="0446C10B"/>
    <w:rsid w:val="0567F3D8"/>
    <w:rsid w:val="062455A7"/>
    <w:rsid w:val="08352A6F"/>
    <w:rsid w:val="0A208352"/>
    <w:rsid w:val="0A56CD8D"/>
    <w:rsid w:val="0B58A0B2"/>
    <w:rsid w:val="0D0346CD"/>
    <w:rsid w:val="0D0D91C6"/>
    <w:rsid w:val="0D1FD573"/>
    <w:rsid w:val="0D76EE8F"/>
    <w:rsid w:val="102848B5"/>
    <w:rsid w:val="10F1DFBD"/>
    <w:rsid w:val="1172575B"/>
    <w:rsid w:val="118A0974"/>
    <w:rsid w:val="11908B43"/>
    <w:rsid w:val="122AC8FB"/>
    <w:rsid w:val="1276B7F0"/>
    <w:rsid w:val="1373CC68"/>
    <w:rsid w:val="143FE4DF"/>
    <w:rsid w:val="149F5EB0"/>
    <w:rsid w:val="14BA86CB"/>
    <w:rsid w:val="14FA6B85"/>
    <w:rsid w:val="1656FD86"/>
    <w:rsid w:val="1AB02ED4"/>
    <w:rsid w:val="1AE7035B"/>
    <w:rsid w:val="1D4C4330"/>
    <w:rsid w:val="1EC236C8"/>
    <w:rsid w:val="1F323EA1"/>
    <w:rsid w:val="2045D3B4"/>
    <w:rsid w:val="21367F23"/>
    <w:rsid w:val="218924D4"/>
    <w:rsid w:val="22E48372"/>
    <w:rsid w:val="22EE4623"/>
    <w:rsid w:val="23D2CD16"/>
    <w:rsid w:val="240F6B93"/>
    <w:rsid w:val="24306BE2"/>
    <w:rsid w:val="2481F3B1"/>
    <w:rsid w:val="25D64843"/>
    <w:rsid w:val="26319E21"/>
    <w:rsid w:val="2669BA8C"/>
    <w:rsid w:val="26F06A28"/>
    <w:rsid w:val="276C8153"/>
    <w:rsid w:val="29561048"/>
    <w:rsid w:val="2BB650F2"/>
    <w:rsid w:val="2C3D75B1"/>
    <w:rsid w:val="2C4D6AA3"/>
    <w:rsid w:val="2D4B364E"/>
    <w:rsid w:val="2D84174A"/>
    <w:rsid w:val="2E0E14DB"/>
    <w:rsid w:val="3012D4C1"/>
    <w:rsid w:val="3194A3C0"/>
    <w:rsid w:val="31D7D7C1"/>
    <w:rsid w:val="32757E2A"/>
    <w:rsid w:val="3278A721"/>
    <w:rsid w:val="32F88C09"/>
    <w:rsid w:val="338F26E7"/>
    <w:rsid w:val="33E5AC81"/>
    <w:rsid w:val="3410488E"/>
    <w:rsid w:val="344739BE"/>
    <w:rsid w:val="351DBD89"/>
    <w:rsid w:val="35547F42"/>
    <w:rsid w:val="356E2D6B"/>
    <w:rsid w:val="3910FE41"/>
    <w:rsid w:val="397AEC4F"/>
    <w:rsid w:val="3A48D000"/>
    <w:rsid w:val="3ABE34CB"/>
    <w:rsid w:val="3AD8383E"/>
    <w:rsid w:val="3C81D8EF"/>
    <w:rsid w:val="3D2DB665"/>
    <w:rsid w:val="3DCF696C"/>
    <w:rsid w:val="3FB9F76D"/>
    <w:rsid w:val="41D20673"/>
    <w:rsid w:val="42B7B361"/>
    <w:rsid w:val="44B46614"/>
    <w:rsid w:val="45D8DB7A"/>
    <w:rsid w:val="46DD2AEA"/>
    <w:rsid w:val="4712F38C"/>
    <w:rsid w:val="48A2BC97"/>
    <w:rsid w:val="48BD1E05"/>
    <w:rsid w:val="493236AD"/>
    <w:rsid w:val="4B52FD73"/>
    <w:rsid w:val="4B9C9B11"/>
    <w:rsid w:val="4CF1F719"/>
    <w:rsid w:val="4D72767B"/>
    <w:rsid w:val="4E0C5CBA"/>
    <w:rsid w:val="4ED3879B"/>
    <w:rsid w:val="4F46F993"/>
    <w:rsid w:val="4F64CBDE"/>
    <w:rsid w:val="508A359C"/>
    <w:rsid w:val="538C07C0"/>
    <w:rsid w:val="53F99F3F"/>
    <w:rsid w:val="56B07133"/>
    <w:rsid w:val="58158F88"/>
    <w:rsid w:val="589E31EE"/>
    <w:rsid w:val="599A68C2"/>
    <w:rsid w:val="59D50780"/>
    <w:rsid w:val="5B5E6DB3"/>
    <w:rsid w:val="5CE20306"/>
    <w:rsid w:val="5DA8E4DF"/>
    <w:rsid w:val="5E921731"/>
    <w:rsid w:val="5F31543D"/>
    <w:rsid w:val="5F6DE64C"/>
    <w:rsid w:val="60E2E790"/>
    <w:rsid w:val="610AFD31"/>
    <w:rsid w:val="63232154"/>
    <w:rsid w:val="65B17A4C"/>
    <w:rsid w:val="66125616"/>
    <w:rsid w:val="6853C535"/>
    <w:rsid w:val="685D5E24"/>
    <w:rsid w:val="69B2070F"/>
    <w:rsid w:val="6D01140F"/>
    <w:rsid w:val="6EF36558"/>
    <w:rsid w:val="701D8527"/>
    <w:rsid w:val="70EB0932"/>
    <w:rsid w:val="71103B8B"/>
    <w:rsid w:val="73BEADE0"/>
    <w:rsid w:val="744B6546"/>
    <w:rsid w:val="7579D832"/>
    <w:rsid w:val="75917C00"/>
    <w:rsid w:val="7683110E"/>
    <w:rsid w:val="77ABD15B"/>
    <w:rsid w:val="78D9AA02"/>
    <w:rsid w:val="79F8CEC4"/>
    <w:rsid w:val="7AA7FFAE"/>
    <w:rsid w:val="7D7116AB"/>
    <w:rsid w:val="7E7342DA"/>
    <w:rsid w:val="7EC5595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632CB86A-6C4F-4973-A2D9-7A04D71AB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2"/>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2"/>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semiHidden/>
    <w:unhideWhenUsed/>
    <w:rsid w:val="009839EE"/>
    <w:pPr>
      <w:numPr>
        <w:numId w:val="1"/>
      </w:numPr>
      <w:contextualSpacing/>
    </w:pPr>
  </w:style>
  <w:style w:type="paragraph" w:styleId="ListBullet2">
    <w:name w:val="List Bullet 2"/>
    <w:basedOn w:val="Normal"/>
    <w:uiPriority w:val="99"/>
    <w:semiHidden/>
    <w:unhideWhenUsed/>
    <w:rsid w:val="009839EE"/>
    <w:pPr>
      <w:numPr>
        <w:numId w:val="2"/>
      </w:numPr>
      <w:contextualSpacing/>
    </w:pPr>
  </w:style>
  <w:style w:type="paragraph" w:styleId="ListBullet3">
    <w:name w:val="List Bullet 3"/>
    <w:basedOn w:val="Normal"/>
    <w:uiPriority w:val="99"/>
    <w:semiHidden/>
    <w:unhideWhenUsed/>
    <w:rsid w:val="009839EE"/>
    <w:pPr>
      <w:numPr>
        <w:numId w:val="3"/>
      </w:numPr>
      <w:contextualSpacing/>
    </w:pPr>
  </w:style>
  <w:style w:type="paragraph" w:styleId="ListBullet4">
    <w:name w:val="List Bullet 4"/>
    <w:basedOn w:val="Normal"/>
    <w:uiPriority w:val="99"/>
    <w:semiHidden/>
    <w:unhideWhenUsed/>
    <w:rsid w:val="009839EE"/>
    <w:pPr>
      <w:numPr>
        <w:numId w:val="4"/>
      </w:numPr>
      <w:contextualSpacing/>
    </w:pPr>
  </w:style>
  <w:style w:type="paragraph" w:styleId="ListNumber3">
    <w:name w:val="List Number 3"/>
    <w:basedOn w:val="Normal"/>
    <w:rsid w:val="009839EE"/>
    <w:pPr>
      <w:numPr>
        <w:numId w:val="5"/>
      </w:numPr>
    </w:pPr>
  </w:style>
  <w:style w:type="paragraph" w:styleId="ListParagraph">
    <w:name w:val="List Paragraph"/>
    <w:basedOn w:val="Normal"/>
    <w:uiPriority w:val="34"/>
    <w:qFormat/>
    <w:rsid w:val="008C3B61"/>
    <w:pPr>
      <w:ind w:left="720"/>
      <w:contextualSpacing/>
    </w:pPr>
  </w:style>
  <w:style w:type="paragraph" w:styleId="BalloonText">
    <w:name w:val="Balloon Text"/>
    <w:basedOn w:val="Normal"/>
    <w:link w:val="BalloonTextChar"/>
    <w:uiPriority w:val="99"/>
    <w:semiHidden/>
    <w:unhideWhenUsed/>
    <w:rsid w:val="00187D4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D4F"/>
    <w:rPr>
      <w:rFonts w:ascii="Segoe UI" w:hAnsi="Segoe UI" w:cs="Segoe UI"/>
      <w:sz w:val="18"/>
      <w:szCs w:val="18"/>
      <w:lang w:val="en-GB"/>
    </w:rPr>
  </w:style>
  <w:style w:type="character" w:styleId="CommentReference">
    <w:name w:val="annotation reference"/>
    <w:basedOn w:val="DefaultParagraphFont"/>
    <w:uiPriority w:val="99"/>
    <w:semiHidden/>
    <w:unhideWhenUsed/>
    <w:rsid w:val="00810B8F"/>
    <w:rPr>
      <w:sz w:val="16"/>
      <w:szCs w:val="16"/>
    </w:rPr>
  </w:style>
  <w:style w:type="paragraph" w:styleId="CommentText">
    <w:name w:val="annotation text"/>
    <w:basedOn w:val="Normal"/>
    <w:link w:val="CommentTextChar"/>
    <w:uiPriority w:val="99"/>
    <w:unhideWhenUsed/>
    <w:rsid w:val="00A3368B"/>
    <w:rPr>
      <w:sz w:val="20"/>
      <w:szCs w:val="20"/>
    </w:rPr>
  </w:style>
  <w:style w:type="character" w:customStyle="1" w:styleId="CommentTextChar">
    <w:name w:val="Comment Text Char"/>
    <w:basedOn w:val="DefaultParagraphFont"/>
    <w:link w:val="CommentText"/>
    <w:uiPriority w:val="99"/>
    <w:rsid w:val="00810B8F"/>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810B8F"/>
    <w:rPr>
      <w:b/>
      <w:bCs/>
    </w:rPr>
  </w:style>
  <w:style w:type="character" w:customStyle="1" w:styleId="CommentSubjectChar">
    <w:name w:val="Comment Subject Char"/>
    <w:basedOn w:val="CommentTextChar"/>
    <w:link w:val="CommentSubject"/>
    <w:uiPriority w:val="99"/>
    <w:semiHidden/>
    <w:rsid w:val="00810B8F"/>
    <w:rPr>
      <w:rFonts w:ascii="Times New Roman" w:hAnsi="Times New Roman" w:cs="Times New Roman"/>
      <w:b/>
      <w:bCs/>
      <w:sz w:val="20"/>
      <w:szCs w:val="20"/>
      <w:lang w:val="en-GB"/>
    </w:rPr>
  </w:style>
  <w:style w:type="paragraph" w:styleId="Caption">
    <w:name w:val="caption"/>
    <w:basedOn w:val="Normal"/>
    <w:next w:val="Normal"/>
    <w:uiPriority w:val="35"/>
    <w:semiHidden/>
    <w:unhideWhenUsed/>
    <w:qFormat/>
    <w:rsid w:val="006C554B"/>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6C554B"/>
    <w:pPr>
      <w:spacing w:after="0"/>
    </w:pPr>
  </w:style>
  <w:style w:type="paragraph" w:styleId="ListNumber">
    <w:name w:val="List Number"/>
    <w:basedOn w:val="Normal"/>
    <w:uiPriority w:val="99"/>
    <w:semiHidden/>
    <w:unhideWhenUsed/>
    <w:rsid w:val="006C554B"/>
    <w:pPr>
      <w:numPr>
        <w:numId w:val="6"/>
      </w:numPr>
      <w:contextualSpacing/>
    </w:pPr>
  </w:style>
  <w:style w:type="paragraph" w:styleId="ListNumber2">
    <w:name w:val="List Number 2"/>
    <w:basedOn w:val="Normal"/>
    <w:uiPriority w:val="99"/>
    <w:semiHidden/>
    <w:unhideWhenUsed/>
    <w:rsid w:val="006C554B"/>
    <w:pPr>
      <w:numPr>
        <w:numId w:val="7"/>
      </w:numPr>
      <w:contextualSpacing/>
    </w:pPr>
  </w:style>
  <w:style w:type="paragraph" w:styleId="ListNumber4">
    <w:name w:val="List Number 4"/>
    <w:basedOn w:val="Normal"/>
    <w:uiPriority w:val="99"/>
    <w:semiHidden/>
    <w:unhideWhenUsed/>
    <w:rsid w:val="006C554B"/>
    <w:pPr>
      <w:numPr>
        <w:numId w:val="8"/>
      </w:numPr>
      <w:contextualSpacing/>
    </w:pPr>
  </w:style>
  <w:style w:type="character" w:styleId="Hyperlink">
    <w:name w:val="Hyperlink"/>
    <w:basedOn w:val="DefaultParagraphFont"/>
    <w:uiPriority w:val="99"/>
    <w:unhideWhenUsed/>
    <w:rsid w:val="00926A7A"/>
    <w:rPr>
      <w:color w:val="0000FF" w:themeColor="hyperlink"/>
      <w:u w:val="single"/>
    </w:rPr>
  </w:style>
  <w:style w:type="paragraph" w:styleId="NormalWeb">
    <w:name w:val="Normal (Web)"/>
    <w:basedOn w:val="Normal"/>
    <w:uiPriority w:val="99"/>
    <w:unhideWhenUsed/>
    <w:rsid w:val="002C5075"/>
    <w:pPr>
      <w:spacing w:before="100" w:beforeAutospacing="1" w:after="100" w:afterAutospacing="1"/>
      <w:jc w:val="left"/>
    </w:pPr>
    <w:rPr>
      <w:rFonts w:eastAsia="Times New Roman"/>
      <w:szCs w:val="24"/>
      <w:lang w:eastAsia="en-GB"/>
    </w:rPr>
  </w:style>
  <w:style w:type="character" w:styleId="Emphasis">
    <w:name w:val="Emphasis"/>
    <w:basedOn w:val="DefaultParagraphFont"/>
    <w:uiPriority w:val="20"/>
    <w:qFormat/>
    <w:rsid w:val="002C5075"/>
    <w:rPr>
      <w:i/>
      <w:iCs/>
    </w:rPr>
  </w:style>
  <w:style w:type="paragraph" w:styleId="Revision">
    <w:name w:val="Revision"/>
    <w:hidden/>
    <w:uiPriority w:val="99"/>
    <w:semiHidden/>
    <w:rsid w:val="00F26102"/>
    <w:pPr>
      <w:spacing w:after="0" w:line="240" w:lineRule="auto"/>
    </w:pPr>
    <w:rPr>
      <w:rFonts w:ascii="Times New Roman" w:hAnsi="Times New Roman" w:cs="Times New Roman"/>
      <w:sz w:val="24"/>
      <w:lang w:val="en-GB"/>
    </w:rPr>
  </w:style>
  <w:style w:type="paragraph" w:styleId="EndnoteText">
    <w:name w:val="endnote text"/>
    <w:basedOn w:val="Normal"/>
    <w:link w:val="EndnoteTextChar"/>
    <w:uiPriority w:val="99"/>
    <w:semiHidden/>
    <w:unhideWhenUsed/>
    <w:rsid w:val="00B36E74"/>
    <w:pPr>
      <w:spacing w:before="0" w:after="0"/>
    </w:pPr>
    <w:rPr>
      <w:sz w:val="20"/>
      <w:szCs w:val="20"/>
    </w:rPr>
  </w:style>
  <w:style w:type="character" w:customStyle="1" w:styleId="EndnoteTextChar">
    <w:name w:val="Endnote Text Char"/>
    <w:basedOn w:val="DefaultParagraphFont"/>
    <w:link w:val="EndnoteText"/>
    <w:uiPriority w:val="99"/>
    <w:semiHidden/>
    <w:rsid w:val="00B36E74"/>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sid w:val="00B36E74"/>
    <w:rPr>
      <w:vertAlign w:val="superscript"/>
    </w:rPr>
  </w:style>
  <w:style w:type="paragraph" w:customStyle="1" w:styleId="Numpar10">
    <w:name w:val="Num par 1"/>
    <w:basedOn w:val="Normal"/>
    <w:rsid w:val="00137D3D"/>
    <w:pPr>
      <w:spacing w:after="0"/>
    </w:pPr>
    <w:rPr>
      <w:rFonts w:eastAsia="Times New Roman"/>
      <w:iCs/>
      <w:szCs w:val="24"/>
    </w:rPr>
  </w:style>
  <w:style w:type="paragraph" w:customStyle="1" w:styleId="Footnote">
    <w:name w:val="Footnote"/>
    <w:basedOn w:val="Text1"/>
    <w:rsid w:val="00137D3D"/>
    <w:pPr>
      <w:ind w:left="0"/>
    </w:pPr>
    <w:rPr>
      <w:lang w:val="en-IE"/>
    </w:rPr>
  </w:style>
  <w:style w:type="character" w:customStyle="1" w:styleId="no-parag">
    <w:name w:val="no-parag"/>
    <w:basedOn w:val="DefaultParagraphFont"/>
    <w:rsid w:val="007B7A84"/>
  </w:style>
  <w:style w:type="character" w:customStyle="1" w:styleId="UnresolvedMention1">
    <w:name w:val="Unresolved Mention1"/>
    <w:basedOn w:val="DefaultParagraphFont"/>
    <w:uiPriority w:val="99"/>
    <w:semiHidden/>
    <w:unhideWhenUsed/>
    <w:rsid w:val="009038AC"/>
    <w:rPr>
      <w:color w:val="605E5C"/>
      <w:shd w:val="clear" w:color="auto" w:fill="E1DFDD"/>
    </w:rPr>
  </w:style>
  <w:style w:type="paragraph" w:customStyle="1" w:styleId="pf0">
    <w:name w:val="pf0"/>
    <w:basedOn w:val="Normal"/>
    <w:rsid w:val="00A01F4E"/>
    <w:pPr>
      <w:spacing w:before="100" w:beforeAutospacing="1" w:after="100" w:afterAutospacing="1"/>
      <w:jc w:val="left"/>
    </w:pPr>
    <w:rPr>
      <w:rFonts w:eastAsia="Times New Roman"/>
      <w:szCs w:val="24"/>
      <w:lang w:val="en-IE" w:eastAsia="en-IE"/>
    </w:rPr>
  </w:style>
  <w:style w:type="character" w:customStyle="1" w:styleId="cf01">
    <w:name w:val="cf01"/>
    <w:basedOn w:val="DefaultParagraphFont"/>
    <w:rsid w:val="00A01F4E"/>
    <w:rPr>
      <w:rFonts w:ascii="Segoe UI" w:hAnsi="Segoe UI" w:cs="Segoe UI" w:hint="default"/>
      <w:sz w:val="18"/>
      <w:szCs w:val="18"/>
    </w:rPr>
  </w:style>
  <w:style w:type="character" w:customStyle="1" w:styleId="cf21">
    <w:name w:val="cf21"/>
    <w:basedOn w:val="DefaultParagraphFont"/>
    <w:rsid w:val="00A01F4E"/>
    <w:rPr>
      <w:rFonts w:ascii="Segoe UI" w:hAnsi="Segoe UI" w:cs="Segoe UI" w:hint="default"/>
      <w:sz w:val="18"/>
      <w:szCs w:val="18"/>
    </w:rPr>
  </w:style>
  <w:style w:type="character" w:styleId="FollowedHyperlink">
    <w:name w:val="FollowedHyperlink"/>
    <w:basedOn w:val="DefaultParagraphFont"/>
    <w:uiPriority w:val="99"/>
    <w:semiHidden/>
    <w:unhideWhenUsed/>
    <w:rsid w:val="004C3D46"/>
    <w:rPr>
      <w:color w:val="800080" w:themeColor="followedHyperlink"/>
      <w:u w:val="single"/>
    </w:rPr>
  </w:style>
  <w:style w:type="paragraph" w:customStyle="1" w:styleId="Text0">
    <w:name w:val="Text 0"/>
    <w:basedOn w:val="Text1"/>
    <w:rsid w:val="00BD3061"/>
  </w:style>
  <w:style w:type="paragraph" w:customStyle="1" w:styleId="Heading123">
    <w:name w:val="Heading 123"/>
    <w:basedOn w:val="Normal"/>
    <w:next w:val="Normal"/>
    <w:rsid w:val="009B4479"/>
    <w:pPr>
      <w:numPr>
        <w:numId w:val="12"/>
      </w:numPr>
      <w:spacing w:before="360" w:line="360" w:lineRule="auto"/>
      <w:jc w:val="left"/>
      <w:outlineLvl w:val="0"/>
    </w:pPr>
    <w:rPr>
      <w:rFonts w:eastAsia="Times New Roman"/>
      <w:b/>
      <w:caps/>
      <w:szCs w:val="24"/>
      <w:u w:val="single"/>
    </w:rPr>
  </w:style>
  <w:style w:type="character" w:customStyle="1" w:styleId="UnresolvedMention">
    <w:name w:val="Unresolved Mention"/>
    <w:basedOn w:val="DefaultParagraphFont"/>
    <w:uiPriority w:val="99"/>
    <w:semiHidden/>
    <w:unhideWhenUsed/>
    <w:rsid w:val="001B6143"/>
    <w:rPr>
      <w:color w:val="605E5C"/>
      <w:shd w:val="clear" w:color="auto" w:fill="E1DFDD"/>
    </w:rPr>
  </w:style>
  <w:style w:type="character" w:customStyle="1" w:styleId="HeaderChar">
    <w:name w:val="Header Char"/>
    <w:basedOn w:val="DefaultParagraphFont"/>
    <w:link w:val="Header"/>
    <w:uiPriority w:val="99"/>
    <w:rsid w:val="00C7625F"/>
    <w:rPr>
      <w:rFonts w:ascii="Times New Roman" w:hAnsi="Times New Roman" w:cs="Times New Roman"/>
      <w:sz w:val="24"/>
      <w:lang w:val="en-GB"/>
    </w:rPr>
  </w:style>
  <w:style w:type="character" w:customStyle="1" w:styleId="FooterChar">
    <w:name w:val="Footer Char"/>
    <w:basedOn w:val="DefaultParagraphFont"/>
    <w:link w:val="Footer"/>
    <w:uiPriority w:val="99"/>
    <w:rsid w:val="00C7625F"/>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C7625F"/>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C7625F"/>
    <w:pPr>
      <w:spacing w:before="0"/>
      <w:jc w:val="right"/>
    </w:pPr>
    <w:rPr>
      <w:sz w:val="28"/>
    </w:rPr>
  </w:style>
  <w:style w:type="paragraph" w:customStyle="1" w:styleId="FooterSensitivity">
    <w:name w:val="Footer Sensitivity"/>
    <w:basedOn w:val="Normal"/>
    <w:rsid w:val="00C7625F"/>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5"/>
      </w:numPr>
    </w:pPr>
  </w:style>
  <w:style w:type="paragraph" w:customStyle="1" w:styleId="Tiret1">
    <w:name w:val="Tiret 1"/>
    <w:basedOn w:val="Point1"/>
    <w:pPr>
      <w:numPr>
        <w:numId w:val="16"/>
      </w:numPr>
    </w:pPr>
  </w:style>
  <w:style w:type="paragraph" w:customStyle="1" w:styleId="Tiret2">
    <w:name w:val="Tiret 2"/>
    <w:basedOn w:val="Point2"/>
    <w:pPr>
      <w:numPr>
        <w:numId w:val="17"/>
      </w:numPr>
    </w:pPr>
  </w:style>
  <w:style w:type="paragraph" w:customStyle="1" w:styleId="Tiret3">
    <w:name w:val="Tiret 3"/>
    <w:basedOn w:val="Point3"/>
    <w:pPr>
      <w:numPr>
        <w:numId w:val="18"/>
      </w:numPr>
    </w:pPr>
  </w:style>
  <w:style w:type="paragraph" w:customStyle="1" w:styleId="Tiret4">
    <w:name w:val="Tiret 4"/>
    <w:basedOn w:val="Point4"/>
    <w:pPr>
      <w:numPr>
        <w:numId w:val="19"/>
      </w:numPr>
    </w:pPr>
  </w:style>
  <w:style w:type="paragraph" w:customStyle="1" w:styleId="Tiret5">
    <w:name w:val="Tiret 5"/>
    <w:basedOn w:val="Point5"/>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NumPar5">
    <w:name w:val="NumPar 5"/>
    <w:basedOn w:val="Normal"/>
    <w:next w:val="Text2"/>
    <w:pPr>
      <w:numPr>
        <w:ilvl w:val="4"/>
        <w:numId w:val="21"/>
      </w:numPr>
    </w:pPr>
  </w:style>
  <w:style w:type="paragraph" w:customStyle="1" w:styleId="NumPar6">
    <w:name w:val="NumPar 6"/>
    <w:basedOn w:val="Normal"/>
    <w:next w:val="Text2"/>
    <w:pPr>
      <w:numPr>
        <w:ilvl w:val="5"/>
        <w:numId w:val="21"/>
      </w:numPr>
    </w:pPr>
  </w:style>
  <w:style w:type="paragraph" w:customStyle="1" w:styleId="NumPar7">
    <w:name w:val="NumPar 7"/>
    <w:basedOn w:val="Normal"/>
    <w:next w:val="Text2"/>
    <w:pPr>
      <w:numPr>
        <w:ilvl w:val="6"/>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C7625F"/>
    <w:pPr>
      <w:tabs>
        <w:tab w:val="center" w:pos="4535"/>
        <w:tab w:val="right" w:pos="9071"/>
      </w:tabs>
      <w:spacing w:before="0"/>
    </w:pPr>
  </w:style>
  <w:style w:type="paragraph" w:customStyle="1" w:styleId="HeaderLandscape">
    <w:name w:val="HeaderLandscape"/>
    <w:basedOn w:val="Normal"/>
    <w:rsid w:val="00C7625F"/>
    <w:pPr>
      <w:tabs>
        <w:tab w:val="center" w:pos="7285"/>
        <w:tab w:val="right" w:pos="14003"/>
      </w:tabs>
      <w:spacing w:before="0"/>
    </w:pPr>
  </w:style>
  <w:style w:type="paragraph" w:styleId="Footer">
    <w:name w:val="footer"/>
    <w:basedOn w:val="Normal"/>
    <w:link w:val="FooterChar"/>
    <w:uiPriority w:val="99"/>
    <w:unhideWhenUsed/>
    <w:rsid w:val="00C7625F"/>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C7625F"/>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660">
      <w:bodyDiv w:val="1"/>
      <w:marLeft w:val="0"/>
      <w:marRight w:val="0"/>
      <w:marTop w:val="0"/>
      <w:marBottom w:val="0"/>
      <w:divBdr>
        <w:top w:val="none" w:sz="0" w:space="0" w:color="auto"/>
        <w:left w:val="none" w:sz="0" w:space="0" w:color="auto"/>
        <w:bottom w:val="none" w:sz="0" w:space="0" w:color="auto"/>
        <w:right w:val="none" w:sz="0" w:space="0" w:color="auto"/>
      </w:divBdr>
      <w:divsChild>
        <w:div w:id="26177206">
          <w:marLeft w:val="0"/>
          <w:marRight w:val="0"/>
          <w:marTop w:val="0"/>
          <w:marBottom w:val="0"/>
          <w:divBdr>
            <w:top w:val="none" w:sz="0" w:space="0" w:color="auto"/>
            <w:left w:val="none" w:sz="0" w:space="0" w:color="auto"/>
            <w:bottom w:val="none" w:sz="0" w:space="0" w:color="auto"/>
            <w:right w:val="none" w:sz="0" w:space="0" w:color="auto"/>
          </w:divBdr>
          <w:divsChild>
            <w:div w:id="1738893499">
              <w:marLeft w:val="0"/>
              <w:marRight w:val="0"/>
              <w:marTop w:val="0"/>
              <w:marBottom w:val="0"/>
              <w:divBdr>
                <w:top w:val="none" w:sz="0" w:space="0" w:color="auto"/>
                <w:left w:val="none" w:sz="0" w:space="0" w:color="auto"/>
                <w:bottom w:val="none" w:sz="0" w:space="0" w:color="auto"/>
                <w:right w:val="none" w:sz="0" w:space="0" w:color="auto"/>
              </w:divBdr>
            </w:div>
          </w:divsChild>
        </w:div>
        <w:div w:id="238486515">
          <w:marLeft w:val="0"/>
          <w:marRight w:val="0"/>
          <w:marTop w:val="0"/>
          <w:marBottom w:val="0"/>
          <w:divBdr>
            <w:top w:val="none" w:sz="0" w:space="0" w:color="auto"/>
            <w:left w:val="none" w:sz="0" w:space="0" w:color="auto"/>
            <w:bottom w:val="none" w:sz="0" w:space="0" w:color="auto"/>
            <w:right w:val="none" w:sz="0" w:space="0" w:color="auto"/>
          </w:divBdr>
          <w:divsChild>
            <w:div w:id="161324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83808">
      <w:bodyDiv w:val="1"/>
      <w:marLeft w:val="0"/>
      <w:marRight w:val="0"/>
      <w:marTop w:val="0"/>
      <w:marBottom w:val="0"/>
      <w:divBdr>
        <w:top w:val="none" w:sz="0" w:space="0" w:color="auto"/>
        <w:left w:val="none" w:sz="0" w:space="0" w:color="auto"/>
        <w:bottom w:val="none" w:sz="0" w:space="0" w:color="auto"/>
        <w:right w:val="none" w:sz="0" w:space="0" w:color="auto"/>
      </w:divBdr>
    </w:div>
    <w:div w:id="126314054">
      <w:bodyDiv w:val="1"/>
      <w:marLeft w:val="0"/>
      <w:marRight w:val="0"/>
      <w:marTop w:val="0"/>
      <w:marBottom w:val="0"/>
      <w:divBdr>
        <w:top w:val="none" w:sz="0" w:space="0" w:color="auto"/>
        <w:left w:val="none" w:sz="0" w:space="0" w:color="auto"/>
        <w:bottom w:val="none" w:sz="0" w:space="0" w:color="auto"/>
        <w:right w:val="none" w:sz="0" w:space="0" w:color="auto"/>
      </w:divBdr>
    </w:div>
    <w:div w:id="158497191">
      <w:bodyDiv w:val="1"/>
      <w:marLeft w:val="0"/>
      <w:marRight w:val="0"/>
      <w:marTop w:val="0"/>
      <w:marBottom w:val="0"/>
      <w:divBdr>
        <w:top w:val="none" w:sz="0" w:space="0" w:color="auto"/>
        <w:left w:val="none" w:sz="0" w:space="0" w:color="auto"/>
        <w:bottom w:val="none" w:sz="0" w:space="0" w:color="auto"/>
        <w:right w:val="none" w:sz="0" w:space="0" w:color="auto"/>
      </w:divBdr>
    </w:div>
    <w:div w:id="257762558">
      <w:bodyDiv w:val="1"/>
      <w:marLeft w:val="0"/>
      <w:marRight w:val="0"/>
      <w:marTop w:val="0"/>
      <w:marBottom w:val="0"/>
      <w:divBdr>
        <w:top w:val="none" w:sz="0" w:space="0" w:color="auto"/>
        <w:left w:val="none" w:sz="0" w:space="0" w:color="auto"/>
        <w:bottom w:val="none" w:sz="0" w:space="0" w:color="auto"/>
        <w:right w:val="none" w:sz="0" w:space="0" w:color="auto"/>
      </w:divBdr>
    </w:div>
    <w:div w:id="332219983">
      <w:bodyDiv w:val="1"/>
      <w:marLeft w:val="0"/>
      <w:marRight w:val="0"/>
      <w:marTop w:val="0"/>
      <w:marBottom w:val="0"/>
      <w:divBdr>
        <w:top w:val="none" w:sz="0" w:space="0" w:color="auto"/>
        <w:left w:val="none" w:sz="0" w:space="0" w:color="auto"/>
        <w:bottom w:val="none" w:sz="0" w:space="0" w:color="auto"/>
        <w:right w:val="none" w:sz="0" w:space="0" w:color="auto"/>
      </w:divBdr>
    </w:div>
    <w:div w:id="342049097">
      <w:bodyDiv w:val="1"/>
      <w:marLeft w:val="0"/>
      <w:marRight w:val="0"/>
      <w:marTop w:val="0"/>
      <w:marBottom w:val="0"/>
      <w:divBdr>
        <w:top w:val="none" w:sz="0" w:space="0" w:color="auto"/>
        <w:left w:val="none" w:sz="0" w:space="0" w:color="auto"/>
        <w:bottom w:val="none" w:sz="0" w:space="0" w:color="auto"/>
        <w:right w:val="none" w:sz="0" w:space="0" w:color="auto"/>
      </w:divBdr>
    </w:div>
    <w:div w:id="358436783">
      <w:bodyDiv w:val="1"/>
      <w:marLeft w:val="0"/>
      <w:marRight w:val="0"/>
      <w:marTop w:val="0"/>
      <w:marBottom w:val="0"/>
      <w:divBdr>
        <w:top w:val="none" w:sz="0" w:space="0" w:color="auto"/>
        <w:left w:val="none" w:sz="0" w:space="0" w:color="auto"/>
        <w:bottom w:val="none" w:sz="0" w:space="0" w:color="auto"/>
        <w:right w:val="none" w:sz="0" w:space="0" w:color="auto"/>
      </w:divBdr>
    </w:div>
    <w:div w:id="359089353">
      <w:bodyDiv w:val="1"/>
      <w:marLeft w:val="0"/>
      <w:marRight w:val="0"/>
      <w:marTop w:val="0"/>
      <w:marBottom w:val="0"/>
      <w:divBdr>
        <w:top w:val="none" w:sz="0" w:space="0" w:color="auto"/>
        <w:left w:val="none" w:sz="0" w:space="0" w:color="auto"/>
        <w:bottom w:val="none" w:sz="0" w:space="0" w:color="auto"/>
        <w:right w:val="none" w:sz="0" w:space="0" w:color="auto"/>
      </w:divBdr>
      <w:divsChild>
        <w:div w:id="1461534858">
          <w:marLeft w:val="0"/>
          <w:marRight w:val="0"/>
          <w:marTop w:val="0"/>
          <w:marBottom w:val="0"/>
          <w:divBdr>
            <w:top w:val="none" w:sz="0" w:space="0" w:color="auto"/>
            <w:left w:val="none" w:sz="0" w:space="0" w:color="auto"/>
            <w:bottom w:val="none" w:sz="0" w:space="0" w:color="auto"/>
            <w:right w:val="none" w:sz="0" w:space="0" w:color="auto"/>
          </w:divBdr>
        </w:div>
      </w:divsChild>
    </w:div>
    <w:div w:id="417675519">
      <w:bodyDiv w:val="1"/>
      <w:marLeft w:val="0"/>
      <w:marRight w:val="0"/>
      <w:marTop w:val="0"/>
      <w:marBottom w:val="0"/>
      <w:divBdr>
        <w:top w:val="none" w:sz="0" w:space="0" w:color="auto"/>
        <w:left w:val="none" w:sz="0" w:space="0" w:color="auto"/>
        <w:bottom w:val="none" w:sz="0" w:space="0" w:color="auto"/>
        <w:right w:val="none" w:sz="0" w:space="0" w:color="auto"/>
      </w:divBdr>
    </w:div>
    <w:div w:id="446319402">
      <w:bodyDiv w:val="1"/>
      <w:marLeft w:val="0"/>
      <w:marRight w:val="0"/>
      <w:marTop w:val="0"/>
      <w:marBottom w:val="0"/>
      <w:divBdr>
        <w:top w:val="none" w:sz="0" w:space="0" w:color="auto"/>
        <w:left w:val="none" w:sz="0" w:space="0" w:color="auto"/>
        <w:bottom w:val="none" w:sz="0" w:space="0" w:color="auto"/>
        <w:right w:val="none" w:sz="0" w:space="0" w:color="auto"/>
      </w:divBdr>
    </w:div>
    <w:div w:id="609357738">
      <w:bodyDiv w:val="1"/>
      <w:marLeft w:val="0"/>
      <w:marRight w:val="0"/>
      <w:marTop w:val="0"/>
      <w:marBottom w:val="0"/>
      <w:divBdr>
        <w:top w:val="none" w:sz="0" w:space="0" w:color="auto"/>
        <w:left w:val="none" w:sz="0" w:space="0" w:color="auto"/>
        <w:bottom w:val="none" w:sz="0" w:space="0" w:color="auto"/>
        <w:right w:val="none" w:sz="0" w:space="0" w:color="auto"/>
      </w:divBdr>
    </w:div>
    <w:div w:id="673456048">
      <w:bodyDiv w:val="1"/>
      <w:marLeft w:val="0"/>
      <w:marRight w:val="0"/>
      <w:marTop w:val="0"/>
      <w:marBottom w:val="0"/>
      <w:divBdr>
        <w:top w:val="none" w:sz="0" w:space="0" w:color="auto"/>
        <w:left w:val="none" w:sz="0" w:space="0" w:color="auto"/>
        <w:bottom w:val="none" w:sz="0" w:space="0" w:color="auto"/>
        <w:right w:val="none" w:sz="0" w:space="0" w:color="auto"/>
      </w:divBdr>
    </w:div>
    <w:div w:id="681248995">
      <w:bodyDiv w:val="1"/>
      <w:marLeft w:val="0"/>
      <w:marRight w:val="0"/>
      <w:marTop w:val="0"/>
      <w:marBottom w:val="0"/>
      <w:divBdr>
        <w:top w:val="none" w:sz="0" w:space="0" w:color="auto"/>
        <w:left w:val="none" w:sz="0" w:space="0" w:color="auto"/>
        <w:bottom w:val="none" w:sz="0" w:space="0" w:color="auto"/>
        <w:right w:val="none" w:sz="0" w:space="0" w:color="auto"/>
      </w:divBdr>
    </w:div>
    <w:div w:id="764300014">
      <w:bodyDiv w:val="1"/>
      <w:marLeft w:val="0"/>
      <w:marRight w:val="0"/>
      <w:marTop w:val="0"/>
      <w:marBottom w:val="0"/>
      <w:divBdr>
        <w:top w:val="none" w:sz="0" w:space="0" w:color="auto"/>
        <w:left w:val="none" w:sz="0" w:space="0" w:color="auto"/>
        <w:bottom w:val="none" w:sz="0" w:space="0" w:color="auto"/>
        <w:right w:val="none" w:sz="0" w:space="0" w:color="auto"/>
      </w:divBdr>
    </w:div>
    <w:div w:id="847718372">
      <w:bodyDiv w:val="1"/>
      <w:marLeft w:val="0"/>
      <w:marRight w:val="0"/>
      <w:marTop w:val="0"/>
      <w:marBottom w:val="0"/>
      <w:divBdr>
        <w:top w:val="none" w:sz="0" w:space="0" w:color="auto"/>
        <w:left w:val="none" w:sz="0" w:space="0" w:color="auto"/>
        <w:bottom w:val="none" w:sz="0" w:space="0" w:color="auto"/>
        <w:right w:val="none" w:sz="0" w:space="0" w:color="auto"/>
      </w:divBdr>
    </w:div>
    <w:div w:id="898515180">
      <w:bodyDiv w:val="1"/>
      <w:marLeft w:val="0"/>
      <w:marRight w:val="0"/>
      <w:marTop w:val="0"/>
      <w:marBottom w:val="0"/>
      <w:divBdr>
        <w:top w:val="none" w:sz="0" w:space="0" w:color="auto"/>
        <w:left w:val="none" w:sz="0" w:space="0" w:color="auto"/>
        <w:bottom w:val="none" w:sz="0" w:space="0" w:color="auto"/>
        <w:right w:val="none" w:sz="0" w:space="0" w:color="auto"/>
      </w:divBdr>
    </w:div>
    <w:div w:id="924996347">
      <w:bodyDiv w:val="1"/>
      <w:marLeft w:val="0"/>
      <w:marRight w:val="0"/>
      <w:marTop w:val="0"/>
      <w:marBottom w:val="0"/>
      <w:divBdr>
        <w:top w:val="none" w:sz="0" w:space="0" w:color="auto"/>
        <w:left w:val="none" w:sz="0" w:space="0" w:color="auto"/>
        <w:bottom w:val="none" w:sz="0" w:space="0" w:color="auto"/>
        <w:right w:val="none" w:sz="0" w:space="0" w:color="auto"/>
      </w:divBdr>
    </w:div>
    <w:div w:id="961379842">
      <w:bodyDiv w:val="1"/>
      <w:marLeft w:val="0"/>
      <w:marRight w:val="0"/>
      <w:marTop w:val="0"/>
      <w:marBottom w:val="0"/>
      <w:divBdr>
        <w:top w:val="none" w:sz="0" w:space="0" w:color="auto"/>
        <w:left w:val="none" w:sz="0" w:space="0" w:color="auto"/>
        <w:bottom w:val="none" w:sz="0" w:space="0" w:color="auto"/>
        <w:right w:val="none" w:sz="0" w:space="0" w:color="auto"/>
      </w:divBdr>
    </w:div>
    <w:div w:id="1041708756">
      <w:bodyDiv w:val="1"/>
      <w:marLeft w:val="0"/>
      <w:marRight w:val="0"/>
      <w:marTop w:val="0"/>
      <w:marBottom w:val="0"/>
      <w:divBdr>
        <w:top w:val="none" w:sz="0" w:space="0" w:color="auto"/>
        <w:left w:val="none" w:sz="0" w:space="0" w:color="auto"/>
        <w:bottom w:val="none" w:sz="0" w:space="0" w:color="auto"/>
        <w:right w:val="none" w:sz="0" w:space="0" w:color="auto"/>
      </w:divBdr>
    </w:div>
    <w:div w:id="1053117952">
      <w:bodyDiv w:val="1"/>
      <w:marLeft w:val="0"/>
      <w:marRight w:val="0"/>
      <w:marTop w:val="0"/>
      <w:marBottom w:val="0"/>
      <w:divBdr>
        <w:top w:val="none" w:sz="0" w:space="0" w:color="auto"/>
        <w:left w:val="none" w:sz="0" w:space="0" w:color="auto"/>
        <w:bottom w:val="none" w:sz="0" w:space="0" w:color="auto"/>
        <w:right w:val="none" w:sz="0" w:space="0" w:color="auto"/>
      </w:divBdr>
    </w:div>
    <w:div w:id="1067803555">
      <w:bodyDiv w:val="1"/>
      <w:marLeft w:val="0"/>
      <w:marRight w:val="0"/>
      <w:marTop w:val="0"/>
      <w:marBottom w:val="0"/>
      <w:divBdr>
        <w:top w:val="none" w:sz="0" w:space="0" w:color="auto"/>
        <w:left w:val="none" w:sz="0" w:space="0" w:color="auto"/>
        <w:bottom w:val="none" w:sz="0" w:space="0" w:color="auto"/>
        <w:right w:val="none" w:sz="0" w:space="0" w:color="auto"/>
      </w:divBdr>
    </w:div>
    <w:div w:id="1070813093">
      <w:bodyDiv w:val="1"/>
      <w:marLeft w:val="0"/>
      <w:marRight w:val="0"/>
      <w:marTop w:val="0"/>
      <w:marBottom w:val="0"/>
      <w:divBdr>
        <w:top w:val="none" w:sz="0" w:space="0" w:color="auto"/>
        <w:left w:val="none" w:sz="0" w:space="0" w:color="auto"/>
        <w:bottom w:val="none" w:sz="0" w:space="0" w:color="auto"/>
        <w:right w:val="none" w:sz="0" w:space="0" w:color="auto"/>
      </w:divBdr>
    </w:div>
    <w:div w:id="1136796989">
      <w:bodyDiv w:val="1"/>
      <w:marLeft w:val="0"/>
      <w:marRight w:val="0"/>
      <w:marTop w:val="0"/>
      <w:marBottom w:val="0"/>
      <w:divBdr>
        <w:top w:val="none" w:sz="0" w:space="0" w:color="auto"/>
        <w:left w:val="none" w:sz="0" w:space="0" w:color="auto"/>
        <w:bottom w:val="none" w:sz="0" w:space="0" w:color="auto"/>
        <w:right w:val="none" w:sz="0" w:space="0" w:color="auto"/>
      </w:divBdr>
    </w:div>
    <w:div w:id="1379358405">
      <w:bodyDiv w:val="1"/>
      <w:marLeft w:val="0"/>
      <w:marRight w:val="0"/>
      <w:marTop w:val="0"/>
      <w:marBottom w:val="0"/>
      <w:divBdr>
        <w:top w:val="none" w:sz="0" w:space="0" w:color="auto"/>
        <w:left w:val="none" w:sz="0" w:space="0" w:color="auto"/>
        <w:bottom w:val="none" w:sz="0" w:space="0" w:color="auto"/>
        <w:right w:val="none" w:sz="0" w:space="0" w:color="auto"/>
      </w:divBdr>
    </w:div>
    <w:div w:id="1400328371">
      <w:bodyDiv w:val="1"/>
      <w:marLeft w:val="0"/>
      <w:marRight w:val="0"/>
      <w:marTop w:val="0"/>
      <w:marBottom w:val="0"/>
      <w:divBdr>
        <w:top w:val="none" w:sz="0" w:space="0" w:color="auto"/>
        <w:left w:val="none" w:sz="0" w:space="0" w:color="auto"/>
        <w:bottom w:val="none" w:sz="0" w:space="0" w:color="auto"/>
        <w:right w:val="none" w:sz="0" w:space="0" w:color="auto"/>
      </w:divBdr>
    </w:div>
    <w:div w:id="1430277474">
      <w:bodyDiv w:val="1"/>
      <w:marLeft w:val="0"/>
      <w:marRight w:val="0"/>
      <w:marTop w:val="0"/>
      <w:marBottom w:val="0"/>
      <w:divBdr>
        <w:top w:val="none" w:sz="0" w:space="0" w:color="auto"/>
        <w:left w:val="none" w:sz="0" w:space="0" w:color="auto"/>
        <w:bottom w:val="none" w:sz="0" w:space="0" w:color="auto"/>
        <w:right w:val="none" w:sz="0" w:space="0" w:color="auto"/>
      </w:divBdr>
    </w:div>
    <w:div w:id="1464611852">
      <w:bodyDiv w:val="1"/>
      <w:marLeft w:val="0"/>
      <w:marRight w:val="0"/>
      <w:marTop w:val="0"/>
      <w:marBottom w:val="0"/>
      <w:divBdr>
        <w:top w:val="none" w:sz="0" w:space="0" w:color="auto"/>
        <w:left w:val="none" w:sz="0" w:space="0" w:color="auto"/>
        <w:bottom w:val="none" w:sz="0" w:space="0" w:color="auto"/>
        <w:right w:val="none" w:sz="0" w:space="0" w:color="auto"/>
      </w:divBdr>
    </w:div>
    <w:div w:id="1509566068">
      <w:bodyDiv w:val="1"/>
      <w:marLeft w:val="0"/>
      <w:marRight w:val="0"/>
      <w:marTop w:val="0"/>
      <w:marBottom w:val="0"/>
      <w:divBdr>
        <w:top w:val="none" w:sz="0" w:space="0" w:color="auto"/>
        <w:left w:val="none" w:sz="0" w:space="0" w:color="auto"/>
        <w:bottom w:val="none" w:sz="0" w:space="0" w:color="auto"/>
        <w:right w:val="none" w:sz="0" w:space="0" w:color="auto"/>
      </w:divBdr>
    </w:div>
    <w:div w:id="1616908803">
      <w:bodyDiv w:val="1"/>
      <w:marLeft w:val="0"/>
      <w:marRight w:val="0"/>
      <w:marTop w:val="0"/>
      <w:marBottom w:val="0"/>
      <w:divBdr>
        <w:top w:val="none" w:sz="0" w:space="0" w:color="auto"/>
        <w:left w:val="none" w:sz="0" w:space="0" w:color="auto"/>
        <w:bottom w:val="none" w:sz="0" w:space="0" w:color="auto"/>
        <w:right w:val="none" w:sz="0" w:space="0" w:color="auto"/>
      </w:divBdr>
    </w:div>
    <w:div w:id="1643003110">
      <w:bodyDiv w:val="1"/>
      <w:marLeft w:val="0"/>
      <w:marRight w:val="0"/>
      <w:marTop w:val="0"/>
      <w:marBottom w:val="0"/>
      <w:divBdr>
        <w:top w:val="none" w:sz="0" w:space="0" w:color="auto"/>
        <w:left w:val="none" w:sz="0" w:space="0" w:color="auto"/>
        <w:bottom w:val="none" w:sz="0" w:space="0" w:color="auto"/>
        <w:right w:val="none" w:sz="0" w:space="0" w:color="auto"/>
      </w:divBdr>
    </w:div>
    <w:div w:id="186844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25cbdc0-0ef9-45cc-9261-b47b459937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B4A9C59EF314791AA713CE5448AA0" ma:contentTypeVersion="13" ma:contentTypeDescription="Create a new document." ma:contentTypeScope="" ma:versionID="8e6d5b95cb78e6462aa8f381145375df">
  <xsd:schema xmlns:xsd="http://www.w3.org/2001/XMLSchema" xmlns:xs="http://www.w3.org/2001/XMLSchema" xmlns:p="http://schemas.microsoft.com/office/2006/metadata/properties" xmlns:ns3="f25cbdc0-0ef9-45cc-9261-b47b459937c1" xmlns:ns4="3590d0e6-1123-43ed-9096-fd6d21660757" targetNamespace="http://schemas.microsoft.com/office/2006/metadata/properties" ma:root="true" ma:fieldsID="ecdee67415a59ca5bf490ee86c6a0e2f" ns3:_="" ns4:_="">
    <xsd:import namespace="f25cbdc0-0ef9-45cc-9261-b47b459937c1"/>
    <xsd:import namespace="3590d0e6-1123-43ed-9096-fd6d2166075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cbdc0-0ef9-45cc-9261-b47b45993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90d0e6-1123-43ed-9096-fd6d2166075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B46F9-1B99-46A8-94CE-0EC149950680}">
  <ds:schemaRefs>
    <ds:schemaRef ds:uri="http://schemas.microsoft.com/sharepoint/v3/contenttype/forms"/>
  </ds:schemaRefs>
</ds:datastoreItem>
</file>

<file path=customXml/itemProps2.xml><?xml version="1.0" encoding="utf-8"?>
<ds:datastoreItem xmlns:ds="http://schemas.openxmlformats.org/officeDocument/2006/customXml" ds:itemID="{512D279A-20C7-4CFC-9639-E60C35139EE7}">
  <ds:schemaRefs>
    <ds:schemaRef ds:uri="http://schemas.microsoft.com/office/2006/metadata/properties"/>
    <ds:schemaRef ds:uri="http://schemas.microsoft.com/office/infopath/2007/PartnerControls"/>
    <ds:schemaRef ds:uri="f25cbdc0-0ef9-45cc-9261-b47b459937c1"/>
  </ds:schemaRefs>
</ds:datastoreItem>
</file>

<file path=customXml/itemProps3.xml><?xml version="1.0" encoding="utf-8"?>
<ds:datastoreItem xmlns:ds="http://schemas.openxmlformats.org/officeDocument/2006/customXml" ds:itemID="{AE117B1B-99A7-4159-A5DA-B792C9DC9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cbdc0-0ef9-45cc-9261-b47b459937c1"/>
    <ds:schemaRef ds:uri="3590d0e6-1123-43ed-9096-fd6d21660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5EE109-3C3A-408F-B6E1-3AF3E500B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12</TotalTime>
  <Pages>15</Pages>
  <Words>5680</Words>
  <Characters>32376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20</cp:revision>
  <cp:lastPrinted>2022-07-21T18:55:00Z</cp:lastPrinted>
  <dcterms:created xsi:type="dcterms:W3CDTF">2025-07-03T08:28:00Z</dcterms:created>
  <dcterms:modified xsi:type="dcterms:W3CDTF">2025-07-26T11:07:00Z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9.1, Build 20240808</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SJ-043</vt:lpwstr>
  </property>
  <property fmtid="{D5CDD505-2E9C-101B-9397-08002B2CF9AE}" pid="10" name="MSIP_Label_6bd9ddd1-4d20-43f6-abfa-fc3c07406f94_Enabled">
    <vt:lpwstr>true</vt:lpwstr>
  </property>
  <property fmtid="{D5CDD505-2E9C-101B-9397-08002B2CF9AE}" pid="11" name="MSIP_Label_6bd9ddd1-4d20-43f6-abfa-fc3c07406f94_SetDate">
    <vt:lpwstr>2023-09-11T08:38:18Z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2c4700fd-c228-42f9-83bb-37750e4811eb</vt:lpwstr>
  </property>
  <property fmtid="{D5CDD505-2E9C-101B-9397-08002B2CF9AE}" pid="16" name="MSIP_Label_6bd9ddd1-4d20-43f6-abfa-fc3c07406f94_ContentBits">
    <vt:lpwstr>0</vt:lpwstr>
  </property>
  <property fmtid="{D5CDD505-2E9C-101B-9397-08002B2CF9AE}" pid="17" name="ContentTypeId">
    <vt:lpwstr>0x010100B3FB4A9C59EF314791AA713CE5448AA0</vt:lpwstr>
  </property>
  <property fmtid="{D5CDD505-2E9C-101B-9397-08002B2CF9AE}" pid="18" name="DQCStatus">
    <vt:lpwstr>Green (DQC version 03)</vt:lpwstr>
  </property>
</Properties>
</file>