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7ADEDE8B" w:rsidR="00286E0D" w:rsidRPr="004A66CD" w:rsidRDefault="004A0C82" w:rsidP="004A0C82">
      <w:pPr>
        <w:pStyle w:val="Pagedecouverture"/>
        <w:rPr>
          <w:noProof/>
        </w:rPr>
      </w:pPr>
      <w:r>
        <w:rPr>
          <w:noProof/>
        </w:rPr>
        <w:pict w14:anchorId="3BA04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24D2F99-E572-4DA4-A75A-0279A395E902" style="width:455.25pt;height:369.75pt">
            <v:imagedata r:id="rId8" o:title=""/>
          </v:shape>
        </w:pict>
      </w:r>
    </w:p>
    <w:p w14:paraId="0D2B0620" w14:textId="77777777" w:rsidR="00286E0D" w:rsidRPr="004A66CD" w:rsidRDefault="00286E0D" w:rsidP="00286E0D">
      <w:pPr>
        <w:rPr>
          <w:noProof/>
        </w:rPr>
        <w:sectPr w:rsidR="00286E0D" w:rsidRPr="004A66CD" w:rsidSect="004A0C82">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4A66CD" w:rsidRDefault="00286E0D" w:rsidP="00286E0D">
      <w:pPr>
        <w:pStyle w:val="Exposdesmotifstitre"/>
        <w:rPr>
          <w:noProof/>
        </w:rPr>
      </w:pPr>
      <w:bookmarkStart w:id="0" w:name="_GoBack"/>
      <w:bookmarkEnd w:id="0"/>
      <w:r w:rsidRPr="004A66CD">
        <w:rPr>
          <w:noProof/>
        </w:rPr>
        <w:lastRenderedPageBreak/>
        <w:t>EXPUNERE DE MOTIVE</w:t>
      </w:r>
    </w:p>
    <w:p w14:paraId="1D44F294" w14:textId="77777777" w:rsidR="00286E0D" w:rsidRPr="004A66CD" w:rsidRDefault="00286E0D" w:rsidP="00286E0D">
      <w:pPr>
        <w:rPr>
          <w:noProof/>
        </w:rPr>
      </w:pPr>
    </w:p>
    <w:p w14:paraId="791ACC5D" w14:textId="77777777" w:rsidR="00286E0D" w:rsidRPr="004A66CD" w:rsidRDefault="00286E0D" w:rsidP="00286E0D">
      <w:pPr>
        <w:pStyle w:val="ManualHeading1"/>
        <w:rPr>
          <w:noProof/>
        </w:rPr>
      </w:pPr>
      <w:r w:rsidRPr="004A66CD">
        <w:rPr>
          <w:noProof/>
        </w:rPr>
        <w:t>1.</w:t>
      </w:r>
      <w:r w:rsidRPr="004A66CD">
        <w:rPr>
          <w:noProof/>
        </w:rPr>
        <w:tab/>
        <w:t>CONTEXTUL PROPUNERII</w:t>
      </w:r>
    </w:p>
    <w:p w14:paraId="141EF942" w14:textId="77777777" w:rsidR="00286E0D" w:rsidRPr="004A66CD" w:rsidRDefault="00286E0D" w:rsidP="00286E0D">
      <w:pPr>
        <w:pStyle w:val="ManualHeading2"/>
        <w:rPr>
          <w:rFonts w:eastAsia="Arial Unicode MS"/>
          <w:noProof/>
        </w:rPr>
      </w:pPr>
      <w:r w:rsidRPr="004A66CD">
        <w:rPr>
          <w:noProof/>
          <w:color w:val="000000"/>
          <w:u w:color="000000"/>
          <w:bdr w:val="nil"/>
        </w:rPr>
        <w:t>•</w:t>
      </w:r>
      <w:r w:rsidRPr="004A66CD">
        <w:rPr>
          <w:noProof/>
        </w:rPr>
        <w:tab/>
        <w:t xml:space="preserve">Motivele și obiectivele propunerii </w:t>
      </w:r>
    </w:p>
    <w:p w14:paraId="034D1AFE" w14:textId="77777777" w:rsidR="004D75E7" w:rsidRPr="004A66CD" w:rsidRDefault="00B9223C" w:rsidP="004D75E7">
      <w:pPr>
        <w:rPr>
          <w:noProof/>
        </w:rPr>
      </w:pPr>
      <w:r w:rsidRPr="004A66CD">
        <w:rPr>
          <w:noProof/>
        </w:rPr>
        <w:t xml:space="preserve">Orientările politice ale Comisiei pentru perioada 2024-2029 subliniază necesitatea de a asigura un spațiu Schengen complet și pe deplin funcțional, fără controale la frontierele interne, prin intermediul unor frontiere externe mai sigure, acordând prioritate securității, gestionării migrației și eficienței. Gestionarea europeană integrată a frontierelor se află în centrul acestor eforturi, asigurând coerența între domeniile de politică interconectate, inclusiv frontierele, returnările și supravegherea, precum și între Frontex și autoritățile naționale responsabile pentru gestionarea frontierelor externe ale UE. În ceea ce privește punerea în aplicare, cadrul de guvernanță Schengen, sprijinit de evaluările Schengen, oferă orientări politice și strategice pentru dezvoltarea spațiului Schengen, asigurând atât punerea în aplicare a unor inițiative-cheie, cum ar fi interoperabilitatea sistemelor informatice, și a normelor relevante, cât și identificarea și remedierea deficitelor sistematice. Acest demers ar trebui să promoveze un puternic sentiment de responsabilitate comună și încredere reciprocă între statele membre și țările asociate spațiului Schengen. </w:t>
      </w:r>
    </w:p>
    <w:p w14:paraId="401136B9" w14:textId="77777777" w:rsidR="00D81B8C" w:rsidRPr="004A66CD" w:rsidRDefault="00B9223C" w:rsidP="00B9223C">
      <w:pPr>
        <w:rPr>
          <w:noProof/>
        </w:rPr>
      </w:pPr>
      <w:r w:rsidRPr="004A66CD">
        <w:rPr>
          <w:noProof/>
        </w:rPr>
        <w:t xml:space="preserve">Contextul geopolitic al Europei s-a schimbat în mod semnificativ, afectând profund gestionarea frontierelor externe ale Uniunii. Intensificarea </w:t>
      </w:r>
      <w:bookmarkStart w:id="1" w:name="_Hlk202820988"/>
      <w:r w:rsidRPr="004A66CD">
        <w:rPr>
          <w:noProof/>
        </w:rPr>
        <w:t xml:space="preserve">amenințărilor hibride și a altor amenințări la adresa securității, </w:t>
      </w:r>
      <w:bookmarkEnd w:id="1"/>
      <w:r w:rsidRPr="004A66CD">
        <w:rPr>
          <w:noProof/>
        </w:rPr>
        <w:t xml:space="preserve">inclusiv utilizarea migrației ca armă, reprezintă o urgență suplimentară necesității de a proteja frontiera externă. Între timp, </w:t>
      </w:r>
      <w:bookmarkStart w:id="2" w:name="_Hlk202822882"/>
      <w:r w:rsidRPr="004A66CD">
        <w:rPr>
          <w:noProof/>
        </w:rPr>
        <w:t>migrația ilegală continuă să fie un factor major, evidențiind necesitatea de a asigura o cooperare eficace cu țările din afara UE, combinată cu parteneriate cuprinzătoare cu țările de origine și de tranzit, atât cooperarea, cât și parteneriatele fiind sprijinite prin Regulamentul (UE) [...] [Europa globală].</w:t>
      </w:r>
      <w:bookmarkEnd w:id="2"/>
      <w:r w:rsidRPr="004A66CD">
        <w:rPr>
          <w:noProof/>
        </w:rPr>
        <w:t xml:space="preserve"> Introducerea ilegală de migranți este o afacere profitabilă pentru rețelele infracționale, persoanele care introduc ilegal migranți utilizând rute terestre, maritime și aeriene pentru a facilita migrația ilegală atât către Uniunea Europeană, cât și în interiorul acesteia. Aceasta este asociată din ce în ce mai mult cu încălcări grave ale drepturilor omului și cu pierderi de vieți omenești, în special atunci când au loc pe mare. Pierderile de vieți ale migranților cauzate de traficanți în Marea Mediterană subliniază necesitatea acută de a combate introducerea ilegală de migranți, utilizând toate pârghiile juridice, operaționale și administrative disponibile. </w:t>
      </w:r>
    </w:p>
    <w:p w14:paraId="6F6D36BE" w14:textId="77777777" w:rsidR="00B9223C" w:rsidRPr="004A66CD" w:rsidRDefault="00B9223C" w:rsidP="00FA3905">
      <w:pPr>
        <w:rPr>
          <w:noProof/>
        </w:rPr>
      </w:pPr>
      <w:r w:rsidRPr="004A66CD">
        <w:rPr>
          <w:noProof/>
        </w:rPr>
        <w:t>Statele membre trebuie să fie în măsură să răspundă rapid și eficace la aceste evoluții și trebuie să primească sprijin din partea Uniunii în acest scop.</w:t>
      </w:r>
    </w:p>
    <w:p w14:paraId="4BD9F834" w14:textId="77777777" w:rsidR="00BE09E6" w:rsidRPr="004A66CD" w:rsidRDefault="00E57952" w:rsidP="00FA3905">
      <w:pPr>
        <w:rPr>
          <w:noProof/>
        </w:rPr>
      </w:pPr>
      <w:r w:rsidRPr="004A66CD">
        <w:rPr>
          <w:noProof/>
        </w:rPr>
        <w:t>Este esențial să se asigure dezvoltarea și funcționarea în condiții de siguranță și întreținerea sistemelor informatice la scară largă</w:t>
      </w:r>
      <w:r w:rsidRPr="004A66CD">
        <w:rPr>
          <w:i/>
          <w:noProof/>
        </w:rPr>
        <w:t xml:space="preserve"> </w:t>
      </w:r>
      <w:r w:rsidRPr="004A66CD">
        <w:rPr>
          <w:noProof/>
        </w:rPr>
        <w:t>în temeiul dreptului Uniunii în domeniul gestionării frontierelor, și anume Sistemul de informații Schengen (SIS), Sistemul de informații privind vizele (VIS), Eurodac, Sistemul de intrare/ieșire (EES) și Sistemul european de informații și de autorizare privind călătoriile (EITAS), inclusiv interoperabilitatea acestora, precum și infrastructura de comunicații. Instrumentul ar trebui, de asemenea, să contribuie la acțiuni de îmbunătățire a calității datelor și a furnizării de informații.</w:t>
      </w:r>
    </w:p>
    <w:p w14:paraId="0413D35D" w14:textId="77777777" w:rsidR="008C306E" w:rsidRPr="004A66CD" w:rsidRDefault="008C306E" w:rsidP="00D81B8C">
      <w:pPr>
        <w:rPr>
          <w:noProof/>
        </w:rPr>
      </w:pPr>
      <w:bookmarkStart w:id="3" w:name="_Hlk202880202"/>
      <w:r w:rsidRPr="004A66CD">
        <w:rPr>
          <w:noProof/>
        </w:rPr>
        <w:t>Sprijinul din partea Uniunii ar trebui să fie pus la dispoziție și pentru ca statele membre să își creeze expertiza și capacitatea operațională necesare pentru a pune în aplicare elementele relevante ale Pactului privind azilul și migrația, și anume Regulamentul (UE) 2024/1356</w:t>
      </w:r>
      <w:r w:rsidRPr="004A66CD">
        <w:rPr>
          <w:rStyle w:val="FootnoteReference"/>
          <w:noProof/>
        </w:rPr>
        <w:footnoteReference w:id="1"/>
      </w:r>
      <w:r w:rsidRPr="004A66CD">
        <w:rPr>
          <w:noProof/>
        </w:rPr>
        <w:t xml:space="preserve"> (Regulamentul privind procedura de screening), care contribuie la gestionarea eficientă a frontierelor</w:t>
      </w:r>
      <w:bookmarkEnd w:id="3"/>
      <w:r w:rsidRPr="004A66CD">
        <w:rPr>
          <w:noProof/>
        </w:rPr>
        <w:t xml:space="preserve">. </w:t>
      </w:r>
    </w:p>
    <w:p w14:paraId="07A03C8E" w14:textId="77777777" w:rsidR="00D81B8C" w:rsidRPr="004A66CD" w:rsidRDefault="00D81B8C" w:rsidP="00D81B8C">
      <w:pPr>
        <w:rPr>
          <w:noProof/>
        </w:rPr>
      </w:pPr>
      <w:r w:rsidRPr="004A66CD">
        <w:rPr>
          <w:noProof/>
        </w:rPr>
        <w:t>Atât cetățenii UE, cât și cei din afara UE se supun unor controale sistematice la trecerea frontierelor externe ale UE. Având în vedere că doar în 2023 s-au înregistrat aproape 600 de milioane de treceri și că se preconizează că numărul de treceri va continua să crească în următorii ani, există o nevoie clară de a se efectua controale rapide și eficiente, cu ajutorul sistemelor informatice, menținând, în același timp, un nivel ridicat de securitate, asigurându-se că fiecare călător este controlat.</w:t>
      </w:r>
    </w:p>
    <w:p w14:paraId="293FB5AE" w14:textId="77777777" w:rsidR="00B9223C" w:rsidRPr="004A66CD" w:rsidRDefault="00B9223C" w:rsidP="00B9223C">
      <w:pPr>
        <w:rPr>
          <w:noProof/>
        </w:rPr>
      </w:pPr>
      <w:r w:rsidRPr="004A66CD">
        <w:rPr>
          <w:noProof/>
        </w:rPr>
        <w:t>Statele membre ar trebui să lucreze în strânsă cooperare cu agențiile relevante ale UE, inclusiv cu Frontex și eu-LISA, care ar trebui să furnizeze expertiza tehnică și mijloacele tehnologice necesare pentru supraveghere și conștientizarea situației. În termeni mai generali, organele, oficiile și agențiile relevante ale Uniunii ar trebui să fie implicate de Comisie în activitățile relevante menite să asigure că măsurile sprijinite de Uniune respectă acquis-ul relevant al Uniunii și prioritățile convenite la nivelul Uniunii.</w:t>
      </w:r>
    </w:p>
    <w:p w14:paraId="0C29A07E" w14:textId="77777777" w:rsidR="00B9223C" w:rsidRPr="004A66CD" w:rsidRDefault="00B9223C" w:rsidP="00B9223C">
      <w:pPr>
        <w:rPr>
          <w:noProof/>
        </w:rPr>
      </w:pPr>
      <w:r w:rsidRPr="004A66CD">
        <w:rPr>
          <w:noProof/>
        </w:rPr>
        <w:t>O politică a UE solidă în domeniul vizelor este, de asemenea, esențială pentru o mai bună securitate a frontierelor și pentru gestionarea migrației. Sprijinul din partea Uniunii ar trebui să ajute în special statele membre să îmbunătățească eficacitatea prelucrării cererilor de viză și să prevină utilizarea abuzivă a regimului de vize al Uniunii. Este nevoie de sprijin din partea Uniunii în ceea ce privește digitalizarea prelucrării cererilor de viză, precum și extinderea acoperirii serviciilor consulare în întreaga lume și îmbunătățirea serviciilor pentru solicitanți.</w:t>
      </w:r>
    </w:p>
    <w:p w14:paraId="33FEB1CE" w14:textId="335F2A4B" w:rsidR="00B9223C" w:rsidRPr="004A66CD" w:rsidRDefault="00B9223C" w:rsidP="001F3E4C">
      <w:pPr>
        <w:rPr>
          <w:noProof/>
        </w:rPr>
      </w:pPr>
      <w:r w:rsidRPr="004A66CD">
        <w:rPr>
          <w:noProof/>
        </w:rPr>
        <w:t xml:space="preserve">Propunerea urmărește să abordeze necesitatea unei mai mari flexibilități în gestionarea sprijinului din partea Uniunii, inclusiv printr-o orientare mai fermă către performanță, precum și nevoia unei simplificări sporite pentru toți actorii implicați în punerea în aplicare a acestuia. În acest scop, se asigură o complementaritate strânsă cu propunerea de Regulament (UE) [...] de instituire a Fondului european pentru coeziune economică, socială și teritorială, agricultură și zone rurale, pescuit și afaceri maritime, prosperitate și securitate, introducând noi mecanisme de alocare a fondurilor pentru gestiunea partajată, directă și indirectă. Întrucât provocările din domeniul gestionării frontierelor și al migrației sunt în continuă evoluție, este necesar, de asemenea, să se răspundă nevoilor urgente și schimbărilor în materie de </w:t>
      </w:r>
      <w:bookmarkStart w:id="4" w:name="_Hlk202775281"/>
      <w:r w:rsidRPr="004A66CD">
        <w:rPr>
          <w:noProof/>
        </w:rPr>
        <w:t xml:space="preserve">politici și priorități ale Uniunii, să se abordeze deficiențele identificate prin evaluările Schengen și evaluarea vulnerabilității efectuată de Frontex </w:t>
      </w:r>
      <w:bookmarkEnd w:id="4"/>
      <w:r w:rsidRPr="004A66CD">
        <w:rPr>
          <w:noProof/>
        </w:rPr>
        <w:t>și să se direcționeze finanțarea către acțiuni cu un nivel ridicat de valoare adăugată pentru Uniune, în special prin intermediul unui mecanism al UE care să ofere flexibilitate în gestionarea sprijinului din partea Uniunii.</w:t>
      </w:r>
    </w:p>
    <w:p w14:paraId="4CF7EFDF" w14:textId="64E65124" w:rsidR="00EB6497" w:rsidRPr="004A66CD" w:rsidRDefault="00EB6497" w:rsidP="001F3E4C">
      <w:pPr>
        <w:pBdr>
          <w:top w:val="nil"/>
          <w:left w:val="nil"/>
          <w:bottom w:val="nil"/>
          <w:right w:val="nil"/>
          <w:between w:val="nil"/>
          <w:bar w:val="nil"/>
        </w:pBdr>
        <w:rPr>
          <w:rFonts w:eastAsia="Arial Unicode MS"/>
          <w:noProof/>
        </w:rPr>
      </w:pPr>
      <w:r w:rsidRPr="004A66CD">
        <w:rPr>
          <w:noProof/>
        </w:rPr>
        <w:t xml:space="preserve">Prezenta propunere, împreună cu propunerea de Regulament de instituire a sprijinului din partea Uniunii pentru azil, migrație și integrare și cu propunerea de Regulament de instituire a sprijinului din partea Uniunii pentru securitate internă, oferă cadrul juridic specific pentru acțiunea Uniunii în domeniul gestionării europene integrate a frontierelor externe, al bunei funcționări a spațiului Schengen și al politicii europene în domeniul vizelor, al gestionării eficace a fluxurilor de migrație și al securității interne. Aceste trei regulamente se completează reciproc și contribuie la obiectivele Regulamentului (UE) [...] de instituire a Fondului european pentru coeziune economică, socială și teritorială, agricultură și zone rurale, pescuit și afaceri maritime, prosperitate și securitate, prin care acestea vor fi puse în aplicare. </w:t>
      </w:r>
    </w:p>
    <w:p w14:paraId="5EBA1527" w14:textId="77777777" w:rsidR="00EB6497" w:rsidRPr="004A66CD" w:rsidRDefault="00EB6497" w:rsidP="00EB6497">
      <w:pPr>
        <w:rPr>
          <w:noProof/>
        </w:rPr>
      </w:pPr>
      <w:r w:rsidRPr="004A66CD">
        <w:rPr>
          <w:noProof/>
        </w:rPr>
        <w:t>Propunerea de regulament se bazează pe Regulamentul (UE) 2021/1148</w:t>
      </w:r>
      <w:r w:rsidRPr="004A66CD">
        <w:rPr>
          <w:rStyle w:val="FootnoteReference"/>
          <w:rFonts w:eastAsia="Arial Unicode MS"/>
          <w:noProof/>
        </w:rPr>
        <w:footnoteReference w:id="2"/>
      </w:r>
      <w:r w:rsidRPr="004A66CD">
        <w:rPr>
          <w:noProof/>
        </w:rPr>
        <w:t>, ținând seama în același timp de noile evoluții ale politicilor și de necesitatea de a oferi un răspuns flexibil la provocările în continuă evoluție în ceea ce privește gestionarea europeană integrată a frontierelor, inclusiv buna funcționare a spațiului Schengen, și politica UE în domeniul vizelor.</w:t>
      </w:r>
    </w:p>
    <w:p w14:paraId="23CA5C86" w14:textId="77777777" w:rsidR="00286E0D" w:rsidRPr="004A66CD" w:rsidRDefault="00286E0D" w:rsidP="00286E0D">
      <w:pPr>
        <w:pStyle w:val="ManualHeading2"/>
        <w:rPr>
          <w:rFonts w:eastAsia="Arial Unicode MS"/>
          <w:noProof/>
          <w:color w:val="000000"/>
          <w:u w:color="000000"/>
          <w:bdr w:val="nil"/>
        </w:rPr>
      </w:pPr>
      <w:r w:rsidRPr="004A66CD">
        <w:rPr>
          <w:noProof/>
          <w:color w:val="000000"/>
          <w:u w:color="000000"/>
          <w:bdr w:val="nil"/>
        </w:rPr>
        <w:t>•</w:t>
      </w:r>
      <w:r w:rsidRPr="004A66CD">
        <w:rPr>
          <w:noProof/>
        </w:rPr>
        <w:tab/>
        <w:t>Coerența cu dispozițiile existente în domeniul de politică vizat</w:t>
      </w:r>
    </w:p>
    <w:p w14:paraId="254C54FA" w14:textId="77777777" w:rsidR="00286E0D" w:rsidRPr="004A66CD" w:rsidRDefault="00286E0D" w:rsidP="00286E0D">
      <w:pPr>
        <w:pBdr>
          <w:top w:val="nil"/>
          <w:left w:val="nil"/>
          <w:bottom w:val="nil"/>
          <w:right w:val="nil"/>
          <w:between w:val="nil"/>
          <w:bar w:val="nil"/>
        </w:pBdr>
        <w:rPr>
          <w:rFonts w:eastAsia="Arial Unicode MS"/>
          <w:noProof/>
        </w:rPr>
      </w:pPr>
      <w:r w:rsidRPr="004A66CD">
        <w:rPr>
          <w:noProof/>
        </w:rPr>
        <w:t>Sprijinul din partea Uniunii pentru gestionarea europeană integrată a frontierelor și pentru politica europeană în domeniul vizelor va funcționa în strânsă complementaritate cu celelalte politici care intră în domeniul de aplicare al planurilor de parteneriat național și regional, stimulând astfel sinergiile dintre aceste politici. De asemenea, trebuie căutate sinergii și complementarități în special cu acquis-ul Schengen; de altfel, pachetul legislativ care stă la baza Pactului privind migrația și azilul a intrat în vigoare la 11 iunie 2024. Cu toate acestea, o politică intensificată a UE privind gestionarea europeană integrată a frontierelor și politica UE în domeniul vizelor necesită acțiuni la nivelul întregului spectru de instrumente de care dispune, inclusiv activități ale agențiilor descentralizate relevante ale Uniunii.</w:t>
      </w:r>
    </w:p>
    <w:p w14:paraId="7C64BB8E" w14:textId="77777777" w:rsidR="00EB6497" w:rsidRPr="004A66CD" w:rsidRDefault="00EB6497" w:rsidP="00286E0D">
      <w:pPr>
        <w:pBdr>
          <w:top w:val="nil"/>
          <w:left w:val="nil"/>
          <w:bottom w:val="nil"/>
          <w:right w:val="nil"/>
          <w:between w:val="nil"/>
          <w:bar w:val="nil"/>
        </w:pBdr>
        <w:rPr>
          <w:rFonts w:eastAsia="Arial Unicode MS"/>
          <w:noProof/>
        </w:rPr>
      </w:pPr>
      <w:bookmarkStart w:id="5" w:name="_Hlk202880469"/>
      <w:r w:rsidRPr="004A66CD">
        <w:rPr>
          <w:noProof/>
          <w:color w:val="000000" w:themeColor="text1"/>
        </w:rPr>
        <w:t>Cele șase agenții descentralizate din domeniul afacerilor interne (Frontex, Europol, EUAA, eu-LISA, EUDA și Cepol) joacă un rol important și din ce în ce mai accentuat în punerea în aplicare a politicilor din domeniul afacerilor interne. Este esențial să se asigure coerența între strategiile de politică stabilite la nivelul UE și activitățile operaționale ale agențiilor descentralizate, maximizând astfel și contribuția finanțării UE acordate agențiilor descentralizate la obiectivele de politică ale UE. Rolul operațional al agențiilor descentralizate poate necesita o consolidare suplimentară, însoțită de o majorare corespunzătoare a finanțării.</w:t>
      </w:r>
    </w:p>
    <w:bookmarkEnd w:id="5"/>
    <w:p w14:paraId="3F7C3464" w14:textId="77777777" w:rsidR="00286E0D" w:rsidRPr="004A66CD" w:rsidRDefault="00286E0D" w:rsidP="00336FEB">
      <w:pPr>
        <w:pStyle w:val="ManualHeading2"/>
        <w:ind w:left="851" w:hanging="851"/>
        <w:rPr>
          <w:rFonts w:eastAsia="Arial Unicode MS"/>
          <w:noProof/>
        </w:rPr>
      </w:pPr>
      <w:r w:rsidRPr="004A66CD">
        <w:rPr>
          <w:noProof/>
          <w:color w:val="000000"/>
          <w:u w:color="000000"/>
          <w:bdr w:val="nil"/>
        </w:rPr>
        <w:t>•</w:t>
      </w:r>
      <w:r w:rsidRPr="004A66CD">
        <w:rPr>
          <w:noProof/>
        </w:rPr>
        <w:tab/>
        <w:t>Coerența cu alte politici ale Uniunii</w:t>
      </w:r>
    </w:p>
    <w:p w14:paraId="1AF2B945" w14:textId="77777777" w:rsidR="0031749A" w:rsidRPr="004A66CD" w:rsidRDefault="00286E0D" w:rsidP="00286E0D">
      <w:pPr>
        <w:pBdr>
          <w:top w:val="nil"/>
          <w:left w:val="nil"/>
          <w:bottom w:val="nil"/>
          <w:right w:val="nil"/>
          <w:between w:val="nil"/>
          <w:bar w:val="nil"/>
        </w:pBdr>
        <w:rPr>
          <w:rFonts w:eastAsia="Arial Unicode MS"/>
          <w:noProof/>
          <w:color w:val="000000" w:themeColor="text1"/>
        </w:rPr>
      </w:pPr>
      <w:r w:rsidRPr="004A66CD">
        <w:rPr>
          <w:noProof/>
        </w:rPr>
        <w:t xml:space="preserve">Gestionarea europeană integrată a frontierelor și politica în domeniul vizelor se bazează pe sinergiile și coerența cu politicile relevante ale UE, cum ar fi azilul și migrația, securitatea internă și politicile externe ale Uniunii de sprijinire a țărilor terțe, îndeosebi în temeiul Regulamentului (UE) [...] [Europa globală], care </w:t>
      </w:r>
      <w:r w:rsidRPr="004A66CD">
        <w:rPr>
          <w:noProof/>
          <w:color w:val="000000" w:themeColor="text1"/>
        </w:rPr>
        <w:t>acoperă o gamă largă de domenii cu legături importante cu politicile interne, inclusiv gestionarea frontierelor și politicile în domeniul vizelor. În special, este important să se asigure o coerență sporită cu sprijinul Uniunii pentru cooperarea în domeniul gestionării frontierelor cu țările partenere în cadrul instrumentului Europa globală, pentru a contribui la o abordare coordonată, holistică și structurată, maximizând sinergiile și aplicând efectul de levier necesar. În acest context, sprijinul pentru cooperarea transfrontalieră în cadrul instrumentului Europa globală este deosebit de relevant pentru îmbunătățirea gestionării frontierelor și continuarea eforturilor de prevenire a migrației ilegale.</w:t>
      </w:r>
    </w:p>
    <w:p w14:paraId="6CBA56D8" w14:textId="77777777" w:rsidR="00286E0D" w:rsidRPr="004A66CD" w:rsidRDefault="00286E0D" w:rsidP="0031749A">
      <w:pPr>
        <w:pBdr>
          <w:top w:val="nil"/>
          <w:left w:val="nil"/>
          <w:bottom w:val="nil"/>
          <w:right w:val="nil"/>
          <w:between w:val="nil"/>
          <w:bar w:val="nil"/>
        </w:pBdr>
        <w:rPr>
          <w:noProof/>
          <w:szCs w:val="24"/>
        </w:rPr>
      </w:pPr>
      <w:r w:rsidRPr="004A66CD">
        <w:rPr>
          <w:noProof/>
        </w:rPr>
        <w:t>Pentru a sprijini agenda privind competitivitatea, ar trebui avute în vedere, de asemenea, investiții bazate pe metode inovatoare sau pe noi tehnologii, inclusiv măsuri menite să testeze și să valideze rezultatele proiectelor de cercetare finanțate de Uniune.</w:t>
      </w:r>
    </w:p>
    <w:p w14:paraId="43A280F3" w14:textId="77777777" w:rsidR="00B9223C" w:rsidRPr="004A66CD" w:rsidRDefault="00AD5AEE" w:rsidP="00AD5AEE">
      <w:pPr>
        <w:pStyle w:val="ManualHeading2"/>
        <w:ind w:left="851" w:hanging="851"/>
        <w:rPr>
          <w:rFonts w:eastAsia="Arial Unicode MS"/>
          <w:noProof/>
          <w:color w:val="000000"/>
          <w:u w:color="000000"/>
          <w:bdr w:val="nil"/>
        </w:rPr>
      </w:pPr>
      <w:r w:rsidRPr="004A66CD">
        <w:rPr>
          <w:noProof/>
          <w:color w:val="000000"/>
          <w:u w:color="000000"/>
          <w:bdr w:val="nil"/>
        </w:rPr>
        <w:t>•</w:t>
      </w:r>
      <w:r w:rsidRPr="004A66CD">
        <w:rPr>
          <w:noProof/>
        </w:rPr>
        <w:tab/>
      </w:r>
      <w:r w:rsidRPr="004A66CD">
        <w:rPr>
          <w:noProof/>
          <w:color w:val="000000"/>
          <w:u w:color="000000"/>
          <w:bdr w:val="nil"/>
        </w:rPr>
        <w:t>Geometria variabilă</w:t>
      </w:r>
    </w:p>
    <w:p w14:paraId="4C39B415" w14:textId="77777777" w:rsidR="00C244F7" w:rsidRPr="004A66CD" w:rsidRDefault="00B9223C" w:rsidP="00B9223C">
      <w:pPr>
        <w:rPr>
          <w:rFonts w:eastAsia="Arial Unicode MS"/>
          <w:noProof/>
        </w:rPr>
      </w:pPr>
      <w:r w:rsidRPr="004A66CD">
        <w:rPr>
          <w:noProof/>
        </w:rPr>
        <w:t>Prezentul regulament constituie o dezvoltare a acquis-ului Schengen. În consecință, aplicarea regulamentului în Danemarca și Irlanda face obiectul unor dispoziții speciale prevăzute în Protocolul nr. 19 și în Protocolul nr. 22 anexate la TUE și la TFUE.</w:t>
      </w:r>
    </w:p>
    <w:p w14:paraId="5CBE603F" w14:textId="77777777" w:rsidR="00C244F7" w:rsidRPr="004A66CD" w:rsidRDefault="00C244F7" w:rsidP="00B9223C">
      <w:pPr>
        <w:rPr>
          <w:rFonts w:eastAsia="Times New Roman"/>
          <w:noProof/>
          <w:color w:val="000000" w:themeColor="text1"/>
        </w:rPr>
      </w:pPr>
      <w:r w:rsidRPr="004A66CD">
        <w:rPr>
          <w:noProof/>
        </w:rPr>
        <w:t xml:space="preserve">În conformitate cu articolele 1 și 2 din Protocolul nr. 22, regulamentul nu este obligatoriu și nici nu se aplică în Danemarca. Cu toate acestea, în temeiul articolului 4 din Protocolul nr. 22, Danemarca trebuie să decidă dacă să pună în aplicare și să își asume obligații în temeiul măsurilor care se întemeiază pe </w:t>
      </w:r>
      <w:r w:rsidRPr="004A66CD">
        <w:rPr>
          <w:noProof/>
          <w:color w:val="000000" w:themeColor="text1"/>
        </w:rPr>
        <w:t>acquis-ul</w:t>
      </w:r>
      <w:r w:rsidRPr="004A66CD">
        <w:rPr>
          <w:noProof/>
        </w:rPr>
        <w:t xml:space="preserve"> Schengen.</w:t>
      </w:r>
      <w:r w:rsidRPr="004A66CD">
        <w:rPr>
          <w:i/>
          <w:noProof/>
          <w:color w:val="000000" w:themeColor="text1"/>
        </w:rPr>
        <w:t xml:space="preserve"> </w:t>
      </w:r>
      <w:r w:rsidRPr="004A66CD">
        <w:rPr>
          <w:noProof/>
          <w:color w:val="000000" w:themeColor="text1"/>
        </w:rPr>
        <w:t>În cazul unei astfel de decizii, măsura va crea o obligație în temeiul dreptului internațional între Danemarca și celelalte state membre.</w:t>
      </w:r>
    </w:p>
    <w:p w14:paraId="0E7F29D4" w14:textId="77777777" w:rsidR="00B9223C" w:rsidRPr="004A66CD" w:rsidRDefault="00C244F7" w:rsidP="00FA3905">
      <w:pPr>
        <w:rPr>
          <w:rFonts w:eastAsia="Times New Roman"/>
          <w:noProof/>
          <w:color w:val="000000" w:themeColor="text1"/>
        </w:rPr>
      </w:pPr>
      <w:r w:rsidRPr="004A66CD">
        <w:rPr>
          <w:noProof/>
          <w:color w:val="000000" w:themeColor="text1"/>
        </w:rPr>
        <w:t xml:space="preserve">În temeiul articolului 4 din Protocolul nr. 19, Irlanda poate solicita în orice moment să participe la adoptarea unor dispoziții sau a tuturor dispozițiilor acquis-ului Schengen. Deși Irlanda participă la adoptarea anumitor părți ale acquis-ului Schengen, prezentul regulament nu se referă la părți ale acquis-ului Schengen la care participă Irlanda. </w:t>
      </w:r>
      <w:r w:rsidRPr="004A66CD">
        <w:rPr>
          <w:noProof/>
        </w:rPr>
        <w:t>Ca măsură care constituie elaborarea acquis-ului Schengen, regulamentul trebuie notificat unui număr de patru țări (Islanda, Regatul Norvegiei, Confederația Elvețiană și Principatul Liechtenstein) care nu sunt state membre ale Uniunii, dar care participă la spațiul Schengen fără controale la frontierele interne pe baza acordurilor de asociere încheiate cu Uniunea. Odată notificate, cele patru țări asociate spațiului Schengen vor trebui să confirme acceptarea conținutului regulamentului și să îl transpună în legislația lor națională. În consecință, măsurile propuse se vor aplica și acestor patru țări.</w:t>
      </w:r>
    </w:p>
    <w:p w14:paraId="3F7474CB" w14:textId="77777777" w:rsidR="00286E0D" w:rsidRPr="004A66CD" w:rsidRDefault="00286E0D" w:rsidP="00286E0D">
      <w:pPr>
        <w:pStyle w:val="ManualHeading1"/>
        <w:rPr>
          <w:noProof/>
        </w:rPr>
      </w:pPr>
      <w:r w:rsidRPr="004A66CD">
        <w:rPr>
          <w:noProof/>
        </w:rPr>
        <w:t>2.</w:t>
      </w:r>
      <w:r w:rsidRPr="004A66CD">
        <w:rPr>
          <w:noProof/>
        </w:rPr>
        <w:tab/>
        <w:t>TEMEI JURIDIC, SUBSIDIARITATE ȘI PROPORȚIONALITATE</w:t>
      </w:r>
    </w:p>
    <w:p w14:paraId="71B17439"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Temeiul juridic</w:t>
      </w:r>
    </w:p>
    <w:p w14:paraId="3FC49ECD" w14:textId="77777777" w:rsidR="00286E0D" w:rsidRPr="004A66CD" w:rsidRDefault="00286E0D" w:rsidP="00286E0D">
      <w:pPr>
        <w:pBdr>
          <w:top w:val="nil"/>
          <w:left w:val="nil"/>
          <w:bottom w:val="nil"/>
          <w:right w:val="nil"/>
          <w:between w:val="nil"/>
          <w:bar w:val="nil"/>
        </w:pBdr>
        <w:rPr>
          <w:rFonts w:eastAsia="Arial Unicode MS"/>
          <w:noProof/>
        </w:rPr>
      </w:pPr>
      <w:r w:rsidRPr="004A66CD">
        <w:rPr>
          <w:noProof/>
        </w:rPr>
        <w:t>În temeiul articolului 3 alineatul (2) din Tratatul privind Uniunea Europeană (TUE), „Uniunea oferă cetățenilor săi un spațiu de libertate, securitate și justiție, fără frontiere interne, în interiorul căruia este asigurată libera circulație a persoanelor, în corelare cu măsuri adecvate privind controlul la frontierele externe, dreptul de azil, imigrarea, precum și prevenirea criminalității și combaterea acestui fenomen”. Temeiul juridic al prezentei propuneri se regăsește în măsurile menționate la articolul 77 alineatul (2) și la articolul 79 alineatul (2) litera (c) și litera (d) din Tratatul privind funcționarea Uniunii (TFUE).</w:t>
      </w:r>
    </w:p>
    <w:p w14:paraId="750CEE1E"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 xml:space="preserve">Subsidiaritatea (în cazul competențelor neexclusive) </w:t>
      </w:r>
    </w:p>
    <w:p w14:paraId="0C17F853" w14:textId="77777777" w:rsidR="00286E0D" w:rsidRPr="004A66CD" w:rsidRDefault="0031749A" w:rsidP="00D35A81">
      <w:pPr>
        <w:pBdr>
          <w:top w:val="nil"/>
          <w:left w:val="nil"/>
          <w:bottom w:val="nil"/>
          <w:right w:val="nil"/>
          <w:between w:val="nil"/>
          <w:bar w:val="nil"/>
        </w:pBdr>
        <w:rPr>
          <w:rFonts w:eastAsia="Arial Unicode MS"/>
          <w:noProof/>
        </w:rPr>
      </w:pPr>
      <w:r w:rsidRPr="004A66CD">
        <w:rPr>
          <w:noProof/>
          <w:color w:val="000000" w:themeColor="text1"/>
        </w:rPr>
        <w:t xml:space="preserve">Obiectivele propunerii nu pot fi realizate de statele membre acționând în mod individual, deoarece provocările sunt de natură transfrontalieră și nu se limitează la un singur stat membru sau la un subgrup de state membre. </w:t>
      </w:r>
      <w:r w:rsidRPr="004A66CD">
        <w:rPr>
          <w:noProof/>
        </w:rPr>
        <w:t>Sprijinul din partea Uniunii creează valoare adăugată prin promovarea unei abordări comune între statele membre în ceea ce privește punerea în aplicare a acquis-ului și a standardelor UE și prin încurajarea colaborării între statele membre cu privire la aspecte transnaționale.</w:t>
      </w:r>
    </w:p>
    <w:p w14:paraId="0E9E52B6"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Proporționalitatea</w:t>
      </w:r>
    </w:p>
    <w:p w14:paraId="6AD7B953" w14:textId="77777777" w:rsidR="00286E0D" w:rsidRPr="004A66CD" w:rsidRDefault="0031749A" w:rsidP="00FA3905">
      <w:pPr>
        <w:pBdr>
          <w:top w:val="nil"/>
          <w:left w:val="nil"/>
          <w:bottom w:val="nil"/>
          <w:right w:val="nil"/>
          <w:between w:val="nil"/>
          <w:bar w:val="nil"/>
        </w:pBdr>
        <w:rPr>
          <w:rFonts w:eastAsia="Arial Unicode MS"/>
          <w:noProof/>
          <w:color w:val="000000" w:themeColor="text1"/>
        </w:rPr>
      </w:pPr>
      <w:r w:rsidRPr="004A66CD">
        <w:rPr>
          <w:noProof/>
          <w:color w:val="000000" w:themeColor="text1"/>
        </w:rPr>
        <w:t>Propunerea nu depășește ceea ce este necesar pentru atingerea obiectivelor menționate în secțiunea 1. Aceasta intră în sfera de acțiune a spațiului de libertate, securitate și justiție, astfel cum este definit în partea a treia titlul V din TFUE. Obiectivele și sprijinul corespunzător din partea Uniunii sunt proporționale cu ceea ce urmărește să realizeze instrumentul.</w:t>
      </w:r>
    </w:p>
    <w:p w14:paraId="70EDA19B"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Alegerea instrumentului</w:t>
      </w:r>
    </w:p>
    <w:p w14:paraId="675DAC45" w14:textId="5D8E2C52" w:rsidR="0031749A" w:rsidRPr="004A66CD" w:rsidRDefault="0031749A" w:rsidP="001F3E4C">
      <w:pPr>
        <w:pBdr>
          <w:top w:val="nil"/>
          <w:left w:val="nil"/>
          <w:bottom w:val="nil"/>
          <w:right w:val="nil"/>
          <w:between w:val="nil"/>
          <w:bar w:val="nil"/>
        </w:pBdr>
        <w:rPr>
          <w:rFonts w:eastAsia="Arial Unicode MS"/>
          <w:noProof/>
          <w:color w:val="000000" w:themeColor="text1"/>
        </w:rPr>
      </w:pPr>
      <w:r w:rsidRPr="004A66CD">
        <w:rPr>
          <w:noProof/>
          <w:color w:val="000000" w:themeColor="text1"/>
        </w:rPr>
        <w:t>Instrumentul cel mai adecvat pentru aplicarea prezentei propuneri este un regulament al Parlamentului European și al Consiliului de instituire a sprijinului din partea Uniunii pentru gestionarea frontierelor pentru perioada 1 ianuarie 2028-31 decembrie 2034 și de completare a propunerii de</w:t>
      </w:r>
      <w:r w:rsidRPr="004A66CD">
        <w:rPr>
          <w:noProof/>
        </w:rPr>
        <w:t xml:space="preserve"> </w:t>
      </w:r>
      <w:r w:rsidRPr="004A66CD">
        <w:rPr>
          <w:noProof/>
          <w:color w:val="000000" w:themeColor="text1"/>
        </w:rPr>
        <w:t>regulament (UE) [...] de instituire a Fondului european pentru coeziune economică, socială și teritorială, agricultură și zone rurale, pescuit și afaceri maritime, prosperitate și securitate.</w:t>
      </w:r>
    </w:p>
    <w:p w14:paraId="0FA6C1BD" w14:textId="77777777" w:rsidR="00286E0D" w:rsidRPr="004A66CD" w:rsidRDefault="00286E0D" w:rsidP="00286E0D">
      <w:pPr>
        <w:pStyle w:val="ManualHeading1"/>
        <w:rPr>
          <w:noProof/>
        </w:rPr>
      </w:pPr>
      <w:r w:rsidRPr="004A66CD">
        <w:rPr>
          <w:noProof/>
        </w:rPr>
        <w:t>3.</w:t>
      </w:r>
      <w:r w:rsidRPr="004A66CD">
        <w:rPr>
          <w:noProof/>
        </w:rPr>
        <w:tab/>
        <w:t>REZULTATELE EVALUĂRILOR RETROSPECTIVE, ALE CONSULTĂRILOR CU PĂRȚILE INTERESATE ȘI ALE EVALUĂRILOR IMPACTULUI</w:t>
      </w:r>
    </w:p>
    <w:p w14:paraId="0B632E01"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Evaluările retrospective/verificarea adecvării legislației existente</w:t>
      </w:r>
    </w:p>
    <w:p w14:paraId="76E894A2" w14:textId="77777777" w:rsidR="00286E0D" w:rsidRPr="004A66CD" w:rsidRDefault="00286E0D" w:rsidP="00EB6497">
      <w:pPr>
        <w:pBdr>
          <w:top w:val="nil"/>
          <w:left w:val="nil"/>
          <w:bottom w:val="nil"/>
          <w:right w:val="nil"/>
          <w:between w:val="nil"/>
          <w:bar w:val="nil"/>
        </w:pBdr>
        <w:rPr>
          <w:rFonts w:eastAsia="Arial Unicode MS"/>
          <w:noProof/>
        </w:rPr>
      </w:pPr>
      <w:r w:rsidRPr="004A66CD">
        <w:rPr>
          <w:noProof/>
        </w:rPr>
        <w:t xml:space="preserve">Rezultatele preliminare ale evaluării ex post în curs a Fondului pentru securitate internă – componenta frontiere și vize (FSI-FV) pentru perioada de programare 2014-2020 confirmă faptul că FSI-FV a sprijinit în mod efectiv statele membre în atingerea obiectivelor lor în domeniul politicii vizelor și al gestionării frontierelor externe. Introducerea programării multianuale și a unor norme naționale de eligibilitate a contribuit la reducerea sarcinii administrative. Acolo unde au fost aplicate, opțiunile simplificate în materie de costuri au avut succes în reducerea poverii administrative, însă nu au fost adoptate pe scară largă. FSI-FV a demonstrat grade variabile de rentabilitate și eficacitate. FSI-FV a fost coerent în cadrul propriilor componente și în raport cu alte fonduri ale UE; totuși, coerența cu Orizont Europa și între programele naționale și acțiunile Uniunii ar putea fi consolidată mai mult. FSI-FV a contribuit în mod semnificativ la valoarea adăugată a UE. </w:t>
      </w:r>
      <w:bookmarkStart w:id="6" w:name="_Hlk202880568"/>
      <w:r w:rsidRPr="004A66CD">
        <w:rPr>
          <w:noProof/>
        </w:rPr>
        <w:t xml:space="preserve">Evaluarea </w:t>
      </w:r>
      <w:r w:rsidRPr="004A66CD">
        <w:rPr>
          <w:i/>
          <w:iCs/>
          <w:noProof/>
        </w:rPr>
        <w:t>ex post</w:t>
      </w:r>
      <w:r w:rsidRPr="004A66CD">
        <w:rPr>
          <w:noProof/>
        </w:rPr>
        <w:t xml:space="preserve"> concluzionează, cu titlu preliminar, că simplificarea cerințelor de raportare și a procedurilor administrative, fără a diminua calitatea și informațiile cantitative necesare pentru monitorizarea punerii în aplicare, poate spori în mod semnificativ eficacitatea. Această abordare ar trebui să reducă la minimum sarcina administrativă și să permită părților interesate să se concentreze mai degrabă pe obținerea de rezultate decât pe parcurgerea proceselor birocratice.</w:t>
      </w:r>
      <w:bookmarkEnd w:id="6"/>
    </w:p>
    <w:p w14:paraId="539AF480" w14:textId="77777777" w:rsidR="00286E0D" w:rsidRPr="004A66CD" w:rsidRDefault="00286E0D" w:rsidP="00EB6497">
      <w:pPr>
        <w:pBdr>
          <w:top w:val="nil"/>
          <w:left w:val="nil"/>
          <w:bottom w:val="nil"/>
          <w:right w:val="nil"/>
          <w:between w:val="nil"/>
          <w:bar w:val="nil"/>
        </w:pBdr>
        <w:rPr>
          <w:rFonts w:eastAsia="Arial Unicode MS"/>
          <w:i/>
          <w:noProof/>
        </w:rPr>
      </w:pPr>
      <w:r w:rsidRPr="004A66CD">
        <w:rPr>
          <w:noProof/>
        </w:rPr>
        <w:t xml:space="preserve">Rezultatele preliminare ale evaluării la jumătatea perioadei a Instrumentului pentru managementul frontierelor și vize (IMFV) pentru perioada de programare 2021-2027 confirmă faptul că în cadrul de monitorizare și evaluare pentru IMFV s-au înregistrat îmbunătățiri semnificative în comparație cu perioada 2014-2020. Statele membre și beneficiarii au evidențiat preocupări cu privire la sarcina administrativă. Până în prezent, autoritățile de management au utilizat în mod limitat opțiunile simplificate în materie de costuri și finanțarea nelegată de costuri, ceea ce ar putea reduce sarcina administrativă. Programele statelor membre și programele de lucru ale Comisiei pentru facilitatea tematică au fost coerente cu alte instrumente de finanțare naționale și ale UE. Cu toate acestea, ar fi putut fi consolidată și mai mult coerența între acțiunile Uniunii și programele statelor membre, precum și cu programul Orizont Europa pentru a spori gradul de adoptare a soluțiilor tehnologice inovatoare. În cele din urmă, IMFV a încurajat cooperarea, asigură conformitatea cu standardele UE și a consolidat cadrul colectiv al UE privind gestionarea frontierelor și politica în domeniul vizelor. </w:t>
      </w:r>
      <w:bookmarkStart w:id="7" w:name="_Hlk202880726"/>
      <w:r w:rsidRPr="004A66CD">
        <w:rPr>
          <w:noProof/>
        </w:rPr>
        <w:t>Acțiunile specifice au fost deosebit de apreciate de părțile interesate pentru flexibilitatea lor și pentru furnizarea de finanțare suplimentară ad-hoc pentru priorități specifice. Evaluarea la jumătatea perioadei subliniază, de asemenea, că este important să se continue simplificarea furnizării de finanțare și să se explice mai bine autorităților de management modul în care cadrul de performanță poate contribui la gestionarea eficace a programelor, dincolo de raportarea pur formală impusă de regulament</w:t>
      </w:r>
      <w:bookmarkEnd w:id="7"/>
      <w:r w:rsidRPr="004A66CD">
        <w:rPr>
          <w:noProof/>
        </w:rPr>
        <w:t>.</w:t>
      </w:r>
    </w:p>
    <w:p w14:paraId="7AA2B0D5"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Consultarea cu părțile interesate</w:t>
      </w:r>
    </w:p>
    <w:p w14:paraId="4E66CF84" w14:textId="32471CB5" w:rsidR="00286E0D" w:rsidRPr="004A66CD" w:rsidRDefault="00286E0D" w:rsidP="001F3E4C">
      <w:pPr>
        <w:pBdr>
          <w:top w:val="nil"/>
          <w:left w:val="nil"/>
          <w:bottom w:val="nil"/>
          <w:right w:val="nil"/>
          <w:between w:val="nil"/>
          <w:bar w:val="nil"/>
        </w:pBdr>
        <w:rPr>
          <w:rFonts w:eastAsia="Arial Unicode MS"/>
          <w:noProof/>
        </w:rPr>
      </w:pPr>
      <w:r w:rsidRPr="004A66CD">
        <w:rPr>
          <w:noProof/>
        </w:rPr>
        <w:t xml:space="preserve">Comisia a colaborat activ cu părțile interesate în procesul derulării inițiativei, în special prin manifestări specifice și activități de consultare publică, </w:t>
      </w:r>
      <w:bookmarkStart w:id="8" w:name="_Hlk202112428"/>
      <w:r w:rsidRPr="004A66CD">
        <w:rPr>
          <w:noProof/>
        </w:rPr>
        <w:t xml:space="preserve">astfel cum se detaliază în capitolul corespunzător din expunerea de </w:t>
      </w:r>
      <w:bookmarkStart w:id="9" w:name="_Hlk201931196"/>
      <w:r w:rsidRPr="004A66CD">
        <w:rPr>
          <w:noProof/>
          <w:color w:val="000000" w:themeColor="text1"/>
        </w:rPr>
        <w:t>motive a propunerii de Regulament (UE) [...] de instituire a Fondului european pentru coeziune economică, socială și teritorială, agricultură și zone rurale, pescuit și afaceri maritime, prosperitate și securitate</w:t>
      </w:r>
      <w:bookmarkEnd w:id="8"/>
      <w:bookmarkEnd w:id="9"/>
      <w:r w:rsidRPr="004A66CD">
        <w:rPr>
          <w:noProof/>
        </w:rPr>
        <w:t xml:space="preserve">. </w:t>
      </w:r>
    </w:p>
    <w:p w14:paraId="5933E9C5"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Expertiza externă</w:t>
      </w:r>
    </w:p>
    <w:p w14:paraId="379C1D35" w14:textId="03883662" w:rsidR="00286E0D" w:rsidRPr="004A66CD" w:rsidRDefault="00286E0D" w:rsidP="00286E0D">
      <w:pPr>
        <w:pBdr>
          <w:top w:val="nil"/>
          <w:left w:val="nil"/>
          <w:bottom w:val="nil"/>
          <w:right w:val="nil"/>
          <w:between w:val="nil"/>
          <w:bar w:val="nil"/>
        </w:pBdr>
        <w:rPr>
          <w:rFonts w:eastAsia="Arial Unicode MS"/>
          <w:noProof/>
        </w:rPr>
      </w:pPr>
      <w:r w:rsidRPr="004A66CD">
        <w:rPr>
          <w:noProof/>
        </w:rPr>
        <w:t xml:space="preserve">Informații cu privire la utilizarea de către Comisie a expertizei externe sunt furnizate în capitolul corespunzător din expunerea de motive a </w:t>
      </w:r>
      <w:r w:rsidRPr="004A66CD">
        <w:rPr>
          <w:noProof/>
          <w:color w:val="000000" w:themeColor="text1"/>
        </w:rPr>
        <w:t>propunerii de Regulament (UE) [...] de instituire a Fondului european pentru coeziune economică, socială și teritorială, agricultură și zone rurale, pescuit și afaceri maritime, prosperitate și securitate.</w:t>
      </w:r>
    </w:p>
    <w:p w14:paraId="7B1950A5"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Evaluarea impactului</w:t>
      </w:r>
    </w:p>
    <w:p w14:paraId="1537B458" w14:textId="1B9AF564" w:rsidR="00286E0D" w:rsidRPr="004A66CD" w:rsidRDefault="00286E0D" w:rsidP="00286E0D">
      <w:pPr>
        <w:pBdr>
          <w:top w:val="nil"/>
          <w:left w:val="nil"/>
          <w:bottom w:val="nil"/>
          <w:right w:val="nil"/>
          <w:between w:val="nil"/>
          <w:bar w:val="nil"/>
        </w:pBdr>
        <w:rPr>
          <w:rFonts w:eastAsia="Arial Unicode MS"/>
          <w:noProof/>
        </w:rPr>
      </w:pPr>
      <w:bookmarkStart w:id="10" w:name="_Hlk201931214"/>
      <w:r w:rsidRPr="004A66CD">
        <w:rPr>
          <w:noProof/>
        </w:rPr>
        <w:t xml:space="preserve">Informații cu privire la evaluarea impactului efectuată de Comisie sunt furnizate în capitolul corespunzător din expunerea de motive a </w:t>
      </w:r>
      <w:r w:rsidRPr="004A66CD">
        <w:rPr>
          <w:noProof/>
          <w:color w:val="000000" w:themeColor="text1"/>
        </w:rPr>
        <w:t>propunerii de Regulament (UE) [...] de instituire a Fondului european pentru coeziune economică, socială și teritorială, agricultură și zone rurale, pescuit și afaceri maritime, prosperitate și securitate</w:t>
      </w:r>
      <w:bookmarkEnd w:id="10"/>
      <w:r w:rsidRPr="004A66CD">
        <w:rPr>
          <w:noProof/>
        </w:rPr>
        <w:t>.</w:t>
      </w:r>
    </w:p>
    <w:p w14:paraId="150E44C0"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Simplificarea</w:t>
      </w:r>
    </w:p>
    <w:p w14:paraId="5F7036BD" w14:textId="2B3428DA" w:rsidR="00286E0D" w:rsidRPr="004A66CD" w:rsidRDefault="00286E0D" w:rsidP="00286E0D">
      <w:pPr>
        <w:pBdr>
          <w:top w:val="nil"/>
          <w:left w:val="nil"/>
          <w:bottom w:val="nil"/>
          <w:right w:val="nil"/>
          <w:between w:val="nil"/>
          <w:bar w:val="nil"/>
        </w:pBdr>
        <w:rPr>
          <w:rFonts w:eastAsia="Calibri"/>
          <w:noProof/>
        </w:rPr>
      </w:pPr>
      <w:r w:rsidRPr="004A66CD">
        <w:rPr>
          <w:noProof/>
        </w:rPr>
        <w:t xml:space="preserve">Se preconizează că inițiativa va contribui la o reducere semnificativă a sarcinii administrative și a costurilor, precum și la îmbunătățirea eficacității punerii în aplicare a sprijinului din partea Uniunii; a se vedea, de asemenea, capitolul corespunzător din expunerea de motive a </w:t>
      </w:r>
      <w:r w:rsidRPr="004A66CD">
        <w:rPr>
          <w:noProof/>
          <w:color w:val="000000" w:themeColor="text1"/>
        </w:rPr>
        <w:t>propunerii de Regulament (UE) [...] de instituire a Fondului european pentru coeziune economică, socială și teritorială, agricultură și zone rurale, pescuit și afaceri maritime, prosperitate și securitate</w:t>
      </w:r>
      <w:r w:rsidRPr="004A66CD">
        <w:rPr>
          <w:noProof/>
        </w:rPr>
        <w:t>.</w:t>
      </w:r>
    </w:p>
    <w:p w14:paraId="6EF0EB51"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Drepturile fundamentale</w:t>
      </w:r>
    </w:p>
    <w:p w14:paraId="2B806987" w14:textId="4EBE1154" w:rsidR="00286E0D" w:rsidRPr="004A66CD" w:rsidRDefault="00286E0D" w:rsidP="00286E0D">
      <w:pPr>
        <w:pBdr>
          <w:top w:val="nil"/>
          <w:left w:val="nil"/>
          <w:bottom w:val="nil"/>
          <w:right w:val="nil"/>
          <w:between w:val="nil"/>
          <w:bar w:val="nil"/>
        </w:pBdr>
        <w:rPr>
          <w:rFonts w:eastAsia="Arial Unicode MS"/>
          <w:noProof/>
        </w:rPr>
      </w:pPr>
      <w:r w:rsidRPr="004A66CD">
        <w:rPr>
          <w:noProof/>
        </w:rPr>
        <w:t xml:space="preserve">Sprijinul Uniunii va fi pus în aplicare în conformitate cu Carta drepturilor fundamentale a Uniunii Europene și cu principiul statului de drept, astfel cum este prevăzut la articolul 2 litera (a) din Regulamentul (UE, Euratom) 2020/2092; a se vedea, de asemenea, secțiunea corespunzătoare din expunerea de motive care însoțește propunerea Comisiei </w:t>
      </w:r>
      <w:r w:rsidRPr="004A66CD">
        <w:rPr>
          <w:noProof/>
          <w:color w:val="000000" w:themeColor="text1"/>
        </w:rPr>
        <w:t>de Regulament (UE) [...] de instituire a Fondului european pentru coeziune economică, socială și teritorială, agricultură și zone rurale, pescuit și afaceri maritime, prosperitate și securitate.</w:t>
      </w:r>
    </w:p>
    <w:p w14:paraId="785D377B" w14:textId="77777777" w:rsidR="00286E0D" w:rsidRPr="004A66CD" w:rsidRDefault="00286E0D" w:rsidP="00286E0D">
      <w:pPr>
        <w:pStyle w:val="ManualHeading1"/>
        <w:rPr>
          <w:noProof/>
        </w:rPr>
      </w:pPr>
      <w:r w:rsidRPr="004A66CD">
        <w:rPr>
          <w:noProof/>
        </w:rPr>
        <w:t>4.</w:t>
      </w:r>
      <w:r w:rsidRPr="004A66CD">
        <w:rPr>
          <w:noProof/>
        </w:rPr>
        <w:tab/>
        <w:t>IMPLICAȚIILE BUGETARE</w:t>
      </w:r>
    </w:p>
    <w:p w14:paraId="3E5D695D" w14:textId="406E1912" w:rsidR="00401265" w:rsidRPr="004A66CD" w:rsidRDefault="00401265" w:rsidP="00401265">
      <w:pPr>
        <w:pBdr>
          <w:top w:val="nil"/>
          <w:left w:val="nil"/>
          <w:bottom w:val="nil"/>
          <w:right w:val="nil"/>
          <w:between w:val="nil"/>
          <w:bar w:val="nil"/>
        </w:pBdr>
        <w:rPr>
          <w:rFonts w:eastAsia="Arial Unicode MS"/>
          <w:noProof/>
          <w:color w:val="000000" w:themeColor="text1"/>
        </w:rPr>
      </w:pPr>
      <w:r w:rsidRPr="004A66CD">
        <w:rPr>
          <w:noProof/>
          <w:color w:val="000000" w:themeColor="text1"/>
        </w:rPr>
        <w:t xml:space="preserve">Pachetul financiar orientativ pentru punerea în aplicare a obiectivelor din cadrul sprijinului din partea Uniunii este stabilit la </w:t>
      </w:r>
      <w:r w:rsidRPr="004A66CD">
        <w:rPr>
          <w:noProof/>
        </w:rPr>
        <w:t>15 396 750 000</w:t>
      </w:r>
      <w:r w:rsidRPr="004A66CD">
        <w:rPr>
          <w:noProof/>
          <w:color w:val="000000" w:themeColor="text1"/>
        </w:rPr>
        <w:t> EUR pentru perioada 2028-2034, în prețuri curente. Acesta este pus în aplicare în conformitate cu normele orizontale pentru planurile de parteneriat național și regional prevăzute în Regulamentul (UE) [...] de instituire a Fondului european pentru coeziune economică, socială și teritorială, agricultură și zone rurale, pescuit și afaceri maritime, prosperitate și securitate.</w:t>
      </w:r>
    </w:p>
    <w:p w14:paraId="2B2668EA" w14:textId="42F468FB" w:rsidR="00286E0D" w:rsidRPr="004A66CD"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4A66CD" w:rsidRDefault="00286E0D" w:rsidP="00286E0D">
      <w:pPr>
        <w:pStyle w:val="ManualHeading1"/>
        <w:rPr>
          <w:noProof/>
        </w:rPr>
      </w:pPr>
      <w:r w:rsidRPr="004A66CD">
        <w:rPr>
          <w:noProof/>
        </w:rPr>
        <w:t>5.</w:t>
      </w:r>
      <w:r w:rsidRPr="004A66CD">
        <w:rPr>
          <w:noProof/>
        </w:rPr>
        <w:tab/>
        <w:t>ALTE ELEMENTE</w:t>
      </w:r>
    </w:p>
    <w:p w14:paraId="68F9A644"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Planurile de punere în aplicare și măsurile de monitorizare, evaluare și raportare</w:t>
      </w:r>
    </w:p>
    <w:p w14:paraId="4C6C6654" w14:textId="78D78654" w:rsidR="00286E0D" w:rsidRPr="004A66CD" w:rsidRDefault="00286E0D" w:rsidP="00B86814">
      <w:pPr>
        <w:pBdr>
          <w:top w:val="nil"/>
          <w:left w:val="nil"/>
          <w:bottom w:val="nil"/>
          <w:right w:val="nil"/>
          <w:between w:val="nil"/>
          <w:bar w:val="nil"/>
        </w:pBdr>
        <w:rPr>
          <w:rFonts w:eastAsia="Arial Unicode MS"/>
          <w:noProof/>
        </w:rPr>
      </w:pPr>
      <w:r w:rsidRPr="004A66CD">
        <w:rPr>
          <w:noProof/>
        </w:rPr>
        <w:t>Sprijinul acordat de Uniune în temeiul prezentei propuneri va fi pus în aplicare prin gestiune partajată de către statele membre și prin gestiune directă și indirectă de către Comisie. Punerea în aplicare a sprijinului din partea Uniunii va fi monitorizată prin intermediul cadrului de performanță aplicabil cadrului financiar multianual 2028-2034, care este prevăzut în propunerea de Regulament (UE) [...] de instituire a unui cadru de urmărire a cheltuielilor bugetare și de performanță, precum și în alte norme orizontale ale programelor și activităților Uniunii.</w:t>
      </w:r>
    </w:p>
    <w:p w14:paraId="759E865E" w14:textId="77777777" w:rsidR="00286E0D" w:rsidRPr="004A66CD" w:rsidRDefault="00286E0D" w:rsidP="00286E0D">
      <w:pPr>
        <w:pStyle w:val="ManualHeading2"/>
        <w:rPr>
          <w:rFonts w:eastAsia="Arial Unicode MS"/>
          <w:noProof/>
          <w:u w:color="000000"/>
          <w:bdr w:val="nil"/>
        </w:rPr>
      </w:pPr>
      <w:r w:rsidRPr="004A66CD">
        <w:rPr>
          <w:noProof/>
          <w:u w:color="000000"/>
          <w:bdr w:val="nil"/>
        </w:rPr>
        <w:t>•</w:t>
      </w:r>
      <w:r w:rsidRPr="004A66CD">
        <w:rPr>
          <w:noProof/>
        </w:rPr>
        <w:tab/>
      </w:r>
      <w:r w:rsidRPr="004A66CD">
        <w:rPr>
          <w:noProof/>
          <w:u w:color="000000"/>
          <w:bdr w:val="nil"/>
        </w:rPr>
        <w:t>Explicarea detaliată a dispozițiilor specifice ale propunerii</w:t>
      </w:r>
    </w:p>
    <w:p w14:paraId="5D95CCE4" w14:textId="6882B5D4" w:rsidR="002779C4" w:rsidRPr="004A66CD" w:rsidRDefault="00286E0D" w:rsidP="002779C4">
      <w:pPr>
        <w:pBdr>
          <w:top w:val="nil"/>
          <w:left w:val="nil"/>
          <w:bottom w:val="nil"/>
          <w:right w:val="nil"/>
          <w:between w:val="nil"/>
          <w:bar w:val="nil"/>
        </w:pBdr>
        <w:rPr>
          <w:rFonts w:eastAsia="Arial Unicode MS"/>
          <w:noProof/>
        </w:rPr>
      </w:pPr>
      <w:r w:rsidRPr="004A66CD">
        <w:rPr>
          <w:noProof/>
        </w:rPr>
        <w:t xml:space="preserve"> Propunerea de regulament definește la articolul 1 domeniul de aplicare al sprijinului Uniunii pentru gestionarea integrată a frontierelor UE și pentru politica UE în domeniul vizelor pentru perioada 1 ianuarie 2028-31 decembrie 2034. În acest scop, definițiile esențiale sunt prevăzute la articolul 2, iar obiectivele sunt definite la articolul 3, în concordanță cu sprijinul acordat de Uniune în temeiul normelor orizontale ale </w:t>
      </w:r>
      <w:r w:rsidRPr="004A66CD">
        <w:rPr>
          <w:noProof/>
          <w:color w:val="000000" w:themeColor="text1"/>
        </w:rPr>
        <w:t xml:space="preserve">Fondului european pentru coeziune economică, socială și teritorială, agricultură și zone rurale, pescuit și afaceri maritime, prosperitate și securitate, </w:t>
      </w:r>
      <w:r w:rsidRPr="004A66CD">
        <w:rPr>
          <w:noProof/>
        </w:rPr>
        <w:t>instituit prin Regulamentul (UE) [...].</w:t>
      </w:r>
      <w:r w:rsidR="00DF3A29">
        <w:rPr>
          <w:noProof/>
        </w:rPr>
        <w:t xml:space="preserve"> </w:t>
      </w:r>
    </w:p>
    <w:p w14:paraId="56E233B3" w14:textId="5502E0FB" w:rsidR="002779C4" w:rsidRPr="004A66CD" w:rsidRDefault="002779C4" w:rsidP="00286E0D">
      <w:pPr>
        <w:pBdr>
          <w:top w:val="nil"/>
          <w:left w:val="nil"/>
          <w:bottom w:val="nil"/>
          <w:right w:val="nil"/>
          <w:between w:val="nil"/>
          <w:bar w:val="nil"/>
        </w:pBdr>
        <w:rPr>
          <w:rFonts w:eastAsia="Arial Unicode MS"/>
          <w:noProof/>
        </w:rPr>
      </w:pPr>
      <w:r w:rsidRPr="004A66CD">
        <w:rPr>
          <w:noProof/>
        </w:rPr>
        <w:t xml:space="preserve">La articolul 4, propunerea stabilește dispoziții privind finanțarea sprijinului din partea Uniunii, la articolul 5 dispoziții pentru țările asociate spațiului Schengen și la articolul 6 dispoziții pentru punerea în aplicare a regimului special de tranzit în Lituania. </w:t>
      </w:r>
    </w:p>
    <w:p w14:paraId="3EE630F2" w14:textId="0FA4DF22" w:rsidR="00286E0D" w:rsidRPr="004A66CD" w:rsidRDefault="00286E0D" w:rsidP="00286E0D">
      <w:pPr>
        <w:pBdr>
          <w:top w:val="nil"/>
          <w:left w:val="nil"/>
          <w:bottom w:val="nil"/>
          <w:right w:val="nil"/>
          <w:between w:val="nil"/>
          <w:bar w:val="nil"/>
        </w:pBdr>
        <w:rPr>
          <w:rFonts w:eastAsia="Arial Unicode MS"/>
          <w:noProof/>
        </w:rPr>
      </w:pPr>
      <w:r w:rsidRPr="004A66CD">
        <w:rPr>
          <w:noProof/>
        </w:rPr>
        <w:t xml:space="preserve">Propunerea de regulament stabilește, de asemenea, la articolul 7, normele privind tratamentul bugetar al resurselor pentru costurile de funcționare ale Sistemului european de informații și de autorizare privind călătoriile în temeiul Regulamentului (UE) 2018/1240 și, la articolul 8, normele privind tratamentul bugetar al contribuțiilor financiare din partea statelor membre în scopul rezervei anuale de solidaritate instituite prin </w:t>
      </w:r>
      <w:bookmarkStart w:id="11" w:name="_Hlk201927609"/>
      <w:r w:rsidRPr="004A66CD">
        <w:rPr>
          <w:noProof/>
        </w:rPr>
        <w:t xml:space="preserve">Regulamentul (UE) 2024/1351 </w:t>
      </w:r>
      <w:bookmarkEnd w:id="11"/>
      <w:r w:rsidRPr="004A66CD">
        <w:rPr>
          <w:noProof/>
        </w:rPr>
        <w:t>al Parlamentului European și al Consiliului din 14 mai 2024</w:t>
      </w:r>
      <w:r w:rsidRPr="004A66CD">
        <w:rPr>
          <w:rStyle w:val="FootnoteReference"/>
          <w:noProof/>
        </w:rPr>
        <w:footnoteReference w:id="3"/>
      </w:r>
      <w:r w:rsidRPr="004A66CD">
        <w:rPr>
          <w:noProof/>
        </w:rPr>
        <w:t>.</w:t>
      </w:r>
    </w:p>
    <w:p w14:paraId="1FF0825E" w14:textId="72B484A4" w:rsidR="00286E0D" w:rsidRPr="004A66CD" w:rsidRDefault="00631DBC" w:rsidP="00286E0D">
      <w:pPr>
        <w:pBdr>
          <w:top w:val="nil"/>
          <w:left w:val="nil"/>
          <w:bottom w:val="nil"/>
          <w:right w:val="nil"/>
          <w:between w:val="nil"/>
          <w:bar w:val="nil"/>
        </w:pBdr>
        <w:rPr>
          <w:noProof/>
        </w:rPr>
      </w:pPr>
      <w:r w:rsidRPr="004A66CD">
        <w:rPr>
          <w:noProof/>
        </w:rPr>
        <w:t>Articolul 9 stabilește dispozițiile tranzitorii. Data de intrare în vigoare a propunerii de regulament este stabilită la articolul 10, care prevede că regulamentul va fi obligatoriu în toate elementele sale și se va aplica direct, în toate statele membre, în conformitate cu tratatele, de la 1 ianuarie 2028.</w:t>
      </w:r>
    </w:p>
    <w:p w14:paraId="68C60A71" w14:textId="77777777" w:rsidR="00286E0D" w:rsidRPr="004A66CD" w:rsidRDefault="00286E0D" w:rsidP="00286E0D">
      <w:pPr>
        <w:spacing w:before="0" w:after="200" w:line="276" w:lineRule="auto"/>
        <w:jc w:val="left"/>
        <w:rPr>
          <w:rFonts w:eastAsia="Arial Unicode MS"/>
          <w:noProof/>
          <w:color w:val="000000" w:themeColor="text1"/>
        </w:rPr>
      </w:pPr>
      <w:r w:rsidRPr="004A66CD">
        <w:rPr>
          <w:noProof/>
        </w:rPr>
        <w:br w:type="page"/>
      </w:r>
    </w:p>
    <w:p w14:paraId="567EEDE0" w14:textId="739F8221" w:rsidR="00835316" w:rsidRPr="004A66CD" w:rsidRDefault="004A66CD" w:rsidP="004A66CD">
      <w:pPr>
        <w:pStyle w:val="Rfrenceinterinstitutionnelle"/>
        <w:rPr>
          <w:noProof/>
        </w:rPr>
      </w:pPr>
      <w:r>
        <w:rPr>
          <w:noProof/>
        </w:rPr>
        <w:t>2025/0541 (COD)</w:t>
      </w:r>
    </w:p>
    <w:p w14:paraId="108B7708" w14:textId="24AD9AB0" w:rsidR="00286E0D" w:rsidRPr="004A66CD" w:rsidRDefault="004A66CD" w:rsidP="004A66CD">
      <w:pPr>
        <w:pStyle w:val="Statut"/>
        <w:rPr>
          <w:noProof/>
        </w:rPr>
      </w:pPr>
      <w:r w:rsidRPr="004A66CD">
        <w:rPr>
          <w:noProof/>
        </w:rPr>
        <w:t>Propunere de</w:t>
      </w:r>
    </w:p>
    <w:p w14:paraId="5162298C" w14:textId="22F81B7B" w:rsidR="00286E0D" w:rsidRPr="004A66CD" w:rsidRDefault="004A66CD" w:rsidP="004A66CD">
      <w:pPr>
        <w:pStyle w:val="Typedudocument"/>
        <w:rPr>
          <w:noProof/>
        </w:rPr>
      </w:pPr>
      <w:r w:rsidRPr="004A66CD">
        <w:rPr>
          <w:noProof/>
        </w:rPr>
        <w:t>REGULAMENT AL PARLAMENTULUI EUROPEAN ȘI AL CONSILIULUI</w:t>
      </w:r>
    </w:p>
    <w:p w14:paraId="3DE0D02D" w14:textId="5F85A5E0" w:rsidR="00286E0D" w:rsidRPr="004A66CD" w:rsidRDefault="004A66CD" w:rsidP="004A66CD">
      <w:pPr>
        <w:pStyle w:val="Titreobjet"/>
        <w:rPr>
          <w:noProof/>
        </w:rPr>
      </w:pPr>
      <w:r w:rsidRPr="004A66CD">
        <w:rPr>
          <w:noProof/>
        </w:rPr>
        <w:t>de instituire a sprijinului Uniunii pentru spațiul Schengen, pentru gestionarea europeană integrată a frontierelor și pentru politica comună în domeniul vizelor pentru perioada 2028-2034</w:t>
      </w:r>
    </w:p>
    <w:p w14:paraId="749F32E6" w14:textId="77777777" w:rsidR="00286E0D" w:rsidRPr="004A66CD" w:rsidRDefault="00286E0D" w:rsidP="00286E0D">
      <w:pPr>
        <w:pStyle w:val="Institutionquiagit"/>
        <w:rPr>
          <w:noProof/>
        </w:rPr>
      </w:pPr>
      <w:r w:rsidRPr="004A66CD">
        <w:rPr>
          <w:noProof/>
        </w:rPr>
        <w:t>PARLAMENTUL EUROPEAN ȘI CONSILIUL UNIUNII EUROPENE,</w:t>
      </w:r>
    </w:p>
    <w:p w14:paraId="1A70989E" w14:textId="77777777" w:rsidR="00286E0D" w:rsidRPr="004A66CD" w:rsidRDefault="00286E0D" w:rsidP="00286E0D">
      <w:pPr>
        <w:rPr>
          <w:noProof/>
        </w:rPr>
      </w:pPr>
      <w:r w:rsidRPr="004A66CD">
        <w:rPr>
          <w:noProof/>
        </w:rPr>
        <w:t>având în vedere Tratatul privind funcționarea Uniunii Europene, în special articolul 77 alineatul (2) și articolul 79 alineatul (2) literele (c) și (d),</w:t>
      </w:r>
    </w:p>
    <w:p w14:paraId="6C9BB100" w14:textId="77777777" w:rsidR="00286E0D" w:rsidRPr="004A66CD" w:rsidRDefault="00286E0D" w:rsidP="00286E0D">
      <w:pPr>
        <w:rPr>
          <w:noProof/>
        </w:rPr>
      </w:pPr>
      <w:r w:rsidRPr="004A66CD">
        <w:rPr>
          <w:noProof/>
        </w:rPr>
        <w:t>având în vedere propunerea Comisiei Europene,</w:t>
      </w:r>
    </w:p>
    <w:p w14:paraId="2BE23168" w14:textId="77777777" w:rsidR="00286E0D" w:rsidRPr="004A66CD" w:rsidRDefault="00286E0D" w:rsidP="00286E0D">
      <w:pPr>
        <w:rPr>
          <w:noProof/>
        </w:rPr>
      </w:pPr>
      <w:r w:rsidRPr="004A66CD">
        <w:rPr>
          <w:noProof/>
        </w:rPr>
        <w:t>după transmiterea proiectului de act legislativ către parlamentele naționale,</w:t>
      </w:r>
    </w:p>
    <w:p w14:paraId="1F8E258B" w14:textId="77777777" w:rsidR="00286E0D" w:rsidRPr="004A66CD" w:rsidRDefault="00286E0D" w:rsidP="00286E0D">
      <w:pPr>
        <w:rPr>
          <w:i/>
          <w:noProof/>
        </w:rPr>
      </w:pPr>
      <w:r w:rsidRPr="004A66CD">
        <w:rPr>
          <w:noProof/>
        </w:rPr>
        <w:t>având în vedere avizul Comitetului Economic și Social European</w:t>
      </w:r>
      <w:r w:rsidRPr="004A66CD">
        <w:rPr>
          <w:rStyle w:val="FootnoteReference"/>
          <w:noProof/>
        </w:rPr>
        <w:footnoteReference w:id="4"/>
      </w:r>
      <w:r w:rsidRPr="004A66CD">
        <w:rPr>
          <w:noProof/>
        </w:rPr>
        <w:t>,</w:t>
      </w:r>
    </w:p>
    <w:p w14:paraId="2B431944" w14:textId="77777777" w:rsidR="00286E0D" w:rsidRPr="004A66CD" w:rsidRDefault="00286E0D" w:rsidP="00286E0D">
      <w:pPr>
        <w:rPr>
          <w:noProof/>
        </w:rPr>
      </w:pPr>
      <w:r w:rsidRPr="004A66CD">
        <w:rPr>
          <w:noProof/>
        </w:rPr>
        <w:t>după consultarea Comitetului Regiunilor,</w:t>
      </w:r>
    </w:p>
    <w:p w14:paraId="482D2264" w14:textId="77777777" w:rsidR="00286E0D" w:rsidRPr="004A66CD" w:rsidRDefault="00286E0D" w:rsidP="00286E0D">
      <w:pPr>
        <w:rPr>
          <w:noProof/>
        </w:rPr>
      </w:pPr>
      <w:r w:rsidRPr="004A66CD">
        <w:rPr>
          <w:noProof/>
        </w:rPr>
        <w:t>hotărând în conformitate cu procedura legislativă ordinară</w:t>
      </w:r>
      <w:r w:rsidRPr="004A66CD">
        <w:rPr>
          <w:rStyle w:val="FootnoteReference"/>
          <w:noProof/>
        </w:rPr>
        <w:footnoteReference w:id="5"/>
      </w:r>
      <w:r w:rsidRPr="004A66CD">
        <w:rPr>
          <w:noProof/>
        </w:rPr>
        <w:t>,</w:t>
      </w:r>
    </w:p>
    <w:p w14:paraId="068D2442" w14:textId="77777777" w:rsidR="00286E0D" w:rsidRPr="004A66CD" w:rsidRDefault="00286E0D" w:rsidP="00286E0D">
      <w:pPr>
        <w:rPr>
          <w:noProof/>
        </w:rPr>
      </w:pPr>
      <w:r w:rsidRPr="004A66CD">
        <w:rPr>
          <w:noProof/>
        </w:rPr>
        <w:t>întrucât:</w:t>
      </w:r>
    </w:p>
    <w:p w14:paraId="6FB4A7DA" w14:textId="09E473A2" w:rsidR="00286E0D" w:rsidRPr="004A66CD" w:rsidRDefault="003347AC" w:rsidP="003347AC">
      <w:pPr>
        <w:pStyle w:val="ManualConsidrant"/>
        <w:rPr>
          <w:noProof/>
        </w:rPr>
      </w:pPr>
      <w:r w:rsidRPr="004A66CD">
        <w:rPr>
          <w:noProof/>
        </w:rPr>
        <w:t>(1)</w:t>
      </w:r>
      <w:r w:rsidRPr="004A66CD">
        <w:rPr>
          <w:noProof/>
        </w:rPr>
        <w:tab/>
        <w:t>Obiectivul Uniunii de a constitui un spațiu de libertate, securitate și justiție în conformitate cu articolul 67 alineatul (1) din Tratatul privind funcționarea Uniunii</w:t>
      </w:r>
      <w:r w:rsidR="000604D1">
        <w:rPr>
          <w:noProof/>
        </w:rPr>
        <w:t> </w:t>
      </w:r>
      <w:r w:rsidRPr="004A66CD">
        <w:rPr>
          <w:noProof/>
        </w:rPr>
        <w:t>Europene (TFUE) ar trebui să fie realizat prin furnizarea de sprijin din partea Uniunii pentru dezvoltarea politicii comune a Uniunii în domeniul controlului la frontierele externe, inclusiv pentru politica comună în domeniul vizelor în temeiul articolului 77 alineatul (2) litera (a) din TFUE.</w:t>
      </w:r>
    </w:p>
    <w:p w14:paraId="00985906" w14:textId="310E8C7D" w:rsidR="00286E0D" w:rsidRPr="004A66CD" w:rsidRDefault="003347AC" w:rsidP="003347AC">
      <w:pPr>
        <w:pStyle w:val="ManualConsidrant"/>
        <w:rPr>
          <w:noProof/>
          <w:szCs w:val="24"/>
        </w:rPr>
      </w:pPr>
      <w:bookmarkStart w:id="12" w:name="_Hlk201766894"/>
      <w:r w:rsidRPr="004A66CD">
        <w:rPr>
          <w:noProof/>
        </w:rPr>
        <w:t>(2)</w:t>
      </w:r>
      <w:r w:rsidRPr="004A66CD">
        <w:rPr>
          <w:noProof/>
        </w:rPr>
        <w:tab/>
        <w:t>Pentru a asigura funcționarea eficace și eficientă a spațiului Schengen fără frontiere interne, un cadru solid de guvernanță, o gestionare europeană integrată eficace a frontierelor, astfel cum este pusă în aplicare de poliția de frontieră și garda de coastă la nivel european, instituite prin Regulamentul (UE) 2019/1896 al Parlamentului</w:t>
      </w:r>
      <w:r w:rsidR="000604D1">
        <w:rPr>
          <w:noProof/>
        </w:rPr>
        <w:t> </w:t>
      </w:r>
      <w:r w:rsidRPr="004A66CD">
        <w:rPr>
          <w:noProof/>
        </w:rPr>
        <w:t>European și al Consiliului</w:t>
      </w:r>
      <w:r w:rsidRPr="004A66CD">
        <w:rPr>
          <w:rStyle w:val="FootnoteReference"/>
          <w:noProof/>
        </w:rPr>
        <w:footnoteReference w:id="6"/>
      </w:r>
      <w:r w:rsidRPr="004A66CD">
        <w:rPr>
          <w:noProof/>
        </w:rPr>
        <w:t>, precum și politica UE în domeniul vizelor sunt de o importanță capitală pentru a asigura integritatea și reziliența spațiului Schengen.</w:t>
      </w:r>
    </w:p>
    <w:bookmarkEnd w:id="12"/>
    <w:p w14:paraId="6F9BF459" w14:textId="1D0D3FD3" w:rsidR="00286E0D" w:rsidRPr="004A66CD" w:rsidRDefault="003347AC" w:rsidP="003347AC">
      <w:pPr>
        <w:pStyle w:val="ManualConsidrant"/>
        <w:rPr>
          <w:rFonts w:eastAsia="Arial Unicode MS"/>
          <w:noProof/>
          <w:szCs w:val="24"/>
        </w:rPr>
      </w:pPr>
      <w:r w:rsidRPr="004A66CD">
        <w:rPr>
          <w:noProof/>
        </w:rPr>
        <w:t>(3)</w:t>
      </w:r>
      <w:r w:rsidRPr="004A66CD">
        <w:rPr>
          <w:noProof/>
        </w:rPr>
        <w:tab/>
        <w:t xml:space="preserve">Prin urmare, Uniunea ar trebui să sprijine eforturile statelor membre de a proteja frontierele externe ale Uniunii, de a reduce trecerile ilegale ale frontierelor și deplasările neautorizate între statele membre, precum și de a moderniza și îmbunătăți eficiența generală a prelucrării cererilor de viză și de a preveni utilizarea abuzivă a regimului de vize al Uniunii. Acest sprijin din partea Uniunii urmează să fie acordat în temeiul normelor orizontale ale </w:t>
      </w:r>
      <w:r w:rsidRPr="004A66CD">
        <w:rPr>
          <w:noProof/>
          <w:color w:val="000000" w:themeColor="text1"/>
        </w:rPr>
        <w:t>Fondului european pentru coeziune economică, socială și teritorială, agricultură și zone rurale, pescuit și afaceri maritime, prosperitate și securitate</w:t>
      </w:r>
      <w:r w:rsidRPr="004A66CD">
        <w:rPr>
          <w:noProof/>
        </w:rPr>
        <w:t xml:space="preserve"> instituit prin Regulamentul (UE) [...].</w:t>
      </w:r>
    </w:p>
    <w:p w14:paraId="4CF9EAE0" w14:textId="55BF0AC6" w:rsidR="00BE09E6" w:rsidRPr="004A66CD" w:rsidRDefault="003347AC" w:rsidP="003347AC">
      <w:pPr>
        <w:pStyle w:val="ManualConsidrant"/>
        <w:rPr>
          <w:noProof/>
          <w:sz w:val="22"/>
        </w:rPr>
      </w:pPr>
      <w:r w:rsidRPr="004A66CD">
        <w:rPr>
          <w:noProof/>
        </w:rPr>
        <w:t>(4)</w:t>
      </w:r>
      <w:r w:rsidRPr="004A66CD">
        <w:rPr>
          <w:noProof/>
        </w:rPr>
        <w:tab/>
        <w:t xml:space="preserve">De asemenea, ar trebui să se acorde sprijin din partea Uniunii pentru punerea în aplicare, asigurarea respectării și dezvoltarea eficace a cadrului Schengen la nivel european și național, inclusiv prin consolidarea guvernanței Schengen la nivel național, care să cuprindă structurile de coordonare eficace și procesele strategice esențiale pentru buna funcționare a spațiului Schengen. </w:t>
      </w:r>
    </w:p>
    <w:p w14:paraId="2AB47203" w14:textId="1048D925" w:rsidR="00286E0D" w:rsidRPr="004A66CD" w:rsidRDefault="003347AC" w:rsidP="003347AC">
      <w:pPr>
        <w:pStyle w:val="ManualConsidrant"/>
        <w:rPr>
          <w:noProof/>
          <w:szCs w:val="24"/>
        </w:rPr>
      </w:pPr>
      <w:r w:rsidRPr="004A66CD">
        <w:rPr>
          <w:noProof/>
        </w:rPr>
        <w:t>(5)</w:t>
      </w:r>
      <w:r w:rsidRPr="004A66CD">
        <w:rPr>
          <w:noProof/>
        </w:rPr>
        <w:tab/>
        <w:t>Prezentul regulament stabilește obiectivele sprijinului Uniunii pentru buna funcționare a spațiului Schengen fără controale la frontierele interne, inclusiv pentru gestionarea europeană integrată a frontierelor, pentru sprijinirea funcționării spațiului Schengen, precum și pentru politica europeană în domeniul vizelor</w:t>
      </w:r>
      <w:bookmarkStart w:id="13" w:name="_Hlk201766871"/>
      <w:r w:rsidRPr="004A66CD">
        <w:rPr>
          <w:noProof/>
        </w:rPr>
        <w:t xml:space="preserve"> (denumit în continuare „sprijinul din partea Uniunii”). Statele membre ar trebui să se asigure că planurile lor de parteneriat național și regional abordează fiecare dintre obiectivele stabilite de prezentul regulament. </w:t>
      </w:r>
      <w:bookmarkEnd w:id="13"/>
    </w:p>
    <w:p w14:paraId="6786A060" w14:textId="0E5C918F" w:rsidR="007947CD" w:rsidRPr="004A66CD" w:rsidRDefault="003347AC" w:rsidP="003347AC">
      <w:pPr>
        <w:pStyle w:val="ManualConsidrant"/>
        <w:rPr>
          <w:noProof/>
          <w:szCs w:val="24"/>
        </w:rPr>
      </w:pPr>
      <w:r w:rsidRPr="004A66CD">
        <w:rPr>
          <w:noProof/>
        </w:rPr>
        <w:t>(6)</w:t>
      </w:r>
      <w:r w:rsidRPr="004A66CD">
        <w:rPr>
          <w:noProof/>
        </w:rPr>
        <w:tab/>
        <w:t>În conformitate cu actul de aderare a Lituaniei la UE, regulamentul abordează, de asemenea, necesitatea de a sprijini Lituania pentru gestionarea tranzitului de persoane între regiunea Kaliningrad și alte părți ale Federației Ruse.</w:t>
      </w:r>
    </w:p>
    <w:p w14:paraId="32C36110" w14:textId="1703F862" w:rsidR="00286E0D" w:rsidRPr="004A66CD" w:rsidRDefault="003347AC" w:rsidP="003347AC">
      <w:pPr>
        <w:pStyle w:val="ManualConsidrant"/>
        <w:rPr>
          <w:noProof/>
        </w:rPr>
      </w:pPr>
      <w:r w:rsidRPr="004A66CD">
        <w:rPr>
          <w:noProof/>
        </w:rPr>
        <w:t>(7)</w:t>
      </w:r>
      <w:r w:rsidRPr="004A66CD">
        <w:rPr>
          <w:noProof/>
        </w:rPr>
        <w:tab/>
        <w:t xml:space="preserve">Sumele care urmează să fie alocate fiecărui stat membru ar trebui stabilite de Comisie în conformitate cu metodologia de alocare prevăzută în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xml:space="preserve">, printr-o singură decizie de punere în aplicare. Decizia respectivă ar trebui să acopere, de asemenea, sumele prevăzute în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în Regulamentul (UE) [...] de instituire a sprijinului din partea Uniunii pentru azil, migrație și integrare și în Regulamentul (UE) [...] de instituire a sprijinului din partea Uniunii pentru securitatea internă.</w:t>
      </w:r>
    </w:p>
    <w:p w14:paraId="0C6F62A8" w14:textId="75D56802" w:rsidR="00286E0D" w:rsidRPr="004A66CD" w:rsidRDefault="003347AC" w:rsidP="003347AC">
      <w:pPr>
        <w:pStyle w:val="ManualConsidrant"/>
        <w:rPr>
          <w:noProof/>
        </w:rPr>
      </w:pPr>
      <w:r w:rsidRPr="004A66CD">
        <w:rPr>
          <w:noProof/>
        </w:rPr>
        <w:t>(8)</w:t>
      </w:r>
      <w:r w:rsidRPr="004A66CD">
        <w:rPr>
          <w:noProof/>
        </w:rPr>
        <w:tab/>
        <w:t>Sprijinul din partea Uniunii ar trebui să se bazeze pe rezultatele și investițiile din perioadele de programare anterioare: (i) Fondul pentru frontierele externe pentru perioada 2007-2013, instituit prin Decizia 574/2007/CE a Parlamentului European și a Consiliului</w:t>
      </w:r>
      <w:r w:rsidRPr="004A66CD">
        <w:rPr>
          <w:rStyle w:val="FootnoteReference"/>
          <w:noProof/>
        </w:rPr>
        <w:footnoteReference w:id="7"/>
      </w:r>
      <w:r w:rsidRPr="004A66CD">
        <w:rPr>
          <w:noProof/>
        </w:rPr>
        <w:t>; (ii)</w:t>
      </w:r>
      <w:r w:rsidRPr="004A66CD">
        <w:rPr>
          <w:rStyle w:val="FootnoteReference"/>
          <w:noProof/>
        </w:rPr>
        <w:t xml:space="preserve"> </w:t>
      </w:r>
      <w:r w:rsidRPr="004A66CD">
        <w:rPr>
          <w:noProof/>
        </w:rPr>
        <w:t>instrumentul pentru frontiere externe și vize, ca parte a Fondului pentru securitate internă pentru perioada 2014-2020, instituit prin Regulamentul (UE) nr. 515/2014 al Parlamentului European și al Consiliului</w:t>
      </w:r>
      <w:r w:rsidRPr="004A66CD">
        <w:rPr>
          <w:rStyle w:val="FootnoteReference"/>
          <w:noProof/>
        </w:rPr>
        <w:footnoteReference w:id="8"/>
      </w:r>
      <w:r w:rsidRPr="004A66CD">
        <w:rPr>
          <w:noProof/>
        </w:rPr>
        <w:t>; și (iii) instrumentul de sprijin financiar pentru gestionarea frontierelor și politica de vize, ca parte a Fondului de management integrat al frontierelor pentru perioada 2021-2027, instituit prin Regulamentul (UE) 2021/1148 al Parlamentului European și al Consiliului</w:t>
      </w:r>
      <w:r w:rsidRPr="004A66CD">
        <w:rPr>
          <w:rStyle w:val="FootnoteReference"/>
          <w:noProof/>
          <w:szCs w:val="24"/>
        </w:rPr>
        <w:footnoteReference w:id="9"/>
      </w:r>
      <w:r w:rsidRPr="004A66CD">
        <w:rPr>
          <w:noProof/>
        </w:rPr>
        <w:t xml:space="preserve">. </w:t>
      </w:r>
    </w:p>
    <w:p w14:paraId="28287138" w14:textId="0947095F" w:rsidR="00B9223C" w:rsidRPr="004A66CD" w:rsidRDefault="003347AC" w:rsidP="003347AC">
      <w:pPr>
        <w:pStyle w:val="ManualConsidrant"/>
        <w:rPr>
          <w:rFonts w:eastAsia="Arial Unicode MS"/>
          <w:noProof/>
          <w:szCs w:val="24"/>
        </w:rPr>
      </w:pPr>
      <w:r w:rsidRPr="004A66CD">
        <w:rPr>
          <w:noProof/>
        </w:rPr>
        <w:t>(9)</w:t>
      </w:r>
      <w:r w:rsidRPr="004A66CD">
        <w:rPr>
          <w:noProof/>
        </w:rPr>
        <w:tab/>
        <w:t>În contextul unui peisaj mondial în schimbare și a unei instabilități din ce în ce mai mari, Uniunea și statele sale membre trebuie să își combine resursele pentru a proteja în mod eficace frontierele externe ale Uniunii, inclusiv pentru a aborda migrația ilegală, introducerea ilegală de migranți și traficul de persoane, și să răspundă acțiunilor actorilor statali care creează și facilitează în mod artificial migrația ilegală, care instrumentalizează fluxurile de migrație în scopuri politice și utilizează tactici de război hibrid, cum ar fi utilizarea migrației ca armă</w:t>
      </w:r>
      <w:r w:rsidRPr="004A66CD">
        <w:rPr>
          <w:rStyle w:val="FootnoteReference"/>
          <w:noProof/>
        </w:rPr>
        <w:footnoteReference w:id="10"/>
      </w:r>
      <w:r w:rsidRPr="004A66CD">
        <w:rPr>
          <w:noProof/>
        </w:rPr>
        <w:t>, pentru a destabiliza Uniunea</w:t>
      </w:r>
      <w:r w:rsidR="000604D1">
        <w:rPr>
          <w:noProof/>
        </w:rPr>
        <w:t> </w:t>
      </w:r>
      <w:r w:rsidRPr="004A66CD">
        <w:rPr>
          <w:noProof/>
        </w:rPr>
        <w:t>Europeană și statele sale membre. În interesul solidarității în spațiul Schengen în ansamblu și în spiritul responsabilității comune pentru protecția frontierelor externe ale Uniunii, planul de parteneriat național și regional al statului membru ar trebui să abordeze în mod adecvat provocările identificate, în special în contextul strategiei europene de gestionare integrată a frontierelor, al strategiei privind politica europeană în domeniul vizelor și al noii arhitecturi informatice Schengen care se bazează pe sistemele informatice (IT) la scară largă utilizate pentru gestionarea frontierelor externe și a securității, precum și pe interoperabilitatea acestor sisteme. Mai mult, în sprijinul misiunii de control la frontiere, ar trebui avută în vedere implementarea de tehnologii și soluții digitale.</w:t>
      </w:r>
      <w:r w:rsidR="00DF3A29">
        <w:rPr>
          <w:noProof/>
        </w:rPr>
        <w:t xml:space="preserve"> </w:t>
      </w:r>
    </w:p>
    <w:p w14:paraId="748664DD" w14:textId="5916F529" w:rsidR="00FA5BBE" w:rsidRPr="004A66CD" w:rsidRDefault="003347AC" w:rsidP="003347AC">
      <w:pPr>
        <w:pStyle w:val="ManualConsidrant"/>
        <w:rPr>
          <w:noProof/>
        </w:rPr>
      </w:pPr>
      <w:r w:rsidRPr="004A66CD">
        <w:rPr>
          <w:noProof/>
        </w:rPr>
        <w:t>(10)</w:t>
      </w:r>
      <w:r w:rsidRPr="004A66CD">
        <w:rPr>
          <w:noProof/>
        </w:rPr>
        <w:tab/>
        <w:t>Sprijinul din partea Uniunii ar trebui să contribuie la asigurarea consecvenței, coerenței, sinergiilor și complementarităților dintre politicile interne și cele externe ale Uniunii. Este necesară o coerență sporită între politicile în materie de migrație, azil, returnare și politicile externe și este important să se asigure că asistența externă a Uniunii și sprijinul acordat de Uniune în temeiul prezentului regulament contribuie la o abordare coordonată, holistică și structurată a migrației, maximizând sinergiile și sporind efectul de levier. Sprijinul acordat de Uniune în temeiul prezentului regulament poate include, de asemenea, sprijin pentru resursele relevante ale delegațiilor UE în cazuri justificate în mod corespunzător și poate fi coordonat între statele membre și Comisie în etapele de programare și punere în aplicare.</w:t>
      </w:r>
    </w:p>
    <w:p w14:paraId="46F16C80" w14:textId="2DCE2966" w:rsidR="00DC6F83" w:rsidRPr="004A66CD" w:rsidRDefault="003347AC" w:rsidP="003347AC">
      <w:pPr>
        <w:pStyle w:val="ManualConsidrant"/>
        <w:rPr>
          <w:noProof/>
        </w:rPr>
      </w:pPr>
      <w:r w:rsidRPr="004A66CD">
        <w:rPr>
          <w:noProof/>
        </w:rPr>
        <w:t>(11)</w:t>
      </w:r>
      <w:r w:rsidRPr="004A66CD">
        <w:rPr>
          <w:noProof/>
        </w:rPr>
        <w:tab/>
        <w:t>Europa trebuie să își protejeze interesele de securitate împotriva furnizorilor care ar putea reprezenta un risc persistent în materie de securitate din cauza interferențelor potențiale din partea țărilor terțe, precum și împotriva practicilor lor în materie de securitate cibernetică. Prin urmare, este necesar să se reducă riscul de dependență persistentă de furnizori cu grad ridicat de risc pe piața internă, deoarece aceștia ar putea avea un impact negativ grav asupra securității utilizatorilor, a întreprinderilor și a autorităților din întreaga UE și asupra infrastructurii critice a UE în ceea ce privește integritatea datelor și a serviciilor, precum și disponibilitatea serviciului. Această excludere ar trebui să se bazeze pe o evaluare proporțională a riscurilor și pe măsuri de atenuare asociate, astfel cum sunt definite în politicile și în legislația Uniunii.</w:t>
      </w:r>
    </w:p>
    <w:p w14:paraId="36DC56FF" w14:textId="4044E33B" w:rsidR="00286E0D" w:rsidRPr="004A66CD" w:rsidRDefault="003347AC" w:rsidP="003347AC">
      <w:pPr>
        <w:pStyle w:val="ManualConsidrant"/>
        <w:rPr>
          <w:rFonts w:eastAsia="Arial Unicode MS"/>
          <w:noProof/>
          <w:szCs w:val="24"/>
        </w:rPr>
      </w:pPr>
      <w:r w:rsidRPr="004A66CD">
        <w:rPr>
          <w:noProof/>
        </w:rPr>
        <w:t>(12)</w:t>
      </w:r>
      <w:r w:rsidRPr="004A66CD">
        <w:rPr>
          <w:noProof/>
        </w:rPr>
        <w:tab/>
        <w:t xml:space="preserve">Întrucât provocările în materie de gestionare a frontierelor și de politică în domeniul vizelor sunt în continuă evoluție, este necesar să se adapteze alocarea sprijinului din partea Uniunii la modificările priorităților în materie de gestionare a frontierelor externe și de politică în domeniul vizelor, inclusiv la schimbările care rezultă din presiunea sporită la frontieră, precum și la necesitatea de a direcționa finanțarea către prioritățile cu cea mai mare valoare adăugată la nivelul Uniunii. Pentru a răspunde nevoilor urgente și schimbărilor în materie de politici și priorități ale Uniunii și pentru a direcționa finanțarea către acțiuni cu un nivel ridicat de valoare adăugată pentru Uniune, o parte din sprijinul din partea Uniunii ar trebui să fie pusă în aplicare prin gestiune directă, partajată și indirectă prin intermediul mecanismului UE instituit în temeiul Regulamentului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Mecanismul UE oferă flexibilitate în ceea ce privește gestionarea sprijinului din partea Uniunii și, în cazul gestiunii partajate, acesta ar trebui pus în aplicare prin intermediul planurilor de parteneriat național și regional ale statelor membre.</w:t>
      </w:r>
    </w:p>
    <w:p w14:paraId="3E024F13" w14:textId="33F10476" w:rsidR="00286E0D" w:rsidRPr="004A66CD" w:rsidRDefault="003347AC" w:rsidP="003347AC">
      <w:pPr>
        <w:pStyle w:val="ManualConsidrant"/>
        <w:rPr>
          <w:rFonts w:eastAsia="Arial Unicode MS"/>
          <w:noProof/>
          <w:szCs w:val="24"/>
        </w:rPr>
      </w:pPr>
      <w:r w:rsidRPr="004A66CD">
        <w:rPr>
          <w:noProof/>
        </w:rPr>
        <w:t>(13)</w:t>
      </w:r>
      <w:r w:rsidRPr="004A66CD">
        <w:rPr>
          <w:noProof/>
        </w:rPr>
        <w:tab/>
        <w:t>Comisia și statele membre ar trebui să se asigure că cunoștințele și experiența organelor, oficiilor și agențiilor Uniunii sunt luate în considerare la punerea în aplicare a măsurilor sau la abordarea provocărilor legate de gestionarea migrației, controlul și gestionarea frontierelor și securitatea internă. După caz, Comisia ar trebui, de asemenea, să poată implica organele, oficiile și agențiile relevante ale Uniunii în activități menite să asigure că măsurile realizate prin sprijinul din partea Uniunii respectă acquis-ul relevant al Uniunii și prioritățile convenite ale Uniunii.</w:t>
      </w:r>
    </w:p>
    <w:p w14:paraId="79A06EF4" w14:textId="6FE4B497" w:rsidR="00286E0D" w:rsidRPr="004A66CD" w:rsidRDefault="003347AC" w:rsidP="003347AC">
      <w:pPr>
        <w:pStyle w:val="ManualConsidrant"/>
        <w:rPr>
          <w:noProof/>
        </w:rPr>
      </w:pPr>
      <w:r w:rsidRPr="004A66CD">
        <w:rPr>
          <w:noProof/>
        </w:rPr>
        <w:t>(14)</w:t>
      </w:r>
      <w:r w:rsidRPr="004A66CD">
        <w:rPr>
          <w:noProof/>
        </w:rPr>
        <w:tab/>
        <w:t xml:space="preserve">Sprijinul din partea Uniunii ar trebui să sprijine măsurile legate de controlul frontierelor externe pe teritoriul țărilor care aplică acquis-ul Schengen, ca parte a punerii în aplicare a gestionării europene integrate a frontierelor, care ar urma să consolideze funcționarea generală a spațiului Schengen. Pentru a preciza natura și modurile de participare la sprijinul din partea Uniunii a țărilor asociate la punerea în aplicare, asigurarea respectării și dezvoltarea acquis-ului Schengen, ar trebui încheiate acorduri suplimentare între Uniune și aceste țări în temeiul dispozițiilor relevante ale acordurilor de asociere respective dintre aceste țări și Uniune. </w:t>
      </w:r>
    </w:p>
    <w:p w14:paraId="1ACD8BCA" w14:textId="7A46241F" w:rsidR="00286E0D" w:rsidRPr="004A66CD" w:rsidRDefault="003347AC" w:rsidP="003347AC">
      <w:pPr>
        <w:pStyle w:val="ManualConsidrant"/>
        <w:rPr>
          <w:noProof/>
        </w:rPr>
      </w:pPr>
      <w:r w:rsidRPr="004A66CD">
        <w:rPr>
          <w:noProof/>
        </w:rPr>
        <w:t>(15)</w:t>
      </w:r>
      <w:r w:rsidRPr="004A66CD">
        <w:rPr>
          <w:noProof/>
        </w:rPr>
        <w:tab/>
        <w:t>Sprijinul din partea Uniunii ar trebui să contribuie în continuare la punerea în aplicare, dezvoltarea și guvernanța spațiului Schengen, pentru a promova un spațiu fără controale la frontierele interne. Acesta ar trebui să continue să susțină măsurile legate de controlul frontierelor externe pe teritoriul țărilor care aplică acquis-ul Schengen, ca parte a punerii în aplicare a gestionării europene integrate a frontierelor, care ar urma să consolideze funcționarea generală a spațiului Schengen.</w:t>
      </w:r>
    </w:p>
    <w:p w14:paraId="5A7895AE" w14:textId="175385F1" w:rsidR="00286E0D" w:rsidRPr="004A66CD" w:rsidRDefault="003347AC" w:rsidP="003347AC">
      <w:pPr>
        <w:pStyle w:val="ManualConsidrant"/>
        <w:rPr>
          <w:noProof/>
        </w:rPr>
      </w:pPr>
      <w:r w:rsidRPr="004A66CD">
        <w:rPr>
          <w:noProof/>
        </w:rPr>
        <w:t>(16)</w:t>
      </w:r>
      <w:r w:rsidRPr="004A66CD">
        <w:rPr>
          <w:noProof/>
        </w:rPr>
        <w:tab/>
        <w:t>Sprijinul din partea Uniunii ar trebui să contribuie la modernizarea și îmbunătățirea eficienței prelucrării cererilor de viză în ceea ce privește detectarea și evaluarea riscurilor în materie de securitate și migrație neregulamentară, asigurând punerea în aplicare eficace a Codului de vize. În special, sprijinul din partea Uniunii ar trebui să contribuie la digitalizarea prelucrării cererilor de viză, cu scopul de a oferi proceduri de acordare a vizelor rapide, sigure și favorabile clienților, atât în beneficiul solicitanților de viză, cât și al consulatelor. Sprijinul din partea Uniunii ar trebui, de asemenea, să servească la îmbunătățirea serviciilor oferite solicitanților de viză, inclusiv printr-o mai bună acoperire a serviciilor consulare în întreaga lume.</w:t>
      </w:r>
    </w:p>
    <w:p w14:paraId="5F13111F" w14:textId="7964490E" w:rsidR="00286E0D" w:rsidRPr="004A66CD" w:rsidRDefault="003347AC" w:rsidP="003347AC">
      <w:pPr>
        <w:pStyle w:val="ManualConsidrant"/>
        <w:rPr>
          <w:noProof/>
        </w:rPr>
      </w:pPr>
      <w:bookmarkStart w:id="14" w:name="_Hlk201962914"/>
      <w:r w:rsidRPr="004A66CD">
        <w:rPr>
          <w:noProof/>
        </w:rPr>
        <w:t>(17)</w:t>
      </w:r>
      <w:r w:rsidRPr="004A66CD">
        <w:rPr>
          <w:noProof/>
        </w:rPr>
        <w:tab/>
        <w:t>Statele membre se pot baza pe principiul parteneriatului în punerea în aplicare a sprijinului din partea Uniunii, pentru a asigura continuitatea abordării în materie de guvernanță.</w:t>
      </w:r>
      <w:bookmarkEnd w:id="14"/>
    </w:p>
    <w:p w14:paraId="7984B517" w14:textId="01857EF6" w:rsidR="00286E0D" w:rsidRPr="004A66CD" w:rsidRDefault="003347AC" w:rsidP="003347AC">
      <w:pPr>
        <w:pStyle w:val="ManualConsidrant"/>
        <w:rPr>
          <w:noProof/>
        </w:rPr>
      </w:pPr>
      <w:r w:rsidRPr="004A66CD">
        <w:rPr>
          <w:noProof/>
        </w:rPr>
        <w:t>(18)</w:t>
      </w:r>
      <w:r w:rsidRPr="004A66CD">
        <w:rPr>
          <w:noProof/>
        </w:rPr>
        <w:tab/>
        <w:t>În temeiul articolului 86 din Regulamentul (UE) 2018/1240 al Parlamentului European și al Consiliului</w:t>
      </w:r>
      <w:r w:rsidRPr="004A66CD">
        <w:rPr>
          <w:rStyle w:val="FootnoteReference"/>
          <w:noProof/>
          <w:szCs w:val="24"/>
        </w:rPr>
        <w:footnoteReference w:id="11"/>
      </w:r>
      <w:r w:rsidRPr="004A66CD">
        <w:rPr>
          <w:noProof/>
        </w:rPr>
        <w:t xml:space="preserve">, costurile de funcționare ale Sistemului european de informații și de autorizare privind călătoriile (ETIAS) ar trebui să fie acoperite din veniturile generate de taxele aferente autorizațiilor de călătorie. Prezentul regulament ar trebui să stabilească norme care să asigure punerea la dispoziția statelor membre a cotei care le revine din taxele ETIAS pentru a-și acoperi costurile de funcționare relevante, </w:t>
      </w:r>
      <w:bookmarkStart w:id="15" w:name="_Hlk202881236"/>
      <w:r w:rsidRPr="004A66CD">
        <w:rPr>
          <w:noProof/>
        </w:rPr>
        <w:t>inclusiv modalitățile aplicabile în cazurile în care costurile lor totale de funcționare dintr-un anumit an depășesc veniturile disponibile ale ETIAS</w:t>
      </w:r>
      <w:bookmarkEnd w:id="15"/>
      <w:r w:rsidRPr="004A66CD">
        <w:rPr>
          <w:noProof/>
        </w:rPr>
        <w:t xml:space="preserve">. </w:t>
      </w:r>
    </w:p>
    <w:p w14:paraId="73242398" w14:textId="7DC173D4" w:rsidR="00286E0D" w:rsidRPr="004A66CD" w:rsidRDefault="003347AC" w:rsidP="003347AC">
      <w:pPr>
        <w:pStyle w:val="ManualConsidrant"/>
        <w:rPr>
          <w:noProof/>
        </w:rPr>
      </w:pPr>
      <w:r w:rsidRPr="004A66CD">
        <w:rPr>
          <w:noProof/>
        </w:rPr>
        <w:t>(19)</w:t>
      </w:r>
      <w:r w:rsidRPr="004A66CD">
        <w:rPr>
          <w:noProof/>
        </w:rPr>
        <w:tab/>
        <w:t>Având în vedere că statele membre supuse unei presiuni exercitate de migrație ar trebui să se poată baza pe sprijinul Uniunii, prezentul regulament ar trebui să stabilească normele care să asigure punerea la dispoziția statelor membre beneficiare a cotei respective din contribuțiile financiare incluse în rezerva anuală de solidaritate instituită prin Regulamentul (UE) 2024/1351</w:t>
      </w:r>
      <w:r w:rsidRPr="004A66CD">
        <w:rPr>
          <w:rStyle w:val="FootnoteReference"/>
          <w:rFonts w:eastAsia="Arial Unicode MS"/>
          <w:noProof/>
          <w:szCs w:val="24"/>
          <w:lang w:eastAsia="en-IE"/>
        </w:rPr>
        <w:footnoteReference w:id="12"/>
      </w:r>
      <w:r w:rsidRPr="004A66CD">
        <w:rPr>
          <w:noProof/>
        </w:rPr>
        <w:t>.</w:t>
      </w:r>
    </w:p>
    <w:p w14:paraId="4C768251" w14:textId="3AE1A69C" w:rsidR="006866F6" w:rsidRPr="004A66CD" w:rsidRDefault="003347AC" w:rsidP="003347AC">
      <w:pPr>
        <w:pStyle w:val="ManualConsidrant"/>
        <w:rPr>
          <w:noProof/>
        </w:rPr>
      </w:pPr>
      <w:bookmarkStart w:id="16" w:name="_Hlk202881260"/>
      <w:r w:rsidRPr="004A66CD">
        <w:rPr>
          <w:noProof/>
        </w:rPr>
        <w:t>(20)</w:t>
      </w:r>
      <w:r w:rsidRPr="004A66CD">
        <w:rPr>
          <w:noProof/>
        </w:rPr>
        <w:tab/>
        <w:t>Toate acțiunile susținute în conformitate cu sprijinul acordat de Uniune în temeiul prezentului regulament ar trebui să fie puse în aplicare cu respectarea drepturilor și principiilor consacrate în acquis-ul Uniunii și în Carta drepturilor fundamentale a Uniunii Europene și ar trebui să fie în concordanță cu obligațiile internaționale ale Uniunii și ale statelor membre care decurg din instrumentele internaționale la care acestea sunt părți.</w:t>
      </w:r>
    </w:p>
    <w:bookmarkEnd w:id="16"/>
    <w:p w14:paraId="79724041" w14:textId="1336DDA4" w:rsidR="00286E0D" w:rsidRPr="004A66CD" w:rsidRDefault="003347AC" w:rsidP="003347AC">
      <w:pPr>
        <w:pStyle w:val="ManualConsidrant"/>
        <w:rPr>
          <w:noProof/>
        </w:rPr>
      </w:pPr>
      <w:r w:rsidRPr="004A66CD">
        <w:rPr>
          <w:noProof/>
        </w:rPr>
        <w:t>(21)</w:t>
      </w:r>
      <w:r w:rsidRPr="004A66CD">
        <w:rPr>
          <w:noProof/>
        </w:rPr>
        <w:tab/>
        <w:t>În conformitate cu Protocolul nr. 5 la Actul de aderare din 2003 privind tranzitul terestru de persoane între regiunea Kaliningrad și celelalte părți ale Federației Ruse</w:t>
      </w:r>
      <w:r w:rsidRPr="004A66CD">
        <w:rPr>
          <w:rStyle w:val="FootnoteReference"/>
          <w:noProof/>
          <w:szCs w:val="24"/>
        </w:rPr>
        <w:footnoteReference w:id="13"/>
      </w:r>
      <w:r w:rsidRPr="004A66CD">
        <w:rPr>
          <w:noProof/>
        </w:rPr>
        <w:t>, Uniunea ajută Lituania să gestioneze tranzitul de persoane între regiunea Kaliningrad și celelalte părți ale Federației Ruse și suportă, în special, costurile suplimentare ale punerii în aplicare a dispozițiilor speciale din acquis, prevăzute în acest sens. Prin urmare, prezentul regulament ar trebui să stabilească normele privind sprijinul financiar pentru regimul special de tranzit prevăzut de Regulamentul (CE) nr. 693/2003 al Consiliului</w:t>
      </w:r>
      <w:r w:rsidRPr="004A66CD">
        <w:rPr>
          <w:rStyle w:val="FootnoteReference"/>
          <w:noProof/>
          <w:szCs w:val="24"/>
        </w:rPr>
        <w:footnoteReference w:id="14"/>
      </w:r>
      <w:r w:rsidRPr="004A66CD">
        <w:rPr>
          <w:noProof/>
        </w:rPr>
        <w:t>.</w:t>
      </w:r>
    </w:p>
    <w:p w14:paraId="2F17EDDB" w14:textId="10F49CFA" w:rsidR="00286E0D" w:rsidRPr="004A66CD" w:rsidRDefault="003347AC" w:rsidP="003347AC">
      <w:pPr>
        <w:pStyle w:val="ManualConsidrant"/>
        <w:rPr>
          <w:noProof/>
        </w:rPr>
      </w:pPr>
      <w:r w:rsidRPr="004A66CD">
        <w:rPr>
          <w:noProof/>
        </w:rPr>
        <w:t>(22)</w:t>
      </w:r>
      <w:r w:rsidRPr="004A66CD">
        <w:rPr>
          <w:noProof/>
        </w:rPr>
        <w:tab/>
        <w:t>În ceea ce privește Islanda și Norvegia, prezentul regulament constituie o dezvoltare a dispozițiilor acquis-ului Schengen în înțelesul Acordului încheiat între Consiliul Uniunii Europene și Islanda și Regatul Norvegiei privind asocierea acestora din urmă la implementarea, aplicarea și dezvoltarea acquis-ului Schengen</w:t>
      </w:r>
      <w:r w:rsidRPr="004A66CD">
        <w:rPr>
          <w:rStyle w:val="FootnoteReference"/>
          <w:noProof/>
          <w:szCs w:val="24"/>
        </w:rPr>
        <w:footnoteReference w:id="15"/>
      </w:r>
      <w:r w:rsidRPr="004A66CD">
        <w:rPr>
          <w:noProof/>
        </w:rPr>
        <w:t>, care se află sub incidența articolului 1 punctele A și B din Decizia 1999/437/CE a Consiliului</w:t>
      </w:r>
      <w:r w:rsidRPr="004A66CD">
        <w:rPr>
          <w:rStyle w:val="FootnoteReference"/>
          <w:noProof/>
          <w:szCs w:val="24"/>
        </w:rPr>
        <w:footnoteReference w:id="16"/>
      </w:r>
      <w:r w:rsidRPr="004A66CD">
        <w:rPr>
          <w:noProof/>
        </w:rPr>
        <w:t>.</w:t>
      </w:r>
    </w:p>
    <w:p w14:paraId="440CC84B" w14:textId="600DEAC6" w:rsidR="00286E0D" w:rsidRPr="004A66CD" w:rsidRDefault="003347AC" w:rsidP="003347AC">
      <w:pPr>
        <w:pStyle w:val="ManualConsidrant"/>
        <w:rPr>
          <w:noProof/>
        </w:rPr>
      </w:pPr>
      <w:r w:rsidRPr="004A66CD">
        <w:rPr>
          <w:noProof/>
        </w:rPr>
        <w:t>(23)</w:t>
      </w:r>
      <w:r w:rsidRPr="004A66CD">
        <w:rPr>
          <w:noProof/>
        </w:rPr>
        <w:tab/>
        <w:t>În ceea ce privește Elveția, prezentul regulament constituie o dezvoltare a dispozițiilor acquis-ului Schengen în înțelesul Acordului între Uniunea Europeană, Comunitatea Europeană și Confederația Elvețiană cu privire la asocierea Confederației Elvețiene la punerea în aplicare, respectarea și dezvoltarea acquis-ului Schengen</w:t>
      </w:r>
      <w:r w:rsidRPr="004A66CD">
        <w:rPr>
          <w:rStyle w:val="FootnoteReference"/>
          <w:noProof/>
          <w:szCs w:val="24"/>
        </w:rPr>
        <w:footnoteReference w:id="17"/>
      </w:r>
      <w:r w:rsidRPr="004A66CD">
        <w:rPr>
          <w:noProof/>
        </w:rPr>
        <w:t>, care se află sub incidența articolului 1 punctele A și B din Decizia 1999/437/CE, coroborat cu articolul 3 din Decizia 2008/146/CE a Consiliului</w:t>
      </w:r>
      <w:r w:rsidRPr="004A66CD">
        <w:rPr>
          <w:rStyle w:val="FootnoteReference"/>
          <w:noProof/>
          <w:szCs w:val="24"/>
        </w:rPr>
        <w:footnoteReference w:id="18"/>
      </w:r>
      <w:r w:rsidRPr="004A66CD">
        <w:rPr>
          <w:noProof/>
        </w:rPr>
        <w:t>.</w:t>
      </w:r>
    </w:p>
    <w:p w14:paraId="396CC801" w14:textId="769CCB63" w:rsidR="00286E0D" w:rsidRPr="004A66CD" w:rsidRDefault="003347AC" w:rsidP="003347AC">
      <w:pPr>
        <w:pStyle w:val="ManualConsidrant"/>
        <w:rPr>
          <w:noProof/>
        </w:rPr>
      </w:pPr>
      <w:r w:rsidRPr="004A66CD">
        <w:rPr>
          <w:noProof/>
        </w:rPr>
        <w:t>(24)</w:t>
      </w:r>
      <w:r w:rsidRPr="004A66CD">
        <w:rPr>
          <w:noProof/>
        </w:rPr>
        <w:tab/>
        <w:t>În ceea ce privește Liechtenstein, prezentul regulament constituie o dezvoltare a dispozițiilor acquis-ului Schengen în înțelesul Protocolului între Uniunea Europeană, Comunitatea Europeană, Confederația Elvețiană și Principatul Liechtenstein privind aderarea Principatului Liechtenstein la Acordul între Uniunea Europeană, Comunitatea</w:t>
      </w:r>
      <w:r w:rsidR="000604D1">
        <w:rPr>
          <w:noProof/>
        </w:rPr>
        <w:t> </w:t>
      </w:r>
      <w:r w:rsidRPr="004A66CD">
        <w:rPr>
          <w:noProof/>
        </w:rPr>
        <w:t>Europeană și Confederația Elvețiană privind asocierea Confederației</w:t>
      </w:r>
      <w:r w:rsidR="000604D1">
        <w:rPr>
          <w:noProof/>
        </w:rPr>
        <w:t> </w:t>
      </w:r>
      <w:r w:rsidRPr="004A66CD">
        <w:rPr>
          <w:noProof/>
        </w:rPr>
        <w:t>Elvețiene la punerea în practică, aplicarea și dezvoltarea acquis-ului Schengen</w:t>
      </w:r>
      <w:r w:rsidRPr="004A66CD">
        <w:rPr>
          <w:rStyle w:val="FootnoteReference"/>
          <w:noProof/>
          <w:szCs w:val="24"/>
        </w:rPr>
        <w:footnoteReference w:id="19"/>
      </w:r>
      <w:r w:rsidRPr="004A66CD">
        <w:rPr>
          <w:noProof/>
        </w:rPr>
        <w:t>, care se află sub incidența articolului 1 punctele A și B din Decizia</w:t>
      </w:r>
      <w:r w:rsidR="000604D1">
        <w:rPr>
          <w:noProof/>
        </w:rPr>
        <w:t> </w:t>
      </w:r>
      <w:r w:rsidRPr="004A66CD">
        <w:rPr>
          <w:noProof/>
        </w:rPr>
        <w:t>1999/437/CE coroborat cu articolul 3 din Decizia 2011/350/UE a Consiliului</w:t>
      </w:r>
      <w:r w:rsidRPr="004A66CD">
        <w:rPr>
          <w:rStyle w:val="FootnoteReference"/>
          <w:noProof/>
          <w:szCs w:val="24"/>
        </w:rPr>
        <w:footnoteReference w:id="20"/>
      </w:r>
      <w:r w:rsidRPr="004A66CD">
        <w:rPr>
          <w:noProof/>
        </w:rPr>
        <w:t>.</w:t>
      </w:r>
    </w:p>
    <w:p w14:paraId="1D419147" w14:textId="7F099022" w:rsidR="00806AC4" w:rsidRPr="004A66CD" w:rsidRDefault="003347AC" w:rsidP="003347AC">
      <w:pPr>
        <w:pStyle w:val="ManualConsidrant"/>
        <w:rPr>
          <w:noProof/>
        </w:rPr>
      </w:pPr>
      <w:r w:rsidRPr="004A66CD">
        <w:rPr>
          <w:noProof/>
        </w:rPr>
        <w:t>(25)</w:t>
      </w:r>
      <w:r w:rsidRPr="004A66CD">
        <w:rPr>
          <w:noProof/>
        </w:rPr>
        <w:tab/>
        <w:t>În conformitate cu articolele 1 și 2 din Protocolul nr. 22 privind poziția Danemarcei, anexat la TUE și la TFUE, Danemarca nu participă la adoptarea prezentului regulament, acesta nu este obligatoriu pentru respectivul stat membru și nu i se aplică. Deoarece prezentul regulament constituie o dezvoltare a acquis-ului Schengen, Danemarca ar trebui să decidă, în conformitate cu articolul 4 din protocolul respectiv, în termen de șase luni de la data la care Consiliul decide cu privire la prezentul regulament, dacă îl va pune în aplicare în legislația sa națională.</w:t>
      </w:r>
    </w:p>
    <w:p w14:paraId="776F0C22" w14:textId="398D5BDA" w:rsidR="00286E0D" w:rsidRPr="004A66CD" w:rsidRDefault="003347AC" w:rsidP="003347AC">
      <w:pPr>
        <w:pStyle w:val="ManualConsidrant"/>
        <w:rPr>
          <w:noProof/>
        </w:rPr>
      </w:pPr>
      <w:r w:rsidRPr="004A66CD">
        <w:rPr>
          <w:noProof/>
        </w:rPr>
        <w:t>(26)</w:t>
      </w:r>
      <w:r w:rsidRPr="004A66CD">
        <w:rPr>
          <w:noProof/>
        </w:rPr>
        <w:tab/>
        <w:t>Prezentul regulament constituie o dezvoltare a dispozițiilor acquis-ului Schengen la care Irlanda nu participă, în conformitate cu Decizia 2002/192/CE a Consiliului</w:t>
      </w:r>
      <w:r w:rsidRPr="004A66CD">
        <w:rPr>
          <w:rStyle w:val="FootnoteReference"/>
          <w:noProof/>
          <w:szCs w:val="24"/>
        </w:rPr>
        <w:footnoteReference w:id="21"/>
      </w:r>
      <w:r w:rsidRPr="004A66CD">
        <w:rPr>
          <w:noProof/>
        </w:rPr>
        <w:t>. Prin urmare, Irlanda nu participă la adoptarea prezentului regulament, acesta nu este obligatoriu pentru respectivul stat membru și nu i se aplică,</w:t>
      </w:r>
    </w:p>
    <w:p w14:paraId="7A316F28" w14:textId="77777777" w:rsidR="00286E0D" w:rsidRPr="004A66CD" w:rsidRDefault="00286E0D" w:rsidP="00286E0D">
      <w:pPr>
        <w:pStyle w:val="Formuledadoption"/>
        <w:rPr>
          <w:noProof/>
        </w:rPr>
      </w:pPr>
      <w:r w:rsidRPr="004A66CD">
        <w:rPr>
          <w:noProof/>
        </w:rPr>
        <w:t>ADOPTĂ PREZENTUL REGULAMENT:</w:t>
      </w:r>
    </w:p>
    <w:p w14:paraId="558246A5" w14:textId="77777777" w:rsidR="00286E0D" w:rsidRPr="004A66CD" w:rsidRDefault="00286E0D" w:rsidP="00286E0D">
      <w:pPr>
        <w:pStyle w:val="Titrearticle"/>
        <w:rPr>
          <w:noProof/>
        </w:rPr>
      </w:pPr>
      <w:r w:rsidRPr="004A66CD">
        <w:rPr>
          <w:noProof/>
        </w:rPr>
        <w:t>Articolul 1</w:t>
      </w:r>
    </w:p>
    <w:p w14:paraId="01DCFE30" w14:textId="77777777" w:rsidR="00286E0D" w:rsidRPr="004A66CD" w:rsidRDefault="00286E0D" w:rsidP="00286E0D">
      <w:pPr>
        <w:pStyle w:val="Titrearticle"/>
        <w:rPr>
          <w:b/>
          <w:bCs/>
          <w:noProof/>
        </w:rPr>
      </w:pPr>
      <w:r w:rsidRPr="004A66CD">
        <w:rPr>
          <w:b/>
          <w:noProof/>
        </w:rPr>
        <w:t>Obiect</w:t>
      </w:r>
    </w:p>
    <w:p w14:paraId="16102D8A" w14:textId="77777777" w:rsidR="00B9223C" w:rsidRPr="004A66CD" w:rsidRDefault="00B9223C" w:rsidP="00B9223C">
      <w:pPr>
        <w:rPr>
          <w:noProof/>
          <w:szCs w:val="24"/>
        </w:rPr>
      </w:pPr>
      <w:r w:rsidRPr="004A66CD">
        <w:rPr>
          <w:noProof/>
        </w:rPr>
        <w:t xml:space="preserve">Prezentul regulament stabilește obiectivele și finanțarea sprijinului din partea Uniunii pentru gestionarea europeană integrată a frontierelor și pentru politica europeană în domeniul vizelor pentru perioada 1 ianuarie 2028-31 decembrie 2034. Sprijinul din partea Uniunii contribuie la funcționarea spațiului Schengen, la gestionarea eficientă a frontierelor externe și la eficacitatea politicii în domeniul vizelor, inclusiv prin acordarea de sprijin pentru punerea în aplicare, consolidarea și dezvoltarea elementelor relevante ale Pactului privind migrația și azilul, precum și la un nivel ridicat de securitate internă în cadrul Uniunii, menținând absența oricărui control asupra persoanelor la trecerea frontierelor interne. </w:t>
      </w:r>
    </w:p>
    <w:p w14:paraId="05AFC029" w14:textId="53D595F0" w:rsidR="00286E0D" w:rsidRPr="004A66CD" w:rsidRDefault="00286E0D" w:rsidP="00A257BB">
      <w:pPr>
        <w:rPr>
          <w:noProof/>
          <w:szCs w:val="24"/>
        </w:rPr>
      </w:pPr>
      <w:r w:rsidRPr="004A66CD">
        <w:rPr>
          <w:noProof/>
        </w:rPr>
        <w:t xml:space="preserve">Acest sprijin din partea Uniunii se acordă în temeiul normelor orizontale ale </w:t>
      </w:r>
      <w:r w:rsidRPr="004A66CD">
        <w:rPr>
          <w:noProof/>
          <w:color w:val="000000" w:themeColor="text1"/>
        </w:rPr>
        <w:t>Fondului european pentru coeziune economică, socială și teritorială, agricultură și zone rurale, pescuit și afaceri maritime, prosperitate și securitate</w:t>
      </w:r>
      <w:r w:rsidRPr="004A66CD">
        <w:rPr>
          <w:noProof/>
        </w:rPr>
        <w:t xml:space="preserve"> instituit prin Regulamentul (UE) [...].</w:t>
      </w:r>
    </w:p>
    <w:p w14:paraId="426B91C7" w14:textId="77777777" w:rsidR="00286E0D" w:rsidRPr="004A66CD" w:rsidRDefault="00286E0D" w:rsidP="00286E0D">
      <w:pPr>
        <w:pStyle w:val="Titrearticle"/>
        <w:rPr>
          <w:noProof/>
        </w:rPr>
      </w:pPr>
      <w:r w:rsidRPr="004A66CD">
        <w:rPr>
          <w:noProof/>
        </w:rPr>
        <w:t>Articolul 2</w:t>
      </w:r>
    </w:p>
    <w:p w14:paraId="33C45191" w14:textId="77777777" w:rsidR="00286E0D" w:rsidRPr="004A66CD" w:rsidRDefault="00286E0D" w:rsidP="00286E0D">
      <w:pPr>
        <w:pStyle w:val="Titrearticle"/>
        <w:rPr>
          <w:b/>
          <w:bCs/>
          <w:noProof/>
        </w:rPr>
      </w:pPr>
      <w:r w:rsidRPr="004A66CD">
        <w:rPr>
          <w:b/>
          <w:noProof/>
        </w:rPr>
        <w:t>Definiții</w:t>
      </w:r>
    </w:p>
    <w:p w14:paraId="0D79EC17" w14:textId="77777777" w:rsidR="00286E0D" w:rsidRPr="004A66CD" w:rsidRDefault="00286E0D" w:rsidP="00286E0D">
      <w:pPr>
        <w:rPr>
          <w:noProof/>
          <w:color w:val="000000"/>
          <w:szCs w:val="24"/>
        </w:rPr>
      </w:pPr>
      <w:r w:rsidRPr="004A66CD">
        <w:rPr>
          <w:noProof/>
          <w:color w:val="000000"/>
        </w:rPr>
        <w:t>În sensul prezentului regulament, se aplică următoarele definiții:</w:t>
      </w:r>
    </w:p>
    <w:p w14:paraId="1962DB9D" w14:textId="3332A915" w:rsidR="00286E0D" w:rsidRPr="004A66CD" w:rsidRDefault="003347AC" w:rsidP="003347AC">
      <w:pPr>
        <w:pStyle w:val="Point0"/>
        <w:rPr>
          <w:noProof/>
        </w:rPr>
      </w:pPr>
      <w:r w:rsidRPr="004A66CD">
        <w:rPr>
          <w:noProof/>
        </w:rPr>
        <w:t>(1)</w:t>
      </w:r>
      <w:r w:rsidRPr="004A66CD">
        <w:rPr>
          <w:noProof/>
        </w:rPr>
        <w:tab/>
        <w:t>„punct de trecere a frontierei” înseamnă un punct de trecere a frontierei, în sensul definiției de la articolul 2 punctul 8 din Regulamentul (UE) 2016/399</w:t>
      </w:r>
      <w:r w:rsidRPr="004A66CD">
        <w:rPr>
          <w:rStyle w:val="FootnoteReference"/>
          <w:noProof/>
          <w:szCs w:val="24"/>
        </w:rPr>
        <w:footnoteReference w:id="22"/>
      </w:r>
      <w:r w:rsidRPr="004A66CD">
        <w:rPr>
          <w:noProof/>
        </w:rPr>
        <w:t>;</w:t>
      </w:r>
    </w:p>
    <w:p w14:paraId="008FE4CA" w14:textId="00921C7E" w:rsidR="00286E0D" w:rsidRPr="004A66CD" w:rsidRDefault="003347AC" w:rsidP="003347AC">
      <w:pPr>
        <w:pStyle w:val="Point0"/>
        <w:rPr>
          <w:noProof/>
        </w:rPr>
      </w:pPr>
      <w:r w:rsidRPr="004A66CD">
        <w:rPr>
          <w:noProof/>
        </w:rPr>
        <w:t>(2)</w:t>
      </w:r>
      <w:r w:rsidRPr="004A66CD">
        <w:rPr>
          <w:noProof/>
        </w:rPr>
        <w:tab/>
        <w:t>„gestionare europeană integrată a frontierelor” înseamnă gestionarea europeană integrată a frontierelor astfel cum este menționată la articolul 3 din Regulamentul</w:t>
      </w:r>
      <w:r w:rsidR="000604D1">
        <w:rPr>
          <w:noProof/>
        </w:rPr>
        <w:t> </w:t>
      </w:r>
      <w:r w:rsidRPr="004A66CD">
        <w:rPr>
          <w:noProof/>
        </w:rPr>
        <w:t>(UE) 2019/1896</w:t>
      </w:r>
      <w:r w:rsidRPr="004A66CD">
        <w:rPr>
          <w:rStyle w:val="FootnoteReference"/>
          <w:noProof/>
          <w:szCs w:val="24"/>
        </w:rPr>
        <w:footnoteReference w:id="23"/>
      </w:r>
      <w:r w:rsidRPr="004A66CD">
        <w:rPr>
          <w:noProof/>
        </w:rPr>
        <w:t>;</w:t>
      </w:r>
    </w:p>
    <w:p w14:paraId="2B48C930" w14:textId="436C4B86" w:rsidR="00286E0D" w:rsidRPr="004A66CD" w:rsidRDefault="003347AC" w:rsidP="003347AC">
      <w:pPr>
        <w:pStyle w:val="Point0"/>
        <w:rPr>
          <w:noProof/>
        </w:rPr>
      </w:pPr>
      <w:r w:rsidRPr="004A66CD">
        <w:rPr>
          <w:noProof/>
        </w:rPr>
        <w:t>(3)</w:t>
      </w:r>
      <w:r w:rsidRPr="004A66CD">
        <w:rPr>
          <w:noProof/>
        </w:rPr>
        <w:tab/>
        <w:t>„frontiere externe” înseamnă frontierele externe astfel cum sunt definite la articolul 2 punctul 2 din Regulamentul (UE) 2016/399</w:t>
      </w:r>
      <w:r w:rsidRPr="004A66CD">
        <w:rPr>
          <w:rStyle w:val="FootnoteReference"/>
          <w:noProof/>
          <w:szCs w:val="24"/>
        </w:rPr>
        <w:footnoteReference w:id="24"/>
      </w:r>
      <w:r w:rsidRPr="004A66CD">
        <w:rPr>
          <w:noProof/>
        </w:rPr>
        <w:t>, precum și frontierele interne la care nu au fost încă eliminate controalele;</w:t>
      </w:r>
    </w:p>
    <w:p w14:paraId="225B0BEF" w14:textId="0E4D380F" w:rsidR="00286E0D" w:rsidRPr="004A66CD" w:rsidRDefault="003347AC" w:rsidP="003347AC">
      <w:pPr>
        <w:pStyle w:val="Point0"/>
        <w:rPr>
          <w:noProof/>
        </w:rPr>
      </w:pPr>
      <w:r w:rsidRPr="004A66CD">
        <w:rPr>
          <w:noProof/>
        </w:rPr>
        <w:t>(4)</w:t>
      </w:r>
      <w:r w:rsidRPr="004A66CD">
        <w:rPr>
          <w:noProof/>
        </w:rPr>
        <w:tab/>
        <w:t>„secțiune de frontieră externă” înseamnă o secțiune de frontieră externă astfel cum este definită la articolul 2 punctul 11 din Regulamentul (UE) 2019/1896</w:t>
      </w:r>
      <w:r w:rsidRPr="004A66CD">
        <w:rPr>
          <w:rStyle w:val="FootnoteReference"/>
          <w:noProof/>
          <w:szCs w:val="24"/>
        </w:rPr>
        <w:footnoteReference w:id="25"/>
      </w:r>
      <w:r w:rsidRPr="004A66CD">
        <w:rPr>
          <w:noProof/>
        </w:rPr>
        <w:t>;</w:t>
      </w:r>
    </w:p>
    <w:p w14:paraId="19E59878" w14:textId="1371C2DC" w:rsidR="00286E0D" w:rsidRPr="004A66CD" w:rsidRDefault="003347AC" w:rsidP="003347AC">
      <w:pPr>
        <w:pStyle w:val="Point0"/>
        <w:rPr>
          <w:noProof/>
        </w:rPr>
      </w:pPr>
      <w:r w:rsidRPr="004A66CD">
        <w:rPr>
          <w:noProof/>
        </w:rPr>
        <w:t>(5)</w:t>
      </w:r>
      <w:r w:rsidRPr="004A66CD">
        <w:rPr>
          <w:noProof/>
        </w:rPr>
        <w:tab/>
        <w:t>„frontiere interne la care nu au fost încă eliminate controalele” înseamnă:</w:t>
      </w:r>
    </w:p>
    <w:p w14:paraId="1816FE1D" w14:textId="1AE66307" w:rsidR="00286E0D" w:rsidRPr="004A66CD" w:rsidRDefault="003347AC" w:rsidP="003347AC">
      <w:pPr>
        <w:pStyle w:val="Point1"/>
        <w:rPr>
          <w:noProof/>
        </w:rPr>
      </w:pPr>
      <w:r w:rsidRPr="004A66CD">
        <w:rPr>
          <w:noProof/>
        </w:rPr>
        <w:t>(a)</w:t>
      </w:r>
      <w:r w:rsidRPr="004A66CD">
        <w:rPr>
          <w:noProof/>
        </w:rPr>
        <w:tab/>
        <w:t>frontiera comună dintre un stat membru care aplică integral acquis-ul Schengen și un alt stat membru care urmează să aplice integral acquis-ul Schengen, în conformitate cu actul privind aderarea sa, dar în cazul căruia decizia relevantă a Consiliului care autorizează statul membru respectiv să aplice integral acquis-ul respectiv nu a intrat încă în vigoare;</w:t>
      </w:r>
    </w:p>
    <w:p w14:paraId="451F5771" w14:textId="7F81354A" w:rsidR="00286E0D" w:rsidRPr="004A66CD" w:rsidRDefault="003347AC" w:rsidP="003347AC">
      <w:pPr>
        <w:pStyle w:val="Point1"/>
        <w:rPr>
          <w:noProof/>
        </w:rPr>
      </w:pPr>
      <w:r w:rsidRPr="004A66CD">
        <w:rPr>
          <w:noProof/>
        </w:rPr>
        <w:t>(b)</w:t>
      </w:r>
      <w:r w:rsidRPr="004A66CD">
        <w:rPr>
          <w:noProof/>
        </w:rPr>
        <w:tab/>
        <w:t>frontiera comună dintre două state membre care au obligația de a aplica integral acquis-ul Schengen, în conformitate cu actele corespunzătoare privind aderarea fiecăreia, dar în cazul cărora decizia relevantă a Consiliului care autorizează statele membre să aplice integral acquis-ul respectiv nu a intrat încă în vigoare.</w:t>
      </w:r>
    </w:p>
    <w:p w14:paraId="5E6A7562" w14:textId="76DFB720" w:rsidR="00286E0D" w:rsidRPr="004A66CD" w:rsidRDefault="003347AC" w:rsidP="003347AC">
      <w:pPr>
        <w:pStyle w:val="Point0"/>
        <w:rPr>
          <w:noProof/>
        </w:rPr>
      </w:pPr>
      <w:r w:rsidRPr="004A66CD">
        <w:rPr>
          <w:noProof/>
        </w:rPr>
        <w:t>(6)</w:t>
      </w:r>
      <w:r w:rsidRPr="004A66CD">
        <w:rPr>
          <w:noProof/>
        </w:rPr>
        <w:tab/>
        <w:t>„stat membru beneficiar” înseamnă un stat membru beneficiar astfel cum este definit la articolul 2 punctul 19 din Regulamentul (UE) 2024/1351;</w:t>
      </w:r>
    </w:p>
    <w:p w14:paraId="35262557" w14:textId="3A660522" w:rsidR="00F0474E" w:rsidRPr="004A66CD" w:rsidRDefault="003347AC" w:rsidP="003347AC">
      <w:pPr>
        <w:pStyle w:val="Point0"/>
        <w:rPr>
          <w:noProof/>
        </w:rPr>
      </w:pPr>
      <w:r w:rsidRPr="004A66CD">
        <w:rPr>
          <w:noProof/>
        </w:rPr>
        <w:t>(7)</w:t>
      </w:r>
      <w:r w:rsidRPr="004A66CD">
        <w:rPr>
          <w:noProof/>
        </w:rPr>
        <w:tab/>
        <w:t>„stat membru contribuitor” înseamnă un stat membru contribuitor astfel cum este definit la articolul 2 punctul 20 din Regulamentul (UE) 2024/1351;</w:t>
      </w:r>
    </w:p>
    <w:p w14:paraId="1373544C" w14:textId="341C3D3C" w:rsidR="00286E0D" w:rsidRPr="004A66CD" w:rsidRDefault="003347AC" w:rsidP="003347AC">
      <w:pPr>
        <w:pStyle w:val="Point0"/>
        <w:rPr>
          <w:noProof/>
        </w:rPr>
      </w:pPr>
      <w:r w:rsidRPr="004A66CD">
        <w:rPr>
          <w:noProof/>
        </w:rPr>
        <w:t>(8)</w:t>
      </w:r>
      <w:r w:rsidRPr="004A66CD">
        <w:rPr>
          <w:noProof/>
        </w:rPr>
        <w:tab/>
        <w:t xml:space="preserve">„contribuții financiare” înseamnă contribuții financiare în conformitate cu articolul 56 alineatul (2) litera (b) din Regulamentul (UE) 2024/1351. </w:t>
      </w:r>
    </w:p>
    <w:p w14:paraId="4A75AB58" w14:textId="77777777" w:rsidR="00286E0D" w:rsidRPr="004A66CD" w:rsidRDefault="00286E0D" w:rsidP="00286E0D">
      <w:pPr>
        <w:pStyle w:val="Titrearticle"/>
        <w:rPr>
          <w:noProof/>
        </w:rPr>
      </w:pPr>
      <w:r w:rsidRPr="004A66CD">
        <w:rPr>
          <w:noProof/>
        </w:rPr>
        <w:t>Articolul 3</w:t>
      </w:r>
    </w:p>
    <w:p w14:paraId="1F3B309A" w14:textId="77777777" w:rsidR="00286E0D" w:rsidRPr="004A66CD" w:rsidRDefault="00286E0D" w:rsidP="00286E0D">
      <w:pPr>
        <w:pStyle w:val="Titrearticle"/>
        <w:rPr>
          <w:b/>
          <w:bCs/>
          <w:noProof/>
        </w:rPr>
      </w:pPr>
      <w:bookmarkStart w:id="17" w:name="_Hlk202174420"/>
      <w:r w:rsidRPr="004A66CD">
        <w:rPr>
          <w:b/>
          <w:noProof/>
        </w:rPr>
        <w:t>Obiectivele sprijinului din partea Uniunii pentru spațiul Schengen, pentru gestionarea europeană integrată a frontierelor externe și pentru politica comună în domeniul vizelor</w:t>
      </w:r>
    </w:p>
    <w:bookmarkEnd w:id="17"/>
    <w:p w14:paraId="3CC4516C" w14:textId="15FD5E6D" w:rsidR="00286E0D" w:rsidRPr="004A66CD" w:rsidRDefault="003347AC" w:rsidP="003347AC">
      <w:pPr>
        <w:pStyle w:val="ManualNumPar1"/>
        <w:rPr>
          <w:noProof/>
        </w:rPr>
      </w:pPr>
      <w:r w:rsidRPr="004A66CD">
        <w:rPr>
          <w:noProof/>
        </w:rPr>
        <w:t>1.</w:t>
      </w:r>
      <w:r w:rsidRPr="004A66CD">
        <w:rPr>
          <w:noProof/>
        </w:rPr>
        <w:tab/>
        <w:t>Pentru a asigura o gestionare europeană integrată puternică și eficace a frontierelor externe, buna funcționare a spațiului Schengen și o politică eficientă în domeniul vizelor, sprijinul Uniunii trebuie să contribuie la fiecare dintre următoarele obiective:</w:t>
      </w:r>
    </w:p>
    <w:p w14:paraId="52746F08" w14:textId="0F6AF9C9" w:rsidR="0058101A" w:rsidRPr="004A66CD" w:rsidRDefault="003347AC" w:rsidP="003347AC">
      <w:pPr>
        <w:pStyle w:val="Point1"/>
        <w:rPr>
          <w:rFonts w:eastAsiaTheme="minorEastAsia" w:cstheme="majorHAnsi"/>
          <w:noProof/>
          <w:szCs w:val="20"/>
        </w:rPr>
      </w:pPr>
      <w:r w:rsidRPr="004A66CD">
        <w:rPr>
          <w:noProof/>
        </w:rPr>
        <w:t>(a)</w:t>
      </w:r>
      <w:r w:rsidRPr="004A66CD">
        <w:rPr>
          <w:noProof/>
        </w:rPr>
        <w:tab/>
        <w:t>sprijinirea punerii în aplicare, a respectării și a dezvoltării eficace a cadrului Schengen, precum și consolidarea guvernanței, a integrității și a securității spațiului Schengen fără frontiere interne;</w:t>
      </w:r>
    </w:p>
    <w:p w14:paraId="57D454BB" w14:textId="5676320D" w:rsidR="00286E0D" w:rsidRPr="004A66CD" w:rsidRDefault="003347AC" w:rsidP="003347AC">
      <w:pPr>
        <w:pStyle w:val="Point1"/>
        <w:rPr>
          <w:rStyle w:val="Instructions"/>
          <w:rFonts w:eastAsiaTheme="minorEastAsia"/>
          <w:i w:val="0"/>
          <w:iCs w:val="0"/>
          <w:noProof/>
          <w:color w:val="auto"/>
        </w:rPr>
      </w:pPr>
      <w:r w:rsidRPr="004A66CD">
        <w:rPr>
          <w:rStyle w:val="Instructions"/>
          <w:rFonts w:eastAsiaTheme="minorHAnsi"/>
          <w:noProof/>
        </w:rPr>
        <w:t>(b)</w:t>
      </w:r>
      <w:r w:rsidRPr="004A66CD">
        <w:rPr>
          <w:noProof/>
        </w:rPr>
        <w:tab/>
        <w:t>sprijinirea unei gestionări europene integrate eficace a frontierelor externe, pusă în aplicare de poliția de frontieră și garda de coastă la nivel european ca responsabilitate comună a Agenției Europene pentru Poliția de Frontieră și Garda de Coastă și a autorităților naționale responsabile cu gestionarea frontierelor, inclusiv prin metode inovatoare și noi tehnologii, pentru a facilita trecerile legale ale frontierei, pentru a preveni și a detecta imigrația ilegală, criminalitatea transfrontalieră și instrumentalizarea și utilizarea migrației ilegale ca armă și pentru a contribui la un proces eficace de returnare;</w:t>
      </w:r>
    </w:p>
    <w:p w14:paraId="07C36713" w14:textId="25EE2425" w:rsidR="00286E0D" w:rsidRPr="004A66CD" w:rsidRDefault="003347AC" w:rsidP="003347AC">
      <w:pPr>
        <w:pStyle w:val="Point1"/>
        <w:rPr>
          <w:rFonts w:eastAsiaTheme="minorEastAsia" w:cstheme="majorHAnsi"/>
          <w:noProof/>
          <w:szCs w:val="20"/>
        </w:rPr>
      </w:pPr>
      <w:r w:rsidRPr="004A66CD">
        <w:rPr>
          <w:noProof/>
        </w:rPr>
        <w:t>(c)</w:t>
      </w:r>
      <w:r w:rsidRPr="004A66CD">
        <w:rPr>
          <w:noProof/>
        </w:rPr>
        <w:tab/>
        <w:t>sprijinirea politicii comune în domeniul vizelor pentru a asigura o abordare armonizată în ceea ce privește eliberarea la timp a vizelor și pentru a facilita călătoriile în scopuri legitime, prevenind în același timp riscurile în materie de migrație și securitate și contribuind la securitatea și la buna funcționare a spațiului Schengen.</w:t>
      </w:r>
    </w:p>
    <w:p w14:paraId="6E55EEE9" w14:textId="68EA180C" w:rsidR="00286E0D" w:rsidRPr="004A66CD" w:rsidRDefault="00286E0D" w:rsidP="00A257BB">
      <w:pPr>
        <w:ind w:left="720"/>
        <w:rPr>
          <w:noProof/>
          <w:szCs w:val="24"/>
        </w:rPr>
      </w:pPr>
      <w:bookmarkStart w:id="18" w:name="_Hlk201962005"/>
      <w:r w:rsidRPr="004A66CD">
        <w:rPr>
          <w:noProof/>
        </w:rPr>
        <w:t xml:space="preserve">Sprijinul din partea Uniunii trebuie </w:t>
      </w:r>
      <w:bookmarkEnd w:id="18"/>
      <w:r w:rsidRPr="004A66CD">
        <w:rPr>
          <w:noProof/>
        </w:rPr>
        <w:t xml:space="preserve">pus în aplicare în deplină concordanță cu obiectivele stabilite în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w:t>
      </w:r>
    </w:p>
    <w:p w14:paraId="71BB4485" w14:textId="5233BD33" w:rsidR="00286E0D" w:rsidRPr="004A66CD" w:rsidRDefault="003347AC" w:rsidP="003347AC">
      <w:pPr>
        <w:pStyle w:val="ManualNumPar1"/>
        <w:rPr>
          <w:noProof/>
          <w:szCs w:val="24"/>
        </w:rPr>
      </w:pPr>
      <w:r w:rsidRPr="004A66CD">
        <w:rPr>
          <w:noProof/>
        </w:rPr>
        <w:t>2.</w:t>
      </w:r>
      <w:r w:rsidRPr="004A66CD">
        <w:rPr>
          <w:noProof/>
        </w:rPr>
        <w:tab/>
        <w:t>Sprijinul din partea Uniunii este pus în aplicare în conformitate cu acquis-ul relevant al Uniunii și cu obligațiile internaționale ale Uniunii și ale statelor membre care decurg din instrumentele internaționale la care acestea sunt părți.</w:t>
      </w:r>
    </w:p>
    <w:p w14:paraId="3840A777" w14:textId="132A20A9" w:rsidR="00286E0D" w:rsidRPr="004A66CD" w:rsidRDefault="003347AC" w:rsidP="003347AC">
      <w:pPr>
        <w:pStyle w:val="ManualNumPar1"/>
        <w:rPr>
          <w:noProof/>
          <w:szCs w:val="24"/>
        </w:rPr>
      </w:pPr>
      <w:r w:rsidRPr="004A66CD">
        <w:rPr>
          <w:noProof/>
        </w:rPr>
        <w:t>3.</w:t>
      </w:r>
      <w:r w:rsidRPr="004A66CD">
        <w:rPr>
          <w:noProof/>
        </w:rPr>
        <w:tab/>
        <w:t>Statele membre se asigură că prioritățile planurilor lor de parteneriat național și regional includ acțiuni pentru atingerea fiecăruia dintre obiectivele sprijinului acordat de Uniune în temeiul prezentului regulament și că alocarea resurselor între obiective este proporțională cu provocările și nevoile identificate.</w:t>
      </w:r>
    </w:p>
    <w:p w14:paraId="23655188" w14:textId="77777777" w:rsidR="00286E0D" w:rsidRPr="004A66CD" w:rsidRDefault="00286E0D" w:rsidP="00286E0D">
      <w:pPr>
        <w:pStyle w:val="Titrearticle"/>
        <w:rPr>
          <w:noProof/>
        </w:rPr>
      </w:pPr>
      <w:r w:rsidRPr="004A66CD">
        <w:rPr>
          <w:noProof/>
        </w:rPr>
        <w:t>Articolul 4</w:t>
      </w:r>
    </w:p>
    <w:p w14:paraId="00F584F5" w14:textId="77777777" w:rsidR="00286E0D" w:rsidRPr="004A66CD" w:rsidRDefault="00286E0D" w:rsidP="00286E0D">
      <w:pPr>
        <w:pStyle w:val="Titrearticle"/>
        <w:rPr>
          <w:b/>
          <w:bCs/>
          <w:noProof/>
        </w:rPr>
      </w:pPr>
      <w:r w:rsidRPr="004A66CD">
        <w:rPr>
          <w:b/>
          <w:noProof/>
        </w:rPr>
        <w:t>Finanțare</w:t>
      </w:r>
    </w:p>
    <w:p w14:paraId="3C31D26E" w14:textId="6DC7558E" w:rsidR="005507F3" w:rsidRPr="004A66CD" w:rsidRDefault="003347AC" w:rsidP="003347AC">
      <w:pPr>
        <w:pStyle w:val="ManualNumPar1"/>
        <w:rPr>
          <w:noProof/>
        </w:rPr>
      </w:pPr>
      <w:r w:rsidRPr="004A66CD">
        <w:rPr>
          <w:noProof/>
        </w:rPr>
        <w:t>1.</w:t>
      </w:r>
      <w:r w:rsidRPr="004A66CD">
        <w:rPr>
          <w:noProof/>
        </w:rPr>
        <w:tab/>
        <w:t xml:space="preserve">Pachetul financiar orientativ pentru punerea în aplicare a obiectivelor prevăzute la articolul 3 pentru perioada 2028-2034 este stabilit la 15 396 750 000 EUR în prețuri curente. Acesta este </w:t>
      </w:r>
      <w:r w:rsidRPr="004A66CD">
        <w:rPr>
          <w:rFonts w:asciiTheme="majorBidi" w:hAnsiTheme="majorBidi"/>
          <w:noProof/>
        </w:rPr>
        <w:t xml:space="preserve">pus în aplicare în conformitate cu normele orizontale pentru </w:t>
      </w:r>
      <w:r w:rsidRPr="004A66CD">
        <w:rPr>
          <w:noProof/>
        </w:rPr>
        <w:t xml:space="preserve">planurile de parteneriat național și regional prevăzute în Regulamentul (UE) [...] de </w:t>
      </w:r>
      <w:r w:rsidRPr="004A66CD">
        <w:rPr>
          <w:noProof/>
          <w:color w:val="000000" w:themeColor="text1"/>
        </w:rPr>
        <w:t>instituire a Fondului european pentru coeziune economică, socială și teritorială, agricultură și zone rurale, pescuit și afaceri maritime, prosperitate și securitate</w:t>
      </w:r>
      <w:r w:rsidRPr="004A66CD">
        <w:rPr>
          <w:noProof/>
        </w:rPr>
        <w:t xml:space="preserve">. </w:t>
      </w:r>
    </w:p>
    <w:p w14:paraId="73B43C2B" w14:textId="1F933790" w:rsidR="00623F90" w:rsidRPr="004A66CD" w:rsidRDefault="003347AC" w:rsidP="003347AC">
      <w:pPr>
        <w:pStyle w:val="ManualNumPar1"/>
        <w:rPr>
          <w:noProof/>
        </w:rPr>
      </w:pPr>
      <w:r w:rsidRPr="004A66CD">
        <w:rPr>
          <w:noProof/>
        </w:rPr>
        <w:t>2.</w:t>
      </w:r>
      <w:r w:rsidRPr="004A66CD">
        <w:rPr>
          <w:noProof/>
        </w:rPr>
        <w:tab/>
        <w:t xml:space="preserve">Comisia adoptă un act de punere în aplicare pentru a stabili cuantumul pentru fiecare stat membru prin aplicarea metodologiei de alocare prevăzute în secțiunea B din anexa I la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w:t>
      </w:r>
    </w:p>
    <w:p w14:paraId="5E629589" w14:textId="25F76966" w:rsidR="005507F3" w:rsidRPr="004A66CD" w:rsidRDefault="003347AC" w:rsidP="003347AC">
      <w:pPr>
        <w:pStyle w:val="ManualNumPar1"/>
        <w:rPr>
          <w:noProof/>
        </w:rPr>
      </w:pPr>
      <w:r w:rsidRPr="004A66CD">
        <w:rPr>
          <w:noProof/>
        </w:rPr>
        <w:t>3.</w:t>
      </w:r>
      <w:r w:rsidRPr="004A66CD">
        <w:rPr>
          <w:noProof/>
        </w:rPr>
        <w:tab/>
        <w:t xml:space="preserve">În plus, creditele bugetare pentru obiectivele prevăzute la articolul 3 din prezentul regulament, executate prin intermediul mecanismului UE prevăzut la titlul IV din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se stabilesc în cadrul procedurii bugetare anuale prevăzute la articolul 314 din TFUE.</w:t>
      </w:r>
    </w:p>
    <w:p w14:paraId="070F7EDE" w14:textId="475B458E" w:rsidR="005507F3" w:rsidRPr="004A66CD" w:rsidRDefault="003347AC" w:rsidP="003347AC">
      <w:pPr>
        <w:pStyle w:val="ManualNumPar1"/>
        <w:rPr>
          <w:noProof/>
        </w:rPr>
      </w:pPr>
      <w:r w:rsidRPr="004A66CD">
        <w:rPr>
          <w:noProof/>
        </w:rPr>
        <w:t>4.</w:t>
      </w:r>
      <w:r w:rsidRPr="004A66CD">
        <w:rPr>
          <w:noProof/>
        </w:rPr>
        <w:tab/>
      </w:r>
      <w:r w:rsidRPr="004A66CD">
        <w:rPr>
          <w:rFonts w:asciiTheme="majorBidi" w:hAnsiTheme="majorBidi"/>
          <w:noProof/>
        </w:rPr>
        <w:t xml:space="preserve">În ceea ce privește măsurile care au legătură cu obiectivele prevăzute la articolul 3 din prezentul regulament, </w:t>
      </w:r>
      <w:r w:rsidRPr="004A66CD">
        <w:rPr>
          <w:noProof/>
        </w:rPr>
        <w:t xml:space="preserve">în cazul în care Comisia concluzionează că măsurile respective respectă cerințele prevăzute în prezentul regulament și în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xml:space="preserve"> și în cazul în care Comisia propune o decizie de punere în aplicare a Consiliului de aprobare a planului </w:t>
      </w:r>
      <w:r w:rsidR="00E00324" w:rsidRPr="004A66CD">
        <w:rPr>
          <w:noProof/>
        </w:rPr>
        <w:t xml:space="preserve">de parteneriat </w:t>
      </w:r>
      <w:r w:rsidRPr="004A66CD">
        <w:rPr>
          <w:noProof/>
        </w:rPr>
        <w:t xml:space="preserve">național și regional al statului membru în cauză în conformitate cu procedura prevăzută la articolul 23 din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xml:space="preserve">, Comisia prezintă o propunere de decizie de punere în aplicare a Consiliului privind aprobarea măsurilor respective. </w:t>
      </w:r>
    </w:p>
    <w:p w14:paraId="6930FE95" w14:textId="12E1F33E" w:rsidR="005507F3" w:rsidRPr="004A66CD" w:rsidRDefault="003347AC" w:rsidP="003347AC">
      <w:pPr>
        <w:pStyle w:val="ManualNumPar1"/>
        <w:rPr>
          <w:noProof/>
        </w:rPr>
      </w:pPr>
      <w:r w:rsidRPr="004A66CD">
        <w:rPr>
          <w:noProof/>
        </w:rPr>
        <w:t>5.</w:t>
      </w:r>
      <w:r w:rsidRPr="004A66CD">
        <w:rPr>
          <w:noProof/>
        </w:rPr>
        <w:tab/>
        <w:t xml:space="preserve">Atunci când prezintă o propunere de decizie de punere în aplicare a Consiliului privind măsurile legate de obiectivele prevăzute la articolul 3 din prezentul regulament, propunerea Comisiei stabilește elementele menționate la articolul 23 alineatul (4) din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în ceea ce privește obiectivele prevăzute la articolul 3.</w:t>
      </w:r>
    </w:p>
    <w:p w14:paraId="1388C5B4" w14:textId="5EDB01D3" w:rsidR="00596698" w:rsidRPr="004A66CD" w:rsidRDefault="003347AC" w:rsidP="003347AC">
      <w:pPr>
        <w:pStyle w:val="ManualNumPar1"/>
        <w:rPr>
          <w:noProof/>
        </w:rPr>
      </w:pPr>
      <w:r w:rsidRPr="004A66CD">
        <w:rPr>
          <w:noProof/>
        </w:rPr>
        <w:t>6.</w:t>
      </w:r>
      <w:r w:rsidRPr="004A66CD">
        <w:rPr>
          <w:noProof/>
        </w:rPr>
        <w:tab/>
        <w:t>Consiliul adoptă decizia de punere în aplicare menționată la alineatul (4), ca regulă generală, în termen de patru săptămâni de la adoptarea propunerii Comisiei și împreună cu deciziile de punere în aplicare menționate la articolul 23 alineatul (1) [</w:t>
      </w:r>
      <w:r w:rsidRPr="004A66CD">
        <w:rPr>
          <w:i/>
          <w:noProof/>
        </w:rPr>
        <w:t>Propunerea Comisiei și decizia de punere în aplicare a Consiliului</w:t>
      </w:r>
      <w:r w:rsidRPr="004A66CD">
        <w:rPr>
          <w:noProof/>
        </w:rPr>
        <w:t xml:space="preserve">] din Regulamentul (UE) [...] de </w:t>
      </w:r>
      <w:r w:rsidRPr="004A66CD">
        <w:rPr>
          <w:noProof/>
          <w:color w:val="000000" w:themeColor="text1"/>
        </w:rPr>
        <w:t>instituire a Fondului european pentru coeziune economică, socială și teritorială, agricultură și zone rurale, pescuit și afaceri maritime, prosperitate și securitate</w:t>
      </w:r>
      <w:r w:rsidRPr="004A66CD">
        <w:rPr>
          <w:noProof/>
        </w:rPr>
        <w:t>.</w:t>
      </w:r>
    </w:p>
    <w:p w14:paraId="256B33DF" w14:textId="0BE8C5E2" w:rsidR="00623F90" w:rsidRPr="004A66CD" w:rsidRDefault="003347AC" w:rsidP="003347AC">
      <w:pPr>
        <w:pStyle w:val="ManualNumPar1"/>
        <w:rPr>
          <w:noProof/>
        </w:rPr>
      </w:pPr>
      <w:r w:rsidRPr="004A66CD">
        <w:rPr>
          <w:noProof/>
        </w:rPr>
        <w:t>7.</w:t>
      </w:r>
      <w:r w:rsidRPr="004A66CD">
        <w:rPr>
          <w:noProof/>
        </w:rPr>
        <w:tab/>
      </w:r>
      <w:r w:rsidRPr="004A66CD">
        <w:rPr>
          <w:rFonts w:asciiTheme="majorBidi" w:hAnsiTheme="majorBidi"/>
          <w:noProof/>
        </w:rPr>
        <w:t xml:space="preserve">Se aplică articolul 24 din Regulamentul (UE) [...] </w:t>
      </w:r>
      <w:r w:rsidRPr="004A66CD">
        <w:rPr>
          <w:noProof/>
        </w:rPr>
        <w:t>de instituire a Fondului european pentru coeziune economică, socială și teritorială, agricultură și zone rurale, pescuit și afaceri maritime, prosperitate și securitate</w:t>
      </w:r>
      <w:r w:rsidRPr="004A66CD">
        <w:rPr>
          <w:rFonts w:asciiTheme="majorBidi" w:hAnsiTheme="majorBidi"/>
          <w:noProof/>
        </w:rPr>
        <w:t xml:space="preserve"> cu privire la modificarea planurilor, cu condiția ca propunerea Comisiei și decizia de punere în aplicare a Consiliului de aprobare a modificărilor elementelor enumerate la articolul 23 alineatul (4) să acopere numai obiectivele menționate la articolul 3 din prezentul regulament.</w:t>
      </w:r>
    </w:p>
    <w:p w14:paraId="51868DA9" w14:textId="77777777" w:rsidR="00596698" w:rsidRPr="004A66CD" w:rsidRDefault="00596698" w:rsidP="00596698">
      <w:pPr>
        <w:pStyle w:val="Titrearticle"/>
        <w:rPr>
          <w:noProof/>
        </w:rPr>
      </w:pPr>
      <w:r w:rsidRPr="004A66CD">
        <w:rPr>
          <w:noProof/>
        </w:rPr>
        <w:t xml:space="preserve">Articolul 5 </w:t>
      </w:r>
    </w:p>
    <w:p w14:paraId="31F56137" w14:textId="0DDFC603" w:rsidR="00596698" w:rsidRPr="004A66CD" w:rsidRDefault="00596698" w:rsidP="00596698">
      <w:pPr>
        <w:pStyle w:val="Titrearticle"/>
        <w:rPr>
          <w:noProof/>
          <w:szCs w:val="24"/>
        </w:rPr>
      </w:pPr>
      <w:r w:rsidRPr="004A66CD">
        <w:rPr>
          <w:b/>
          <w:noProof/>
        </w:rPr>
        <w:t>Țările asociate spațiului Schengen</w:t>
      </w:r>
    </w:p>
    <w:p w14:paraId="5F98EE1A" w14:textId="2BF8D0F2" w:rsidR="00286E0D" w:rsidRPr="004A66CD" w:rsidRDefault="00596698" w:rsidP="00287E8A">
      <w:pPr>
        <w:pStyle w:val="Text1"/>
        <w:ind w:left="0"/>
        <w:rPr>
          <w:rStyle w:val="eop"/>
          <w:rFonts w:eastAsiaTheme="majorEastAsia"/>
          <w:noProof/>
        </w:rPr>
      </w:pPr>
      <w:r w:rsidRPr="004A66CD">
        <w:rPr>
          <w:noProof/>
        </w:rPr>
        <w:t>În conformitate cu dispozițiile relevante ale acordurilor lor de asociere respective, se vor lua măsuri pentru a specifica natura și modalitățile de participare în cadrul sprijinului din partea</w:t>
      </w:r>
      <w:r w:rsidR="00492CAA">
        <w:rPr>
          <w:noProof/>
        </w:rPr>
        <w:t> </w:t>
      </w:r>
      <w:r w:rsidRPr="004A66CD">
        <w:rPr>
          <w:noProof/>
        </w:rPr>
        <w:t>Uniunii a țărilor asociate la punerea în aplicare, asigurarea respectării și dezvoltarea acquis-ului Schengen. Cât mai curând posibil după data la care țara în cauză notifică decizia sa de acceptare a conținutului sprijinului din partea Uniunii și de punere în aplicare a acestuia în ordinea sa juridică internă, în conformitate cu acordul de asociere relevant, Comisia prezintă Consiliului, în temeiul articolului 218 alineatul (3) din TFUE, o recomandare de începere a negocierilor privind măsurile respective. După primirea recomandării, Consiliul adoptă fără întârziere o decizie referitoare la autorizarea începerii acestor negocieri. Contribuțiile financiare ale țărilor respective se adaugă la resursele generale disponibile din pachetul financiar menționat la articolul 4.</w:t>
      </w:r>
    </w:p>
    <w:p w14:paraId="08F346E5" w14:textId="15F26995" w:rsidR="00286E0D" w:rsidRPr="004A66CD" w:rsidRDefault="00286E0D" w:rsidP="007D3199">
      <w:pPr>
        <w:pStyle w:val="Titrearticle"/>
        <w:rPr>
          <w:noProof/>
        </w:rPr>
      </w:pPr>
      <w:r w:rsidRPr="004A66CD">
        <w:rPr>
          <w:noProof/>
        </w:rPr>
        <w:t>Articolul 6</w:t>
      </w:r>
    </w:p>
    <w:p w14:paraId="77F384CC" w14:textId="77777777" w:rsidR="00286E0D" w:rsidRPr="004A66CD" w:rsidRDefault="00286E0D" w:rsidP="00286E0D">
      <w:pPr>
        <w:pStyle w:val="Titrearticle"/>
        <w:rPr>
          <w:b/>
          <w:bCs/>
          <w:noProof/>
          <w:szCs w:val="24"/>
        </w:rPr>
      </w:pPr>
      <w:bookmarkStart w:id="19" w:name="_Hlk195020056"/>
      <w:r w:rsidRPr="004A66CD">
        <w:rPr>
          <w:b/>
          <w:noProof/>
        </w:rPr>
        <w:t>Sprijin operațional pentru regimul special de tranzit</w:t>
      </w:r>
    </w:p>
    <w:p w14:paraId="543A7C7F" w14:textId="2D26A334" w:rsidR="00286E0D" w:rsidRPr="004A66CD" w:rsidRDefault="003347AC" w:rsidP="003347AC">
      <w:pPr>
        <w:pStyle w:val="ManualNumPar1"/>
        <w:rPr>
          <w:noProof/>
        </w:rPr>
      </w:pPr>
      <w:r w:rsidRPr="004A66CD">
        <w:rPr>
          <w:noProof/>
        </w:rPr>
        <w:t>1.</w:t>
      </w:r>
      <w:r w:rsidRPr="004A66CD">
        <w:rPr>
          <w:noProof/>
        </w:rPr>
        <w:tab/>
        <w:t xml:space="preserve">O sumă de până la 450 000 000 EUR se alocă planului de parteneriat național și regional al Lituaniei în temeiul Regulamentului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cu scopul de a oferi sprijin pentru pierderile de venituri rezultate din prelucrarea vizelor de scurtă ședere și pentru costurile suplimentare aferente punerii în aplicare a documentului de facilitare a tranzitului (FTD) și a documentului de facilitare a tranzitului feroviar (FRTD) în conformitate cu Regulamentul (CE) nr. 693/2003 al Consiliului și cu Regulamentul</w:t>
      </w:r>
      <w:r w:rsidR="00492CAA">
        <w:rPr>
          <w:noProof/>
        </w:rPr>
        <w:t> </w:t>
      </w:r>
      <w:r w:rsidRPr="004A66CD">
        <w:rPr>
          <w:noProof/>
        </w:rPr>
        <w:t>(CE) nr. 694/2003 modificat prin Regulamentul (UE) 2023/2667 al Parlamentului European și al Consiliului.</w:t>
      </w:r>
    </w:p>
    <w:p w14:paraId="62C6EDAD" w14:textId="16EDD309" w:rsidR="00286E0D" w:rsidRPr="004A66CD" w:rsidRDefault="003347AC" w:rsidP="003347AC">
      <w:pPr>
        <w:pStyle w:val="ManualNumPar1"/>
        <w:rPr>
          <w:noProof/>
        </w:rPr>
      </w:pPr>
      <w:r w:rsidRPr="004A66CD">
        <w:rPr>
          <w:noProof/>
        </w:rPr>
        <w:t>2.</w:t>
      </w:r>
      <w:r w:rsidRPr="004A66CD">
        <w:rPr>
          <w:noProof/>
        </w:rPr>
        <w:tab/>
        <w:t xml:space="preserve">În sensul alineatului (1), sprijinul din partea Uniunii pentru pierderile de venituri se bazează pe emiterea de FTD-uri și de FRTD-uri. Plafonul sprijinului se stabilește la 100 000 000 EUR. </w:t>
      </w:r>
    </w:p>
    <w:p w14:paraId="0498E203" w14:textId="70EB88D9" w:rsidR="00286E0D" w:rsidRPr="004A66CD" w:rsidRDefault="003347AC" w:rsidP="003347AC">
      <w:pPr>
        <w:pStyle w:val="ManualNumPar1"/>
        <w:rPr>
          <w:noProof/>
        </w:rPr>
      </w:pPr>
      <w:r w:rsidRPr="004A66CD">
        <w:rPr>
          <w:noProof/>
        </w:rPr>
        <w:t>3.</w:t>
      </w:r>
      <w:r w:rsidRPr="004A66CD">
        <w:rPr>
          <w:noProof/>
        </w:rPr>
        <w:tab/>
        <w:t>În sensul alineatului (1), sprijinul din partea Uniunii acoperă costurile suplimentare estimate care rezultă direct din cerințele specifice de punere în aplicare a funcționării regimului special de tranzit și care nu sunt generate ca urmare a eliberării vizelor în temeiul Regulamentului (CE) nr. 810/2009 al Parlamentului European și al Consiliului</w:t>
      </w:r>
      <w:r w:rsidRPr="004A66CD">
        <w:rPr>
          <w:rStyle w:val="FootnoteReference"/>
          <w:noProof/>
        </w:rPr>
        <w:footnoteReference w:id="26"/>
      </w:r>
      <w:r w:rsidRPr="004A66CD">
        <w:rPr>
          <w:noProof/>
        </w:rPr>
        <w:t>.</w:t>
      </w:r>
    </w:p>
    <w:p w14:paraId="78235099" w14:textId="79CB3179" w:rsidR="00286E0D" w:rsidRPr="004A66CD" w:rsidRDefault="00286E0D" w:rsidP="006B174B">
      <w:pPr>
        <w:ind w:left="850"/>
        <w:rPr>
          <w:noProof/>
          <w:color w:val="000000"/>
          <w:szCs w:val="24"/>
        </w:rPr>
      </w:pPr>
      <w:r w:rsidRPr="004A66CD">
        <w:rPr>
          <w:noProof/>
          <w:color w:val="000000"/>
        </w:rPr>
        <w:t>Contribuția maximă din bugetul Uniunii este de 100 % din costurile totale estimate. Plafonul pentru acest sprijin se stabilește la 350 000 000 EUR.</w:t>
      </w:r>
    </w:p>
    <w:p w14:paraId="7DD7F0AB" w14:textId="77777777" w:rsidR="00286E0D" w:rsidRPr="004A66CD" w:rsidRDefault="00286E0D" w:rsidP="006B174B">
      <w:pPr>
        <w:ind w:left="346" w:firstLine="504"/>
        <w:rPr>
          <w:noProof/>
          <w:szCs w:val="24"/>
        </w:rPr>
      </w:pPr>
      <w:r w:rsidRPr="004A66CD">
        <w:rPr>
          <w:noProof/>
          <w:color w:val="000000"/>
        </w:rPr>
        <w:t xml:space="preserve">Costurile suplimentare estimate acoperă, în special: </w:t>
      </w:r>
    </w:p>
    <w:p w14:paraId="6038D052" w14:textId="77777777" w:rsidR="00286E0D" w:rsidRPr="004A66CD" w:rsidRDefault="00286E0D" w:rsidP="006A2F81">
      <w:pPr>
        <w:pStyle w:val="ListNumber"/>
        <w:numPr>
          <w:ilvl w:val="0"/>
          <w:numId w:val="17"/>
        </w:numPr>
        <w:ind w:left="1094" w:hanging="357"/>
        <w:rPr>
          <w:rFonts w:eastAsia="Aptos"/>
          <w:noProof/>
          <w:color w:val="000000"/>
          <w:kern w:val="2"/>
          <w:szCs w:val="24"/>
        </w:rPr>
      </w:pPr>
      <w:r w:rsidRPr="004A66CD">
        <w:rPr>
          <w:noProof/>
        </w:rPr>
        <w:t>investiții în infrastructuri, mijloace de transport, sisteme TIC și echipamente necesare pentru funcționarea regimului special de tranzit;</w:t>
      </w:r>
    </w:p>
    <w:p w14:paraId="7E9CD1E5" w14:textId="77777777" w:rsidR="00286E0D" w:rsidRPr="004A66CD" w:rsidRDefault="00286E0D" w:rsidP="006A2F81">
      <w:pPr>
        <w:pStyle w:val="ListNumber"/>
        <w:numPr>
          <w:ilvl w:val="0"/>
          <w:numId w:val="17"/>
        </w:numPr>
        <w:ind w:left="1094" w:hanging="357"/>
        <w:rPr>
          <w:rFonts w:eastAsia="Aptos"/>
          <w:noProof/>
          <w:kern w:val="2"/>
          <w:szCs w:val="24"/>
        </w:rPr>
      </w:pPr>
      <w:r w:rsidRPr="004A66CD">
        <w:rPr>
          <w:noProof/>
        </w:rPr>
        <w:t>formarea personalului care pune în aplicare schema specială de tranzit;</w:t>
      </w:r>
    </w:p>
    <w:p w14:paraId="612D44E9" w14:textId="77777777" w:rsidR="00286E0D" w:rsidRPr="004A66CD" w:rsidRDefault="00286E0D" w:rsidP="006A2F81">
      <w:pPr>
        <w:pStyle w:val="ListNumber"/>
        <w:numPr>
          <w:ilvl w:val="0"/>
          <w:numId w:val="17"/>
        </w:numPr>
        <w:ind w:left="1094" w:hanging="357"/>
        <w:rPr>
          <w:rFonts w:eastAsia="Aptos"/>
          <w:noProof/>
          <w:kern w:val="2"/>
          <w:szCs w:val="24"/>
        </w:rPr>
      </w:pPr>
      <w:r w:rsidRPr="004A66CD">
        <w:rPr>
          <w:noProof/>
        </w:rPr>
        <w:t xml:space="preserve">costuri operaționale suplimentare, inclusiv costuri cu personalul pentru punerea în aplicare a regimului special de tranzit. </w:t>
      </w:r>
    </w:p>
    <w:p w14:paraId="20B98F44" w14:textId="04D816B3" w:rsidR="00286E0D" w:rsidRPr="004A66CD" w:rsidRDefault="003347AC" w:rsidP="003347AC">
      <w:pPr>
        <w:pStyle w:val="ManualNumPar1"/>
        <w:rPr>
          <w:noProof/>
        </w:rPr>
      </w:pPr>
      <w:r w:rsidRPr="004A66CD">
        <w:rPr>
          <w:noProof/>
        </w:rPr>
        <w:t>4.</w:t>
      </w:r>
      <w:r w:rsidRPr="004A66CD">
        <w:rPr>
          <w:noProof/>
        </w:rPr>
        <w:tab/>
        <w:t>Comisia și Lituania revizuiesc aplicarea prezentului articol în cazul în care intervin circumstanțe neprevăzute care au un impact asupra existenței sau funcționării regimului special de tranzit.</w:t>
      </w:r>
    </w:p>
    <w:p w14:paraId="09B9D768" w14:textId="20E1787D" w:rsidR="00286E0D" w:rsidRPr="004A66CD" w:rsidRDefault="003347AC" w:rsidP="003347AC">
      <w:pPr>
        <w:pStyle w:val="ManualNumPar1"/>
        <w:rPr>
          <w:noProof/>
        </w:rPr>
      </w:pPr>
      <w:r w:rsidRPr="004A66CD">
        <w:rPr>
          <w:noProof/>
        </w:rPr>
        <w:t>5.</w:t>
      </w:r>
      <w:r w:rsidRPr="004A66CD">
        <w:rPr>
          <w:noProof/>
        </w:rPr>
        <w:tab/>
        <w:t xml:space="preserve">Sumele menționate la alineatele (2) și (3) se alocă planului de parteneriat național și regional al Lituaniei. Sumele respective nu se utilizează pentru alte măsuri din plan decât în circumstanțe justificate în mod corespunzător, astfel cum au fost aprobate de Comisie prin modificarea planului respectiv în temeiul articolului 24 din Regulamentul (UE) [...] de </w:t>
      </w:r>
      <w:r w:rsidRPr="004A66CD">
        <w:rPr>
          <w:noProof/>
          <w:color w:val="000000" w:themeColor="text1"/>
        </w:rPr>
        <w:t>instituire a Fondului european pentru coeziune economică, socială și teritorială, agricultură și zone rurale, pescuit și afaceri maritime, prosperitate și securitate</w:t>
      </w:r>
      <w:r w:rsidRPr="004A66CD">
        <w:rPr>
          <w:noProof/>
        </w:rPr>
        <w:t xml:space="preserve">. </w:t>
      </w:r>
    </w:p>
    <w:p w14:paraId="398970FF" w14:textId="219F9285" w:rsidR="00286E0D" w:rsidRPr="004A66CD" w:rsidRDefault="00286E0D" w:rsidP="0042042F">
      <w:pPr>
        <w:rPr>
          <w:noProof/>
        </w:rPr>
      </w:pPr>
      <w:r w:rsidRPr="004A66CD">
        <w:rPr>
          <w:noProof/>
        </w:rPr>
        <w:t xml:space="preserve">În urma unei cereri motivate din partea Lituaniei, suma menționată la alineatul (3) poate fi revizuită și, dacă este necesar, ajustată înainte de adoptarea ultimului program de lucru în temeiul articolului 31 din Regulamentul (UE) [...] de instituire a Fondului european pentru coeziune economică, socială și teritorială, agricultură și zone rurale, pescuit și afaceri maritime, prosperitate și securitate. Orice sume suplimentare vor fi alocate planului </w:t>
      </w:r>
      <w:r w:rsidR="00E00324" w:rsidRPr="004A66CD">
        <w:rPr>
          <w:noProof/>
        </w:rPr>
        <w:t xml:space="preserve">de parteneriat </w:t>
      </w:r>
      <w:r w:rsidRPr="004A66CD">
        <w:rPr>
          <w:noProof/>
        </w:rPr>
        <w:t xml:space="preserve">național și regional al Lituaniei în conformitate cu articolul 31 alineatul (7) din Regulamentul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w:t>
      </w:r>
    </w:p>
    <w:bookmarkEnd w:id="19"/>
    <w:p w14:paraId="68C0B3A9" w14:textId="13E23B66" w:rsidR="00286E0D" w:rsidRPr="004A66CD" w:rsidRDefault="00286E0D" w:rsidP="00286E0D">
      <w:pPr>
        <w:pStyle w:val="Titrearticle"/>
        <w:rPr>
          <w:noProof/>
        </w:rPr>
      </w:pPr>
      <w:r w:rsidRPr="004A66CD">
        <w:rPr>
          <w:noProof/>
        </w:rPr>
        <w:t>Articolul 7</w:t>
      </w:r>
    </w:p>
    <w:p w14:paraId="43B9501B" w14:textId="77777777" w:rsidR="00286E0D" w:rsidRPr="004A66CD" w:rsidRDefault="00286E0D" w:rsidP="00286E0D">
      <w:pPr>
        <w:pStyle w:val="Titrearticle"/>
        <w:rPr>
          <w:b/>
          <w:bCs/>
          <w:noProof/>
        </w:rPr>
      </w:pPr>
      <w:r w:rsidRPr="004A66CD">
        <w:rPr>
          <w:b/>
          <w:noProof/>
        </w:rPr>
        <w:t>Resurse pentru costurile de funcționare ale Sistemului european de informații și de autorizare privind călătoriile (ETIAS)</w:t>
      </w:r>
    </w:p>
    <w:p w14:paraId="3743035C" w14:textId="33CF75AA" w:rsidR="00286E0D" w:rsidRPr="004A66CD" w:rsidRDefault="003347AC" w:rsidP="003347AC">
      <w:pPr>
        <w:pStyle w:val="ManualNumPar1"/>
        <w:rPr>
          <w:noProof/>
        </w:rPr>
      </w:pPr>
      <w:r w:rsidRPr="004A66CD">
        <w:rPr>
          <w:noProof/>
        </w:rPr>
        <w:t>1.</w:t>
      </w:r>
      <w:r w:rsidRPr="004A66CD">
        <w:rPr>
          <w:noProof/>
        </w:rPr>
        <w:tab/>
        <w:t>Fiecare stat membru instituie un sistem eficace și fiabil care să asigure identificarea și înregistrarea corespunzătoare a costurilor de funcționare suportate de statul membru respectiv în temeiul articolului 85 alineatul (2) și al articolului 85 alineatul</w:t>
      </w:r>
      <w:r w:rsidR="00492CAA">
        <w:rPr>
          <w:noProof/>
        </w:rPr>
        <w:t> </w:t>
      </w:r>
      <w:r w:rsidRPr="004A66CD">
        <w:rPr>
          <w:noProof/>
        </w:rPr>
        <w:t xml:space="preserve">(3) din Regulamentul (UE) 2018/1240. Până la data de 31 ianuarie a fiecărui an și pentru prima dată până la 31 ianuarie 2029, statele membre comunică Comisiei costurile totale de funcționare suportate pentru anul precedent. </w:t>
      </w:r>
    </w:p>
    <w:p w14:paraId="20E4BB50" w14:textId="73E01646" w:rsidR="00F0474E" w:rsidRPr="004A66CD" w:rsidRDefault="003347AC" w:rsidP="003347AC">
      <w:pPr>
        <w:pStyle w:val="ManualNumPar1"/>
        <w:rPr>
          <w:noProof/>
        </w:rPr>
      </w:pPr>
      <w:r w:rsidRPr="004A66CD">
        <w:rPr>
          <w:noProof/>
        </w:rPr>
        <w:t>2.</w:t>
      </w:r>
      <w:r w:rsidRPr="004A66CD">
        <w:rPr>
          <w:noProof/>
        </w:rPr>
        <w:tab/>
        <w:t>Pe baza informațiilor comunicate de statele membre în conformitate cu alineatul (1), Comisia stabilește cuantumul veniturilor generate de taxele ETIAS care urmează să fie alocate în conformitate cu articolul 86 a doua teză din Regulamentul</w:t>
      </w:r>
      <w:r w:rsidR="00492CAA">
        <w:rPr>
          <w:noProof/>
        </w:rPr>
        <w:t> </w:t>
      </w:r>
      <w:r w:rsidRPr="004A66CD">
        <w:rPr>
          <w:noProof/>
        </w:rPr>
        <w:t>(UE)</w:t>
      </w:r>
      <w:r w:rsidR="00492CAA">
        <w:rPr>
          <w:noProof/>
        </w:rPr>
        <w:t> </w:t>
      </w:r>
      <w:r w:rsidRPr="004A66CD">
        <w:rPr>
          <w:noProof/>
        </w:rPr>
        <w:t xml:space="preserve">2018/1240, pentru acoperirea costurilor de funcționare suportate de statele membre. Comisia pune la dispoziția fiecărui stat membru cota care îi revine din acest cuantum. </w:t>
      </w:r>
    </w:p>
    <w:p w14:paraId="55C50CF3" w14:textId="560E024F" w:rsidR="00286E0D" w:rsidRPr="004A66CD" w:rsidRDefault="003347AC" w:rsidP="003347AC">
      <w:pPr>
        <w:pStyle w:val="ManualNumPar1"/>
        <w:rPr>
          <w:noProof/>
        </w:rPr>
      </w:pPr>
      <w:r w:rsidRPr="004A66CD">
        <w:rPr>
          <w:noProof/>
        </w:rPr>
        <w:t>3.</w:t>
      </w:r>
      <w:r w:rsidRPr="004A66CD">
        <w:rPr>
          <w:noProof/>
        </w:rPr>
        <w:tab/>
        <w:t>În cazul în care suma costurilor totale de funcționare comunicate de statele membre în temeiul alineatului (1) depășește veniturile disponibile ale ETIAS sau, în cazul în care suma cheltuielilor suportate pentru personalizarea și automatizarea verificărilor la frontieră în vederea punerii în aplicare a ETIAS depășește limitele stabilite la articolul 85 alineatul (3) din Regulamentul (UE) 2018/1240, Comisia calculează o reducere proporțională a acestor sume.</w:t>
      </w:r>
    </w:p>
    <w:p w14:paraId="038E99C1" w14:textId="18ECF8B5" w:rsidR="00DD664E" w:rsidRPr="004A66CD" w:rsidRDefault="003347AC" w:rsidP="003347AC">
      <w:pPr>
        <w:pStyle w:val="ManualNumPar1"/>
        <w:rPr>
          <w:noProof/>
        </w:rPr>
      </w:pPr>
      <w:bookmarkStart w:id="20" w:name="_Hlk202881652"/>
      <w:r w:rsidRPr="004A66CD">
        <w:rPr>
          <w:noProof/>
        </w:rPr>
        <w:t>4.</w:t>
      </w:r>
      <w:r w:rsidRPr="004A66CD">
        <w:rPr>
          <w:noProof/>
        </w:rPr>
        <w:tab/>
        <w:t>În cazul în care suma costurilor totale de funcționare dintr-un anumit an depășește veniturile disponibile ale ETIAS, Comisia pune ulterior la dispoziția statelor membre cuantumul corespunzător reducerii proporționale a costurilor lor totale de funcționare din veniturile generate de taxele ETIAS.</w:t>
      </w:r>
    </w:p>
    <w:bookmarkEnd w:id="20"/>
    <w:p w14:paraId="10AD3292" w14:textId="060D27B2" w:rsidR="00286E0D" w:rsidRPr="004A66CD" w:rsidRDefault="00286E0D" w:rsidP="00286E0D">
      <w:pPr>
        <w:pStyle w:val="Titrearticle"/>
        <w:rPr>
          <w:noProof/>
          <w:szCs w:val="24"/>
        </w:rPr>
      </w:pPr>
      <w:r w:rsidRPr="004A66CD">
        <w:rPr>
          <w:noProof/>
        </w:rPr>
        <w:t>Articolul 8</w:t>
      </w:r>
    </w:p>
    <w:p w14:paraId="5F79BA04" w14:textId="77777777" w:rsidR="00286E0D" w:rsidRPr="004A66CD" w:rsidRDefault="006866F6" w:rsidP="00286E0D">
      <w:pPr>
        <w:pStyle w:val="Titrearticle"/>
        <w:rPr>
          <w:noProof/>
          <w:szCs w:val="24"/>
        </w:rPr>
      </w:pPr>
      <w:r w:rsidRPr="004A66CD">
        <w:rPr>
          <w:b/>
          <w:noProof/>
        </w:rPr>
        <w:t>Contribuții financiare pentru rezerva anuală de solidaritate</w:t>
      </w:r>
    </w:p>
    <w:p w14:paraId="0E0DC514" w14:textId="07076A59" w:rsidR="00286E0D" w:rsidRPr="004A66CD" w:rsidRDefault="006866F6" w:rsidP="00653241">
      <w:pPr>
        <w:rPr>
          <w:noProof/>
          <w:szCs w:val="24"/>
        </w:rPr>
      </w:pPr>
      <w:r w:rsidRPr="004A66CD">
        <w:rPr>
          <w:noProof/>
        </w:rPr>
        <w:t>Comisia calculează și pune la dispoziția fiecărui stat membru beneficiar cota respectivă din contribuțiile financiare transferate de statele membre contribuitoare în conformitate cu articolul 64 alineatul (1) din Regulamentul (UE) 2024/1351, în scopul punerii în aplicare a acțiunilor prevăzute la articolul 56 alineatul (2) litera (b) din Regulamentul (UE) 2024/1351.</w:t>
      </w:r>
    </w:p>
    <w:p w14:paraId="414E4803" w14:textId="2814B288" w:rsidR="00286E0D" w:rsidRPr="004A66CD" w:rsidRDefault="00286E0D" w:rsidP="00286E0D">
      <w:pPr>
        <w:pStyle w:val="Titrearticle"/>
        <w:rPr>
          <w:noProof/>
        </w:rPr>
      </w:pPr>
      <w:r w:rsidRPr="004A66CD">
        <w:rPr>
          <w:noProof/>
        </w:rPr>
        <w:t xml:space="preserve">Articolul 9 </w:t>
      </w:r>
    </w:p>
    <w:p w14:paraId="732D7A52" w14:textId="77777777" w:rsidR="00286E0D" w:rsidRPr="004A66CD" w:rsidRDefault="00286E0D" w:rsidP="00286E0D">
      <w:pPr>
        <w:pStyle w:val="Titrearticle"/>
        <w:rPr>
          <w:i w:val="0"/>
          <w:noProof/>
        </w:rPr>
      </w:pPr>
      <w:r w:rsidRPr="004A66CD">
        <w:rPr>
          <w:b/>
          <w:noProof/>
        </w:rPr>
        <w:t>Dispoziții tranzitorii</w:t>
      </w:r>
    </w:p>
    <w:p w14:paraId="32BA96D3" w14:textId="6427F63E" w:rsidR="00286E0D" w:rsidRPr="004A66CD" w:rsidRDefault="00631DBC" w:rsidP="00A257BB">
      <w:pPr>
        <w:rPr>
          <w:noProof/>
        </w:rPr>
      </w:pPr>
      <w:r w:rsidRPr="004A66CD">
        <w:rPr>
          <w:noProof/>
        </w:rPr>
        <w:t>Prezentul regulament nu afectează continuarea sau modificarea acțiunilor inițiate în temeiul Regulamentului (UE) 2021/1148, care continuă să se aplice acțiunilor în cauză până la încheierea lor.</w:t>
      </w:r>
    </w:p>
    <w:p w14:paraId="3B38DA05" w14:textId="09D4A97E" w:rsidR="00286E0D" w:rsidRPr="004A66CD" w:rsidRDefault="00286E0D" w:rsidP="00286E0D">
      <w:pPr>
        <w:pStyle w:val="Titrearticle"/>
        <w:rPr>
          <w:noProof/>
        </w:rPr>
      </w:pPr>
      <w:r w:rsidRPr="004A66CD">
        <w:rPr>
          <w:noProof/>
        </w:rPr>
        <w:t>Articolul 10</w:t>
      </w:r>
    </w:p>
    <w:p w14:paraId="0F10C298" w14:textId="77777777" w:rsidR="00286E0D" w:rsidRPr="004A66CD" w:rsidRDefault="00286E0D" w:rsidP="00286E0D">
      <w:pPr>
        <w:pStyle w:val="Titrearticle"/>
        <w:rPr>
          <w:b/>
          <w:bCs/>
          <w:noProof/>
        </w:rPr>
      </w:pPr>
      <w:r w:rsidRPr="004A66CD">
        <w:rPr>
          <w:b/>
          <w:noProof/>
        </w:rPr>
        <w:t>Intrarea în vigoare și aplicarea</w:t>
      </w:r>
    </w:p>
    <w:p w14:paraId="1105ED5B" w14:textId="407CB4DD" w:rsidR="00286E0D" w:rsidRPr="004A66CD" w:rsidRDefault="00286E0D" w:rsidP="00286E0D">
      <w:pPr>
        <w:rPr>
          <w:noProof/>
          <w:szCs w:val="24"/>
        </w:rPr>
      </w:pPr>
      <w:r w:rsidRPr="004A66CD">
        <w:rPr>
          <w:noProof/>
        </w:rPr>
        <w:t xml:space="preserve">Prezentul regulament intră în vigoare în [a douăzecea] zi de la data publicării în </w:t>
      </w:r>
      <w:r w:rsidRPr="004A66CD">
        <w:rPr>
          <w:i/>
          <w:noProof/>
        </w:rPr>
        <w:t>Jurnalul</w:t>
      </w:r>
      <w:r w:rsidR="00492CAA">
        <w:rPr>
          <w:i/>
          <w:noProof/>
        </w:rPr>
        <w:t> </w:t>
      </w:r>
      <w:r w:rsidRPr="004A66CD">
        <w:rPr>
          <w:i/>
          <w:noProof/>
        </w:rPr>
        <w:t>Oficial al Uniunii Europene</w:t>
      </w:r>
      <w:r w:rsidRPr="004A66CD">
        <w:rPr>
          <w:noProof/>
        </w:rPr>
        <w:t>.</w:t>
      </w:r>
    </w:p>
    <w:p w14:paraId="2B6F6F03" w14:textId="6A003581" w:rsidR="00286E0D" w:rsidRPr="004A66CD" w:rsidRDefault="00286E0D" w:rsidP="00A257BB">
      <w:pPr>
        <w:rPr>
          <w:noProof/>
        </w:rPr>
      </w:pPr>
      <w:r w:rsidRPr="004A66CD">
        <w:rPr>
          <w:noProof/>
        </w:rPr>
        <w:t xml:space="preserve">Prezentul regulament se aplică de la data aplicării Regulamentului (UE) [...] </w:t>
      </w:r>
      <w:r w:rsidRPr="004A66CD">
        <w:rPr>
          <w:noProof/>
          <w:color w:val="000000" w:themeColor="text1"/>
        </w:rPr>
        <w:t>de instituire a Fondului european pentru coeziune economică, socială și teritorială, agricultură și zone rurale, pescuit și afaceri maritime, prosperitate și securitate</w:t>
      </w:r>
      <w:r w:rsidRPr="004A66CD">
        <w:rPr>
          <w:noProof/>
        </w:rPr>
        <w:t xml:space="preserve"> pentru perioada 2028-2034.</w:t>
      </w:r>
    </w:p>
    <w:p w14:paraId="6D028D58" w14:textId="4B0ED88F" w:rsidR="00286E0D" w:rsidRPr="004A66CD" w:rsidRDefault="00286E0D" w:rsidP="00286E0D">
      <w:pPr>
        <w:pStyle w:val="Applicationdirecte"/>
        <w:spacing w:before="120"/>
        <w:rPr>
          <w:noProof/>
          <w:szCs w:val="24"/>
        </w:rPr>
      </w:pPr>
      <w:r w:rsidRPr="004A66CD">
        <w:rPr>
          <w:noProof/>
        </w:rPr>
        <w:t>Prezentul regulament este obligatoriu în toate elementele sale și se aplică direct în statele</w:t>
      </w:r>
      <w:r w:rsidR="00492CAA">
        <w:rPr>
          <w:noProof/>
        </w:rPr>
        <w:t> </w:t>
      </w:r>
      <w:r w:rsidRPr="004A66CD">
        <w:rPr>
          <w:noProof/>
        </w:rPr>
        <w:t>membre în conformitate cu tratatele.</w:t>
      </w:r>
    </w:p>
    <w:p w14:paraId="15F55F35" w14:textId="6F1014D1" w:rsidR="00286E0D" w:rsidRPr="004A66CD" w:rsidRDefault="004A66CD" w:rsidP="00FC6C91">
      <w:pPr>
        <w:pStyle w:val="Fait"/>
        <w:rPr>
          <w:noProof/>
        </w:rPr>
      </w:pPr>
      <w:r>
        <w:rPr>
          <w:noProof/>
        </w:rPr>
        <w:t>Adoptat la Bruxelles,</w:t>
      </w:r>
    </w:p>
    <w:p w14:paraId="50B73B1B" w14:textId="77777777" w:rsidR="00363133" w:rsidRPr="004A66CD" w:rsidRDefault="00363133" w:rsidP="00FC6C91">
      <w:pPr>
        <w:pStyle w:val="Institutionquisigne"/>
        <w:rPr>
          <w:noProof/>
        </w:rPr>
      </w:pPr>
      <w:r w:rsidRPr="004A66CD">
        <w:rPr>
          <w:noProof/>
        </w:rPr>
        <w:t>Pentru Parlamentul European,</w:t>
      </w:r>
      <w:r w:rsidRPr="004A66CD">
        <w:rPr>
          <w:noProof/>
        </w:rPr>
        <w:tab/>
        <w:t>Pentru Consiliu,</w:t>
      </w:r>
    </w:p>
    <w:p w14:paraId="20635673" w14:textId="77777777" w:rsidR="00363133" w:rsidRPr="004A66CD" w:rsidRDefault="00363133" w:rsidP="00363133">
      <w:pPr>
        <w:pStyle w:val="Personnequisigne"/>
        <w:rPr>
          <w:noProof/>
        </w:rPr>
      </w:pPr>
      <w:r w:rsidRPr="004A66CD">
        <w:rPr>
          <w:noProof/>
        </w:rPr>
        <w:t>Președinta</w:t>
      </w:r>
      <w:r w:rsidRPr="004A66CD">
        <w:rPr>
          <w:noProof/>
        </w:rPr>
        <w:tab/>
        <w:t>Președintele</w:t>
      </w:r>
    </w:p>
    <w:sectPr w:rsidR="00363133" w:rsidRPr="004A66CD" w:rsidSect="004A0C82">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B81D" w14:textId="32E1EC41" w:rsidR="004A0C82" w:rsidRPr="004A0C82" w:rsidRDefault="004A0C82" w:rsidP="004A0C82">
    <w:pPr>
      <w:pStyle w:val="Footer"/>
      <w:rPr>
        <w:rFonts w:ascii="Arial" w:hAnsi="Arial" w:cs="Arial"/>
        <w:b/>
        <w:sz w:val="48"/>
      </w:rPr>
    </w:pPr>
    <w:r w:rsidRPr="004A0C82">
      <w:rPr>
        <w:rFonts w:ascii="Arial" w:hAnsi="Arial" w:cs="Arial"/>
        <w:b/>
        <w:sz w:val="48"/>
      </w:rPr>
      <w:t>RO</w:t>
    </w:r>
    <w:r w:rsidRPr="004A0C82">
      <w:rPr>
        <w:rFonts w:ascii="Arial" w:hAnsi="Arial" w:cs="Arial"/>
        <w:b/>
        <w:sz w:val="48"/>
      </w:rPr>
      <w:tab/>
    </w:r>
    <w:r w:rsidRPr="004A0C82">
      <w:rPr>
        <w:rFonts w:ascii="Arial" w:hAnsi="Arial" w:cs="Arial"/>
        <w:b/>
        <w:sz w:val="48"/>
      </w:rPr>
      <w:tab/>
    </w:r>
    <w:r w:rsidRPr="004A0C82">
      <w:tab/>
    </w:r>
    <w:r w:rsidRPr="004A0C8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2BBDB" w14:textId="3A18F3F1" w:rsidR="004A0C82" w:rsidRPr="004A0C82" w:rsidRDefault="004A0C82" w:rsidP="004A0C82">
    <w:pPr>
      <w:pStyle w:val="Footer"/>
      <w:rPr>
        <w:rFonts w:ascii="Arial" w:hAnsi="Arial" w:cs="Arial"/>
        <w:b/>
        <w:sz w:val="48"/>
      </w:rPr>
    </w:pPr>
    <w:r w:rsidRPr="004A0C82">
      <w:rPr>
        <w:rFonts w:ascii="Arial" w:hAnsi="Arial" w:cs="Arial"/>
        <w:b/>
        <w:sz w:val="48"/>
      </w:rPr>
      <w:t>RO</w:t>
    </w:r>
    <w:r w:rsidRPr="004A0C82">
      <w:rPr>
        <w:rFonts w:ascii="Arial" w:hAnsi="Arial" w:cs="Arial"/>
        <w:b/>
        <w:sz w:val="48"/>
      </w:rPr>
      <w:tab/>
    </w:r>
    <w:r w:rsidRPr="004A0C82">
      <w:rPr>
        <w:rFonts w:ascii="Arial" w:hAnsi="Arial" w:cs="Arial"/>
        <w:b/>
        <w:sz w:val="48"/>
      </w:rPr>
      <w:tab/>
    </w:r>
    <w:r w:rsidRPr="004A0C82">
      <w:tab/>
    </w:r>
    <w:r w:rsidRPr="004A0C8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6857C" w14:textId="77777777" w:rsidR="004A0C82" w:rsidRDefault="004A0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4437" w14:textId="6E0A1952" w:rsidR="004A0C82" w:rsidRPr="004A0C82" w:rsidRDefault="004A0C82" w:rsidP="004A0C82">
    <w:pPr>
      <w:pStyle w:val="Footer"/>
      <w:rPr>
        <w:rFonts w:ascii="Arial" w:hAnsi="Arial" w:cs="Arial"/>
        <w:b/>
        <w:sz w:val="48"/>
      </w:rPr>
    </w:pPr>
    <w:r w:rsidRPr="004A0C82">
      <w:rPr>
        <w:rFonts w:ascii="Arial" w:hAnsi="Arial" w:cs="Arial"/>
        <w:b/>
        <w:sz w:val="48"/>
      </w:rPr>
      <w:t>RO</w:t>
    </w:r>
    <w:r w:rsidRPr="004A0C82">
      <w:rPr>
        <w:rFonts w:ascii="Arial" w:hAnsi="Arial" w:cs="Arial"/>
        <w:b/>
        <w:sz w:val="48"/>
      </w:rPr>
      <w:tab/>
    </w:r>
    <w:r>
      <w:fldChar w:fldCharType="begin"/>
    </w:r>
    <w:r>
      <w:instrText xml:space="preserve"> PAGE  \* MERGEFORMAT </w:instrText>
    </w:r>
    <w:r>
      <w:fldChar w:fldCharType="separate"/>
    </w:r>
    <w:r w:rsidR="00FC6C91">
      <w:rPr>
        <w:noProof/>
      </w:rPr>
      <w:t>19</w:t>
    </w:r>
    <w:r>
      <w:fldChar w:fldCharType="end"/>
    </w:r>
    <w:r>
      <w:tab/>
    </w:r>
    <w:r w:rsidRPr="004A0C82">
      <w:tab/>
    </w:r>
    <w:r w:rsidRPr="004A0C82">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C3E7" w14:textId="77777777" w:rsidR="004A0C82" w:rsidRDefault="004A0C82" w:rsidP="004A0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DF3A29" w:rsidRDefault="008C306E" w:rsidP="008C306E">
      <w:pPr>
        <w:pStyle w:val="FootnoteText"/>
      </w:pPr>
      <w:r w:rsidRPr="00DF3A29">
        <w:rPr>
          <w:rStyle w:val="FootnoteReference"/>
        </w:rPr>
        <w:footnoteRef/>
      </w:r>
      <w:r w:rsidRPr="00DF3A29">
        <w:tab/>
        <w:t>Regulamentul Parlamentului European și al Consiliului din 14 mai 2024 de introducere a screeningului resortisanților țărilor terțe la frontierele externe și de modificare a Regulamentelor (CE) nr. 767/2008, (UE) 2017/2226, (UE) 2018/1240 și (UE) 2019/817 (JO L 2024/1356, 22.5.2024, ELI: </w:t>
      </w:r>
      <w:hyperlink r:id="rId1" w:tgtFrame="_blank" w:tooltip="Gives access to this document through its ELI URI." w:history="1">
        <w:r w:rsidRPr="00DF3A29">
          <w:rPr>
            <w:rStyle w:val="Hyperlink"/>
          </w:rPr>
          <w:t>http://data.europa.eu/eli/reg/2024/1356/oj</w:t>
        </w:r>
      </w:hyperlink>
      <w:r w:rsidRPr="00DF3A29">
        <w:t>). </w:t>
      </w:r>
    </w:p>
  </w:footnote>
  <w:footnote w:id="2">
    <w:p w14:paraId="7331594B" w14:textId="77777777" w:rsidR="00EB6497" w:rsidRPr="00DF3A29" w:rsidRDefault="00EB6497" w:rsidP="00EB6497">
      <w:pPr>
        <w:pStyle w:val="FootnoteText"/>
      </w:pPr>
      <w:r w:rsidRPr="00DF3A29">
        <w:rPr>
          <w:rStyle w:val="FootnoteReference"/>
        </w:rPr>
        <w:footnoteRef/>
      </w:r>
      <w:r w:rsidRPr="00DF3A29">
        <w:tab/>
        <w:t xml:space="preserve">Regulamentul (UE) 2021/1148 al Parlamentului European și al Consiliului din 7 iulie 2021 de instituire, ca parte a Fondului de management integrat al frontierelor, a Instrumentului de sprijin financiar pentru managementul frontierelor și politica de vize. </w:t>
      </w:r>
    </w:p>
  </w:footnote>
  <w:footnote w:id="3">
    <w:p w14:paraId="6343CBFD" w14:textId="6B114D28" w:rsidR="00970B74" w:rsidRPr="00DF3A29" w:rsidRDefault="00653241" w:rsidP="00970B74">
      <w:pPr>
        <w:pStyle w:val="FootnoteText"/>
        <w:rPr>
          <w:b/>
          <w:bCs/>
        </w:rPr>
      </w:pPr>
      <w:r w:rsidRPr="00DF3A29">
        <w:rPr>
          <w:rStyle w:val="FootnoteReference"/>
        </w:rPr>
        <w:footnoteRef/>
      </w:r>
      <w:r w:rsidRPr="00DF3A29">
        <w:tab/>
        <w:t>Regulamentul (UE) 2024/1351 al Parlamentului European și al Consiliului din 14 mai 2024 privind gestionarea azilului și migrației și de modificare a Regulamentelor (UE) 2021/1147 și (UE) 2021/1060 și de abrogare a Regulamentului (UE) nr. 604/2013 (JO L, 2024/1351, 22.5.2024, ELI:</w:t>
      </w:r>
      <w:r w:rsidR="000604D1">
        <w:rPr>
          <w:b/>
        </w:rPr>
        <w:t> </w:t>
      </w:r>
      <w:hyperlink r:id="rId2" w:tgtFrame="_blank" w:tooltip="Gives access to this document through its ELI URI." w:history="1">
        <w:r w:rsidRPr="00DF3A29">
          <w:rPr>
            <w:rStyle w:val="Hyperlink"/>
          </w:rPr>
          <w:t>http://data.europa.eu/eli/reg/2024/1351/oj</w:t>
        </w:r>
      </w:hyperlink>
      <w:r w:rsidRPr="00DF3A29">
        <w:t>).</w:t>
      </w:r>
    </w:p>
    <w:p w14:paraId="473B85DC" w14:textId="3AF592A2" w:rsidR="00286E0D" w:rsidRPr="00DF3A29" w:rsidRDefault="00286E0D" w:rsidP="00D274F9">
      <w:pPr>
        <w:pStyle w:val="FootnoteText"/>
      </w:pPr>
    </w:p>
  </w:footnote>
  <w:footnote w:id="4">
    <w:p w14:paraId="518B2D40" w14:textId="77777777" w:rsidR="00286E0D" w:rsidRPr="00DF3A29" w:rsidRDefault="00286E0D" w:rsidP="00286E0D">
      <w:pPr>
        <w:pStyle w:val="FootnoteText"/>
      </w:pPr>
      <w:r w:rsidRPr="00DF3A29">
        <w:rPr>
          <w:rStyle w:val="FootnoteReference"/>
        </w:rPr>
        <w:footnoteRef/>
      </w:r>
      <w:r w:rsidRPr="00DF3A29">
        <w:tab/>
        <w:t>JO C , , p. . .</w:t>
      </w:r>
    </w:p>
  </w:footnote>
  <w:footnote w:id="5">
    <w:p w14:paraId="6353D267" w14:textId="77777777" w:rsidR="00286E0D" w:rsidRPr="00DF3A29" w:rsidRDefault="00286E0D" w:rsidP="00286E0D">
      <w:pPr>
        <w:pStyle w:val="FootnoteText"/>
      </w:pPr>
      <w:r w:rsidRPr="00DF3A29">
        <w:rPr>
          <w:rStyle w:val="FootnoteReference"/>
        </w:rPr>
        <w:footnoteRef/>
      </w:r>
      <w:r w:rsidRPr="00DF3A29">
        <w:tab/>
        <w:t>Poziția Parlamentului European și poziția Consiliului din .</w:t>
      </w:r>
    </w:p>
  </w:footnote>
  <w:footnote w:id="6">
    <w:p w14:paraId="21BBB7AD" w14:textId="586A78F8" w:rsidR="00286E0D" w:rsidRPr="00DF3A29" w:rsidRDefault="00286E0D" w:rsidP="00286E0D">
      <w:pPr>
        <w:pStyle w:val="FootnoteText"/>
      </w:pPr>
      <w:r w:rsidRPr="00DF3A29">
        <w:rPr>
          <w:rStyle w:val="FootnoteReference"/>
        </w:rPr>
        <w:footnoteRef/>
      </w:r>
      <w:r w:rsidRPr="00DF3A29">
        <w:tab/>
        <w:t>Regulamentul (UE) 2019/1896 al Parlamentului European și al Consiliului din 13 noiembrie 2019 privind Poliția de frontieră și garda de coastă la nivel european și de abrogare a Regulamentelor (UE) nr. 1052/2013 și (UE) 2016/1624, (JO L 295, 14.11.2019, p. 1. ELI:</w:t>
      </w:r>
      <w:r w:rsidR="000604D1">
        <w:t> </w:t>
      </w:r>
      <w:hyperlink r:id="rId3" w:history="1">
        <w:r w:rsidR="00AB0430" w:rsidRPr="00DF3A29">
          <w:rPr>
            <w:rStyle w:val="Hyperlink"/>
          </w:rPr>
          <w:t>http://data.europa.eu/eli/reg/2019/1896/oj</w:t>
        </w:r>
      </w:hyperlink>
      <w:r w:rsidRPr="00DF3A29">
        <w:t>).</w:t>
      </w:r>
    </w:p>
  </w:footnote>
  <w:footnote w:id="7">
    <w:p w14:paraId="4FBDEC8E" w14:textId="77777777" w:rsidR="00286E0D" w:rsidRPr="00DF3A29" w:rsidRDefault="00286E0D" w:rsidP="00286E0D">
      <w:pPr>
        <w:pStyle w:val="FootnoteText"/>
      </w:pPr>
      <w:r w:rsidRPr="00DF3A29">
        <w:rPr>
          <w:rStyle w:val="FootnoteReference"/>
        </w:rPr>
        <w:footnoteRef/>
      </w:r>
      <w:r w:rsidRPr="00DF3A29">
        <w:tab/>
        <w:t>JO L 144, 6.6.2007, p. 22.</w:t>
      </w:r>
    </w:p>
  </w:footnote>
  <w:footnote w:id="8">
    <w:p w14:paraId="4428EE6F" w14:textId="77908AE6" w:rsidR="00286E0D" w:rsidRPr="00DF3A29" w:rsidRDefault="00286E0D" w:rsidP="00286E0D">
      <w:pPr>
        <w:pStyle w:val="FootnoteText"/>
      </w:pPr>
      <w:r w:rsidRPr="00DF3A29">
        <w:rPr>
          <w:rStyle w:val="FootnoteReference"/>
        </w:rPr>
        <w:footnoteRef/>
      </w:r>
      <w:r w:rsidRPr="00DF3A29">
        <w:tab/>
        <w:t>Regulamentul (UE) nr. 515/2014 al Parlamentului European și al Consiliului din 16 aprilie 2014 de instituire, în cadrul Fondului pentru securitate internă, a instrumentului de sprijin financiar pentru frontiere externe și vize și de abrogare a Deciziei nr. 574/2007/CE (JO L 150, 20.5.2014, p. 143, ELI:</w:t>
      </w:r>
      <w:r w:rsidR="000604D1">
        <w:t> </w:t>
      </w:r>
      <w:hyperlink r:id="rId4" w:history="1">
        <w:r w:rsidRPr="00DF3A29">
          <w:rPr>
            <w:rStyle w:val="Hyperlink"/>
          </w:rPr>
          <w:t>http://data.europa.eu/eli/reg/2014/515/oj</w:t>
        </w:r>
      </w:hyperlink>
      <w:r w:rsidRPr="00DF3A29">
        <w:t>).</w:t>
      </w:r>
    </w:p>
  </w:footnote>
  <w:footnote w:id="9">
    <w:p w14:paraId="714FF2E9" w14:textId="109EF99D" w:rsidR="00286E0D" w:rsidRPr="00DF3A29" w:rsidRDefault="00286E0D" w:rsidP="00286E0D">
      <w:pPr>
        <w:pStyle w:val="FootnoteText"/>
      </w:pPr>
      <w:r w:rsidRPr="00DF3A29">
        <w:rPr>
          <w:rStyle w:val="FootnoteReference"/>
        </w:rPr>
        <w:footnoteRef/>
      </w:r>
      <w:r w:rsidRPr="00DF3A29">
        <w:tab/>
        <w:t>Regulamentul (UE) 2021/1148 al Parlamentului European și al Consiliului din 7 iulie 2021 de instituire, ca parte a Fondului de management integrat al frontierelor, a Instrumentului de sprijin financiar pentru managementul frontierelor și politica de vize (JO L 251, 15.7.2021, p. 48, ELI:</w:t>
      </w:r>
      <w:r w:rsidR="000604D1">
        <w:t> </w:t>
      </w:r>
      <w:hyperlink r:id="rId5" w:history="1">
        <w:r w:rsidRPr="00DF3A29">
          <w:rPr>
            <w:rStyle w:val="Hyperlink"/>
          </w:rPr>
          <w:t>http://data.europa.eu/eli/reg/2021/1148/oj</w:t>
        </w:r>
      </w:hyperlink>
      <w:r w:rsidRPr="00DF3A29">
        <w:t>).</w:t>
      </w:r>
    </w:p>
  </w:footnote>
  <w:footnote w:id="10">
    <w:p w14:paraId="2326C5A3" w14:textId="77777777" w:rsidR="00BA3EDB" w:rsidRPr="00DF3A29" w:rsidRDefault="00BA3EDB" w:rsidP="00BA3EDB">
      <w:pPr>
        <w:pStyle w:val="FootnoteText"/>
      </w:pPr>
      <w:r w:rsidRPr="00DF3A29">
        <w:rPr>
          <w:rStyle w:val="FootnoteReference"/>
        </w:rPr>
        <w:footnoteRef/>
      </w:r>
      <w:r w:rsidRPr="00DF3A29">
        <w:tab/>
        <w:t>Comunicare a Comisiei către Parlamentul European și Consiliu privind contracararea amenințărilor hibride generate de utilizarea migrației ca armă și consolidarea securității la frontierele externe ale UE [COM(2024) 570 final din 11.12.2024].</w:t>
      </w:r>
    </w:p>
  </w:footnote>
  <w:footnote w:id="11">
    <w:p w14:paraId="2178D4C2" w14:textId="77777777" w:rsidR="00286E0D" w:rsidRPr="00DF3A29" w:rsidRDefault="00286E0D" w:rsidP="00286E0D">
      <w:pPr>
        <w:pStyle w:val="FootnoteText"/>
      </w:pPr>
      <w:r w:rsidRPr="00DF3A29">
        <w:rPr>
          <w:rStyle w:val="FootnoteReference"/>
        </w:rPr>
        <w:footnoteRef/>
      </w:r>
      <w:r w:rsidRPr="00DF3A29">
        <w:tab/>
        <w:t xml:space="preserve">Regulamentul (UE) 2018/1240 al Parlamentului European și al Consiliului din 12 septembrie 2018 de instituire a Sistemului european de informații și de autorizare privind călătoriile (ETIAS) și de modificare a Regulamentelor (UE) nr. 1077/2011, (UE) nr. 515/2014, (UE) 2016/399, (UE) 2016/1624 și (UE) 2017/2226 (JO L 236, 19.9.2018, p. 1, ELI: </w:t>
      </w:r>
      <w:hyperlink r:id="rId6" w:history="1">
        <w:r w:rsidRPr="00DF3A29">
          <w:rPr>
            <w:rStyle w:val="Hyperlink"/>
          </w:rPr>
          <w:t>http://data.europa.eu/eli/reg/2018/1240/oj</w:t>
        </w:r>
      </w:hyperlink>
      <w:r w:rsidRPr="00DF3A29">
        <w:t>).</w:t>
      </w:r>
    </w:p>
  </w:footnote>
  <w:footnote w:id="12">
    <w:p w14:paraId="3386E873" w14:textId="62627C4A" w:rsidR="00286E0D" w:rsidRPr="00DF3A29" w:rsidRDefault="00286E0D" w:rsidP="00286E0D">
      <w:pPr>
        <w:pStyle w:val="FootnoteText"/>
      </w:pPr>
      <w:r w:rsidRPr="00DF3A29">
        <w:rPr>
          <w:rStyle w:val="FootnoteReference"/>
        </w:rPr>
        <w:footnoteRef/>
      </w:r>
      <w:r w:rsidRPr="00DF3A29">
        <w:tab/>
        <w:t>Regulamentul (UE) 2024/1351 al Parlamentului European și al Consiliului din 14 mai 2024 privind gestionarea azilului și migrației și de modificare a Regulamentelor (UE) 2021/1147 și (UE) 2021/1060 și de abrogare a Regulamentului (UE) nr. 604/2013 (JO L, 2024/1351, 22.5.2024, ELI:</w:t>
      </w:r>
      <w:r w:rsidR="000604D1">
        <w:t> </w:t>
      </w:r>
      <w:hyperlink r:id="rId7" w:history="1">
        <w:r w:rsidRPr="00DF3A29">
          <w:rPr>
            <w:rStyle w:val="Hyperlink"/>
          </w:rPr>
          <w:t>http://data.europa.eu/eli/reg/2024/1351/oj</w:t>
        </w:r>
      </w:hyperlink>
      <w:r w:rsidRPr="00DF3A29">
        <w:t>).</w:t>
      </w:r>
    </w:p>
  </w:footnote>
  <w:footnote w:id="13">
    <w:p w14:paraId="599052AD" w14:textId="7E285F86" w:rsidR="00286E0D" w:rsidRPr="00DF3A29" w:rsidRDefault="00286E0D" w:rsidP="00286E0D">
      <w:pPr>
        <w:pStyle w:val="FootnoteText"/>
      </w:pPr>
      <w:r w:rsidRPr="00DF3A29">
        <w:rPr>
          <w:rStyle w:val="FootnoteReference"/>
        </w:rPr>
        <w:footnoteRef/>
      </w:r>
      <w:r w:rsidRPr="00DF3A29">
        <w:tab/>
        <w:t>Actul privind condițiile de aderare a Republicii Cehe, a Republicii Estonia, a Republicii Cipru, a Republicii Letonia, a Republicii Lituania, a Ungariei, a Republicii Malta, a Republicii Polone, a Republicii Slovenia și a Republicii Slovace și adaptările tratatelor pe care se întemeiază Uniunea Europeană (JO L 236, 23.9.2003, p. 955, ELI:</w:t>
      </w:r>
      <w:r w:rsidR="000604D1">
        <w:t> </w:t>
      </w:r>
      <w:r w:rsidRPr="00DF3A29">
        <w:t>http://data.europa.eu/eli/treaty/acc_2003/act_1/pro_10/sign).</w:t>
      </w:r>
    </w:p>
  </w:footnote>
  <w:footnote w:id="14">
    <w:p w14:paraId="10C09AF4" w14:textId="1C1789D1" w:rsidR="00286E0D" w:rsidRPr="00DF3A29" w:rsidRDefault="00286E0D" w:rsidP="00286E0D">
      <w:pPr>
        <w:pStyle w:val="FootnoteText"/>
      </w:pPr>
      <w:r w:rsidRPr="00DF3A29">
        <w:rPr>
          <w:rStyle w:val="FootnoteReference"/>
        </w:rPr>
        <w:footnoteRef/>
      </w:r>
      <w:r w:rsidRPr="00DF3A29">
        <w:tab/>
        <w:t>Regulamentul (CE) nr. 693/2003 al Consiliului din 14 aprilie 2003 de stabilire a unui document de facilitare a tranzitului (FTD), a unui document de facilitare a tranzitului feroviar (FRTD) și de modificare a Instrucțiunilor consulare comune și a Manualului comun (JO L 99, 17.4.2003, p. 8, ELI:</w:t>
      </w:r>
      <w:r w:rsidR="000604D1">
        <w:t> </w:t>
      </w:r>
      <w:hyperlink r:id="rId8" w:history="1">
        <w:r w:rsidRPr="00DF3A29">
          <w:rPr>
            <w:rStyle w:val="Hyperlink"/>
          </w:rPr>
          <w:t>http://data.europa.eu/eli/reg/2003/693/oj</w:t>
        </w:r>
      </w:hyperlink>
      <w:r w:rsidRPr="00DF3A29">
        <w:t>).</w:t>
      </w:r>
    </w:p>
  </w:footnote>
  <w:footnote w:id="15">
    <w:p w14:paraId="48054FE4" w14:textId="77777777" w:rsidR="00286E0D" w:rsidRPr="00DF3A29" w:rsidRDefault="00286E0D" w:rsidP="00286E0D">
      <w:pPr>
        <w:pStyle w:val="FootnoteText"/>
      </w:pPr>
      <w:r w:rsidRPr="00DF3A29">
        <w:rPr>
          <w:rStyle w:val="FootnoteReference"/>
        </w:rPr>
        <w:footnoteRef/>
      </w:r>
      <w:r w:rsidRPr="00DF3A29">
        <w:tab/>
        <w:t>JO L 176, 10.7.1999, p. 36.</w:t>
      </w:r>
    </w:p>
  </w:footnote>
  <w:footnote w:id="16">
    <w:p w14:paraId="0ED6C216" w14:textId="77777777" w:rsidR="00286E0D" w:rsidRPr="00DF3A29" w:rsidRDefault="00286E0D" w:rsidP="00286E0D">
      <w:pPr>
        <w:pStyle w:val="FootnoteText"/>
      </w:pPr>
      <w:r w:rsidRPr="00DF3A29">
        <w:rPr>
          <w:rStyle w:val="FootnoteReference"/>
        </w:rPr>
        <w:footnoteRef/>
      </w:r>
      <w:r w:rsidRPr="00DF3A29">
        <w:tab/>
        <w:t xml:space="preserve">Decizia 1999/437/CE a Consiliului din 17 mai 1999 privind anumite modalități de aplicare a Acordului încheiat între Consiliul Uniunii Europene și Islanda și Regatul Norvegiei în ceea ce privește asocierea acestor două state în vederea punerii în aplicare, a asigurării respectării și dezvoltării acquis-ului Schengen (JO L 176, 10.7.1999, p. 31, ELI: </w:t>
      </w:r>
      <w:hyperlink r:id="rId9" w:history="1">
        <w:r w:rsidRPr="00DF3A29">
          <w:rPr>
            <w:rStyle w:val="Hyperlink"/>
          </w:rPr>
          <w:t>http://data.europa.eu/eli/dec/1999/437/oj</w:t>
        </w:r>
      </w:hyperlink>
      <w:r w:rsidRPr="00DF3A29">
        <w:t>).</w:t>
      </w:r>
    </w:p>
  </w:footnote>
  <w:footnote w:id="17">
    <w:p w14:paraId="5FE07AD1" w14:textId="77777777" w:rsidR="00286E0D" w:rsidRPr="00DF3A29" w:rsidRDefault="00286E0D" w:rsidP="00286E0D">
      <w:pPr>
        <w:pStyle w:val="FootnoteText"/>
      </w:pPr>
      <w:r w:rsidRPr="00DF3A29">
        <w:rPr>
          <w:rStyle w:val="FootnoteReference"/>
        </w:rPr>
        <w:footnoteRef/>
      </w:r>
      <w:r w:rsidRPr="00DF3A29">
        <w:tab/>
        <w:t>JO L 53, 27.2.2008, p. 52.</w:t>
      </w:r>
    </w:p>
  </w:footnote>
  <w:footnote w:id="18">
    <w:p w14:paraId="41D47FF0" w14:textId="72C54C77" w:rsidR="00286E0D" w:rsidRPr="00DF3A29" w:rsidRDefault="00286E0D" w:rsidP="00286E0D">
      <w:pPr>
        <w:pStyle w:val="FootnoteText"/>
      </w:pPr>
      <w:r w:rsidRPr="00DF3A29">
        <w:rPr>
          <w:rStyle w:val="FootnoteReference"/>
        </w:rPr>
        <w:footnoteRef/>
      </w:r>
      <w:r w:rsidRPr="00DF3A29">
        <w:tab/>
        <w:t>Decizia 2008/146/CE a Consiliului din 28 ianuarie 2008 privind încheierea, în numele Comunității</w:t>
      </w:r>
      <w:r w:rsidR="000604D1">
        <w:t> </w:t>
      </w:r>
      <w:r w:rsidRPr="00DF3A29">
        <w:t>Europene, a Acordului între Uniunea Europeană, Comunitatea Europeană și Confederația</w:t>
      </w:r>
      <w:r w:rsidR="000604D1">
        <w:t> </w:t>
      </w:r>
      <w:r w:rsidRPr="00DF3A29">
        <w:t>Elvețiană cu privire la asocierea Confederației Elvețiene la punerea în aplicare, respectarea și dezvoltarea acquis-ului Schengen (JO L 53, 27.2.2008, p. 1, ELI:</w:t>
      </w:r>
      <w:r w:rsidR="000604D1">
        <w:t> </w:t>
      </w:r>
      <w:hyperlink r:id="rId10" w:history="1">
        <w:r w:rsidRPr="00DF3A29">
          <w:rPr>
            <w:rStyle w:val="Hyperlink"/>
          </w:rPr>
          <w:t>http://data.europa.eu/eli/dec/2008/146/oj</w:t>
        </w:r>
      </w:hyperlink>
      <w:r w:rsidRPr="00DF3A29">
        <w:t>).</w:t>
      </w:r>
    </w:p>
  </w:footnote>
  <w:footnote w:id="19">
    <w:p w14:paraId="103CF621" w14:textId="67888A8F" w:rsidR="00286E0D" w:rsidRPr="00DF3A29" w:rsidRDefault="00286E0D" w:rsidP="00286E0D">
      <w:pPr>
        <w:pStyle w:val="FootnoteText"/>
      </w:pPr>
      <w:r w:rsidRPr="00DF3A29">
        <w:rPr>
          <w:rStyle w:val="FootnoteReference"/>
        </w:rPr>
        <w:footnoteRef/>
      </w:r>
      <w:r w:rsidRPr="00DF3A29">
        <w:tab/>
        <w:t xml:space="preserve">JO L 160, 18.6.2011, p. 21, ELI: </w:t>
      </w:r>
      <w:hyperlink r:id="rId11" w:history="1">
        <w:r w:rsidR="00AB0430" w:rsidRPr="00DF3A29">
          <w:rPr>
            <w:rStyle w:val="Hyperlink"/>
          </w:rPr>
          <w:t>http://data.europa.eu/eli/prot/2011/350/oj</w:t>
        </w:r>
      </w:hyperlink>
      <w:r w:rsidRPr="00DF3A29">
        <w:t>.</w:t>
      </w:r>
    </w:p>
  </w:footnote>
  <w:footnote w:id="20">
    <w:p w14:paraId="0DBAFE99" w14:textId="6DE8A4A0" w:rsidR="00286E0D" w:rsidRPr="00DF3A29" w:rsidRDefault="00286E0D" w:rsidP="00286E0D">
      <w:pPr>
        <w:pStyle w:val="FootnoteText"/>
      </w:pPr>
      <w:r w:rsidRPr="00DF3A29">
        <w:rPr>
          <w:rStyle w:val="FootnoteReference"/>
        </w:rPr>
        <w:footnoteRef/>
      </w:r>
      <w:r w:rsidRPr="00DF3A29">
        <w:tab/>
        <w:t>Decizia 2011/350/UE a Consiliului din 7 martie 2011 privind încheierea, în numele Uniunii Europene, a Protocolului dintre Uniunea Europeană, Comunitatea Europeană, Confederația Elvețiană și Principatul Liechtenstein privind aderarea Principatului Liechtenstein la Acordul dintre Uniunea Europeană, Comunitatea Europeană și Confederația Elvețiană privind asocierea Confederației Elvețiene la punerea în aplicare, respectarea și dezvoltarea acquis-ului Schengen, în ceea ce privește eliminarea controalelor la frontierele interne și circulația persoanelor (JO L 160, 18.6.2011, p. 19, ELI:</w:t>
      </w:r>
      <w:r w:rsidR="000604D1">
        <w:t> </w:t>
      </w:r>
      <w:hyperlink r:id="rId12" w:history="1">
        <w:r w:rsidRPr="00DF3A29">
          <w:rPr>
            <w:rStyle w:val="Hyperlink"/>
          </w:rPr>
          <w:t>http://data.europa.eu/eli/dec/2011/350/oj</w:t>
        </w:r>
      </w:hyperlink>
      <w:r w:rsidRPr="00DF3A29">
        <w:t>).</w:t>
      </w:r>
    </w:p>
  </w:footnote>
  <w:footnote w:id="21">
    <w:p w14:paraId="59C5E64F" w14:textId="59DA66DF" w:rsidR="00286E0D" w:rsidRPr="00DF3A29" w:rsidRDefault="00286E0D" w:rsidP="00286E0D">
      <w:pPr>
        <w:pStyle w:val="FootnoteText"/>
      </w:pPr>
      <w:r w:rsidRPr="00DF3A29">
        <w:rPr>
          <w:rStyle w:val="FootnoteReference"/>
        </w:rPr>
        <w:footnoteRef/>
      </w:r>
      <w:r w:rsidRPr="00DF3A29">
        <w:tab/>
        <w:t>Decizia 2002/192/CE a Consiliului din 28 februarie 2002 privind solicitarea Irlandei de a participa la unele dintre dispozițiile acquis-ului Schengen (JO L 64, 7.3.2002, p. 20, ELI:</w:t>
      </w:r>
      <w:r w:rsidR="000604D1">
        <w:t> </w:t>
      </w:r>
      <w:hyperlink r:id="rId13" w:history="1">
        <w:r w:rsidR="00AB0430" w:rsidRPr="00DF3A29">
          <w:rPr>
            <w:rStyle w:val="Hyperlink"/>
          </w:rPr>
          <w:t>http://data.europa.eu/eli/dec/2002/192/oj</w:t>
        </w:r>
      </w:hyperlink>
      <w:r w:rsidRPr="00DF3A29">
        <w:t>).</w:t>
      </w:r>
    </w:p>
  </w:footnote>
  <w:footnote w:id="22">
    <w:p w14:paraId="18213D6B" w14:textId="3FCBAD91" w:rsidR="00286E0D" w:rsidRPr="00DF3A29" w:rsidRDefault="00286E0D" w:rsidP="00286E0D">
      <w:pPr>
        <w:pStyle w:val="FootnoteText"/>
      </w:pPr>
      <w:r w:rsidRPr="00DF3A29">
        <w:rPr>
          <w:rStyle w:val="FootnoteReference"/>
        </w:rPr>
        <w:footnoteRef/>
      </w:r>
      <w:r w:rsidRPr="00DF3A29">
        <w:tab/>
        <w:t xml:space="preserve">Regulamentul (UE) 2016/399 al Parlamentului European și al Consiliului din 9 martie 2016 cu privire la Codul Uniunii privind regimul de trecere a frontierelor de către persoane (Codul frontierelor Schengen) (text codificat), JO L 77, 23.3.2016, p. 1, ELI: </w:t>
      </w:r>
      <w:hyperlink r:id="rId14" w:history="1">
        <w:r w:rsidR="00AB0430" w:rsidRPr="00DF3A29">
          <w:rPr>
            <w:rStyle w:val="Hyperlink"/>
          </w:rPr>
          <w:t>http://data.europa.eu/eli/reg/2016/399/oj</w:t>
        </w:r>
      </w:hyperlink>
      <w:r w:rsidRPr="00DF3A29">
        <w:t>).</w:t>
      </w:r>
    </w:p>
  </w:footnote>
  <w:footnote w:id="23">
    <w:p w14:paraId="4E3DE7BE" w14:textId="77777777" w:rsidR="00286E0D" w:rsidRPr="00DF3A29" w:rsidRDefault="00286E0D" w:rsidP="00286E0D">
      <w:pPr>
        <w:pStyle w:val="FootnoteText"/>
      </w:pPr>
      <w:r w:rsidRPr="00DF3A29">
        <w:rPr>
          <w:rStyle w:val="FootnoteReference"/>
        </w:rPr>
        <w:footnoteRef/>
      </w:r>
      <w:r w:rsidRPr="00DF3A29">
        <w:tab/>
        <w:t>Regulamentul (UE) 2019/1896 al Parlamentului European și al Consiliului din 13 noiembrie 2019 privind Poliția de frontieră și garda de coastă la nivel european și de abrogare a Regulamentelor (UE) nr. 1052/2013 și (UE) 2016/1624 (JO L 295, 14.11.2019, p. 1).</w:t>
      </w:r>
    </w:p>
  </w:footnote>
  <w:footnote w:id="24">
    <w:p w14:paraId="37F054DE" w14:textId="77777777" w:rsidR="00286E0D" w:rsidRPr="00DF3A29" w:rsidRDefault="00286E0D" w:rsidP="00286E0D">
      <w:pPr>
        <w:pStyle w:val="FootnoteText"/>
      </w:pPr>
      <w:r w:rsidRPr="00DF3A29">
        <w:rPr>
          <w:rStyle w:val="FootnoteReference"/>
        </w:rPr>
        <w:footnoteRef/>
      </w:r>
      <w:r w:rsidRPr="00DF3A29">
        <w:tab/>
        <w:t>Regulamentul (UE) 2016/399 al Parlamentului European și al Consiliului din 9 martie 2016 cu privire la Codul Uniunii privind regimul de trecere a frontierelor de către persoane (Codul frontierelor Schengen) (text codificat) (JO L 77, 23.3.2016, p. 1).</w:t>
      </w:r>
    </w:p>
  </w:footnote>
  <w:footnote w:id="25">
    <w:p w14:paraId="19F49142" w14:textId="77777777" w:rsidR="00286E0D" w:rsidRPr="00DF3A29" w:rsidRDefault="00286E0D" w:rsidP="00286E0D">
      <w:pPr>
        <w:pStyle w:val="FootnoteText"/>
      </w:pPr>
      <w:r w:rsidRPr="00DF3A29">
        <w:rPr>
          <w:rStyle w:val="FootnoteReference"/>
        </w:rPr>
        <w:footnoteRef/>
      </w:r>
      <w:r w:rsidRPr="00DF3A29">
        <w:tab/>
        <w:t>Regulamentul (UE) 2019/1896 al Parlamentului European și al Consiliului din 13 noiembrie 2019 privind Poliția de frontieră și garda de coastă la nivel european și de abrogare a Regulamentelor (UE) nr. 1052/2013 și (UE) 2016/1624 (JO L 295, 14.11.2019, p. 1).</w:t>
      </w:r>
    </w:p>
  </w:footnote>
  <w:footnote w:id="26">
    <w:p w14:paraId="567544D3" w14:textId="14A854E8" w:rsidR="00286E0D" w:rsidRPr="00DF3A29" w:rsidRDefault="00286E0D" w:rsidP="00D274F9">
      <w:pPr>
        <w:pStyle w:val="FootnoteText"/>
      </w:pPr>
      <w:r w:rsidRPr="00DF3A29">
        <w:rPr>
          <w:rStyle w:val="FootnoteReference"/>
        </w:rPr>
        <w:footnoteRef/>
      </w:r>
      <w:r w:rsidRPr="00DF3A29">
        <w:tab/>
        <w:t>Regulamentul (CE) nr. 810/2009 al Parlamentului European și al Consiliului din 13 iulie 2009 privind instituirea unui Cod comunitar de vize (Codul de vize) (JO L 243, 15.9.2009, p. 1, ELI:</w:t>
      </w:r>
      <w:r w:rsidR="00492CAA">
        <w:t> </w:t>
      </w:r>
      <w:r w:rsidRPr="00DF3A29">
        <w:t>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E6A7" w14:textId="77777777" w:rsidR="004A0C82" w:rsidRDefault="004A0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4193" w14:textId="77777777" w:rsidR="004A0C82" w:rsidRDefault="004A0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24D2F99-E572-4DA4-A75A-0279A395E902"/>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instituire a sprijinului Uniunii pentru spa\u539?iul Schengen, pentru gestionarea european\u259? integrat\u259? a frontierelor \u537?i pentru politica comun\u259? în domeniul vizelor pentru perioada 2028-2034"/>
    <w:docVar w:name="LW_TYPE.DOC.CP" w:val="REGULAMENT AL PARLAMENTULUI EUROPEAN \u536?I AL CONSILIULUI"/>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04D1"/>
    <w:rsid w:val="00067273"/>
    <w:rsid w:val="000706FB"/>
    <w:rsid w:val="00075C80"/>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D50"/>
    <w:rsid w:val="001C3E3A"/>
    <w:rsid w:val="001C585A"/>
    <w:rsid w:val="001D12A3"/>
    <w:rsid w:val="001D3B94"/>
    <w:rsid w:val="001D75F7"/>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C32C8"/>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27FF"/>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3F4F06"/>
    <w:rsid w:val="00401265"/>
    <w:rsid w:val="00404366"/>
    <w:rsid w:val="0040777A"/>
    <w:rsid w:val="0041089E"/>
    <w:rsid w:val="004168ED"/>
    <w:rsid w:val="00417A47"/>
    <w:rsid w:val="0042042F"/>
    <w:rsid w:val="004218BF"/>
    <w:rsid w:val="0042326B"/>
    <w:rsid w:val="0042648E"/>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AA"/>
    <w:rsid w:val="00492CDB"/>
    <w:rsid w:val="004936D2"/>
    <w:rsid w:val="004A0C82"/>
    <w:rsid w:val="004A1712"/>
    <w:rsid w:val="004A66CD"/>
    <w:rsid w:val="004B1847"/>
    <w:rsid w:val="004B248F"/>
    <w:rsid w:val="004C015A"/>
    <w:rsid w:val="004C16BD"/>
    <w:rsid w:val="004D6E4B"/>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44A5B"/>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2CBF"/>
    <w:rsid w:val="007C5FAB"/>
    <w:rsid w:val="007C726D"/>
    <w:rsid w:val="007D07F8"/>
    <w:rsid w:val="007D1BB6"/>
    <w:rsid w:val="007D3199"/>
    <w:rsid w:val="007E05B0"/>
    <w:rsid w:val="007F21BA"/>
    <w:rsid w:val="007F2C9B"/>
    <w:rsid w:val="00802740"/>
    <w:rsid w:val="008053F0"/>
    <w:rsid w:val="00806AC4"/>
    <w:rsid w:val="0081251E"/>
    <w:rsid w:val="00813BB0"/>
    <w:rsid w:val="00816AF2"/>
    <w:rsid w:val="008252C7"/>
    <w:rsid w:val="00833EDD"/>
    <w:rsid w:val="00835316"/>
    <w:rsid w:val="008354EE"/>
    <w:rsid w:val="00835827"/>
    <w:rsid w:val="00843E75"/>
    <w:rsid w:val="008450AE"/>
    <w:rsid w:val="0085236F"/>
    <w:rsid w:val="008539A6"/>
    <w:rsid w:val="00854712"/>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0D2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36EB5"/>
    <w:rsid w:val="00A42580"/>
    <w:rsid w:val="00A60815"/>
    <w:rsid w:val="00A61048"/>
    <w:rsid w:val="00A64159"/>
    <w:rsid w:val="00A6493C"/>
    <w:rsid w:val="00A66884"/>
    <w:rsid w:val="00A66D6F"/>
    <w:rsid w:val="00A72477"/>
    <w:rsid w:val="00A86799"/>
    <w:rsid w:val="00A902CE"/>
    <w:rsid w:val="00AA4575"/>
    <w:rsid w:val="00AA59F2"/>
    <w:rsid w:val="00AB0430"/>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44050"/>
    <w:rsid w:val="00C51BA3"/>
    <w:rsid w:val="00C531FB"/>
    <w:rsid w:val="00C73E4C"/>
    <w:rsid w:val="00C810C1"/>
    <w:rsid w:val="00CA41A1"/>
    <w:rsid w:val="00CA7A64"/>
    <w:rsid w:val="00CB1A5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3A29"/>
    <w:rsid w:val="00DF5074"/>
    <w:rsid w:val="00E0032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73C56"/>
    <w:rsid w:val="00F82989"/>
    <w:rsid w:val="00F85687"/>
    <w:rsid w:val="00F91A52"/>
    <w:rsid w:val="00F91F56"/>
    <w:rsid w:val="00FA14DC"/>
    <w:rsid w:val="00FA1E9B"/>
    <w:rsid w:val="00FA2069"/>
    <w:rsid w:val="00FA2A07"/>
    <w:rsid w:val="00FA3905"/>
    <w:rsid w:val="00FA401C"/>
    <w:rsid w:val="00FA5BBE"/>
    <w:rsid w:val="00FA5FF3"/>
    <w:rsid w:val="00FB0C48"/>
    <w:rsid w:val="00FB3613"/>
    <w:rsid w:val="00FC38F8"/>
    <w:rsid w:val="00FC6C91"/>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ro-RO"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ro-RO"/>
    </w:rPr>
  </w:style>
  <w:style w:type="character" w:customStyle="1" w:styleId="FooterCoverPageChar">
    <w:name w:val="Footer Cover Page Char"/>
    <w:link w:val="FooterCoverPage"/>
    <w:rsid w:val="00286E0D"/>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ro-RO" w:eastAsia="en-GB"/>
    </w:rPr>
  </w:style>
  <w:style w:type="character" w:customStyle="1" w:styleId="FooterSensitivityChar">
    <w:name w:val="Footer Sensitivity Char"/>
    <w:rsid w:val="00286E0D"/>
    <w:rPr>
      <w:rFonts w:ascii="Times New Roman" w:hAnsi="Times New Roman" w:cs="Times New Roman"/>
      <w:b/>
      <w:sz w:val="32"/>
      <w:lang w:val="ro-RO"/>
    </w:rPr>
  </w:style>
  <w:style w:type="character" w:customStyle="1" w:styleId="HeaderSensitivityChar">
    <w:name w:val="Header Sensitivity Char"/>
    <w:rsid w:val="00286E0D"/>
    <w:rPr>
      <w:rFonts w:ascii="Times New Roman" w:hAnsi="Times New Roman" w:cs="Times New Roman"/>
      <w:b/>
      <w:sz w:val="32"/>
      <w:lang w:val="ro-RO"/>
    </w:rPr>
  </w:style>
  <w:style w:type="character" w:customStyle="1" w:styleId="HeaderSensitivityRightChar">
    <w:name w:val="Header Sensitivity Right Char"/>
    <w:rsid w:val="00286E0D"/>
    <w:rPr>
      <w:rFonts w:ascii="Times New Roman" w:hAnsi="Times New Roman" w:cs="Times New Roman"/>
      <w:sz w:val="28"/>
      <w:lang w:val="ro-RO"/>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ro-RO"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UnresolvedMention">
    <w:name w:val="Unresolved Mention"/>
    <w:basedOn w:val="DefaultParagraphFont"/>
    <w:uiPriority w:val="99"/>
    <w:semiHidden/>
    <w:unhideWhenUsed/>
    <w:rsid w:val="00AB0430"/>
    <w:rPr>
      <w:color w:val="605E5C"/>
      <w:shd w:val="clear" w:color="auto" w:fill="E1DFDD"/>
    </w:rPr>
  </w:style>
  <w:style w:type="character" w:customStyle="1" w:styleId="HeaderChar">
    <w:name w:val="Header Char"/>
    <w:basedOn w:val="DefaultParagraphFont"/>
    <w:link w:val="Header"/>
    <w:uiPriority w:val="99"/>
    <w:rsid w:val="004A0C82"/>
    <w:rPr>
      <w:rFonts w:ascii="Times New Roman" w:hAnsi="Times New Roman" w:cs="Times New Roman"/>
      <w:sz w:val="24"/>
      <w:lang w:val="ro-RO"/>
    </w:rPr>
  </w:style>
  <w:style w:type="character" w:customStyle="1" w:styleId="FooterChar">
    <w:name w:val="Footer Char"/>
    <w:basedOn w:val="DefaultParagraphFont"/>
    <w:link w:val="Footer"/>
    <w:uiPriority w:val="99"/>
    <w:rsid w:val="004A0C82"/>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A0C8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A0C82"/>
    <w:pPr>
      <w:spacing w:before="0"/>
      <w:jc w:val="right"/>
    </w:pPr>
    <w:rPr>
      <w:sz w:val="28"/>
    </w:rPr>
  </w:style>
  <w:style w:type="paragraph" w:customStyle="1" w:styleId="FooterSensitivity">
    <w:name w:val="Footer Sensitivity"/>
    <w:basedOn w:val="Normal"/>
    <w:rsid w:val="004A0C8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A0C82"/>
    <w:pPr>
      <w:tabs>
        <w:tab w:val="center" w:pos="4535"/>
        <w:tab w:val="right" w:pos="9071"/>
      </w:tabs>
      <w:spacing w:before="0"/>
    </w:pPr>
  </w:style>
  <w:style w:type="paragraph" w:customStyle="1" w:styleId="HeaderLandscape">
    <w:name w:val="HeaderLandscape"/>
    <w:basedOn w:val="Normal"/>
    <w:rsid w:val="004A0C82"/>
    <w:pPr>
      <w:tabs>
        <w:tab w:val="center" w:pos="7285"/>
        <w:tab w:val="right" w:pos="14003"/>
      </w:tabs>
      <w:spacing w:before="0"/>
    </w:pPr>
  </w:style>
  <w:style w:type="paragraph" w:styleId="Footer">
    <w:name w:val="footer"/>
    <w:basedOn w:val="Normal"/>
    <w:link w:val="FooterChar"/>
    <w:uiPriority w:val="99"/>
    <w:unhideWhenUsed/>
    <w:rsid w:val="004A0C8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A0C8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03/693/oj" TargetMode="External"/><Relationship Id="rId13" Type="http://schemas.openxmlformats.org/officeDocument/2006/relationships/hyperlink" Target="http://data.europa.eu/eli/dec/2002/192/oj" TargetMode="External"/><Relationship Id="rId3" Type="http://schemas.openxmlformats.org/officeDocument/2006/relationships/hyperlink" Target="http://data.europa.eu/eli/reg/2019/1896/oj" TargetMode="External"/><Relationship Id="rId7" Type="http://schemas.openxmlformats.org/officeDocument/2006/relationships/hyperlink" Target="http://data.europa.eu/eli/reg/2024/1351/oj" TargetMode="External"/><Relationship Id="rId12" Type="http://schemas.openxmlformats.org/officeDocument/2006/relationships/hyperlink" Target="http://data.europa.eu/eli/dec/2011/350/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18/1240/oj" TargetMode="External"/><Relationship Id="rId11" Type="http://schemas.openxmlformats.org/officeDocument/2006/relationships/hyperlink" Target="http://data.europa.eu/eli/prot/2011/350/oj" TargetMode="External"/><Relationship Id="rId5" Type="http://schemas.openxmlformats.org/officeDocument/2006/relationships/hyperlink" Target="http://data.europa.eu/eli/reg/2021/1148/oj" TargetMode="External"/><Relationship Id="rId10" Type="http://schemas.openxmlformats.org/officeDocument/2006/relationships/hyperlink" Target="http://data.europa.eu/eli/dec/2008/146/oj" TargetMode="External"/><Relationship Id="rId4" Type="http://schemas.openxmlformats.org/officeDocument/2006/relationships/hyperlink" Target="http://data.europa.eu/eli/reg/2014/515/oj" TargetMode="External"/><Relationship Id="rId9" Type="http://schemas.openxmlformats.org/officeDocument/2006/relationships/hyperlink" Target="http://data.europa.eu/eli/dec/1999/437/oj" TargetMode="External"/><Relationship Id="rId14" Type="http://schemas.openxmlformats.org/officeDocument/2006/relationships/hyperlink" Target="http://data.europa.eu/eli/reg/2016/39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5AFE-641D-4A89-87B0-9086F46F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32</TotalTime>
  <Pages>10</Pages>
  <Words>8539</Words>
  <Characters>48678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40</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