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228261D0" w:rsidR="00286E0D" w:rsidRPr="00115F78" w:rsidRDefault="004B1D08" w:rsidP="004B1D08">
      <w:pPr>
        <w:pStyle w:val="Pagedecouverture"/>
        <w:rPr>
          <w:noProof/>
        </w:rPr>
      </w:pPr>
      <w:r>
        <w:rPr>
          <w:noProof/>
        </w:rPr>
        <w:pict w14:anchorId="1FD4D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436D671-CD6F-48D4-9487-9603F51C35DF" style="width:455.25pt;height:355.5pt">
            <v:imagedata r:id="rId8" o:title=""/>
          </v:shape>
        </w:pict>
      </w:r>
    </w:p>
    <w:p w14:paraId="0D2B0620" w14:textId="77777777" w:rsidR="00286E0D" w:rsidRPr="00115F78" w:rsidRDefault="00286E0D" w:rsidP="00286E0D">
      <w:pPr>
        <w:rPr>
          <w:noProof/>
        </w:rPr>
        <w:sectPr w:rsidR="00286E0D" w:rsidRPr="00115F78" w:rsidSect="004B1D08">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115F78" w:rsidRDefault="00286E0D" w:rsidP="00286E0D">
      <w:pPr>
        <w:pStyle w:val="Exposdesmotifstitre"/>
        <w:rPr>
          <w:noProof/>
        </w:rPr>
      </w:pPr>
      <w:bookmarkStart w:id="0" w:name="_GoBack"/>
      <w:bookmarkEnd w:id="0"/>
      <w:r w:rsidRPr="00115F78">
        <w:rPr>
          <w:noProof/>
        </w:rPr>
        <w:lastRenderedPageBreak/>
        <w:t>UZASADNIENIE</w:t>
      </w:r>
    </w:p>
    <w:p w14:paraId="1D44F294" w14:textId="77777777" w:rsidR="00286E0D" w:rsidRPr="00115F78" w:rsidRDefault="00286E0D" w:rsidP="00286E0D">
      <w:pPr>
        <w:rPr>
          <w:noProof/>
        </w:rPr>
      </w:pPr>
    </w:p>
    <w:p w14:paraId="791ACC5D" w14:textId="77777777" w:rsidR="00286E0D" w:rsidRPr="00115F78" w:rsidRDefault="00286E0D" w:rsidP="00286E0D">
      <w:pPr>
        <w:pStyle w:val="ManualHeading1"/>
        <w:rPr>
          <w:noProof/>
        </w:rPr>
      </w:pPr>
      <w:r w:rsidRPr="00115F78">
        <w:rPr>
          <w:noProof/>
        </w:rPr>
        <w:t>1.</w:t>
      </w:r>
      <w:r w:rsidRPr="00115F78">
        <w:rPr>
          <w:noProof/>
        </w:rPr>
        <w:tab/>
        <w:t>KONTEKST WNIOSKU</w:t>
      </w:r>
    </w:p>
    <w:p w14:paraId="141EF942" w14:textId="54240B09" w:rsidR="00286E0D" w:rsidRPr="00115F78" w:rsidRDefault="00286E0D" w:rsidP="00286E0D">
      <w:pPr>
        <w:pStyle w:val="ManualHeading2"/>
        <w:rPr>
          <w:rFonts w:eastAsia="Arial Unicode MS"/>
          <w:noProof/>
        </w:rPr>
      </w:pPr>
      <w:r w:rsidRPr="00115F78">
        <w:rPr>
          <w:noProof/>
          <w:color w:val="000000"/>
          <w:u w:color="000000"/>
          <w:bdr w:val="nil"/>
        </w:rPr>
        <w:t>•</w:t>
      </w:r>
      <w:r w:rsidRPr="00115F78">
        <w:rPr>
          <w:noProof/>
        </w:rPr>
        <w:tab/>
        <w:t>Przyczyny</w:t>
      </w:r>
      <w:r w:rsidR="00115F78" w:rsidRPr="00115F78">
        <w:rPr>
          <w:noProof/>
        </w:rPr>
        <w:t xml:space="preserve"> i</w:t>
      </w:r>
      <w:r w:rsidR="00115F78">
        <w:rPr>
          <w:noProof/>
        </w:rPr>
        <w:t> </w:t>
      </w:r>
      <w:r w:rsidR="00115F78" w:rsidRPr="00115F78">
        <w:rPr>
          <w:noProof/>
        </w:rPr>
        <w:t>cel</w:t>
      </w:r>
      <w:r w:rsidRPr="00115F78">
        <w:rPr>
          <w:noProof/>
        </w:rPr>
        <w:t xml:space="preserve">e </w:t>
      </w:r>
    </w:p>
    <w:p w14:paraId="034D1AFE" w14:textId="53BF7E64" w:rsidR="004D75E7" w:rsidRPr="00115F78" w:rsidRDefault="00B9223C" w:rsidP="004D75E7">
      <w:pPr>
        <w:rPr>
          <w:noProof/>
        </w:rPr>
      </w:pPr>
      <w:r w:rsidRPr="00115F78">
        <w:rPr>
          <w:noProof/>
        </w:rPr>
        <w:t>W wytycznych politycznych Komisji na lata 2024–2029 podkreślono potrzebę zapewnienia kompletnej</w:t>
      </w:r>
      <w:r w:rsidR="00115F78" w:rsidRPr="00115F78">
        <w:rPr>
          <w:noProof/>
        </w:rPr>
        <w:t xml:space="preserve"> i</w:t>
      </w:r>
      <w:r w:rsidR="00115F78">
        <w:rPr>
          <w:noProof/>
        </w:rPr>
        <w:t> </w:t>
      </w:r>
      <w:r w:rsidR="00115F78" w:rsidRPr="00115F78">
        <w:rPr>
          <w:noProof/>
        </w:rPr>
        <w:t>w</w:t>
      </w:r>
      <w:r w:rsidR="00115F78">
        <w:rPr>
          <w:noProof/>
        </w:rPr>
        <w:t> </w:t>
      </w:r>
      <w:r w:rsidR="00115F78" w:rsidRPr="00115F78">
        <w:rPr>
          <w:noProof/>
        </w:rPr>
        <w:t>peł</w:t>
      </w:r>
      <w:r w:rsidRPr="00115F78">
        <w:rPr>
          <w:noProof/>
        </w:rPr>
        <w:t>ni funkcjonującej strefy Schengen bez kontroli na granicach wewnętrznych poprzez bezpieczniejsze granice zewnętrzne, priorytetowo traktując bezpieczeństwo, zarządzanie migracjami</w:t>
      </w:r>
      <w:r w:rsidR="00115F78" w:rsidRPr="00115F78">
        <w:rPr>
          <w:noProof/>
        </w:rPr>
        <w:t xml:space="preserve"> i</w:t>
      </w:r>
      <w:r w:rsidR="00115F78">
        <w:rPr>
          <w:noProof/>
        </w:rPr>
        <w:t> </w:t>
      </w:r>
      <w:r w:rsidR="00115F78" w:rsidRPr="00115F78">
        <w:rPr>
          <w:noProof/>
        </w:rPr>
        <w:t>sku</w:t>
      </w:r>
      <w:r w:rsidRPr="00115F78">
        <w:rPr>
          <w:noProof/>
        </w:rPr>
        <w:t>teczność. Centralnym elementem tych wysiłków jest europejskie zintegrowane zarządzanie granicami, zapewniające spójność między wzajemnie powiązanymi obszarami polityki,</w:t>
      </w:r>
      <w:r w:rsidR="00115F78" w:rsidRPr="00115F78">
        <w:rPr>
          <w:noProof/>
        </w:rPr>
        <w:t xml:space="preserve"> w</w:t>
      </w:r>
      <w:r w:rsidR="00115F78">
        <w:rPr>
          <w:noProof/>
        </w:rPr>
        <w:t> </w:t>
      </w:r>
      <w:r w:rsidR="00115F78" w:rsidRPr="00115F78">
        <w:rPr>
          <w:noProof/>
        </w:rPr>
        <w:t>tym</w:t>
      </w:r>
      <w:r w:rsidRPr="00115F78">
        <w:rPr>
          <w:noProof/>
        </w:rPr>
        <w:t xml:space="preserve"> granicami, powrotami</w:t>
      </w:r>
      <w:r w:rsidR="00115F78" w:rsidRPr="00115F78">
        <w:rPr>
          <w:noProof/>
        </w:rPr>
        <w:t xml:space="preserve"> i</w:t>
      </w:r>
      <w:r w:rsidR="00115F78">
        <w:rPr>
          <w:noProof/>
        </w:rPr>
        <w:t> </w:t>
      </w:r>
      <w:r w:rsidR="00115F78" w:rsidRPr="00115F78">
        <w:rPr>
          <w:noProof/>
        </w:rPr>
        <w:t>nad</w:t>
      </w:r>
      <w:r w:rsidRPr="00115F78">
        <w:rPr>
          <w:noProof/>
        </w:rPr>
        <w:t>zorem, jak również spójność między Fronteksem</w:t>
      </w:r>
      <w:r w:rsidR="00115F78" w:rsidRPr="00115F78">
        <w:rPr>
          <w:noProof/>
        </w:rPr>
        <w:t xml:space="preserve"> a</w:t>
      </w:r>
      <w:r w:rsidR="00115F78">
        <w:rPr>
          <w:noProof/>
        </w:rPr>
        <w:t> </w:t>
      </w:r>
      <w:r w:rsidR="00115F78" w:rsidRPr="00115F78">
        <w:rPr>
          <w:noProof/>
        </w:rPr>
        <w:t>org</w:t>
      </w:r>
      <w:r w:rsidRPr="00115F78">
        <w:rPr>
          <w:noProof/>
        </w:rPr>
        <w:t>anami krajowymi odpowiedzialnymi za zarządzanie granicami zewnętrznymi UE. Jeżeli chodzi</w:t>
      </w:r>
      <w:r w:rsidR="00115F78" w:rsidRPr="00115F78">
        <w:rPr>
          <w:noProof/>
        </w:rPr>
        <w:t xml:space="preserve"> o</w:t>
      </w:r>
      <w:r w:rsidR="00115F78">
        <w:rPr>
          <w:noProof/>
        </w:rPr>
        <w:t> </w:t>
      </w:r>
      <w:r w:rsidR="00115F78" w:rsidRPr="00115F78">
        <w:rPr>
          <w:noProof/>
        </w:rPr>
        <w:t>rea</w:t>
      </w:r>
      <w:r w:rsidRPr="00115F78">
        <w:rPr>
          <w:noProof/>
        </w:rPr>
        <w:t>lizację, ramy zarządzania strefą Schengen, wspierane przez oceny stosowania dorobku Schengen, wyznaczają polityczny</w:t>
      </w:r>
      <w:r w:rsidR="00115F78" w:rsidRPr="00115F78">
        <w:rPr>
          <w:noProof/>
        </w:rPr>
        <w:t xml:space="preserve"> i</w:t>
      </w:r>
      <w:r w:rsidR="00115F78">
        <w:rPr>
          <w:noProof/>
        </w:rPr>
        <w:t> </w:t>
      </w:r>
      <w:r w:rsidR="00115F78" w:rsidRPr="00115F78">
        <w:rPr>
          <w:noProof/>
        </w:rPr>
        <w:t>str</w:t>
      </w:r>
      <w:r w:rsidRPr="00115F78">
        <w:rPr>
          <w:noProof/>
        </w:rPr>
        <w:t>ategiczny kierunek rozwoju strefy Schengen, zapewniając wdrażanie kluczowych inicjatyw, takich jak interoperacyjność systemów informatycznych, oraz odpowiednich przepisów, jak również identyfikację</w:t>
      </w:r>
      <w:r w:rsidR="00115F78" w:rsidRPr="00115F78">
        <w:rPr>
          <w:noProof/>
        </w:rPr>
        <w:t xml:space="preserve"> i</w:t>
      </w:r>
      <w:r w:rsidR="00115F78">
        <w:rPr>
          <w:noProof/>
        </w:rPr>
        <w:t> </w:t>
      </w:r>
      <w:r w:rsidR="00115F78" w:rsidRPr="00115F78">
        <w:rPr>
          <w:noProof/>
        </w:rPr>
        <w:t>usu</w:t>
      </w:r>
      <w:r w:rsidRPr="00115F78">
        <w:rPr>
          <w:noProof/>
        </w:rPr>
        <w:t>wanie niedociągnięć systemowych. To powinno sprzyjać silnemu poczuciu wspólnej odpowiedzialności</w:t>
      </w:r>
      <w:r w:rsidR="00115F78" w:rsidRPr="00115F78">
        <w:rPr>
          <w:noProof/>
        </w:rPr>
        <w:t xml:space="preserve"> i</w:t>
      </w:r>
      <w:r w:rsidR="00115F78">
        <w:rPr>
          <w:noProof/>
        </w:rPr>
        <w:t> </w:t>
      </w:r>
      <w:r w:rsidR="00115F78" w:rsidRPr="00115F78">
        <w:rPr>
          <w:noProof/>
        </w:rPr>
        <w:t>wza</w:t>
      </w:r>
      <w:r w:rsidRPr="00115F78">
        <w:rPr>
          <w:noProof/>
        </w:rPr>
        <w:t>jemnemu zaufaniu między państwami członkowskimi</w:t>
      </w:r>
      <w:r w:rsidR="00115F78" w:rsidRPr="00115F78">
        <w:rPr>
          <w:noProof/>
        </w:rPr>
        <w:t xml:space="preserve"> i</w:t>
      </w:r>
      <w:r w:rsidR="00115F78">
        <w:rPr>
          <w:noProof/>
        </w:rPr>
        <w:t> </w:t>
      </w:r>
      <w:r w:rsidR="00115F78" w:rsidRPr="00115F78">
        <w:rPr>
          <w:noProof/>
        </w:rPr>
        <w:t>pań</w:t>
      </w:r>
      <w:r w:rsidRPr="00115F78">
        <w:rPr>
          <w:noProof/>
        </w:rPr>
        <w:t>stwami stowarzyszonymi</w:t>
      </w:r>
      <w:r w:rsidR="00115F78" w:rsidRPr="00115F78">
        <w:rPr>
          <w:noProof/>
        </w:rPr>
        <w:t xml:space="preserve"> w</w:t>
      </w:r>
      <w:r w:rsidR="00115F78">
        <w:rPr>
          <w:noProof/>
        </w:rPr>
        <w:t> </w:t>
      </w:r>
      <w:r w:rsidR="00115F78" w:rsidRPr="00115F78">
        <w:rPr>
          <w:noProof/>
        </w:rPr>
        <w:t>ram</w:t>
      </w:r>
      <w:r w:rsidRPr="00115F78">
        <w:rPr>
          <w:noProof/>
        </w:rPr>
        <w:t xml:space="preserve">ach Schengen. </w:t>
      </w:r>
    </w:p>
    <w:p w14:paraId="401136B9" w14:textId="1BCDB97E" w:rsidR="00D81B8C" w:rsidRPr="00115F78" w:rsidRDefault="00B9223C" w:rsidP="00B9223C">
      <w:pPr>
        <w:rPr>
          <w:noProof/>
        </w:rPr>
      </w:pPr>
      <w:r w:rsidRPr="00115F78">
        <w:rPr>
          <w:noProof/>
        </w:rPr>
        <w:t xml:space="preserve">Kontekst geopolityczny Europy znacznie się zmienił, co wywiera poważny wpływ na zarządzanie granicami zewnętrznymi Unii. Pojawienie się </w:t>
      </w:r>
      <w:bookmarkStart w:id="1" w:name="_Hlk202820988"/>
      <w:r w:rsidRPr="00115F78">
        <w:rPr>
          <w:noProof/>
        </w:rPr>
        <w:t>zagrożeń hybrydowych</w:t>
      </w:r>
      <w:r w:rsidR="00115F78" w:rsidRPr="00115F78">
        <w:rPr>
          <w:noProof/>
        </w:rPr>
        <w:t xml:space="preserve"> i</w:t>
      </w:r>
      <w:r w:rsidR="00115F78">
        <w:rPr>
          <w:noProof/>
        </w:rPr>
        <w:t> </w:t>
      </w:r>
      <w:r w:rsidR="00115F78" w:rsidRPr="00115F78">
        <w:rPr>
          <w:noProof/>
        </w:rPr>
        <w:t>inn</w:t>
      </w:r>
      <w:r w:rsidRPr="00115F78">
        <w:rPr>
          <w:noProof/>
        </w:rPr>
        <w:t>ych zagrożeń dla bezpieczeństwa,</w:t>
      </w:r>
      <w:r w:rsidR="00115F78" w:rsidRPr="00115F78">
        <w:rPr>
          <w:noProof/>
        </w:rPr>
        <w:t xml:space="preserve"> w</w:t>
      </w:r>
      <w:r w:rsidR="00115F78">
        <w:rPr>
          <w:noProof/>
        </w:rPr>
        <w:t> </w:t>
      </w:r>
      <w:bookmarkEnd w:id="1"/>
      <w:r w:rsidR="00115F78" w:rsidRPr="00115F78">
        <w:rPr>
          <w:noProof/>
        </w:rPr>
        <w:t>tym</w:t>
      </w:r>
      <w:r w:rsidRPr="00115F78">
        <w:rPr>
          <w:noProof/>
        </w:rPr>
        <w:t xml:space="preserve"> wykorzystywanie migracji jako broni, wzmagają pilną potrzebę ochrony granicy zewnętrznej. Tymczasem migracja </w:t>
      </w:r>
      <w:bookmarkStart w:id="2" w:name="_Hlk202822882"/>
      <w:r w:rsidRPr="00115F78">
        <w:rPr>
          <w:noProof/>
        </w:rPr>
        <w:t>nieuregulowana nadal stanowi istotną kwestię, co wskazuje na potrzebę zapewnienia skutecznej współpracy</w:t>
      </w:r>
      <w:r w:rsidR="00115F78" w:rsidRPr="00115F78">
        <w:rPr>
          <w:noProof/>
        </w:rPr>
        <w:t xml:space="preserve"> z</w:t>
      </w:r>
      <w:r w:rsidR="00115F78">
        <w:rPr>
          <w:noProof/>
        </w:rPr>
        <w:t> </w:t>
      </w:r>
      <w:r w:rsidR="00115F78" w:rsidRPr="00115F78">
        <w:rPr>
          <w:noProof/>
        </w:rPr>
        <w:t>pań</w:t>
      </w:r>
      <w:r w:rsidRPr="00115F78">
        <w:rPr>
          <w:noProof/>
        </w:rPr>
        <w:t>stwami spoza UE</w:t>
      </w:r>
      <w:r w:rsidR="00115F78" w:rsidRPr="00115F78">
        <w:rPr>
          <w:noProof/>
        </w:rPr>
        <w:t xml:space="preserve"> w</w:t>
      </w:r>
      <w:r w:rsidR="00115F78">
        <w:rPr>
          <w:noProof/>
        </w:rPr>
        <w:t> </w:t>
      </w:r>
      <w:r w:rsidR="00115F78" w:rsidRPr="00115F78">
        <w:rPr>
          <w:noProof/>
        </w:rPr>
        <w:t>poł</w:t>
      </w:r>
      <w:r w:rsidRPr="00115F78">
        <w:rPr>
          <w:noProof/>
        </w:rPr>
        <w:t>ączeniu</w:t>
      </w:r>
      <w:r w:rsidR="00115F78" w:rsidRPr="00115F78">
        <w:rPr>
          <w:noProof/>
        </w:rPr>
        <w:t xml:space="preserve"> z</w:t>
      </w:r>
      <w:r w:rsidR="00115F78">
        <w:rPr>
          <w:noProof/>
        </w:rPr>
        <w:t> </w:t>
      </w:r>
      <w:r w:rsidR="00115F78" w:rsidRPr="00115F78">
        <w:rPr>
          <w:noProof/>
        </w:rPr>
        <w:t>kom</w:t>
      </w:r>
      <w:r w:rsidRPr="00115F78">
        <w:rPr>
          <w:noProof/>
        </w:rPr>
        <w:t>pleksowymi partnerstwami</w:t>
      </w:r>
      <w:r w:rsidR="00115F78" w:rsidRPr="00115F78">
        <w:rPr>
          <w:noProof/>
        </w:rPr>
        <w:t xml:space="preserve"> z</w:t>
      </w:r>
      <w:r w:rsidR="00115F78">
        <w:rPr>
          <w:noProof/>
        </w:rPr>
        <w:t> </w:t>
      </w:r>
      <w:r w:rsidR="00115F78" w:rsidRPr="00115F78">
        <w:rPr>
          <w:noProof/>
        </w:rPr>
        <w:t>pań</w:t>
      </w:r>
      <w:r w:rsidRPr="00115F78">
        <w:rPr>
          <w:noProof/>
        </w:rPr>
        <w:t>stwami pochodzenia</w:t>
      </w:r>
      <w:r w:rsidR="00115F78" w:rsidRPr="00115F78">
        <w:rPr>
          <w:noProof/>
        </w:rPr>
        <w:t xml:space="preserve"> i</w:t>
      </w:r>
      <w:r w:rsidR="00115F78">
        <w:rPr>
          <w:noProof/>
        </w:rPr>
        <w:t> </w:t>
      </w:r>
      <w:r w:rsidR="00115F78" w:rsidRPr="00115F78">
        <w:rPr>
          <w:noProof/>
        </w:rPr>
        <w:t>pań</w:t>
      </w:r>
      <w:r w:rsidRPr="00115F78">
        <w:rPr>
          <w:noProof/>
        </w:rPr>
        <w:t>stwami tranzytu, co będzie wspierane przez rozporządzenie (UE) [...] [Globalny wymiar Europy].</w:t>
      </w:r>
      <w:bookmarkEnd w:id="2"/>
      <w:r w:rsidRPr="00115F78">
        <w:rPr>
          <w:noProof/>
        </w:rPr>
        <w:t xml:space="preserve"> Przemyt migrantów jest rentowną działalnością dla siatek przestępczych, przy czym przemytnicy wykorzystują szlaki lądowe, morskie</w:t>
      </w:r>
      <w:r w:rsidR="00115F78" w:rsidRPr="00115F78">
        <w:rPr>
          <w:noProof/>
        </w:rPr>
        <w:t xml:space="preserve"> i</w:t>
      </w:r>
      <w:r w:rsidR="00115F78">
        <w:rPr>
          <w:noProof/>
        </w:rPr>
        <w:t> </w:t>
      </w:r>
      <w:r w:rsidR="00115F78" w:rsidRPr="00115F78">
        <w:rPr>
          <w:noProof/>
        </w:rPr>
        <w:t>lot</w:t>
      </w:r>
      <w:r w:rsidRPr="00115F78">
        <w:rPr>
          <w:noProof/>
        </w:rPr>
        <w:t>nicze, aby ułatwiać migrację nieuregulowaną zarówno do Unii Europejskiej, jak</w:t>
      </w:r>
      <w:r w:rsidR="00115F78" w:rsidRPr="00115F78">
        <w:rPr>
          <w:noProof/>
        </w:rPr>
        <w:t xml:space="preserve"> i</w:t>
      </w:r>
      <w:r w:rsidR="00115F78">
        <w:rPr>
          <w:noProof/>
        </w:rPr>
        <w:t> </w:t>
      </w:r>
      <w:r w:rsidR="00115F78" w:rsidRPr="00115F78">
        <w:rPr>
          <w:noProof/>
        </w:rPr>
        <w:t>w</w:t>
      </w:r>
      <w:r w:rsidR="00115F78">
        <w:rPr>
          <w:noProof/>
        </w:rPr>
        <w:t> </w:t>
      </w:r>
      <w:r w:rsidR="00115F78" w:rsidRPr="00115F78">
        <w:rPr>
          <w:noProof/>
        </w:rPr>
        <w:t>jej</w:t>
      </w:r>
      <w:r w:rsidRPr="00115F78">
        <w:rPr>
          <w:noProof/>
        </w:rPr>
        <w:t xml:space="preserve"> obrębie</w:t>
      </w:r>
      <w:r w:rsidR="00115F78" w:rsidRPr="00115F78">
        <w:rPr>
          <w:noProof/>
        </w:rPr>
        <w:t>. W</w:t>
      </w:r>
      <w:r w:rsidR="00115F78">
        <w:rPr>
          <w:noProof/>
        </w:rPr>
        <w:t> </w:t>
      </w:r>
      <w:r w:rsidR="00115F78" w:rsidRPr="00115F78">
        <w:rPr>
          <w:noProof/>
        </w:rPr>
        <w:t>cor</w:t>
      </w:r>
      <w:r w:rsidRPr="00115F78">
        <w:rPr>
          <w:noProof/>
        </w:rPr>
        <w:t>az większym stopniu wiąże się ona</w:t>
      </w:r>
      <w:r w:rsidR="00115F78" w:rsidRPr="00115F78">
        <w:rPr>
          <w:noProof/>
        </w:rPr>
        <w:t xml:space="preserve"> z</w:t>
      </w:r>
      <w:r w:rsidR="00115F78">
        <w:rPr>
          <w:noProof/>
        </w:rPr>
        <w:t> </w:t>
      </w:r>
      <w:r w:rsidR="00115F78" w:rsidRPr="00115F78">
        <w:rPr>
          <w:noProof/>
        </w:rPr>
        <w:t>pow</w:t>
      </w:r>
      <w:r w:rsidRPr="00115F78">
        <w:rPr>
          <w:noProof/>
        </w:rPr>
        <w:t>ażnymi naruszeniami praw człowieka</w:t>
      </w:r>
      <w:r w:rsidR="00115F78" w:rsidRPr="00115F78">
        <w:rPr>
          <w:noProof/>
        </w:rPr>
        <w:t xml:space="preserve"> i</w:t>
      </w:r>
      <w:r w:rsidR="00115F78">
        <w:rPr>
          <w:noProof/>
        </w:rPr>
        <w:t> </w:t>
      </w:r>
      <w:r w:rsidR="00115F78" w:rsidRPr="00115F78">
        <w:rPr>
          <w:noProof/>
        </w:rPr>
        <w:t>ofi</w:t>
      </w:r>
      <w:r w:rsidRPr="00115F78">
        <w:rPr>
          <w:noProof/>
        </w:rPr>
        <w:t>arami śmiertelnymi,</w:t>
      </w:r>
      <w:r w:rsidR="00115F78" w:rsidRPr="00115F78">
        <w:rPr>
          <w:noProof/>
        </w:rPr>
        <w:t xml:space="preserve"> w</w:t>
      </w:r>
      <w:r w:rsidR="00115F78">
        <w:rPr>
          <w:noProof/>
        </w:rPr>
        <w:t> </w:t>
      </w:r>
      <w:r w:rsidR="00115F78" w:rsidRPr="00115F78">
        <w:rPr>
          <w:noProof/>
        </w:rPr>
        <w:t>szc</w:t>
      </w:r>
      <w:r w:rsidRPr="00115F78">
        <w:rPr>
          <w:noProof/>
        </w:rPr>
        <w:t>zególności jeżeli wykorzystywany jest szlak morski. Przypadki śmierci migrantów, których los jest</w:t>
      </w:r>
      <w:r w:rsidR="00115F78" w:rsidRPr="00115F78">
        <w:rPr>
          <w:noProof/>
        </w:rPr>
        <w:t xml:space="preserve"> w</w:t>
      </w:r>
      <w:r w:rsidR="00115F78">
        <w:rPr>
          <w:noProof/>
        </w:rPr>
        <w:t> </w:t>
      </w:r>
      <w:r w:rsidR="00115F78" w:rsidRPr="00115F78">
        <w:rPr>
          <w:noProof/>
        </w:rPr>
        <w:t>ręk</w:t>
      </w:r>
      <w:r w:rsidRPr="00115F78">
        <w:rPr>
          <w:noProof/>
        </w:rPr>
        <w:t>ach przemytników na Morzu Śródziemnym, uwypukla pilną potrzebę zwalczania przemytu migrantów</w:t>
      </w:r>
      <w:r w:rsidR="00115F78" w:rsidRPr="00115F78">
        <w:rPr>
          <w:noProof/>
        </w:rPr>
        <w:t xml:space="preserve"> z</w:t>
      </w:r>
      <w:r w:rsidR="00115F78">
        <w:rPr>
          <w:noProof/>
        </w:rPr>
        <w:t> </w:t>
      </w:r>
      <w:r w:rsidR="00115F78" w:rsidRPr="00115F78">
        <w:rPr>
          <w:noProof/>
        </w:rPr>
        <w:t>wyk</w:t>
      </w:r>
      <w:r w:rsidRPr="00115F78">
        <w:rPr>
          <w:noProof/>
        </w:rPr>
        <w:t>orzystaniem wszystkich dostępnych narzędzi prawnych, operacyjnych</w:t>
      </w:r>
      <w:r w:rsidR="00115F78" w:rsidRPr="00115F78">
        <w:rPr>
          <w:noProof/>
        </w:rPr>
        <w:t xml:space="preserve"> i</w:t>
      </w:r>
      <w:r w:rsidR="00115F78">
        <w:rPr>
          <w:noProof/>
        </w:rPr>
        <w:t> </w:t>
      </w:r>
      <w:r w:rsidR="00115F78" w:rsidRPr="00115F78">
        <w:rPr>
          <w:noProof/>
        </w:rPr>
        <w:t>adm</w:t>
      </w:r>
      <w:r w:rsidRPr="00115F78">
        <w:rPr>
          <w:noProof/>
        </w:rPr>
        <w:t xml:space="preserve">inistracyjnych. </w:t>
      </w:r>
    </w:p>
    <w:p w14:paraId="6F6D36BE" w14:textId="731A288F" w:rsidR="00B9223C" w:rsidRPr="00115F78" w:rsidRDefault="00B9223C" w:rsidP="00FA3905">
      <w:pPr>
        <w:rPr>
          <w:noProof/>
        </w:rPr>
      </w:pPr>
      <w:r w:rsidRPr="00115F78">
        <w:rPr>
          <w:noProof/>
        </w:rPr>
        <w:t>Państwa członkowskie muszą być</w:t>
      </w:r>
      <w:r w:rsidR="00115F78" w:rsidRPr="00115F78">
        <w:rPr>
          <w:noProof/>
        </w:rPr>
        <w:t xml:space="preserve"> w</w:t>
      </w:r>
      <w:r w:rsidR="00115F78">
        <w:rPr>
          <w:noProof/>
        </w:rPr>
        <w:t> </w:t>
      </w:r>
      <w:r w:rsidR="00115F78" w:rsidRPr="00115F78">
        <w:rPr>
          <w:noProof/>
        </w:rPr>
        <w:t>sta</w:t>
      </w:r>
      <w:r w:rsidRPr="00115F78">
        <w:rPr>
          <w:noProof/>
        </w:rPr>
        <w:t>nie szybko</w:t>
      </w:r>
      <w:r w:rsidR="00115F78" w:rsidRPr="00115F78">
        <w:rPr>
          <w:noProof/>
        </w:rPr>
        <w:t xml:space="preserve"> i</w:t>
      </w:r>
      <w:r w:rsidR="00115F78">
        <w:rPr>
          <w:noProof/>
        </w:rPr>
        <w:t> </w:t>
      </w:r>
      <w:r w:rsidR="00115F78" w:rsidRPr="00115F78">
        <w:rPr>
          <w:noProof/>
        </w:rPr>
        <w:t>sku</w:t>
      </w:r>
      <w:r w:rsidRPr="00115F78">
        <w:rPr>
          <w:noProof/>
        </w:rPr>
        <w:t>tecznie reagować na zmiany</w:t>
      </w:r>
      <w:r w:rsidR="00115F78" w:rsidRPr="00115F78">
        <w:rPr>
          <w:noProof/>
        </w:rPr>
        <w:t xml:space="preserve"> i</w:t>
      </w:r>
      <w:r w:rsidR="00115F78">
        <w:rPr>
          <w:noProof/>
        </w:rPr>
        <w:t> </w:t>
      </w:r>
      <w:r w:rsidR="00115F78" w:rsidRPr="00115F78">
        <w:rPr>
          <w:noProof/>
        </w:rPr>
        <w:t>w</w:t>
      </w:r>
      <w:r w:rsidR="00115F78">
        <w:rPr>
          <w:noProof/>
        </w:rPr>
        <w:t> </w:t>
      </w:r>
      <w:r w:rsidR="00115F78" w:rsidRPr="00115F78">
        <w:rPr>
          <w:noProof/>
        </w:rPr>
        <w:t>tym</w:t>
      </w:r>
      <w:r w:rsidRPr="00115F78">
        <w:rPr>
          <w:noProof/>
        </w:rPr>
        <w:t xml:space="preserve"> celu muszą otrzymywać unijne wsparcie.</w:t>
      </w:r>
    </w:p>
    <w:p w14:paraId="4BD9F834" w14:textId="0B174FE8" w:rsidR="00BE09E6" w:rsidRPr="00115F78" w:rsidRDefault="00E57952" w:rsidP="00FA3905">
      <w:pPr>
        <w:rPr>
          <w:noProof/>
        </w:rPr>
      </w:pPr>
      <w:r w:rsidRPr="00115F78">
        <w:rPr>
          <w:noProof/>
        </w:rPr>
        <w:t>Kluczowe są opracowywanie, bezpieczeństwo</w:t>
      </w:r>
      <w:r w:rsidR="00115F78" w:rsidRPr="00115F78">
        <w:rPr>
          <w:noProof/>
        </w:rPr>
        <w:t xml:space="preserve"> i</w:t>
      </w:r>
      <w:r w:rsidR="00115F78">
        <w:rPr>
          <w:noProof/>
        </w:rPr>
        <w:t> </w:t>
      </w:r>
      <w:r w:rsidR="00115F78" w:rsidRPr="00115F78">
        <w:rPr>
          <w:noProof/>
        </w:rPr>
        <w:t>utr</w:t>
      </w:r>
      <w:r w:rsidRPr="00115F78">
        <w:rPr>
          <w:noProof/>
        </w:rPr>
        <w:t>zymywanie wielkoskalowych systemów informatycznych zgodnie</w:t>
      </w:r>
      <w:r w:rsidR="00115F78" w:rsidRPr="00115F78">
        <w:rPr>
          <w:noProof/>
        </w:rPr>
        <w:t xml:space="preserve"> z</w:t>
      </w:r>
      <w:r w:rsidR="00115F78">
        <w:rPr>
          <w:noProof/>
        </w:rPr>
        <w:t> </w:t>
      </w:r>
      <w:r w:rsidR="00115F78" w:rsidRPr="00115F78">
        <w:rPr>
          <w:noProof/>
        </w:rPr>
        <w:t>pra</w:t>
      </w:r>
      <w:r w:rsidRPr="00115F78">
        <w:rPr>
          <w:noProof/>
        </w:rPr>
        <w:t>wem Unii</w:t>
      </w:r>
      <w:r w:rsidR="00115F78" w:rsidRPr="00115F78">
        <w:rPr>
          <w:noProof/>
        </w:rPr>
        <w:t xml:space="preserve"> w</w:t>
      </w:r>
      <w:r w:rsidR="00115F78">
        <w:rPr>
          <w:noProof/>
        </w:rPr>
        <w:t> </w:t>
      </w:r>
      <w:r w:rsidR="00115F78" w:rsidRPr="00115F78">
        <w:rPr>
          <w:noProof/>
        </w:rPr>
        <w:t>obs</w:t>
      </w:r>
      <w:r w:rsidRPr="00115F78">
        <w:rPr>
          <w:noProof/>
        </w:rPr>
        <w:t>zarze zarządzania granicami,</w:t>
      </w:r>
      <w:r w:rsidR="00115F78" w:rsidRPr="00115F78">
        <w:rPr>
          <w:noProof/>
        </w:rPr>
        <w:t xml:space="preserve"> a</w:t>
      </w:r>
      <w:r w:rsidR="00115F78">
        <w:rPr>
          <w:noProof/>
        </w:rPr>
        <w:t> </w:t>
      </w:r>
      <w:r w:rsidR="00115F78" w:rsidRPr="00115F78">
        <w:rPr>
          <w:noProof/>
        </w:rPr>
        <w:t>mia</w:t>
      </w:r>
      <w:r w:rsidRPr="00115F78">
        <w:rPr>
          <w:noProof/>
        </w:rPr>
        <w:t>nowicie systemu informacyjnego Schengen (SIS), wizowego systemu informacyjnego (VIS), systemu Eurodac, systemu wjazdu/wyjazdu (EES) oraz europejskiego systemu informacji</w:t>
      </w:r>
      <w:r w:rsidR="00115F78" w:rsidRPr="00115F78">
        <w:rPr>
          <w:noProof/>
        </w:rPr>
        <w:t xml:space="preserve"> o</w:t>
      </w:r>
      <w:r w:rsidR="00115F78">
        <w:rPr>
          <w:noProof/>
        </w:rPr>
        <w:t> </w:t>
      </w:r>
      <w:r w:rsidR="00115F78" w:rsidRPr="00115F78">
        <w:rPr>
          <w:noProof/>
        </w:rPr>
        <w:t>pod</w:t>
      </w:r>
      <w:r w:rsidRPr="00115F78">
        <w:rPr>
          <w:noProof/>
        </w:rPr>
        <w:t>róży oraz zezwoleń na podróż (ETIAS),</w:t>
      </w:r>
      <w:r w:rsidR="00115F78" w:rsidRPr="00115F78">
        <w:rPr>
          <w:noProof/>
        </w:rPr>
        <w:t xml:space="preserve"> w</w:t>
      </w:r>
      <w:r w:rsidR="00115F78">
        <w:rPr>
          <w:noProof/>
        </w:rPr>
        <w:t> </w:t>
      </w:r>
      <w:r w:rsidR="00115F78" w:rsidRPr="00115F78">
        <w:rPr>
          <w:noProof/>
        </w:rPr>
        <w:t>tym</w:t>
      </w:r>
      <w:r w:rsidRPr="00115F78">
        <w:rPr>
          <w:noProof/>
        </w:rPr>
        <w:t xml:space="preserve"> zapewnienie ich interoperacyjności</w:t>
      </w:r>
      <w:r w:rsidR="00115F78" w:rsidRPr="00115F78">
        <w:rPr>
          <w:noProof/>
        </w:rPr>
        <w:t xml:space="preserve"> i</w:t>
      </w:r>
      <w:r w:rsidR="00115F78">
        <w:rPr>
          <w:noProof/>
        </w:rPr>
        <w:t> </w:t>
      </w:r>
      <w:r w:rsidR="00115F78" w:rsidRPr="00115F78">
        <w:rPr>
          <w:noProof/>
        </w:rPr>
        <w:t>inf</w:t>
      </w:r>
      <w:r w:rsidRPr="00115F78">
        <w:rPr>
          <w:noProof/>
        </w:rPr>
        <w:t>rastruktury łączności. Instrument powinien również przyczyniać się do działań mających na celu poprawę jakości danych oraz przekazywania informacji.</w:t>
      </w:r>
    </w:p>
    <w:p w14:paraId="0413D35D" w14:textId="26A31C92" w:rsidR="008C306E" w:rsidRPr="00115F78" w:rsidRDefault="008C306E" w:rsidP="00D81B8C">
      <w:pPr>
        <w:rPr>
          <w:noProof/>
        </w:rPr>
      </w:pPr>
      <w:bookmarkStart w:id="3" w:name="_Hlk202880202"/>
      <w:r w:rsidRPr="00115F78">
        <w:rPr>
          <w:noProof/>
        </w:rPr>
        <w:t>Wsparcie unijne powinno być również dostępne dla państw członkowskich</w:t>
      </w:r>
      <w:r w:rsidR="00115F78" w:rsidRPr="00115F78">
        <w:rPr>
          <w:noProof/>
        </w:rPr>
        <w:t xml:space="preserve"> w</w:t>
      </w:r>
      <w:r w:rsidR="00115F78">
        <w:rPr>
          <w:noProof/>
        </w:rPr>
        <w:t> </w:t>
      </w:r>
      <w:r w:rsidR="00115F78" w:rsidRPr="00115F78">
        <w:rPr>
          <w:noProof/>
        </w:rPr>
        <w:t>cel</w:t>
      </w:r>
      <w:r w:rsidRPr="00115F78">
        <w:rPr>
          <w:noProof/>
        </w:rPr>
        <w:t>u ustanowienia niezbędnej wiedzy fachowej</w:t>
      </w:r>
      <w:r w:rsidR="00115F78" w:rsidRPr="00115F78">
        <w:rPr>
          <w:noProof/>
        </w:rPr>
        <w:t xml:space="preserve"> i</w:t>
      </w:r>
      <w:r w:rsidR="00115F78">
        <w:rPr>
          <w:noProof/>
        </w:rPr>
        <w:t> </w:t>
      </w:r>
      <w:r w:rsidR="00115F78" w:rsidRPr="00115F78">
        <w:rPr>
          <w:noProof/>
        </w:rPr>
        <w:t>zdo</w:t>
      </w:r>
      <w:r w:rsidRPr="00115F78">
        <w:rPr>
          <w:noProof/>
        </w:rPr>
        <w:t>lności operacyjnej do wdrożenia odpowiednich elementów paktu</w:t>
      </w:r>
      <w:r w:rsidR="00115F78" w:rsidRPr="00115F78">
        <w:rPr>
          <w:noProof/>
        </w:rPr>
        <w:t xml:space="preserve"> o</w:t>
      </w:r>
      <w:r w:rsidR="00115F78">
        <w:rPr>
          <w:noProof/>
        </w:rPr>
        <w:t> </w:t>
      </w:r>
      <w:r w:rsidR="00115F78" w:rsidRPr="00115F78">
        <w:rPr>
          <w:noProof/>
        </w:rPr>
        <w:t>mig</w:t>
      </w:r>
      <w:r w:rsidRPr="00115F78">
        <w:rPr>
          <w:noProof/>
        </w:rPr>
        <w:t>racji</w:t>
      </w:r>
      <w:r w:rsidR="00115F78" w:rsidRPr="00115F78">
        <w:rPr>
          <w:noProof/>
        </w:rPr>
        <w:t xml:space="preserve"> i</w:t>
      </w:r>
      <w:r w:rsidR="00115F78">
        <w:rPr>
          <w:noProof/>
        </w:rPr>
        <w:t> </w:t>
      </w:r>
      <w:r w:rsidR="00115F78" w:rsidRPr="00115F78">
        <w:rPr>
          <w:noProof/>
        </w:rPr>
        <w:t>azy</w:t>
      </w:r>
      <w:r w:rsidRPr="00115F78">
        <w:rPr>
          <w:noProof/>
        </w:rPr>
        <w:t>lu,</w:t>
      </w:r>
      <w:r w:rsidR="00115F78" w:rsidRPr="00115F78">
        <w:rPr>
          <w:noProof/>
        </w:rPr>
        <w:t xml:space="preserve"> a</w:t>
      </w:r>
      <w:r w:rsidR="00115F78">
        <w:rPr>
          <w:noProof/>
        </w:rPr>
        <w:t> </w:t>
      </w:r>
      <w:r w:rsidR="00115F78" w:rsidRPr="00115F78">
        <w:rPr>
          <w:noProof/>
        </w:rPr>
        <w:t>mia</w:t>
      </w:r>
      <w:r w:rsidRPr="00115F78">
        <w:rPr>
          <w:noProof/>
        </w:rPr>
        <w:t>nowicie rozporządzenia (UE) 2024/1356</w:t>
      </w:r>
      <w:r w:rsidRPr="00115F78">
        <w:rPr>
          <w:rStyle w:val="FootnoteReference"/>
          <w:noProof/>
        </w:rPr>
        <w:footnoteReference w:id="1"/>
      </w:r>
      <w:r w:rsidRPr="00115F78">
        <w:rPr>
          <w:noProof/>
        </w:rPr>
        <w:t xml:space="preserve"> („rozporządzenie</w:t>
      </w:r>
      <w:r w:rsidR="00115F78" w:rsidRPr="00115F78">
        <w:rPr>
          <w:noProof/>
        </w:rPr>
        <w:t xml:space="preserve"> w</w:t>
      </w:r>
      <w:r w:rsidR="00115F78">
        <w:rPr>
          <w:noProof/>
        </w:rPr>
        <w:t> </w:t>
      </w:r>
      <w:r w:rsidR="00115F78" w:rsidRPr="00115F78">
        <w:rPr>
          <w:noProof/>
        </w:rPr>
        <w:t>spr</w:t>
      </w:r>
      <w:r w:rsidRPr="00115F78">
        <w:rPr>
          <w:noProof/>
        </w:rPr>
        <w:t>awie kontroli przesiewowej”), które przyczynia się do skutecznego zarządzania granicami</w:t>
      </w:r>
      <w:bookmarkEnd w:id="3"/>
      <w:r w:rsidRPr="00115F78">
        <w:rPr>
          <w:noProof/>
        </w:rPr>
        <w:t xml:space="preserve">. </w:t>
      </w:r>
    </w:p>
    <w:p w14:paraId="07A03C8E" w14:textId="26A18667" w:rsidR="00D81B8C" w:rsidRPr="00115F78" w:rsidRDefault="00D81B8C" w:rsidP="00D81B8C">
      <w:pPr>
        <w:rPr>
          <w:noProof/>
        </w:rPr>
      </w:pPr>
      <w:r w:rsidRPr="00115F78">
        <w:rPr>
          <w:noProof/>
        </w:rPr>
        <w:t>Obywatele UE</w:t>
      </w:r>
      <w:r w:rsidR="00115F78" w:rsidRPr="00115F78">
        <w:rPr>
          <w:noProof/>
        </w:rPr>
        <w:t xml:space="preserve"> i</w:t>
      </w:r>
      <w:r w:rsidR="00115F78">
        <w:rPr>
          <w:noProof/>
        </w:rPr>
        <w:t> </w:t>
      </w:r>
      <w:r w:rsidR="00115F78" w:rsidRPr="00115F78">
        <w:rPr>
          <w:noProof/>
        </w:rPr>
        <w:t>oby</w:t>
      </w:r>
      <w:r w:rsidRPr="00115F78">
        <w:rPr>
          <w:noProof/>
        </w:rPr>
        <w:t>watele państw trzecich podlegają systematycznej kontroli przy przekraczaniu granic zewnętrznych UE</w:t>
      </w:r>
      <w:r w:rsidR="00115F78" w:rsidRPr="00115F78">
        <w:rPr>
          <w:noProof/>
        </w:rPr>
        <w:t>. W</w:t>
      </w:r>
      <w:r w:rsidR="00115F78">
        <w:rPr>
          <w:noProof/>
        </w:rPr>
        <w:t> </w:t>
      </w:r>
      <w:r w:rsidR="00115F78" w:rsidRPr="00115F78">
        <w:rPr>
          <w:noProof/>
        </w:rPr>
        <w:t>zwi</w:t>
      </w:r>
      <w:r w:rsidRPr="00115F78">
        <w:rPr>
          <w:noProof/>
        </w:rPr>
        <w:t>ązku</w:t>
      </w:r>
      <w:r w:rsidR="00115F78" w:rsidRPr="00115F78">
        <w:rPr>
          <w:noProof/>
        </w:rPr>
        <w:t xml:space="preserve"> z</w:t>
      </w:r>
      <w:r w:rsidR="00115F78">
        <w:rPr>
          <w:noProof/>
        </w:rPr>
        <w:t> </w:t>
      </w:r>
      <w:r w:rsidR="00115F78" w:rsidRPr="00115F78">
        <w:rPr>
          <w:noProof/>
        </w:rPr>
        <w:t>tym</w:t>
      </w:r>
      <w:r w:rsidRPr="00115F78">
        <w:rPr>
          <w:noProof/>
        </w:rPr>
        <w:t>, że</w:t>
      </w:r>
      <w:r w:rsidR="00115F78" w:rsidRPr="00115F78">
        <w:rPr>
          <w:noProof/>
        </w:rPr>
        <w:t xml:space="preserve"> w</w:t>
      </w:r>
      <w:r w:rsidR="00115F78">
        <w:rPr>
          <w:noProof/>
        </w:rPr>
        <w:t> </w:t>
      </w:r>
      <w:r w:rsidR="00115F78" w:rsidRPr="00115F78">
        <w:rPr>
          <w:noProof/>
        </w:rPr>
        <w:t>sam</w:t>
      </w:r>
      <w:r w:rsidRPr="00115F78">
        <w:rPr>
          <w:noProof/>
        </w:rPr>
        <w:t>ym tylko 2023</w:t>
      </w:r>
      <w:r w:rsidR="00115F78" w:rsidRPr="00115F78">
        <w:rPr>
          <w:noProof/>
        </w:rPr>
        <w:t> </w:t>
      </w:r>
      <w:r w:rsidRPr="00115F78">
        <w:rPr>
          <w:noProof/>
        </w:rPr>
        <w:t>r. odnotowano niemal 600 mln przekroczeń granicy oraz że oczekuje się, iż liczba przekroczeń będzie nadal rosła</w:t>
      </w:r>
      <w:r w:rsidR="00115F78" w:rsidRPr="00115F78">
        <w:rPr>
          <w:noProof/>
        </w:rPr>
        <w:t xml:space="preserve"> w</w:t>
      </w:r>
      <w:r w:rsidR="00115F78">
        <w:rPr>
          <w:noProof/>
        </w:rPr>
        <w:t> </w:t>
      </w:r>
      <w:r w:rsidR="00115F78" w:rsidRPr="00115F78">
        <w:rPr>
          <w:noProof/>
        </w:rPr>
        <w:t>nad</w:t>
      </w:r>
      <w:r w:rsidRPr="00115F78">
        <w:rPr>
          <w:noProof/>
        </w:rPr>
        <w:t>chodzących latach, istnieje wyraźna potrzeba, aby kontrole były prowadzone szybko</w:t>
      </w:r>
      <w:r w:rsidR="00115F78" w:rsidRPr="00115F78">
        <w:rPr>
          <w:noProof/>
        </w:rPr>
        <w:t xml:space="preserve"> i</w:t>
      </w:r>
      <w:r w:rsidR="00115F78">
        <w:rPr>
          <w:noProof/>
        </w:rPr>
        <w:t> </w:t>
      </w:r>
      <w:r w:rsidR="00115F78" w:rsidRPr="00115F78">
        <w:rPr>
          <w:noProof/>
        </w:rPr>
        <w:t>sku</w:t>
      </w:r>
      <w:r w:rsidRPr="00115F78">
        <w:rPr>
          <w:noProof/>
        </w:rPr>
        <w:t>tecznie,</w:t>
      </w:r>
      <w:r w:rsidR="00115F78" w:rsidRPr="00115F78">
        <w:rPr>
          <w:noProof/>
        </w:rPr>
        <w:t xml:space="preserve"> z</w:t>
      </w:r>
      <w:r w:rsidR="00115F78">
        <w:rPr>
          <w:noProof/>
        </w:rPr>
        <w:t> </w:t>
      </w:r>
      <w:r w:rsidR="00115F78" w:rsidRPr="00115F78">
        <w:rPr>
          <w:noProof/>
        </w:rPr>
        <w:t>pom</w:t>
      </w:r>
      <w:r w:rsidRPr="00115F78">
        <w:rPr>
          <w:noProof/>
        </w:rPr>
        <w:t>ocą systemów informatycznych</w:t>
      </w:r>
      <w:r w:rsidR="00115F78" w:rsidRPr="00115F78">
        <w:rPr>
          <w:noProof/>
        </w:rPr>
        <w:t xml:space="preserve"> i</w:t>
      </w:r>
      <w:r w:rsidR="00115F78">
        <w:rPr>
          <w:noProof/>
        </w:rPr>
        <w:t> </w:t>
      </w:r>
      <w:r w:rsidR="00115F78" w:rsidRPr="00115F78">
        <w:rPr>
          <w:noProof/>
        </w:rPr>
        <w:t>prz</w:t>
      </w:r>
      <w:r w:rsidRPr="00115F78">
        <w:rPr>
          <w:noProof/>
        </w:rPr>
        <w:t>y jednoczesnym utrzymaniu wysokiego poziomu bezpieczeństwa, zapewniając kontrolę wszystkich podróżnych.</w:t>
      </w:r>
    </w:p>
    <w:p w14:paraId="293FB5AE" w14:textId="420978EB" w:rsidR="00B9223C" w:rsidRPr="00115F78" w:rsidRDefault="00B9223C" w:rsidP="00B9223C">
      <w:pPr>
        <w:rPr>
          <w:noProof/>
        </w:rPr>
      </w:pPr>
      <w:r w:rsidRPr="00115F78">
        <w:rPr>
          <w:noProof/>
        </w:rPr>
        <w:t>Państwa członkowskie powinny ściśle współpracować</w:t>
      </w:r>
      <w:r w:rsidR="00115F78" w:rsidRPr="00115F78">
        <w:rPr>
          <w:noProof/>
        </w:rPr>
        <w:t xml:space="preserve"> z</w:t>
      </w:r>
      <w:r w:rsidR="00115F78">
        <w:rPr>
          <w:noProof/>
        </w:rPr>
        <w:t> </w:t>
      </w:r>
      <w:r w:rsidR="00115F78" w:rsidRPr="00115F78">
        <w:rPr>
          <w:noProof/>
        </w:rPr>
        <w:t>wła</w:t>
      </w:r>
      <w:r w:rsidRPr="00115F78">
        <w:rPr>
          <w:noProof/>
        </w:rPr>
        <w:t>ściwymi agencjami UE,</w:t>
      </w:r>
      <w:r w:rsidR="00115F78" w:rsidRPr="00115F78">
        <w:rPr>
          <w:noProof/>
        </w:rPr>
        <w:t xml:space="preserve"> w</w:t>
      </w:r>
      <w:r w:rsidR="00115F78">
        <w:rPr>
          <w:noProof/>
        </w:rPr>
        <w:t> </w:t>
      </w:r>
      <w:r w:rsidR="00115F78" w:rsidRPr="00115F78">
        <w:rPr>
          <w:noProof/>
        </w:rPr>
        <w:t>tym z</w:t>
      </w:r>
      <w:r w:rsidR="00115F78">
        <w:rPr>
          <w:noProof/>
        </w:rPr>
        <w:t> </w:t>
      </w:r>
      <w:r w:rsidR="00115F78" w:rsidRPr="00115F78">
        <w:rPr>
          <w:noProof/>
        </w:rPr>
        <w:t>Fro</w:t>
      </w:r>
      <w:r w:rsidRPr="00115F78">
        <w:rPr>
          <w:noProof/>
        </w:rPr>
        <w:t>nteksem i eu-LISA, które powinny zapewnić niezbędną wiedzę techniczną</w:t>
      </w:r>
      <w:r w:rsidR="00115F78" w:rsidRPr="00115F78">
        <w:rPr>
          <w:noProof/>
        </w:rPr>
        <w:t xml:space="preserve"> i</w:t>
      </w:r>
      <w:r w:rsidR="00115F78">
        <w:rPr>
          <w:noProof/>
        </w:rPr>
        <w:t> </w:t>
      </w:r>
      <w:r w:rsidR="00115F78" w:rsidRPr="00115F78">
        <w:rPr>
          <w:noProof/>
        </w:rPr>
        <w:t>śro</w:t>
      </w:r>
      <w:r w:rsidRPr="00115F78">
        <w:rPr>
          <w:noProof/>
        </w:rPr>
        <w:t>dki technologiczne na potrzeby nadzoru</w:t>
      </w:r>
      <w:r w:rsidR="00115F78" w:rsidRPr="00115F78">
        <w:rPr>
          <w:noProof/>
        </w:rPr>
        <w:t xml:space="preserve"> i</w:t>
      </w:r>
      <w:r w:rsidR="00115F78">
        <w:rPr>
          <w:noProof/>
        </w:rPr>
        <w:t> </w:t>
      </w:r>
      <w:r w:rsidR="00115F78" w:rsidRPr="00115F78">
        <w:rPr>
          <w:noProof/>
        </w:rPr>
        <w:t>ori</w:t>
      </w:r>
      <w:r w:rsidRPr="00115F78">
        <w:rPr>
          <w:noProof/>
        </w:rPr>
        <w:t>entacji sytuacyjnej</w:t>
      </w:r>
      <w:r w:rsidR="00115F78" w:rsidRPr="00115F78">
        <w:rPr>
          <w:noProof/>
        </w:rPr>
        <w:t>. W</w:t>
      </w:r>
      <w:r w:rsidR="00115F78">
        <w:rPr>
          <w:noProof/>
        </w:rPr>
        <w:t> </w:t>
      </w:r>
      <w:r w:rsidR="00115F78" w:rsidRPr="00115F78">
        <w:rPr>
          <w:noProof/>
        </w:rPr>
        <w:t>sze</w:t>
      </w:r>
      <w:r w:rsidRPr="00115F78">
        <w:rPr>
          <w:noProof/>
        </w:rPr>
        <w:t>rszym ujęciu Komisja powinna angażować odpowiednie organy</w:t>
      </w:r>
      <w:r w:rsidR="00115F78" w:rsidRPr="00115F78">
        <w:rPr>
          <w:noProof/>
        </w:rPr>
        <w:t xml:space="preserve"> i</w:t>
      </w:r>
      <w:r w:rsidR="00115F78">
        <w:rPr>
          <w:noProof/>
        </w:rPr>
        <w:t> </w:t>
      </w:r>
      <w:r w:rsidR="00115F78" w:rsidRPr="00115F78">
        <w:rPr>
          <w:noProof/>
        </w:rPr>
        <w:t>jed</w:t>
      </w:r>
      <w:r w:rsidRPr="00115F78">
        <w:rPr>
          <w:noProof/>
        </w:rPr>
        <w:t>nostki organizacyjne Unii</w:t>
      </w:r>
      <w:r w:rsidR="00115F78" w:rsidRPr="00115F78">
        <w:rPr>
          <w:noProof/>
        </w:rPr>
        <w:t xml:space="preserve"> w</w:t>
      </w:r>
      <w:r w:rsidR="00115F78">
        <w:rPr>
          <w:noProof/>
        </w:rPr>
        <w:t> </w:t>
      </w:r>
      <w:r w:rsidR="00115F78" w:rsidRPr="00115F78">
        <w:rPr>
          <w:noProof/>
        </w:rPr>
        <w:t>odp</w:t>
      </w:r>
      <w:r w:rsidRPr="00115F78">
        <w:rPr>
          <w:noProof/>
        </w:rPr>
        <w:t>owiednie działania mające na celu zapewnienie zgodności środków wspieranych przez Unię</w:t>
      </w:r>
      <w:r w:rsidR="00115F78" w:rsidRPr="00115F78">
        <w:rPr>
          <w:noProof/>
        </w:rPr>
        <w:t xml:space="preserve"> z</w:t>
      </w:r>
      <w:r w:rsidR="00115F78">
        <w:rPr>
          <w:noProof/>
        </w:rPr>
        <w:t> </w:t>
      </w:r>
      <w:r w:rsidR="00115F78" w:rsidRPr="00115F78">
        <w:rPr>
          <w:noProof/>
        </w:rPr>
        <w:t>odp</w:t>
      </w:r>
      <w:r w:rsidRPr="00115F78">
        <w:rPr>
          <w:noProof/>
        </w:rPr>
        <w:t>owiednim dorobkiem prawnym Unii</w:t>
      </w:r>
      <w:r w:rsidR="00115F78" w:rsidRPr="00115F78">
        <w:rPr>
          <w:noProof/>
        </w:rPr>
        <w:t xml:space="preserve"> i</w:t>
      </w:r>
      <w:r w:rsidR="00115F78">
        <w:rPr>
          <w:noProof/>
        </w:rPr>
        <w:t> </w:t>
      </w:r>
      <w:r w:rsidR="00115F78" w:rsidRPr="00115F78">
        <w:rPr>
          <w:noProof/>
        </w:rPr>
        <w:t>uzg</w:t>
      </w:r>
      <w:r w:rsidRPr="00115F78">
        <w:rPr>
          <w:noProof/>
        </w:rPr>
        <w:t>odnionymi priorytetami Unii.</w:t>
      </w:r>
    </w:p>
    <w:p w14:paraId="0C29A07E" w14:textId="0AF26DCC" w:rsidR="00B9223C" w:rsidRPr="00115F78" w:rsidRDefault="00B9223C" w:rsidP="00B9223C">
      <w:pPr>
        <w:rPr>
          <w:noProof/>
        </w:rPr>
      </w:pPr>
      <w:r w:rsidRPr="00115F78">
        <w:rPr>
          <w:noProof/>
        </w:rPr>
        <w:t>Zdecydowana polityka wizowa UE ma również kluczowe znaczenie dla lepszego zabezpieczenia granic</w:t>
      </w:r>
      <w:r w:rsidR="00115F78" w:rsidRPr="00115F78">
        <w:rPr>
          <w:noProof/>
        </w:rPr>
        <w:t xml:space="preserve"> i</w:t>
      </w:r>
      <w:r w:rsidR="00115F78">
        <w:rPr>
          <w:noProof/>
        </w:rPr>
        <w:t> </w:t>
      </w:r>
      <w:r w:rsidR="00115F78" w:rsidRPr="00115F78">
        <w:rPr>
          <w:noProof/>
        </w:rPr>
        <w:t>zar</w:t>
      </w:r>
      <w:r w:rsidRPr="00115F78">
        <w:rPr>
          <w:noProof/>
        </w:rPr>
        <w:t>ządzania migracjami. Unijne wsparcie powinno</w:t>
      </w:r>
      <w:r w:rsidR="00115F78" w:rsidRPr="00115F78">
        <w:rPr>
          <w:noProof/>
        </w:rPr>
        <w:t xml:space="preserve"> w</w:t>
      </w:r>
      <w:r w:rsidR="00115F78">
        <w:rPr>
          <w:noProof/>
        </w:rPr>
        <w:t> </w:t>
      </w:r>
      <w:r w:rsidR="00115F78" w:rsidRPr="00115F78">
        <w:rPr>
          <w:noProof/>
        </w:rPr>
        <w:t>szc</w:t>
      </w:r>
      <w:r w:rsidRPr="00115F78">
        <w:rPr>
          <w:noProof/>
        </w:rPr>
        <w:t>zególności pomóc państwom członkowskim</w:t>
      </w:r>
      <w:r w:rsidR="00115F78" w:rsidRPr="00115F78">
        <w:rPr>
          <w:noProof/>
        </w:rPr>
        <w:t xml:space="preserve"> w</w:t>
      </w:r>
      <w:r w:rsidR="00115F78">
        <w:rPr>
          <w:noProof/>
        </w:rPr>
        <w:t> </w:t>
      </w:r>
      <w:r w:rsidR="00115F78" w:rsidRPr="00115F78">
        <w:rPr>
          <w:noProof/>
        </w:rPr>
        <w:t>pop</w:t>
      </w:r>
      <w:r w:rsidRPr="00115F78">
        <w:rPr>
          <w:noProof/>
        </w:rPr>
        <w:t>rawie skuteczności rozpatrywania wniosków wizowych</w:t>
      </w:r>
      <w:r w:rsidR="00115F78" w:rsidRPr="00115F78">
        <w:rPr>
          <w:noProof/>
        </w:rPr>
        <w:t xml:space="preserve"> i</w:t>
      </w:r>
      <w:r w:rsidR="00115F78">
        <w:rPr>
          <w:noProof/>
        </w:rPr>
        <w:t> </w:t>
      </w:r>
      <w:r w:rsidR="00115F78" w:rsidRPr="00115F78">
        <w:rPr>
          <w:noProof/>
        </w:rPr>
        <w:t>zap</w:t>
      </w:r>
      <w:r w:rsidRPr="00115F78">
        <w:rPr>
          <w:noProof/>
        </w:rPr>
        <w:t>obieganiu nadużywaniu systemu wizowego Unii. Unijne wsparcie jest niezbędne</w:t>
      </w:r>
      <w:r w:rsidR="00115F78" w:rsidRPr="00115F78">
        <w:rPr>
          <w:noProof/>
        </w:rPr>
        <w:t xml:space="preserve"> w</w:t>
      </w:r>
      <w:r w:rsidR="00115F78">
        <w:rPr>
          <w:noProof/>
        </w:rPr>
        <w:t> </w:t>
      </w:r>
      <w:r w:rsidR="00115F78" w:rsidRPr="00115F78">
        <w:rPr>
          <w:noProof/>
        </w:rPr>
        <w:t>odn</w:t>
      </w:r>
      <w:r w:rsidRPr="00115F78">
        <w:rPr>
          <w:noProof/>
        </w:rPr>
        <w:t>iesieniu do cyfryzacji rozpatrywania wniosków wizowych, jak również poprawy zasięgu usług konsularnych na całym świecie</w:t>
      </w:r>
      <w:r w:rsidR="00115F78" w:rsidRPr="00115F78">
        <w:rPr>
          <w:noProof/>
        </w:rPr>
        <w:t xml:space="preserve"> i</w:t>
      </w:r>
      <w:r w:rsidR="00115F78">
        <w:rPr>
          <w:noProof/>
        </w:rPr>
        <w:t> </w:t>
      </w:r>
      <w:r w:rsidR="00115F78" w:rsidRPr="00115F78">
        <w:rPr>
          <w:noProof/>
        </w:rPr>
        <w:t>usł</w:t>
      </w:r>
      <w:r w:rsidRPr="00115F78">
        <w:rPr>
          <w:noProof/>
        </w:rPr>
        <w:t>ug świadczonych na rzecz osób ubiegających się</w:t>
      </w:r>
      <w:r w:rsidR="00115F78" w:rsidRPr="00115F78">
        <w:rPr>
          <w:noProof/>
        </w:rPr>
        <w:t xml:space="preserve"> o</w:t>
      </w:r>
      <w:r w:rsidR="00115F78">
        <w:rPr>
          <w:noProof/>
        </w:rPr>
        <w:t> </w:t>
      </w:r>
      <w:r w:rsidR="00115F78" w:rsidRPr="00115F78">
        <w:rPr>
          <w:noProof/>
        </w:rPr>
        <w:t>wiz</w:t>
      </w:r>
      <w:r w:rsidRPr="00115F78">
        <w:rPr>
          <w:noProof/>
        </w:rPr>
        <w:t>ę.</w:t>
      </w:r>
    </w:p>
    <w:p w14:paraId="33FEB1CE" w14:textId="79C952F0" w:rsidR="00B9223C" w:rsidRPr="00115F78" w:rsidRDefault="00B9223C" w:rsidP="001F3E4C">
      <w:pPr>
        <w:rPr>
          <w:noProof/>
        </w:rPr>
      </w:pPr>
      <w:r w:rsidRPr="00115F78">
        <w:rPr>
          <w:noProof/>
        </w:rPr>
        <w:t>Niniejszy wniosek ma na celu zaspokojenie potrzeby większej elastyczności</w:t>
      </w:r>
      <w:r w:rsidR="00115F78" w:rsidRPr="00115F78">
        <w:rPr>
          <w:noProof/>
        </w:rPr>
        <w:t xml:space="preserve"> w</w:t>
      </w:r>
      <w:r w:rsidR="00115F78">
        <w:rPr>
          <w:noProof/>
        </w:rPr>
        <w:t> </w:t>
      </w:r>
      <w:r w:rsidR="00115F78" w:rsidRPr="00115F78">
        <w:rPr>
          <w:noProof/>
        </w:rPr>
        <w:t>zar</w:t>
      </w:r>
      <w:r w:rsidRPr="00115F78">
        <w:rPr>
          <w:noProof/>
        </w:rPr>
        <w:t>ządzaniu unijnym wsparciem,</w:t>
      </w:r>
      <w:r w:rsidR="00115F78" w:rsidRPr="00115F78">
        <w:rPr>
          <w:noProof/>
        </w:rPr>
        <w:t xml:space="preserve"> w</w:t>
      </w:r>
      <w:r w:rsidR="00115F78">
        <w:rPr>
          <w:noProof/>
        </w:rPr>
        <w:t> </w:t>
      </w:r>
      <w:r w:rsidR="00115F78" w:rsidRPr="00115F78">
        <w:rPr>
          <w:noProof/>
        </w:rPr>
        <w:t>tym</w:t>
      </w:r>
      <w:r w:rsidRPr="00115F78">
        <w:rPr>
          <w:noProof/>
        </w:rPr>
        <w:t xml:space="preserve"> lepszego ukierunkowania na wyniki,</w:t>
      </w:r>
      <w:r w:rsidR="00115F78" w:rsidRPr="00115F78">
        <w:rPr>
          <w:noProof/>
        </w:rPr>
        <w:t xml:space="preserve"> a</w:t>
      </w:r>
      <w:r w:rsidR="00115F78">
        <w:rPr>
          <w:noProof/>
        </w:rPr>
        <w:t> </w:t>
      </w:r>
      <w:r w:rsidR="00115F78" w:rsidRPr="00115F78">
        <w:rPr>
          <w:noProof/>
        </w:rPr>
        <w:t>tak</w:t>
      </w:r>
      <w:r w:rsidRPr="00115F78">
        <w:rPr>
          <w:noProof/>
        </w:rPr>
        <w:t>że większego uproszczenia dla wszystkich podmiotów zaangażowanych</w:t>
      </w:r>
      <w:r w:rsidR="00115F78" w:rsidRPr="00115F78">
        <w:rPr>
          <w:noProof/>
        </w:rPr>
        <w:t xml:space="preserve"> w</w:t>
      </w:r>
      <w:r w:rsidR="00115F78">
        <w:rPr>
          <w:noProof/>
        </w:rPr>
        <w:t> </w:t>
      </w:r>
      <w:r w:rsidR="00115F78" w:rsidRPr="00115F78">
        <w:rPr>
          <w:noProof/>
        </w:rPr>
        <w:t>jeg</w:t>
      </w:r>
      <w:r w:rsidRPr="00115F78">
        <w:rPr>
          <w:noProof/>
        </w:rPr>
        <w:t>o wdrażanie</w:t>
      </w:r>
      <w:r w:rsidR="00115F78" w:rsidRPr="00115F78">
        <w:rPr>
          <w:noProof/>
        </w:rPr>
        <w:t>. W</w:t>
      </w:r>
      <w:r w:rsidR="00115F78">
        <w:rPr>
          <w:noProof/>
        </w:rPr>
        <w:t> </w:t>
      </w:r>
      <w:r w:rsidR="00115F78" w:rsidRPr="00115F78">
        <w:rPr>
          <w:noProof/>
        </w:rPr>
        <w:t>tym</w:t>
      </w:r>
      <w:r w:rsidRPr="00115F78">
        <w:rPr>
          <w:noProof/>
        </w:rPr>
        <w:t xml:space="preserve"> celu wymagana jest ścisła komplementarność</w:t>
      </w:r>
      <w:r w:rsidR="00115F78" w:rsidRPr="00115F78">
        <w:rPr>
          <w:noProof/>
        </w:rPr>
        <w:t xml:space="preserve"> z</w:t>
      </w:r>
      <w:r w:rsidR="00115F78">
        <w:rPr>
          <w:noProof/>
        </w:rPr>
        <w:t> </w:t>
      </w:r>
      <w:r w:rsidR="00115F78" w:rsidRPr="00115F78">
        <w:rPr>
          <w:noProof/>
        </w:rPr>
        <w:t>wni</w:t>
      </w:r>
      <w:r w:rsidRPr="00115F78">
        <w:rPr>
          <w:noProof/>
        </w:rPr>
        <w:t>oskiem dotyczącym rozporządzenia (UE) [...]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w:t>
      </w:r>
      <w:r w:rsidR="00115F78" w:rsidRPr="00115F78">
        <w:rPr>
          <w:noProof/>
        </w:rPr>
        <w:t xml:space="preserve"> w</w:t>
      </w:r>
      <w:r w:rsidR="00115F78">
        <w:rPr>
          <w:noProof/>
        </w:rPr>
        <w:t> </w:t>
      </w:r>
      <w:r w:rsidR="00115F78" w:rsidRPr="00115F78">
        <w:rPr>
          <w:noProof/>
        </w:rPr>
        <w:t>któ</w:t>
      </w:r>
      <w:r w:rsidRPr="00115F78">
        <w:rPr>
          <w:noProof/>
        </w:rPr>
        <w:t>rym wprowadza się nowe mechanizmy przydziału środków finansowych</w:t>
      </w:r>
      <w:r w:rsidR="00115F78" w:rsidRPr="00115F78">
        <w:rPr>
          <w:noProof/>
        </w:rPr>
        <w:t xml:space="preserve"> w</w:t>
      </w:r>
      <w:r w:rsidR="00115F78">
        <w:rPr>
          <w:noProof/>
        </w:rPr>
        <w:t> </w:t>
      </w:r>
      <w:r w:rsidR="00115F78" w:rsidRPr="00115F78">
        <w:rPr>
          <w:noProof/>
        </w:rPr>
        <w:t>ram</w:t>
      </w:r>
      <w:r w:rsidRPr="00115F78">
        <w:rPr>
          <w:noProof/>
        </w:rPr>
        <w:t>ach zarządzania dzielonego, bezpośredniego</w:t>
      </w:r>
      <w:r w:rsidR="00115F78" w:rsidRPr="00115F78">
        <w:rPr>
          <w:noProof/>
        </w:rPr>
        <w:t xml:space="preserve"> i</w:t>
      </w:r>
      <w:r w:rsidR="00115F78">
        <w:rPr>
          <w:noProof/>
        </w:rPr>
        <w:t> </w:t>
      </w:r>
      <w:r w:rsidR="00115F78" w:rsidRPr="00115F78">
        <w:rPr>
          <w:noProof/>
        </w:rPr>
        <w:t>poś</w:t>
      </w:r>
      <w:r w:rsidRPr="00115F78">
        <w:rPr>
          <w:noProof/>
        </w:rPr>
        <w:t>redniego. Ponieważ wyzwania</w:t>
      </w:r>
      <w:r w:rsidR="00115F78" w:rsidRPr="00115F78">
        <w:rPr>
          <w:noProof/>
        </w:rPr>
        <w:t xml:space="preserve"> w</w:t>
      </w:r>
      <w:r w:rsidR="00115F78">
        <w:rPr>
          <w:noProof/>
        </w:rPr>
        <w:t> </w:t>
      </w:r>
      <w:r w:rsidR="00115F78" w:rsidRPr="00115F78">
        <w:rPr>
          <w:noProof/>
        </w:rPr>
        <w:t>dzi</w:t>
      </w:r>
      <w:r w:rsidRPr="00115F78">
        <w:rPr>
          <w:noProof/>
        </w:rPr>
        <w:t>edzinie zarządzania granicami</w:t>
      </w:r>
      <w:r w:rsidR="00115F78" w:rsidRPr="00115F78">
        <w:rPr>
          <w:noProof/>
        </w:rPr>
        <w:t xml:space="preserve"> i</w:t>
      </w:r>
      <w:r w:rsidR="00115F78">
        <w:rPr>
          <w:noProof/>
        </w:rPr>
        <w:t> </w:t>
      </w:r>
      <w:r w:rsidR="00115F78" w:rsidRPr="00115F78">
        <w:rPr>
          <w:noProof/>
        </w:rPr>
        <w:t>mig</w:t>
      </w:r>
      <w:r w:rsidRPr="00115F78">
        <w:rPr>
          <w:noProof/>
        </w:rPr>
        <w:t>racji stale się zmieniają, istnieje również potrzeba reagowania na pilne potrzeby</w:t>
      </w:r>
      <w:r w:rsidR="00115F78" w:rsidRPr="00115F78">
        <w:rPr>
          <w:noProof/>
        </w:rPr>
        <w:t xml:space="preserve"> i</w:t>
      </w:r>
      <w:r w:rsidR="00115F78">
        <w:rPr>
          <w:noProof/>
        </w:rPr>
        <w:t> </w:t>
      </w:r>
      <w:r w:rsidR="00115F78" w:rsidRPr="00115F78">
        <w:rPr>
          <w:noProof/>
        </w:rPr>
        <w:t>zmi</w:t>
      </w:r>
      <w:r w:rsidRPr="00115F78">
        <w:rPr>
          <w:noProof/>
        </w:rPr>
        <w:t>any</w:t>
      </w:r>
      <w:r w:rsidR="00115F78" w:rsidRPr="00115F78">
        <w:rPr>
          <w:noProof/>
        </w:rPr>
        <w:t xml:space="preserve"> w</w:t>
      </w:r>
      <w:r w:rsidR="00115F78">
        <w:rPr>
          <w:noProof/>
        </w:rPr>
        <w:t> </w:t>
      </w:r>
      <w:r w:rsidR="00115F78" w:rsidRPr="00115F78">
        <w:rPr>
          <w:noProof/>
        </w:rPr>
        <w:t>pol</w:t>
      </w:r>
      <w:r w:rsidRPr="00115F78">
        <w:rPr>
          <w:noProof/>
        </w:rPr>
        <w:t>ityce</w:t>
      </w:r>
      <w:r w:rsidR="00115F78" w:rsidRPr="00115F78">
        <w:rPr>
          <w:noProof/>
        </w:rPr>
        <w:t xml:space="preserve"> i</w:t>
      </w:r>
      <w:r w:rsidR="00115F78">
        <w:rPr>
          <w:noProof/>
        </w:rPr>
        <w:t> </w:t>
      </w:r>
      <w:r w:rsidR="00115F78" w:rsidRPr="00115F78">
        <w:rPr>
          <w:noProof/>
        </w:rPr>
        <w:t>pri</w:t>
      </w:r>
      <w:r w:rsidRPr="00115F78">
        <w:rPr>
          <w:noProof/>
        </w:rPr>
        <w:t xml:space="preserve">orytetach Unii, </w:t>
      </w:r>
      <w:bookmarkStart w:id="4" w:name="_Hlk202775281"/>
      <w:r w:rsidRPr="00115F78">
        <w:rPr>
          <w:noProof/>
        </w:rPr>
        <w:t>usunięcia niedociągnięć stwierdzonych</w:t>
      </w:r>
      <w:r w:rsidR="00115F78" w:rsidRPr="00115F78">
        <w:rPr>
          <w:noProof/>
        </w:rPr>
        <w:t xml:space="preserve"> w</w:t>
      </w:r>
      <w:r w:rsidR="00115F78">
        <w:rPr>
          <w:noProof/>
        </w:rPr>
        <w:t> </w:t>
      </w:r>
      <w:r w:rsidR="00115F78" w:rsidRPr="00115F78">
        <w:rPr>
          <w:noProof/>
        </w:rPr>
        <w:t>oce</w:t>
      </w:r>
      <w:r w:rsidRPr="00115F78">
        <w:rPr>
          <w:noProof/>
        </w:rPr>
        <w:t>nach stosowania dorobku Schengen</w:t>
      </w:r>
      <w:bookmarkEnd w:id="4"/>
      <w:r w:rsidR="00115F78" w:rsidRPr="00115F78">
        <w:rPr>
          <w:noProof/>
        </w:rPr>
        <w:t xml:space="preserve"> i</w:t>
      </w:r>
      <w:r w:rsidR="00115F78">
        <w:rPr>
          <w:noProof/>
        </w:rPr>
        <w:t> </w:t>
      </w:r>
      <w:r w:rsidR="00115F78" w:rsidRPr="00115F78">
        <w:rPr>
          <w:noProof/>
        </w:rPr>
        <w:t>oce</w:t>
      </w:r>
      <w:r w:rsidRPr="00115F78">
        <w:rPr>
          <w:noProof/>
        </w:rPr>
        <w:t>nie narażenia dokonywanej przez Frontex oraz ukierunkowania finansowania na działania</w:t>
      </w:r>
      <w:r w:rsidR="00115F78" w:rsidRPr="00115F78">
        <w:rPr>
          <w:noProof/>
        </w:rPr>
        <w:t xml:space="preserve"> o</w:t>
      </w:r>
      <w:r w:rsidR="00115F78">
        <w:rPr>
          <w:noProof/>
        </w:rPr>
        <w:t> </w:t>
      </w:r>
      <w:r w:rsidR="00115F78" w:rsidRPr="00115F78">
        <w:rPr>
          <w:noProof/>
        </w:rPr>
        <w:t>wys</w:t>
      </w:r>
      <w:r w:rsidRPr="00115F78">
        <w:rPr>
          <w:noProof/>
        </w:rPr>
        <w:t>okiej unijnej wartości dodanej,</w:t>
      </w:r>
      <w:r w:rsidR="00115F78" w:rsidRPr="00115F78">
        <w:rPr>
          <w:noProof/>
        </w:rPr>
        <w:t xml:space="preserve"> w</w:t>
      </w:r>
      <w:r w:rsidR="00115F78">
        <w:rPr>
          <w:noProof/>
        </w:rPr>
        <w:t> </w:t>
      </w:r>
      <w:r w:rsidR="00115F78" w:rsidRPr="00115F78">
        <w:rPr>
          <w:noProof/>
        </w:rPr>
        <w:t>szc</w:t>
      </w:r>
      <w:r w:rsidRPr="00115F78">
        <w:rPr>
          <w:noProof/>
        </w:rPr>
        <w:t>zególności za pośrednictwem Instrumentu UE zapewniającego elastyczność</w:t>
      </w:r>
      <w:r w:rsidR="00115F78" w:rsidRPr="00115F78">
        <w:rPr>
          <w:noProof/>
        </w:rPr>
        <w:t xml:space="preserve"> w</w:t>
      </w:r>
      <w:r w:rsidR="00115F78">
        <w:rPr>
          <w:noProof/>
        </w:rPr>
        <w:t> </w:t>
      </w:r>
      <w:r w:rsidR="00115F78" w:rsidRPr="00115F78">
        <w:rPr>
          <w:noProof/>
        </w:rPr>
        <w:t>zar</w:t>
      </w:r>
      <w:r w:rsidRPr="00115F78">
        <w:rPr>
          <w:noProof/>
        </w:rPr>
        <w:t>ządzaniu unijnym wsparciem.</w:t>
      </w:r>
    </w:p>
    <w:p w14:paraId="4CF7EFDF" w14:textId="0A24FDD4" w:rsidR="00EB6497" w:rsidRPr="00115F78" w:rsidRDefault="00EB6497" w:rsidP="001F3E4C">
      <w:pPr>
        <w:pBdr>
          <w:top w:val="nil"/>
          <w:left w:val="nil"/>
          <w:bottom w:val="nil"/>
          <w:right w:val="nil"/>
          <w:between w:val="nil"/>
          <w:bar w:val="nil"/>
        </w:pBdr>
        <w:rPr>
          <w:rFonts w:eastAsia="Arial Unicode MS"/>
          <w:noProof/>
        </w:rPr>
      </w:pPr>
      <w:r w:rsidRPr="00115F78">
        <w:rPr>
          <w:noProof/>
        </w:rPr>
        <w:t>Niniejszy wniosek, wraz</w:t>
      </w:r>
      <w:r w:rsidR="00115F78" w:rsidRPr="00115F78">
        <w:rPr>
          <w:noProof/>
        </w:rPr>
        <w:t xml:space="preserve"> z</w:t>
      </w:r>
      <w:r w:rsidR="00115F78">
        <w:rPr>
          <w:noProof/>
        </w:rPr>
        <w:t> </w:t>
      </w:r>
      <w:r w:rsidR="00115F78" w:rsidRPr="00115F78">
        <w:rPr>
          <w:noProof/>
        </w:rPr>
        <w:t>wni</w:t>
      </w:r>
      <w:r w:rsidRPr="00115F78">
        <w:rPr>
          <w:noProof/>
        </w:rPr>
        <w:t>oskiem dotyczącym rozporządzenia ustanawiającego unijne wsparcie na rzecz azylu, migracji</w:t>
      </w:r>
      <w:r w:rsidR="00115F78" w:rsidRPr="00115F78">
        <w:rPr>
          <w:noProof/>
        </w:rPr>
        <w:t xml:space="preserve"> i</w:t>
      </w:r>
      <w:r w:rsidR="00115F78">
        <w:rPr>
          <w:noProof/>
        </w:rPr>
        <w:t> </w:t>
      </w:r>
      <w:r w:rsidR="00115F78" w:rsidRPr="00115F78">
        <w:rPr>
          <w:noProof/>
        </w:rPr>
        <w:t>int</w:t>
      </w:r>
      <w:r w:rsidRPr="00115F78">
        <w:rPr>
          <w:noProof/>
        </w:rPr>
        <w:t>egracji oraz wnioskiem dotyczącym rozporządzenia ustanawiającego unijne wsparcie na rzecz bezpieczeństwa wewnętrznego, określa szczególne ramy prawne dla działań Unii</w:t>
      </w:r>
      <w:r w:rsidR="00115F78" w:rsidRPr="00115F78">
        <w:rPr>
          <w:noProof/>
        </w:rPr>
        <w:t xml:space="preserve"> w</w:t>
      </w:r>
      <w:r w:rsidR="00115F78">
        <w:rPr>
          <w:noProof/>
        </w:rPr>
        <w:t> </w:t>
      </w:r>
      <w:r w:rsidR="00115F78" w:rsidRPr="00115F78">
        <w:rPr>
          <w:noProof/>
        </w:rPr>
        <w:t>obs</w:t>
      </w:r>
      <w:r w:rsidRPr="00115F78">
        <w:rPr>
          <w:noProof/>
        </w:rPr>
        <w:t>zarach europejskiego zintegrowanego zarządzania granicami zewnętrznymi, dobrze funkcjonującej strefy Schengen</w:t>
      </w:r>
      <w:r w:rsidR="00115F78" w:rsidRPr="00115F78">
        <w:rPr>
          <w:noProof/>
        </w:rPr>
        <w:t xml:space="preserve"> i</w:t>
      </w:r>
      <w:r w:rsidR="00115F78">
        <w:rPr>
          <w:noProof/>
        </w:rPr>
        <w:t> </w:t>
      </w:r>
      <w:r w:rsidR="00115F78" w:rsidRPr="00115F78">
        <w:rPr>
          <w:noProof/>
        </w:rPr>
        <w:t>eur</w:t>
      </w:r>
      <w:r w:rsidRPr="00115F78">
        <w:rPr>
          <w:noProof/>
        </w:rPr>
        <w:t>opejskiej polityki wizowej, skutecznego zarządzania przepływami migracyjnymi oraz bezpieczeństwa wewnętrznego. Te trzy rozporządzenia uzupełniają się wzajemnie</w:t>
      </w:r>
      <w:r w:rsidR="00115F78" w:rsidRPr="00115F78">
        <w:rPr>
          <w:noProof/>
        </w:rPr>
        <w:t xml:space="preserve"> i</w:t>
      </w:r>
      <w:r w:rsidR="00115F78">
        <w:rPr>
          <w:noProof/>
        </w:rPr>
        <w:t> </w:t>
      </w:r>
      <w:r w:rsidR="00115F78" w:rsidRPr="00115F78">
        <w:rPr>
          <w:noProof/>
        </w:rPr>
        <w:t>prz</w:t>
      </w:r>
      <w:r w:rsidRPr="00115F78">
        <w:rPr>
          <w:noProof/>
        </w:rPr>
        <w:t>yczyniają się do osiągnięcia celów rozporządzenia (UE) [...]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 xml:space="preserve">pieczeństwa, za pomocą którego zostaną one wdrożone, oraz uzupełniają to rozporządzenie. </w:t>
      </w:r>
    </w:p>
    <w:p w14:paraId="5EBA1527" w14:textId="5EE7E091" w:rsidR="00EB6497" w:rsidRPr="00115F78" w:rsidRDefault="00EB6497" w:rsidP="00EB6497">
      <w:pPr>
        <w:rPr>
          <w:noProof/>
        </w:rPr>
      </w:pPr>
      <w:r w:rsidRPr="00115F78">
        <w:rPr>
          <w:noProof/>
        </w:rPr>
        <w:t>Proponowane rozporządzenie opiera się na rozporządzeniu (UE) 2021/1148</w:t>
      </w:r>
      <w:r w:rsidRPr="00115F78">
        <w:rPr>
          <w:rStyle w:val="FootnoteReference"/>
          <w:rFonts w:eastAsia="Arial Unicode MS"/>
          <w:noProof/>
        </w:rPr>
        <w:footnoteReference w:id="2"/>
      </w:r>
      <w:r w:rsidRPr="00115F78">
        <w:rPr>
          <w:noProof/>
        </w:rPr>
        <w:t>,</w:t>
      </w:r>
      <w:r w:rsidR="00115F78" w:rsidRPr="00115F78">
        <w:rPr>
          <w:noProof/>
        </w:rPr>
        <w:t xml:space="preserve"> a</w:t>
      </w:r>
      <w:r w:rsidR="00115F78">
        <w:rPr>
          <w:noProof/>
        </w:rPr>
        <w:t> </w:t>
      </w:r>
      <w:r w:rsidR="00115F78" w:rsidRPr="00115F78">
        <w:rPr>
          <w:noProof/>
        </w:rPr>
        <w:t>jed</w:t>
      </w:r>
      <w:r w:rsidRPr="00115F78">
        <w:rPr>
          <w:noProof/>
        </w:rPr>
        <w:t>nocześnie uwzględnia zmiany</w:t>
      </w:r>
      <w:r w:rsidR="00115F78" w:rsidRPr="00115F78">
        <w:rPr>
          <w:noProof/>
        </w:rPr>
        <w:t xml:space="preserve"> w</w:t>
      </w:r>
      <w:r w:rsidR="00115F78">
        <w:rPr>
          <w:noProof/>
        </w:rPr>
        <w:t> </w:t>
      </w:r>
      <w:r w:rsidR="00115F78" w:rsidRPr="00115F78">
        <w:rPr>
          <w:noProof/>
        </w:rPr>
        <w:t>pol</w:t>
      </w:r>
      <w:r w:rsidRPr="00115F78">
        <w:rPr>
          <w:noProof/>
        </w:rPr>
        <w:t>ityce oraz potrzebę zapewnienia sprawnej reakcji na zmieniające się wyzwania</w:t>
      </w:r>
      <w:r w:rsidR="00115F78" w:rsidRPr="00115F78">
        <w:rPr>
          <w:noProof/>
        </w:rPr>
        <w:t xml:space="preserve"> w</w:t>
      </w:r>
      <w:r w:rsidR="00115F78">
        <w:rPr>
          <w:noProof/>
        </w:rPr>
        <w:t> </w:t>
      </w:r>
      <w:r w:rsidR="00115F78" w:rsidRPr="00115F78">
        <w:rPr>
          <w:noProof/>
        </w:rPr>
        <w:t>zak</w:t>
      </w:r>
      <w:r w:rsidRPr="00115F78">
        <w:rPr>
          <w:noProof/>
        </w:rPr>
        <w:t>resie europejskiego zintegrowanego zarządzania granicami,</w:t>
      </w:r>
      <w:r w:rsidR="00115F78" w:rsidRPr="00115F78">
        <w:rPr>
          <w:noProof/>
        </w:rPr>
        <w:t xml:space="preserve"> w</w:t>
      </w:r>
      <w:r w:rsidR="00115F78">
        <w:rPr>
          <w:noProof/>
        </w:rPr>
        <w:t> </w:t>
      </w:r>
      <w:r w:rsidR="00115F78" w:rsidRPr="00115F78">
        <w:rPr>
          <w:noProof/>
        </w:rPr>
        <w:t>tym</w:t>
      </w:r>
      <w:r w:rsidRPr="00115F78">
        <w:rPr>
          <w:noProof/>
        </w:rPr>
        <w:t xml:space="preserve"> dobrze funkcjonującej strefy Schengen,</w:t>
      </w:r>
      <w:r w:rsidR="00115F78" w:rsidRPr="00115F78">
        <w:rPr>
          <w:noProof/>
        </w:rPr>
        <w:t xml:space="preserve"> i</w:t>
      </w:r>
      <w:r w:rsidR="00115F78">
        <w:rPr>
          <w:noProof/>
        </w:rPr>
        <w:t> </w:t>
      </w:r>
      <w:r w:rsidR="00115F78" w:rsidRPr="00115F78">
        <w:rPr>
          <w:noProof/>
        </w:rPr>
        <w:t>pol</w:t>
      </w:r>
      <w:r w:rsidRPr="00115F78">
        <w:rPr>
          <w:noProof/>
        </w:rPr>
        <w:t>ityki wizowej UE.</w:t>
      </w:r>
    </w:p>
    <w:p w14:paraId="23CA5C86" w14:textId="522060E8" w:rsidR="00286E0D" w:rsidRPr="00115F78" w:rsidRDefault="00286E0D" w:rsidP="00286E0D">
      <w:pPr>
        <w:pStyle w:val="ManualHeading2"/>
        <w:rPr>
          <w:rFonts w:eastAsia="Arial Unicode MS"/>
          <w:noProof/>
          <w:color w:val="000000"/>
          <w:u w:color="000000"/>
          <w:bdr w:val="nil"/>
        </w:rPr>
      </w:pPr>
      <w:r w:rsidRPr="00115F78">
        <w:rPr>
          <w:noProof/>
          <w:color w:val="000000"/>
          <w:u w:color="000000"/>
          <w:bdr w:val="nil"/>
        </w:rPr>
        <w:t>•</w:t>
      </w:r>
      <w:r w:rsidRPr="00115F78">
        <w:rPr>
          <w:noProof/>
        </w:rPr>
        <w:tab/>
        <w:t>Spójność</w:t>
      </w:r>
      <w:r w:rsidR="00115F78" w:rsidRPr="00115F78">
        <w:rPr>
          <w:noProof/>
        </w:rPr>
        <w:t xml:space="preserve"> z</w:t>
      </w:r>
      <w:r w:rsidR="00115F78">
        <w:rPr>
          <w:noProof/>
        </w:rPr>
        <w:t> </w:t>
      </w:r>
      <w:r w:rsidR="00115F78" w:rsidRPr="00115F78">
        <w:rPr>
          <w:noProof/>
        </w:rPr>
        <w:t>prz</w:t>
      </w:r>
      <w:r w:rsidRPr="00115F78">
        <w:rPr>
          <w:noProof/>
        </w:rPr>
        <w:t>episami obowiązującymi</w:t>
      </w:r>
      <w:r w:rsidR="00115F78" w:rsidRPr="00115F78">
        <w:rPr>
          <w:noProof/>
        </w:rPr>
        <w:t xml:space="preserve"> w</w:t>
      </w:r>
      <w:r w:rsidR="00115F78">
        <w:rPr>
          <w:noProof/>
        </w:rPr>
        <w:t> </w:t>
      </w:r>
      <w:r w:rsidR="00115F78" w:rsidRPr="00115F78">
        <w:rPr>
          <w:noProof/>
        </w:rPr>
        <w:t>tej</w:t>
      </w:r>
      <w:r w:rsidRPr="00115F78">
        <w:rPr>
          <w:noProof/>
        </w:rPr>
        <w:t xml:space="preserve"> dziedzinie polityki</w:t>
      </w:r>
    </w:p>
    <w:p w14:paraId="254C54FA" w14:textId="6E876EED" w:rsidR="00286E0D" w:rsidRPr="00115F78" w:rsidRDefault="00286E0D" w:rsidP="00286E0D">
      <w:pPr>
        <w:pBdr>
          <w:top w:val="nil"/>
          <w:left w:val="nil"/>
          <w:bottom w:val="nil"/>
          <w:right w:val="nil"/>
          <w:between w:val="nil"/>
          <w:bar w:val="nil"/>
        </w:pBdr>
        <w:rPr>
          <w:rFonts w:eastAsia="Arial Unicode MS"/>
          <w:noProof/>
        </w:rPr>
      </w:pPr>
      <w:r w:rsidRPr="00115F78">
        <w:rPr>
          <w:noProof/>
        </w:rPr>
        <w:t>Unijne wsparcie dla europejskiego zintegrowanego zarządzania granicami</w:t>
      </w:r>
      <w:r w:rsidR="00115F78" w:rsidRPr="00115F78">
        <w:rPr>
          <w:noProof/>
        </w:rPr>
        <w:t xml:space="preserve"> i</w:t>
      </w:r>
      <w:r w:rsidR="00115F78">
        <w:rPr>
          <w:noProof/>
        </w:rPr>
        <w:t> </w:t>
      </w:r>
      <w:r w:rsidR="00115F78" w:rsidRPr="00115F78">
        <w:rPr>
          <w:noProof/>
        </w:rPr>
        <w:t>eur</w:t>
      </w:r>
      <w:r w:rsidRPr="00115F78">
        <w:rPr>
          <w:noProof/>
        </w:rPr>
        <w:t>opejskiej polityki wizowej będzie realizowane</w:t>
      </w:r>
      <w:r w:rsidR="00115F78" w:rsidRPr="00115F78">
        <w:rPr>
          <w:noProof/>
        </w:rPr>
        <w:t xml:space="preserve"> w</w:t>
      </w:r>
      <w:r w:rsidR="00115F78">
        <w:rPr>
          <w:noProof/>
        </w:rPr>
        <w:t> </w:t>
      </w:r>
      <w:r w:rsidR="00115F78" w:rsidRPr="00115F78">
        <w:rPr>
          <w:noProof/>
        </w:rPr>
        <w:t>ści</w:t>
      </w:r>
      <w:r w:rsidRPr="00115F78">
        <w:rPr>
          <w:noProof/>
        </w:rPr>
        <w:t>słej komplementarności</w:t>
      </w:r>
      <w:r w:rsidR="00115F78" w:rsidRPr="00115F78">
        <w:rPr>
          <w:noProof/>
        </w:rPr>
        <w:t xml:space="preserve"> z</w:t>
      </w:r>
      <w:r w:rsidR="00115F78">
        <w:rPr>
          <w:noProof/>
        </w:rPr>
        <w:t> </w:t>
      </w:r>
      <w:r w:rsidR="00115F78" w:rsidRPr="00115F78">
        <w:rPr>
          <w:noProof/>
        </w:rPr>
        <w:t>inn</w:t>
      </w:r>
      <w:r w:rsidRPr="00115F78">
        <w:rPr>
          <w:noProof/>
        </w:rPr>
        <w:t>ymi politykami</w:t>
      </w:r>
      <w:r w:rsidR="00115F78" w:rsidRPr="00115F78">
        <w:rPr>
          <w:noProof/>
        </w:rPr>
        <w:t xml:space="preserve"> w</w:t>
      </w:r>
      <w:r w:rsidR="00115F78">
        <w:rPr>
          <w:noProof/>
        </w:rPr>
        <w:t> </w:t>
      </w:r>
      <w:r w:rsidR="00115F78" w:rsidRPr="00115F78">
        <w:rPr>
          <w:noProof/>
        </w:rPr>
        <w:t>ram</w:t>
      </w:r>
      <w:r w:rsidRPr="00115F78">
        <w:rPr>
          <w:noProof/>
        </w:rPr>
        <w:t>ach planów partnerstwa krajowego</w:t>
      </w:r>
      <w:r w:rsidR="00115F78" w:rsidRPr="00115F78">
        <w:rPr>
          <w:noProof/>
        </w:rPr>
        <w:t xml:space="preserve"> i</w:t>
      </w:r>
      <w:r w:rsidR="00115F78">
        <w:rPr>
          <w:noProof/>
        </w:rPr>
        <w:t> </w:t>
      </w:r>
      <w:r w:rsidR="00115F78" w:rsidRPr="00115F78">
        <w:rPr>
          <w:noProof/>
        </w:rPr>
        <w:t>reg</w:t>
      </w:r>
      <w:r w:rsidRPr="00115F78">
        <w:rPr>
          <w:noProof/>
        </w:rPr>
        <w:t>ionalnego, wspierając tym samym synergię między tymi politykami. Podobnie należy dążyć do synergii</w:t>
      </w:r>
      <w:r w:rsidR="00115F78" w:rsidRPr="00115F78">
        <w:rPr>
          <w:noProof/>
        </w:rPr>
        <w:t xml:space="preserve"> i</w:t>
      </w:r>
      <w:r w:rsidR="00115F78">
        <w:rPr>
          <w:noProof/>
        </w:rPr>
        <w:t> </w:t>
      </w:r>
      <w:r w:rsidR="00115F78" w:rsidRPr="00115F78">
        <w:rPr>
          <w:noProof/>
        </w:rPr>
        <w:t>kom</w:t>
      </w:r>
      <w:r w:rsidRPr="00115F78">
        <w:rPr>
          <w:noProof/>
        </w:rPr>
        <w:t>plementarności dorobku Schengen</w:t>
      </w:r>
      <w:r w:rsidR="00115F78" w:rsidRPr="00115F78">
        <w:rPr>
          <w:noProof/>
        </w:rPr>
        <w:t xml:space="preserve"> i</w:t>
      </w:r>
      <w:r w:rsidR="00115F78">
        <w:rPr>
          <w:noProof/>
        </w:rPr>
        <w:t> </w:t>
      </w:r>
      <w:r w:rsidR="00115F78" w:rsidRPr="00115F78">
        <w:rPr>
          <w:noProof/>
        </w:rPr>
        <w:t>pak</w:t>
      </w:r>
      <w:r w:rsidRPr="00115F78">
        <w:rPr>
          <w:noProof/>
        </w:rPr>
        <w:t>ietu legislacyjnego stanowiącego podstawę paktu</w:t>
      </w:r>
      <w:r w:rsidR="00115F78" w:rsidRPr="00115F78">
        <w:rPr>
          <w:noProof/>
        </w:rPr>
        <w:t xml:space="preserve"> o</w:t>
      </w:r>
      <w:r w:rsidR="00115F78">
        <w:rPr>
          <w:noProof/>
        </w:rPr>
        <w:t> </w:t>
      </w:r>
      <w:r w:rsidR="00115F78" w:rsidRPr="00115F78">
        <w:rPr>
          <w:noProof/>
        </w:rPr>
        <w:t>mig</w:t>
      </w:r>
      <w:r w:rsidRPr="00115F78">
        <w:rPr>
          <w:noProof/>
        </w:rPr>
        <w:t>racji</w:t>
      </w:r>
      <w:r w:rsidR="00115F78" w:rsidRPr="00115F78">
        <w:rPr>
          <w:noProof/>
        </w:rPr>
        <w:t xml:space="preserve"> i</w:t>
      </w:r>
      <w:r w:rsidR="00115F78">
        <w:rPr>
          <w:noProof/>
        </w:rPr>
        <w:t> </w:t>
      </w:r>
      <w:r w:rsidR="00115F78" w:rsidRPr="00115F78">
        <w:rPr>
          <w:noProof/>
        </w:rPr>
        <w:t>azy</w:t>
      </w:r>
      <w:r w:rsidRPr="00115F78">
        <w:rPr>
          <w:noProof/>
        </w:rPr>
        <w:t>lu, który wszedł</w:t>
      </w:r>
      <w:r w:rsidR="00115F78" w:rsidRPr="00115F78">
        <w:rPr>
          <w:noProof/>
        </w:rPr>
        <w:t xml:space="preserve"> w</w:t>
      </w:r>
      <w:r w:rsidR="00115F78">
        <w:rPr>
          <w:noProof/>
        </w:rPr>
        <w:t> </w:t>
      </w:r>
      <w:r w:rsidR="00115F78" w:rsidRPr="00115F78">
        <w:rPr>
          <w:noProof/>
        </w:rPr>
        <w:t>życ</w:t>
      </w:r>
      <w:r w:rsidRPr="00115F78">
        <w:rPr>
          <w:noProof/>
        </w:rPr>
        <w:t>ie 11 czerwca 2024</w:t>
      </w:r>
      <w:r w:rsidR="00115F78" w:rsidRPr="00115F78">
        <w:rPr>
          <w:noProof/>
        </w:rPr>
        <w:t> </w:t>
      </w:r>
      <w:r w:rsidRPr="00115F78">
        <w:rPr>
          <w:noProof/>
        </w:rPr>
        <w:t>r. Intensywniejsza polityka UE</w:t>
      </w:r>
      <w:r w:rsidR="00115F78" w:rsidRPr="00115F78">
        <w:rPr>
          <w:noProof/>
        </w:rPr>
        <w:t xml:space="preserve"> w</w:t>
      </w:r>
      <w:r w:rsidR="00115F78">
        <w:rPr>
          <w:noProof/>
        </w:rPr>
        <w:t> </w:t>
      </w:r>
      <w:r w:rsidR="00115F78" w:rsidRPr="00115F78">
        <w:rPr>
          <w:noProof/>
        </w:rPr>
        <w:t>zak</w:t>
      </w:r>
      <w:r w:rsidRPr="00115F78">
        <w:rPr>
          <w:noProof/>
        </w:rPr>
        <w:t>resie europejskiego zintegrowanego zarządzania granicami</w:t>
      </w:r>
      <w:r w:rsidR="00115F78" w:rsidRPr="00115F78">
        <w:rPr>
          <w:noProof/>
        </w:rPr>
        <w:t xml:space="preserve"> i</w:t>
      </w:r>
      <w:r w:rsidR="00115F78">
        <w:rPr>
          <w:noProof/>
        </w:rPr>
        <w:t> </w:t>
      </w:r>
      <w:r w:rsidR="00115F78" w:rsidRPr="00115F78">
        <w:rPr>
          <w:noProof/>
        </w:rPr>
        <w:t>uni</w:t>
      </w:r>
      <w:r w:rsidRPr="00115F78">
        <w:rPr>
          <w:noProof/>
        </w:rPr>
        <w:t>jnej polityki wizowej wymaga jednak działań</w:t>
      </w:r>
      <w:r w:rsidR="00115F78" w:rsidRPr="00115F78">
        <w:rPr>
          <w:noProof/>
        </w:rPr>
        <w:t xml:space="preserve"> z</w:t>
      </w:r>
      <w:r w:rsidR="00115F78">
        <w:rPr>
          <w:noProof/>
        </w:rPr>
        <w:t> </w:t>
      </w:r>
      <w:r w:rsidR="00115F78" w:rsidRPr="00115F78">
        <w:rPr>
          <w:noProof/>
        </w:rPr>
        <w:t>wyk</w:t>
      </w:r>
      <w:r w:rsidRPr="00115F78">
        <w:rPr>
          <w:noProof/>
        </w:rPr>
        <w:t>orzystaniem pełnego spektrum dostępnych narzędzi,</w:t>
      </w:r>
      <w:r w:rsidR="00115F78" w:rsidRPr="00115F78">
        <w:rPr>
          <w:noProof/>
        </w:rPr>
        <w:t xml:space="preserve"> w</w:t>
      </w:r>
      <w:r w:rsidR="00115F78">
        <w:rPr>
          <w:noProof/>
        </w:rPr>
        <w:t> </w:t>
      </w:r>
      <w:r w:rsidR="00115F78" w:rsidRPr="00115F78">
        <w:rPr>
          <w:noProof/>
        </w:rPr>
        <w:t>tym</w:t>
      </w:r>
      <w:r w:rsidRPr="00115F78">
        <w:rPr>
          <w:noProof/>
        </w:rPr>
        <w:t xml:space="preserve"> działań odpowiednich unijnych agencji zdecentralizowanych.</w:t>
      </w:r>
    </w:p>
    <w:p w14:paraId="7C64BB8E" w14:textId="5DCF32E9" w:rsidR="00EB6497" w:rsidRPr="00115F78" w:rsidRDefault="00EB6497" w:rsidP="00286E0D">
      <w:pPr>
        <w:pBdr>
          <w:top w:val="nil"/>
          <w:left w:val="nil"/>
          <w:bottom w:val="nil"/>
          <w:right w:val="nil"/>
          <w:between w:val="nil"/>
          <w:bar w:val="nil"/>
        </w:pBdr>
        <w:rPr>
          <w:rFonts w:eastAsia="Arial Unicode MS"/>
          <w:noProof/>
        </w:rPr>
      </w:pPr>
      <w:bookmarkStart w:id="5" w:name="_Hlk202880469"/>
      <w:r w:rsidRPr="00115F78">
        <w:rPr>
          <w:noProof/>
          <w:color w:val="000000" w:themeColor="text1"/>
        </w:rPr>
        <w:t>Sześć zdecentralizowanych agencji</w:t>
      </w:r>
      <w:r w:rsidR="00115F78" w:rsidRPr="00115F78">
        <w:rPr>
          <w:noProof/>
          <w:color w:val="000000" w:themeColor="text1"/>
        </w:rPr>
        <w:t xml:space="preserve"> w</w:t>
      </w:r>
      <w:r w:rsidR="00115F78">
        <w:rPr>
          <w:noProof/>
          <w:color w:val="000000" w:themeColor="text1"/>
        </w:rPr>
        <w:t> </w:t>
      </w:r>
      <w:r w:rsidR="00115F78" w:rsidRPr="00115F78">
        <w:rPr>
          <w:noProof/>
          <w:color w:val="000000" w:themeColor="text1"/>
        </w:rPr>
        <w:t>obs</w:t>
      </w:r>
      <w:r w:rsidRPr="00115F78">
        <w:rPr>
          <w:noProof/>
          <w:color w:val="000000" w:themeColor="text1"/>
        </w:rPr>
        <w:t>zarze spraw wewnętrznych (Frontex, Europol, EUAA, eu-LISA, EUDA</w:t>
      </w:r>
      <w:r w:rsidR="00115F78" w:rsidRPr="00115F78">
        <w:rPr>
          <w:noProof/>
          <w:color w:val="000000" w:themeColor="text1"/>
        </w:rPr>
        <w:t xml:space="preserve"> i</w:t>
      </w:r>
      <w:r w:rsidR="00115F78">
        <w:rPr>
          <w:noProof/>
          <w:color w:val="000000" w:themeColor="text1"/>
        </w:rPr>
        <w:t> </w:t>
      </w:r>
      <w:r w:rsidR="00115F78" w:rsidRPr="00115F78">
        <w:rPr>
          <w:noProof/>
          <w:color w:val="000000" w:themeColor="text1"/>
        </w:rPr>
        <w:t>Cep</w:t>
      </w:r>
      <w:r w:rsidRPr="00115F78">
        <w:rPr>
          <w:noProof/>
          <w:color w:val="000000" w:themeColor="text1"/>
        </w:rPr>
        <w:t>ol) odgrywa ważną</w:t>
      </w:r>
      <w:r w:rsidR="00115F78" w:rsidRPr="00115F78">
        <w:rPr>
          <w:noProof/>
          <w:color w:val="000000" w:themeColor="text1"/>
        </w:rPr>
        <w:t xml:space="preserve"> i</w:t>
      </w:r>
      <w:r w:rsidR="00115F78">
        <w:rPr>
          <w:noProof/>
          <w:color w:val="000000" w:themeColor="text1"/>
        </w:rPr>
        <w:t> </w:t>
      </w:r>
      <w:r w:rsidR="00115F78" w:rsidRPr="00115F78">
        <w:rPr>
          <w:noProof/>
          <w:color w:val="000000" w:themeColor="text1"/>
        </w:rPr>
        <w:t>cor</w:t>
      </w:r>
      <w:r w:rsidRPr="00115F78">
        <w:rPr>
          <w:noProof/>
          <w:color w:val="000000" w:themeColor="text1"/>
        </w:rPr>
        <w:t>az większą rolę we wdrażaniu polityki spraw wewnętrznych. Zasadnicze znaczenie ma zapewnienie spójności między strategiami politycznymi określanymi na szczeblu UE</w:t>
      </w:r>
      <w:r w:rsidR="00115F78" w:rsidRPr="00115F78">
        <w:rPr>
          <w:noProof/>
          <w:color w:val="000000" w:themeColor="text1"/>
        </w:rPr>
        <w:t xml:space="preserve"> a</w:t>
      </w:r>
      <w:r w:rsidR="00115F78">
        <w:rPr>
          <w:noProof/>
          <w:color w:val="000000" w:themeColor="text1"/>
        </w:rPr>
        <w:t> </w:t>
      </w:r>
      <w:r w:rsidR="00115F78" w:rsidRPr="00115F78">
        <w:rPr>
          <w:noProof/>
          <w:color w:val="000000" w:themeColor="text1"/>
        </w:rPr>
        <w:t>dzi</w:t>
      </w:r>
      <w:r w:rsidRPr="00115F78">
        <w:rPr>
          <w:noProof/>
          <w:color w:val="000000" w:themeColor="text1"/>
        </w:rPr>
        <w:t>ałaniami operacyjnymi agencji zdecentralizowanych,</w:t>
      </w:r>
      <w:r w:rsidR="00115F78" w:rsidRPr="00115F78">
        <w:rPr>
          <w:noProof/>
          <w:color w:val="000000" w:themeColor="text1"/>
        </w:rPr>
        <w:t xml:space="preserve"> a</w:t>
      </w:r>
      <w:r w:rsidR="00115F78">
        <w:rPr>
          <w:noProof/>
          <w:color w:val="000000" w:themeColor="text1"/>
        </w:rPr>
        <w:t> </w:t>
      </w:r>
      <w:r w:rsidR="00115F78" w:rsidRPr="00115F78">
        <w:rPr>
          <w:noProof/>
          <w:color w:val="000000" w:themeColor="text1"/>
        </w:rPr>
        <w:t>tym</w:t>
      </w:r>
      <w:r w:rsidRPr="00115F78">
        <w:rPr>
          <w:noProof/>
          <w:color w:val="000000" w:themeColor="text1"/>
        </w:rPr>
        <w:t xml:space="preserve"> samym jak najlepsze wykorzystanie funduszy unijnych przekazywanych agencjom zdecentralizowanym</w:t>
      </w:r>
      <w:r w:rsidR="00115F78" w:rsidRPr="00115F78">
        <w:rPr>
          <w:noProof/>
          <w:color w:val="000000" w:themeColor="text1"/>
        </w:rPr>
        <w:t xml:space="preserve"> w</w:t>
      </w:r>
      <w:r w:rsidR="00115F78">
        <w:rPr>
          <w:noProof/>
          <w:color w:val="000000" w:themeColor="text1"/>
        </w:rPr>
        <w:t> </w:t>
      </w:r>
      <w:r w:rsidR="00115F78" w:rsidRPr="00115F78">
        <w:rPr>
          <w:noProof/>
          <w:color w:val="000000" w:themeColor="text1"/>
        </w:rPr>
        <w:t>rea</w:t>
      </w:r>
      <w:r w:rsidRPr="00115F78">
        <w:rPr>
          <w:noProof/>
          <w:color w:val="000000" w:themeColor="text1"/>
        </w:rPr>
        <w:t>lizacji celów polityki UE. Rola operacyjna agencji zdecentralizowanych może wymagać dalszego wzmocnienia, czemu towarzyszyć powinno odpowiednie zwiększenie finansowania.</w:t>
      </w:r>
    </w:p>
    <w:bookmarkEnd w:id="5"/>
    <w:p w14:paraId="3F7C3464" w14:textId="5A5FB55B" w:rsidR="00286E0D" w:rsidRPr="00115F78" w:rsidRDefault="00286E0D" w:rsidP="00336FEB">
      <w:pPr>
        <w:pStyle w:val="ManualHeading2"/>
        <w:ind w:left="851" w:hanging="851"/>
        <w:rPr>
          <w:rFonts w:eastAsia="Arial Unicode MS"/>
          <w:noProof/>
        </w:rPr>
      </w:pPr>
      <w:r w:rsidRPr="00115F78">
        <w:rPr>
          <w:noProof/>
          <w:color w:val="000000"/>
          <w:u w:color="000000"/>
          <w:bdr w:val="nil"/>
        </w:rPr>
        <w:t>•</w:t>
      </w:r>
      <w:r w:rsidRPr="00115F78">
        <w:rPr>
          <w:noProof/>
        </w:rPr>
        <w:tab/>
        <w:t>Spójność</w:t>
      </w:r>
      <w:r w:rsidR="00115F78" w:rsidRPr="00115F78">
        <w:rPr>
          <w:noProof/>
        </w:rPr>
        <w:t xml:space="preserve"> z</w:t>
      </w:r>
      <w:r w:rsidR="00115F78">
        <w:rPr>
          <w:noProof/>
        </w:rPr>
        <w:t> </w:t>
      </w:r>
      <w:r w:rsidR="00115F78" w:rsidRPr="00115F78">
        <w:rPr>
          <w:noProof/>
        </w:rPr>
        <w:t>inn</w:t>
      </w:r>
      <w:r w:rsidRPr="00115F78">
        <w:rPr>
          <w:noProof/>
        </w:rPr>
        <w:t>ymi politykami Unii</w:t>
      </w:r>
    </w:p>
    <w:p w14:paraId="1AF2B945" w14:textId="1710AD2D" w:rsidR="0031749A" w:rsidRPr="00115F78" w:rsidRDefault="00286E0D" w:rsidP="00286E0D">
      <w:pPr>
        <w:pBdr>
          <w:top w:val="nil"/>
          <w:left w:val="nil"/>
          <w:bottom w:val="nil"/>
          <w:right w:val="nil"/>
          <w:between w:val="nil"/>
          <w:bar w:val="nil"/>
        </w:pBdr>
        <w:rPr>
          <w:rFonts w:eastAsia="Arial Unicode MS"/>
          <w:noProof/>
          <w:color w:val="000000" w:themeColor="text1"/>
        </w:rPr>
      </w:pPr>
      <w:r w:rsidRPr="00115F78">
        <w:rPr>
          <w:noProof/>
        </w:rPr>
        <w:t>Europejskie zintegrowane zarządzanie granicami</w:t>
      </w:r>
      <w:r w:rsidR="00115F78" w:rsidRPr="00115F78">
        <w:rPr>
          <w:noProof/>
        </w:rPr>
        <w:t xml:space="preserve"> i</w:t>
      </w:r>
      <w:r w:rsidR="00115F78">
        <w:rPr>
          <w:noProof/>
        </w:rPr>
        <w:t> </w:t>
      </w:r>
      <w:r w:rsidR="00115F78" w:rsidRPr="00115F78">
        <w:rPr>
          <w:noProof/>
        </w:rPr>
        <w:t>pol</w:t>
      </w:r>
      <w:r w:rsidRPr="00115F78">
        <w:rPr>
          <w:noProof/>
        </w:rPr>
        <w:t>ityka wizowa opierają się na synergii</w:t>
      </w:r>
      <w:r w:rsidR="00115F78" w:rsidRPr="00115F78">
        <w:rPr>
          <w:noProof/>
        </w:rPr>
        <w:t xml:space="preserve"> i</w:t>
      </w:r>
      <w:r w:rsidR="00115F78">
        <w:rPr>
          <w:noProof/>
        </w:rPr>
        <w:t> </w:t>
      </w:r>
      <w:r w:rsidR="00115F78" w:rsidRPr="00115F78">
        <w:rPr>
          <w:noProof/>
        </w:rPr>
        <w:t>spó</w:t>
      </w:r>
      <w:r w:rsidRPr="00115F78">
        <w:rPr>
          <w:noProof/>
        </w:rPr>
        <w:t>jności</w:t>
      </w:r>
      <w:r w:rsidR="00115F78" w:rsidRPr="00115F78">
        <w:rPr>
          <w:noProof/>
        </w:rPr>
        <w:t xml:space="preserve"> z</w:t>
      </w:r>
      <w:r w:rsidR="00115F78">
        <w:rPr>
          <w:noProof/>
        </w:rPr>
        <w:t> </w:t>
      </w:r>
      <w:r w:rsidR="00115F78" w:rsidRPr="00115F78">
        <w:rPr>
          <w:noProof/>
        </w:rPr>
        <w:t>odp</w:t>
      </w:r>
      <w:r w:rsidRPr="00115F78">
        <w:rPr>
          <w:noProof/>
        </w:rPr>
        <w:t>owiednimi politykami UE, takimi jak polityka</w:t>
      </w:r>
      <w:r w:rsidR="00115F78" w:rsidRPr="00115F78">
        <w:rPr>
          <w:noProof/>
        </w:rPr>
        <w:t xml:space="preserve"> w</w:t>
      </w:r>
      <w:r w:rsidR="00115F78">
        <w:rPr>
          <w:noProof/>
        </w:rPr>
        <w:t> </w:t>
      </w:r>
      <w:r w:rsidR="00115F78" w:rsidRPr="00115F78">
        <w:rPr>
          <w:noProof/>
        </w:rPr>
        <w:t>zak</w:t>
      </w:r>
      <w:r w:rsidRPr="00115F78">
        <w:rPr>
          <w:noProof/>
        </w:rPr>
        <w:t>resie azylu</w:t>
      </w:r>
      <w:r w:rsidR="00115F78" w:rsidRPr="00115F78">
        <w:rPr>
          <w:noProof/>
        </w:rPr>
        <w:t xml:space="preserve"> i</w:t>
      </w:r>
      <w:r w:rsidR="00115F78">
        <w:rPr>
          <w:noProof/>
        </w:rPr>
        <w:t> </w:t>
      </w:r>
      <w:r w:rsidR="00115F78" w:rsidRPr="00115F78">
        <w:rPr>
          <w:noProof/>
        </w:rPr>
        <w:t>mig</w:t>
      </w:r>
      <w:r w:rsidRPr="00115F78">
        <w:rPr>
          <w:noProof/>
        </w:rPr>
        <w:t>racji, bezpieczeństwa wewnętrznego</w:t>
      </w:r>
      <w:r w:rsidR="00115F78" w:rsidRPr="00115F78">
        <w:rPr>
          <w:noProof/>
        </w:rPr>
        <w:t xml:space="preserve"> i</w:t>
      </w:r>
      <w:r w:rsidR="00115F78">
        <w:rPr>
          <w:noProof/>
        </w:rPr>
        <w:t> </w:t>
      </w:r>
      <w:r w:rsidR="00115F78" w:rsidRPr="00115F78">
        <w:rPr>
          <w:noProof/>
        </w:rPr>
        <w:t>pol</w:t>
      </w:r>
      <w:r w:rsidRPr="00115F78">
        <w:rPr>
          <w:noProof/>
        </w:rPr>
        <w:t>ityka zewnętrzna Unii wspierająca państwa trzecie,</w:t>
      </w:r>
      <w:r w:rsidR="00115F78" w:rsidRPr="00115F78">
        <w:rPr>
          <w:noProof/>
        </w:rPr>
        <w:t xml:space="preserve"> w</w:t>
      </w:r>
      <w:r w:rsidR="00115F78">
        <w:rPr>
          <w:noProof/>
        </w:rPr>
        <w:t> </w:t>
      </w:r>
      <w:r w:rsidR="00115F78" w:rsidRPr="00115F78">
        <w:rPr>
          <w:noProof/>
        </w:rPr>
        <w:t>szc</w:t>
      </w:r>
      <w:r w:rsidRPr="00115F78">
        <w:rPr>
          <w:noProof/>
        </w:rPr>
        <w:t>zególności na podstawie rozporządzenia (UE) [...] [Globalny wymiar Europy], która obejmuje szeroki zakres obszarów mających istotne powiązania</w:t>
      </w:r>
      <w:r w:rsidR="00115F78" w:rsidRPr="00115F78">
        <w:rPr>
          <w:noProof/>
        </w:rPr>
        <w:t xml:space="preserve"> z</w:t>
      </w:r>
      <w:r w:rsidR="00115F78">
        <w:rPr>
          <w:noProof/>
        </w:rPr>
        <w:t> </w:t>
      </w:r>
      <w:r w:rsidR="00115F78" w:rsidRPr="00115F78">
        <w:rPr>
          <w:noProof/>
        </w:rPr>
        <w:t>pol</w:t>
      </w:r>
      <w:r w:rsidRPr="00115F78">
        <w:rPr>
          <w:noProof/>
        </w:rPr>
        <w:t>ityką wewnętrzną, m.in. zarządzaniem granicami</w:t>
      </w:r>
      <w:r w:rsidR="00115F78" w:rsidRPr="00115F78">
        <w:rPr>
          <w:noProof/>
        </w:rPr>
        <w:t xml:space="preserve"> i</w:t>
      </w:r>
      <w:r w:rsidR="00115F78">
        <w:rPr>
          <w:noProof/>
        </w:rPr>
        <w:t> </w:t>
      </w:r>
      <w:r w:rsidR="00115F78" w:rsidRPr="00115F78">
        <w:rPr>
          <w:noProof/>
        </w:rPr>
        <w:t>pol</w:t>
      </w:r>
      <w:r w:rsidRPr="00115F78">
        <w:rPr>
          <w:noProof/>
        </w:rPr>
        <w:t>ityką wizową</w:t>
      </w:r>
      <w:r w:rsidR="00115F78" w:rsidRPr="00115F78">
        <w:rPr>
          <w:noProof/>
        </w:rPr>
        <w:t>. W</w:t>
      </w:r>
      <w:r w:rsidR="00115F78">
        <w:rPr>
          <w:noProof/>
        </w:rPr>
        <w:t> </w:t>
      </w:r>
      <w:r w:rsidR="00115F78" w:rsidRPr="00115F78">
        <w:rPr>
          <w:noProof/>
        </w:rPr>
        <w:t>szc</w:t>
      </w:r>
      <w:r w:rsidRPr="00115F78">
        <w:rPr>
          <w:noProof/>
        </w:rPr>
        <w:t>zególności istotne jest zapewnienie większej spójności</w:t>
      </w:r>
      <w:r w:rsidR="00115F78" w:rsidRPr="00115F78">
        <w:rPr>
          <w:noProof/>
        </w:rPr>
        <w:t xml:space="preserve"> z</w:t>
      </w:r>
      <w:r w:rsidR="00115F78">
        <w:rPr>
          <w:noProof/>
        </w:rPr>
        <w:t> </w:t>
      </w:r>
      <w:r w:rsidR="00115F78" w:rsidRPr="00115F78">
        <w:rPr>
          <w:noProof/>
        </w:rPr>
        <w:t>uni</w:t>
      </w:r>
      <w:r w:rsidRPr="00115F78">
        <w:rPr>
          <w:noProof/>
        </w:rPr>
        <w:t>jnym wsparciem na cele współpracy</w:t>
      </w:r>
      <w:r w:rsidR="00115F78" w:rsidRPr="00115F78">
        <w:rPr>
          <w:noProof/>
        </w:rPr>
        <w:t xml:space="preserve"> z</w:t>
      </w:r>
      <w:r w:rsidR="00115F78">
        <w:rPr>
          <w:noProof/>
        </w:rPr>
        <w:t> </w:t>
      </w:r>
      <w:r w:rsidR="00115F78" w:rsidRPr="00115F78">
        <w:rPr>
          <w:noProof/>
        </w:rPr>
        <w:t>kra</w:t>
      </w:r>
      <w:r w:rsidRPr="00115F78">
        <w:rPr>
          <w:noProof/>
        </w:rPr>
        <w:t>jami partnerskimi</w:t>
      </w:r>
      <w:r w:rsidR="00115F78" w:rsidRPr="00115F78">
        <w:rPr>
          <w:noProof/>
        </w:rPr>
        <w:t xml:space="preserve"> w</w:t>
      </w:r>
      <w:r w:rsidR="00115F78">
        <w:rPr>
          <w:noProof/>
        </w:rPr>
        <w:t> </w:t>
      </w:r>
      <w:r w:rsidR="00115F78" w:rsidRPr="00115F78">
        <w:rPr>
          <w:noProof/>
        </w:rPr>
        <w:t>dzi</w:t>
      </w:r>
      <w:r w:rsidRPr="00115F78">
        <w:rPr>
          <w:noProof/>
        </w:rPr>
        <w:t>edzinie zarządzania granicami</w:t>
      </w:r>
      <w:r w:rsidR="00115F78" w:rsidRPr="00115F78">
        <w:rPr>
          <w:noProof/>
        </w:rPr>
        <w:t xml:space="preserve"> w</w:t>
      </w:r>
      <w:r w:rsidR="00115F78">
        <w:rPr>
          <w:noProof/>
        </w:rPr>
        <w:t> </w:t>
      </w:r>
      <w:r w:rsidR="00115F78" w:rsidRPr="00115F78">
        <w:rPr>
          <w:noProof/>
        </w:rPr>
        <w:t>ram</w:t>
      </w:r>
      <w:r w:rsidRPr="00115F78">
        <w:rPr>
          <w:noProof/>
        </w:rPr>
        <w:t>ach programu „Globalny wymiar Europy”, aby przyczynić się do skoordynowanego, całościowego</w:t>
      </w:r>
      <w:r w:rsidR="00115F78" w:rsidRPr="00115F78">
        <w:rPr>
          <w:noProof/>
        </w:rPr>
        <w:t xml:space="preserve"> i</w:t>
      </w:r>
      <w:r w:rsidR="00115F78">
        <w:rPr>
          <w:noProof/>
        </w:rPr>
        <w:t> </w:t>
      </w:r>
      <w:r w:rsidR="00115F78" w:rsidRPr="00115F78">
        <w:rPr>
          <w:noProof/>
        </w:rPr>
        <w:t>ust</w:t>
      </w:r>
      <w:r w:rsidRPr="00115F78">
        <w:rPr>
          <w:noProof/>
        </w:rPr>
        <w:t>rukturyzowanego podejścia, przy maksymalnym wykorzystaniu synergii</w:t>
      </w:r>
      <w:r w:rsidR="00115F78" w:rsidRPr="00115F78">
        <w:rPr>
          <w:noProof/>
        </w:rPr>
        <w:t xml:space="preserve"> i</w:t>
      </w:r>
      <w:r w:rsidR="00115F78">
        <w:rPr>
          <w:noProof/>
        </w:rPr>
        <w:t> </w:t>
      </w:r>
      <w:r w:rsidR="00115F78" w:rsidRPr="00115F78">
        <w:rPr>
          <w:noProof/>
        </w:rPr>
        <w:t>zas</w:t>
      </w:r>
      <w:r w:rsidRPr="00115F78">
        <w:rPr>
          <w:noProof/>
        </w:rPr>
        <w:t>tosowaniu koniecznego efektu dźwigni</w:t>
      </w:r>
      <w:r w:rsidR="00115F78" w:rsidRPr="00115F78">
        <w:rPr>
          <w:noProof/>
        </w:rPr>
        <w:t>.</w:t>
      </w:r>
      <w:r w:rsidR="00115F78" w:rsidRPr="00115F78">
        <w:rPr>
          <w:noProof/>
          <w:color w:val="000000" w:themeColor="text1"/>
        </w:rPr>
        <w:t xml:space="preserve"> W</w:t>
      </w:r>
      <w:r w:rsidR="00115F78">
        <w:rPr>
          <w:noProof/>
        </w:rPr>
        <w:t> </w:t>
      </w:r>
      <w:r w:rsidR="00115F78" w:rsidRPr="00115F78">
        <w:rPr>
          <w:noProof/>
          <w:color w:val="000000" w:themeColor="text1"/>
        </w:rPr>
        <w:t>tym</w:t>
      </w:r>
      <w:r w:rsidRPr="00115F78">
        <w:rPr>
          <w:noProof/>
          <w:color w:val="000000" w:themeColor="text1"/>
        </w:rPr>
        <w:t xml:space="preserve"> kontekście wsparcie na rzecz współpracy transgranicznej</w:t>
      </w:r>
      <w:r w:rsidR="00115F78" w:rsidRPr="00115F78">
        <w:rPr>
          <w:noProof/>
          <w:color w:val="000000" w:themeColor="text1"/>
        </w:rPr>
        <w:t xml:space="preserve"> w</w:t>
      </w:r>
      <w:r w:rsidR="00115F78">
        <w:rPr>
          <w:noProof/>
          <w:color w:val="000000" w:themeColor="text1"/>
        </w:rPr>
        <w:t> </w:t>
      </w:r>
      <w:r w:rsidR="00115F78" w:rsidRPr="00115F78">
        <w:rPr>
          <w:noProof/>
          <w:color w:val="000000" w:themeColor="text1"/>
        </w:rPr>
        <w:t>ram</w:t>
      </w:r>
      <w:r w:rsidRPr="00115F78">
        <w:rPr>
          <w:noProof/>
          <w:color w:val="000000" w:themeColor="text1"/>
        </w:rPr>
        <w:t>ach Instrumentu „Globalny wymiar Europy” jest szczególnie istotne dla usprawnienia zarządzania granicami</w:t>
      </w:r>
      <w:r w:rsidR="00115F78" w:rsidRPr="00115F78">
        <w:rPr>
          <w:noProof/>
          <w:color w:val="000000" w:themeColor="text1"/>
        </w:rPr>
        <w:t xml:space="preserve"> i</w:t>
      </w:r>
      <w:r w:rsidR="00115F78">
        <w:rPr>
          <w:noProof/>
          <w:color w:val="000000" w:themeColor="text1"/>
        </w:rPr>
        <w:t> </w:t>
      </w:r>
      <w:r w:rsidR="00115F78" w:rsidRPr="00115F78">
        <w:rPr>
          <w:noProof/>
          <w:color w:val="000000" w:themeColor="text1"/>
        </w:rPr>
        <w:t>kon</w:t>
      </w:r>
      <w:r w:rsidRPr="00115F78">
        <w:rPr>
          <w:noProof/>
          <w:color w:val="000000" w:themeColor="text1"/>
        </w:rPr>
        <w:t>tynuowania wysiłków na rzecz zapobiegania migracji nieuregulowanej.</w:t>
      </w:r>
    </w:p>
    <w:p w14:paraId="6CBA56D8" w14:textId="4BFC84E1" w:rsidR="00286E0D" w:rsidRPr="00115F78" w:rsidRDefault="00286E0D" w:rsidP="0031749A">
      <w:pPr>
        <w:pBdr>
          <w:top w:val="nil"/>
          <w:left w:val="nil"/>
          <w:bottom w:val="nil"/>
          <w:right w:val="nil"/>
          <w:between w:val="nil"/>
          <w:bar w:val="nil"/>
        </w:pBdr>
        <w:rPr>
          <w:noProof/>
          <w:szCs w:val="24"/>
        </w:rPr>
      </w:pPr>
      <w:r w:rsidRPr="00115F78">
        <w:rPr>
          <w:noProof/>
        </w:rPr>
        <w:t>Aby wspierać program na rzecz konkurencyjności, należy również uwzględnić inwestycje oparte na innowacyjnych metodach lub nowych technologiach,</w:t>
      </w:r>
      <w:r w:rsidR="00115F78" w:rsidRPr="00115F78">
        <w:rPr>
          <w:noProof/>
        </w:rPr>
        <w:t xml:space="preserve"> w</w:t>
      </w:r>
      <w:r w:rsidR="00115F78">
        <w:rPr>
          <w:noProof/>
        </w:rPr>
        <w:t> </w:t>
      </w:r>
      <w:r w:rsidR="00115F78" w:rsidRPr="00115F78">
        <w:rPr>
          <w:noProof/>
        </w:rPr>
        <w:t>tym</w:t>
      </w:r>
      <w:r w:rsidRPr="00115F78">
        <w:rPr>
          <w:noProof/>
        </w:rPr>
        <w:t xml:space="preserve"> środki mające na celu testowanie</w:t>
      </w:r>
      <w:r w:rsidR="00115F78" w:rsidRPr="00115F78">
        <w:rPr>
          <w:noProof/>
        </w:rPr>
        <w:t xml:space="preserve"> i</w:t>
      </w:r>
      <w:r w:rsidR="00115F78">
        <w:rPr>
          <w:noProof/>
        </w:rPr>
        <w:t> </w:t>
      </w:r>
      <w:r w:rsidR="00115F78" w:rsidRPr="00115F78">
        <w:rPr>
          <w:noProof/>
        </w:rPr>
        <w:t>wal</w:t>
      </w:r>
      <w:r w:rsidRPr="00115F78">
        <w:rPr>
          <w:noProof/>
        </w:rPr>
        <w:t>idację wyników projektów badawczych finansowanych przez Unię.</w:t>
      </w:r>
    </w:p>
    <w:p w14:paraId="43A280F3" w14:textId="77777777" w:rsidR="00B9223C" w:rsidRPr="00115F78" w:rsidRDefault="00AD5AEE" w:rsidP="00AD5AEE">
      <w:pPr>
        <w:pStyle w:val="ManualHeading2"/>
        <w:ind w:left="851" w:hanging="851"/>
        <w:rPr>
          <w:rFonts w:eastAsia="Arial Unicode MS"/>
          <w:noProof/>
          <w:color w:val="000000"/>
          <w:u w:color="000000"/>
          <w:bdr w:val="nil"/>
        </w:rPr>
      </w:pPr>
      <w:r w:rsidRPr="00115F78">
        <w:rPr>
          <w:noProof/>
          <w:color w:val="000000"/>
          <w:u w:color="000000"/>
          <w:bdr w:val="nil"/>
        </w:rPr>
        <w:t>•</w:t>
      </w:r>
      <w:r w:rsidRPr="00115F78">
        <w:rPr>
          <w:noProof/>
        </w:rPr>
        <w:tab/>
      </w:r>
      <w:r w:rsidRPr="00115F78">
        <w:rPr>
          <w:noProof/>
          <w:color w:val="000000"/>
          <w:u w:color="000000"/>
          <w:bdr w:val="nil"/>
        </w:rPr>
        <w:t>Zmienna geometria</w:t>
      </w:r>
    </w:p>
    <w:p w14:paraId="4C39B415" w14:textId="2500CCD9" w:rsidR="00C244F7" w:rsidRPr="00115F78" w:rsidRDefault="00B9223C" w:rsidP="00B9223C">
      <w:pPr>
        <w:rPr>
          <w:rFonts w:eastAsia="Arial Unicode MS"/>
          <w:noProof/>
        </w:rPr>
      </w:pPr>
      <w:r w:rsidRPr="00115F78">
        <w:rPr>
          <w:noProof/>
        </w:rPr>
        <w:t>Niniejsze rozporządzenie stanowi rozwinięcie przepisów dorobku Schengen</w:t>
      </w:r>
      <w:r w:rsidR="00115F78" w:rsidRPr="00115F78">
        <w:rPr>
          <w:noProof/>
        </w:rPr>
        <w:t>. W</w:t>
      </w:r>
      <w:r w:rsidR="00115F78">
        <w:rPr>
          <w:noProof/>
        </w:rPr>
        <w:t> </w:t>
      </w:r>
      <w:r w:rsidR="00115F78" w:rsidRPr="00115F78">
        <w:rPr>
          <w:noProof/>
        </w:rPr>
        <w:t>zwi</w:t>
      </w:r>
      <w:r w:rsidRPr="00115F78">
        <w:rPr>
          <w:noProof/>
        </w:rPr>
        <w:t>ązku</w:t>
      </w:r>
      <w:r w:rsidR="00115F78" w:rsidRPr="00115F78">
        <w:rPr>
          <w:noProof/>
        </w:rPr>
        <w:t xml:space="preserve"> z</w:t>
      </w:r>
      <w:r w:rsidR="00115F78">
        <w:rPr>
          <w:noProof/>
        </w:rPr>
        <w:t> </w:t>
      </w:r>
      <w:r w:rsidR="00115F78" w:rsidRPr="00115F78">
        <w:rPr>
          <w:noProof/>
        </w:rPr>
        <w:t>tym</w:t>
      </w:r>
      <w:r w:rsidRPr="00115F78">
        <w:rPr>
          <w:noProof/>
        </w:rPr>
        <w:t xml:space="preserve"> zastosowanie rozporządzenia do Danii</w:t>
      </w:r>
      <w:r w:rsidR="00115F78" w:rsidRPr="00115F78">
        <w:rPr>
          <w:noProof/>
        </w:rPr>
        <w:t xml:space="preserve"> i</w:t>
      </w:r>
      <w:r w:rsidR="00115F78">
        <w:rPr>
          <w:noProof/>
        </w:rPr>
        <w:t> </w:t>
      </w:r>
      <w:r w:rsidR="00115F78" w:rsidRPr="00115F78">
        <w:rPr>
          <w:noProof/>
        </w:rPr>
        <w:t>Irl</w:t>
      </w:r>
      <w:r w:rsidRPr="00115F78">
        <w:rPr>
          <w:noProof/>
        </w:rPr>
        <w:t>andii podlega szczególnym postanowieniom określonym</w:t>
      </w:r>
      <w:r w:rsidR="00115F78" w:rsidRPr="00115F78">
        <w:rPr>
          <w:noProof/>
        </w:rPr>
        <w:t xml:space="preserve"> w</w:t>
      </w:r>
      <w:r w:rsidR="00115F78">
        <w:rPr>
          <w:noProof/>
        </w:rPr>
        <w:t> </w:t>
      </w:r>
      <w:r w:rsidR="00115F78" w:rsidRPr="00115F78">
        <w:rPr>
          <w:noProof/>
        </w:rPr>
        <w:t>pro</w:t>
      </w:r>
      <w:r w:rsidRPr="00115F78">
        <w:rPr>
          <w:noProof/>
        </w:rPr>
        <w:t>tokole nr</w:t>
      </w:r>
      <w:r w:rsidR="00115F78" w:rsidRPr="00115F78">
        <w:rPr>
          <w:noProof/>
        </w:rPr>
        <w:t> </w:t>
      </w:r>
      <w:r w:rsidRPr="00115F78">
        <w:rPr>
          <w:noProof/>
        </w:rPr>
        <w:t>19</w:t>
      </w:r>
      <w:r w:rsidR="00115F78" w:rsidRPr="00115F78">
        <w:rPr>
          <w:noProof/>
        </w:rPr>
        <w:t xml:space="preserve"> i</w:t>
      </w:r>
      <w:r w:rsidR="00115F78">
        <w:rPr>
          <w:noProof/>
        </w:rPr>
        <w:t> </w:t>
      </w:r>
      <w:r w:rsidR="00115F78" w:rsidRPr="00115F78">
        <w:rPr>
          <w:noProof/>
        </w:rPr>
        <w:t>pro</w:t>
      </w:r>
      <w:r w:rsidRPr="00115F78">
        <w:rPr>
          <w:noProof/>
        </w:rPr>
        <w:t>tokole nr</w:t>
      </w:r>
      <w:r w:rsidR="00115F78" w:rsidRPr="00115F78">
        <w:rPr>
          <w:noProof/>
        </w:rPr>
        <w:t> </w:t>
      </w:r>
      <w:r w:rsidRPr="00115F78">
        <w:rPr>
          <w:noProof/>
        </w:rPr>
        <w:t>22 dołączonych do TUE i TFUE.</w:t>
      </w:r>
    </w:p>
    <w:p w14:paraId="5CBE603F" w14:textId="3C722975" w:rsidR="00C244F7" w:rsidRPr="00115F78" w:rsidRDefault="00C244F7" w:rsidP="00B9223C">
      <w:pPr>
        <w:rPr>
          <w:rFonts w:eastAsia="Times New Roman"/>
          <w:noProof/>
          <w:color w:val="000000" w:themeColor="text1"/>
        </w:rPr>
      </w:pPr>
      <w:r w:rsidRPr="00115F78">
        <w:rPr>
          <w:noProof/>
        </w:rPr>
        <w:t>Zgodnie</w:t>
      </w:r>
      <w:r w:rsidR="00115F78" w:rsidRPr="00115F78">
        <w:rPr>
          <w:noProof/>
        </w:rPr>
        <w:t xml:space="preserve"> z</w:t>
      </w:r>
      <w:r w:rsidR="00115F78">
        <w:rPr>
          <w:noProof/>
        </w:rPr>
        <w:t> </w:t>
      </w:r>
      <w:r w:rsidR="00115F78" w:rsidRPr="00115F78">
        <w:rPr>
          <w:noProof/>
        </w:rPr>
        <w:t>art</w:t>
      </w:r>
      <w:r w:rsidRPr="00115F78">
        <w:rPr>
          <w:noProof/>
        </w:rPr>
        <w:t>.</w:t>
      </w:r>
      <w:r w:rsidR="00115F78" w:rsidRPr="00115F78">
        <w:rPr>
          <w:noProof/>
        </w:rPr>
        <w:t> </w:t>
      </w:r>
      <w:r w:rsidRPr="00115F78">
        <w:rPr>
          <w:noProof/>
        </w:rPr>
        <w:t>1</w:t>
      </w:r>
      <w:r w:rsidR="00115F78" w:rsidRPr="00115F78">
        <w:rPr>
          <w:noProof/>
        </w:rPr>
        <w:t xml:space="preserve"> i</w:t>
      </w:r>
      <w:r w:rsidR="00115F78">
        <w:rPr>
          <w:noProof/>
        </w:rPr>
        <w:t> </w:t>
      </w:r>
      <w:r w:rsidR="00115F78" w:rsidRPr="00115F78">
        <w:rPr>
          <w:noProof/>
        </w:rPr>
        <w:t>2</w:t>
      </w:r>
      <w:r w:rsidRPr="00115F78">
        <w:rPr>
          <w:noProof/>
        </w:rPr>
        <w:t xml:space="preserve"> Protokołu nr</w:t>
      </w:r>
      <w:r w:rsidR="00115F78" w:rsidRPr="00115F78">
        <w:rPr>
          <w:noProof/>
        </w:rPr>
        <w:t> </w:t>
      </w:r>
      <w:r w:rsidRPr="00115F78">
        <w:rPr>
          <w:noProof/>
        </w:rPr>
        <w:t>22 rozporządzenie nie jest wiążące dla Danii ani nie ma do niej zastosowania. Zgodnie</w:t>
      </w:r>
      <w:r w:rsidR="00115F78" w:rsidRPr="00115F78">
        <w:rPr>
          <w:noProof/>
        </w:rPr>
        <w:t xml:space="preserve"> z</w:t>
      </w:r>
      <w:r w:rsidR="00115F78">
        <w:rPr>
          <w:noProof/>
        </w:rPr>
        <w:t> </w:t>
      </w:r>
      <w:r w:rsidR="00115F78" w:rsidRPr="00115F78">
        <w:rPr>
          <w:noProof/>
        </w:rPr>
        <w:t>art</w:t>
      </w:r>
      <w:r w:rsidRPr="00115F78">
        <w:rPr>
          <w:noProof/>
        </w:rPr>
        <w:t>.</w:t>
      </w:r>
      <w:r w:rsidR="00115F78" w:rsidRPr="00115F78">
        <w:rPr>
          <w:noProof/>
        </w:rPr>
        <w:t> </w:t>
      </w:r>
      <w:r w:rsidRPr="00115F78">
        <w:rPr>
          <w:noProof/>
        </w:rPr>
        <w:t>4 Protokołu nr</w:t>
      </w:r>
      <w:r w:rsidR="00115F78" w:rsidRPr="00115F78">
        <w:rPr>
          <w:noProof/>
        </w:rPr>
        <w:t> </w:t>
      </w:r>
      <w:r w:rsidRPr="00115F78">
        <w:rPr>
          <w:noProof/>
        </w:rPr>
        <w:t>22 Dania podejmuje jednak decyzję, czy wdroży środki mające na celu rozwój dorobku Schengen</w:t>
      </w:r>
      <w:r w:rsidR="00115F78" w:rsidRPr="00115F78">
        <w:rPr>
          <w:noProof/>
        </w:rPr>
        <w:t xml:space="preserve"> i</w:t>
      </w:r>
      <w:r w:rsidR="00115F78">
        <w:rPr>
          <w:noProof/>
        </w:rPr>
        <w:t> </w:t>
      </w:r>
      <w:r w:rsidR="00115F78" w:rsidRPr="00115F78">
        <w:rPr>
          <w:noProof/>
        </w:rPr>
        <w:t>będ</w:t>
      </w:r>
      <w:r w:rsidRPr="00115F78">
        <w:rPr>
          <w:noProof/>
        </w:rPr>
        <w:t>zie nimi związana.</w:t>
      </w:r>
      <w:r w:rsidRPr="00115F78">
        <w:rPr>
          <w:i/>
          <w:noProof/>
          <w:color w:val="000000" w:themeColor="text1"/>
        </w:rPr>
        <w:t xml:space="preserve"> </w:t>
      </w:r>
      <w:r w:rsidRPr="00115F78">
        <w:rPr>
          <w:noProof/>
          <w:color w:val="000000" w:themeColor="text1"/>
        </w:rPr>
        <w:t>Jeżeli podejmie taką decyzję, środek ten spowoduje powstanie zobowiązania na mocy prawa międzynarodowego między Danią</w:t>
      </w:r>
      <w:r w:rsidR="00115F78" w:rsidRPr="00115F78">
        <w:rPr>
          <w:noProof/>
          <w:color w:val="000000" w:themeColor="text1"/>
        </w:rPr>
        <w:t xml:space="preserve"> a</w:t>
      </w:r>
      <w:r w:rsidR="00115F78">
        <w:rPr>
          <w:noProof/>
          <w:color w:val="000000" w:themeColor="text1"/>
        </w:rPr>
        <w:t> </w:t>
      </w:r>
      <w:r w:rsidR="00115F78" w:rsidRPr="00115F78">
        <w:rPr>
          <w:noProof/>
          <w:color w:val="000000" w:themeColor="text1"/>
        </w:rPr>
        <w:t>poz</w:t>
      </w:r>
      <w:r w:rsidRPr="00115F78">
        <w:rPr>
          <w:noProof/>
          <w:color w:val="000000" w:themeColor="text1"/>
        </w:rPr>
        <w:t>ostałymi państwami członkowskimi.</w:t>
      </w:r>
    </w:p>
    <w:p w14:paraId="0E7F29D4" w14:textId="26DED0FD" w:rsidR="00B9223C" w:rsidRPr="00115F78" w:rsidRDefault="00C244F7" w:rsidP="00FA3905">
      <w:pPr>
        <w:rPr>
          <w:rFonts w:eastAsia="Times New Roman"/>
          <w:noProof/>
          <w:color w:val="000000" w:themeColor="text1"/>
        </w:rPr>
      </w:pPr>
      <w:r w:rsidRPr="00115F78">
        <w:rPr>
          <w:noProof/>
          <w:color w:val="000000" w:themeColor="text1"/>
        </w:rPr>
        <w:t>Na podstawie art.</w:t>
      </w:r>
      <w:r w:rsidR="00115F78" w:rsidRPr="00115F78">
        <w:rPr>
          <w:noProof/>
          <w:color w:val="000000" w:themeColor="text1"/>
        </w:rPr>
        <w:t> </w:t>
      </w:r>
      <w:r w:rsidRPr="00115F78">
        <w:rPr>
          <w:noProof/>
          <w:color w:val="000000" w:themeColor="text1"/>
        </w:rPr>
        <w:t>4 Protokołu nr</w:t>
      </w:r>
      <w:r w:rsidR="00115F78" w:rsidRPr="00115F78">
        <w:rPr>
          <w:noProof/>
          <w:color w:val="000000" w:themeColor="text1"/>
        </w:rPr>
        <w:t> </w:t>
      </w:r>
      <w:r w:rsidRPr="00115F78">
        <w:rPr>
          <w:noProof/>
          <w:color w:val="000000" w:themeColor="text1"/>
        </w:rPr>
        <w:t>19 Irlandia może</w:t>
      </w:r>
      <w:r w:rsidR="00115F78" w:rsidRPr="00115F78">
        <w:rPr>
          <w:noProof/>
          <w:color w:val="000000" w:themeColor="text1"/>
        </w:rPr>
        <w:t xml:space="preserve"> w</w:t>
      </w:r>
      <w:r w:rsidR="00115F78">
        <w:rPr>
          <w:noProof/>
          <w:color w:val="000000" w:themeColor="text1"/>
        </w:rPr>
        <w:t> </w:t>
      </w:r>
      <w:r w:rsidR="00115F78" w:rsidRPr="00115F78">
        <w:rPr>
          <w:noProof/>
          <w:color w:val="000000" w:themeColor="text1"/>
        </w:rPr>
        <w:t>każ</w:t>
      </w:r>
      <w:r w:rsidRPr="00115F78">
        <w:rPr>
          <w:noProof/>
          <w:color w:val="000000" w:themeColor="text1"/>
        </w:rPr>
        <w:t>dej chwili złożyć wniosek</w:t>
      </w:r>
      <w:r w:rsidR="00115F78" w:rsidRPr="00115F78">
        <w:rPr>
          <w:noProof/>
          <w:color w:val="000000" w:themeColor="text1"/>
        </w:rPr>
        <w:t xml:space="preserve"> o</w:t>
      </w:r>
      <w:r w:rsidR="00115F78">
        <w:rPr>
          <w:noProof/>
          <w:color w:val="000000" w:themeColor="text1"/>
        </w:rPr>
        <w:t> </w:t>
      </w:r>
      <w:r w:rsidR="00115F78" w:rsidRPr="00115F78">
        <w:rPr>
          <w:noProof/>
          <w:color w:val="000000" w:themeColor="text1"/>
        </w:rPr>
        <w:t>zas</w:t>
      </w:r>
      <w:r w:rsidRPr="00115F78">
        <w:rPr>
          <w:noProof/>
          <w:color w:val="000000" w:themeColor="text1"/>
        </w:rPr>
        <w:t>tosowanie wobec niej wszystkich lub niektórych przepisów dorobku Schengen. Mimo że wobec Irlandii mają zastosowanie niektóre przepisy dorobku Schengen, niniejsze rozporządzenie nie dotyczy części dorobku Schengen,</w:t>
      </w:r>
      <w:r w:rsidR="00115F78" w:rsidRPr="00115F78">
        <w:rPr>
          <w:noProof/>
          <w:color w:val="000000" w:themeColor="text1"/>
        </w:rPr>
        <w:t xml:space="preserve"> w</w:t>
      </w:r>
      <w:r w:rsidR="00115F78">
        <w:rPr>
          <w:noProof/>
          <w:color w:val="000000" w:themeColor="text1"/>
        </w:rPr>
        <w:t> </w:t>
      </w:r>
      <w:r w:rsidR="00115F78" w:rsidRPr="00115F78">
        <w:rPr>
          <w:noProof/>
          <w:color w:val="000000" w:themeColor="text1"/>
        </w:rPr>
        <w:t>któ</w:t>
      </w:r>
      <w:r w:rsidRPr="00115F78">
        <w:rPr>
          <w:noProof/>
          <w:color w:val="000000" w:themeColor="text1"/>
        </w:rPr>
        <w:t xml:space="preserve">rej Irlandia uczestniczy. </w:t>
      </w:r>
      <w:r w:rsidRPr="00115F78">
        <w:rPr>
          <w:noProof/>
        </w:rPr>
        <w:t>Rozporządzenie to jest środkiem stanowiącym rozwinięcie dorobku Schengen,</w:t>
      </w:r>
      <w:r w:rsidR="00115F78" w:rsidRPr="00115F78">
        <w:rPr>
          <w:noProof/>
        </w:rPr>
        <w:t xml:space="preserve"> a</w:t>
      </w:r>
      <w:r w:rsidR="00115F78">
        <w:rPr>
          <w:noProof/>
        </w:rPr>
        <w:t> </w:t>
      </w:r>
      <w:r w:rsidR="00115F78" w:rsidRPr="00115F78">
        <w:rPr>
          <w:noProof/>
        </w:rPr>
        <w:t>zat</w:t>
      </w:r>
      <w:r w:rsidRPr="00115F78">
        <w:rPr>
          <w:noProof/>
        </w:rPr>
        <w:t>em należy</w:t>
      </w:r>
      <w:r w:rsidR="00115F78" w:rsidRPr="00115F78">
        <w:rPr>
          <w:noProof/>
        </w:rPr>
        <w:t xml:space="preserve"> o</w:t>
      </w:r>
      <w:r w:rsidR="00115F78">
        <w:rPr>
          <w:noProof/>
        </w:rPr>
        <w:t> </w:t>
      </w:r>
      <w:r w:rsidR="00115F78" w:rsidRPr="00115F78">
        <w:rPr>
          <w:noProof/>
        </w:rPr>
        <w:t>nim</w:t>
      </w:r>
      <w:r w:rsidRPr="00115F78">
        <w:rPr>
          <w:noProof/>
        </w:rPr>
        <w:t xml:space="preserve"> powiadomić cztery państwa (Islandię, Królestwo Norwegii, Konfederację Szwajcarską</w:t>
      </w:r>
      <w:r w:rsidR="00115F78" w:rsidRPr="00115F78">
        <w:rPr>
          <w:noProof/>
        </w:rPr>
        <w:t xml:space="preserve"> i</w:t>
      </w:r>
      <w:r w:rsidR="00115F78">
        <w:rPr>
          <w:noProof/>
        </w:rPr>
        <w:t> </w:t>
      </w:r>
      <w:r w:rsidR="00115F78" w:rsidRPr="00115F78">
        <w:rPr>
          <w:noProof/>
        </w:rPr>
        <w:t>Ksi</w:t>
      </w:r>
      <w:r w:rsidRPr="00115F78">
        <w:rPr>
          <w:noProof/>
        </w:rPr>
        <w:t>ęstwo Liechtensteinu), które nie są państwami członkowskimi Unii, ale uczestniczą</w:t>
      </w:r>
      <w:r w:rsidR="00115F78" w:rsidRPr="00115F78">
        <w:rPr>
          <w:noProof/>
        </w:rPr>
        <w:t xml:space="preserve"> w</w:t>
      </w:r>
      <w:r w:rsidR="00115F78">
        <w:rPr>
          <w:noProof/>
        </w:rPr>
        <w:t> </w:t>
      </w:r>
      <w:r w:rsidR="00115F78" w:rsidRPr="00115F78">
        <w:rPr>
          <w:noProof/>
        </w:rPr>
        <w:t>str</w:t>
      </w:r>
      <w:r w:rsidRPr="00115F78">
        <w:rPr>
          <w:noProof/>
        </w:rPr>
        <w:t>efie Schengen bez kontroli na granicach wewnętrznych na podstawie umów</w:t>
      </w:r>
      <w:r w:rsidR="00115F78" w:rsidRPr="00115F78">
        <w:rPr>
          <w:noProof/>
        </w:rPr>
        <w:t xml:space="preserve"> o</w:t>
      </w:r>
      <w:r w:rsidR="00115F78">
        <w:rPr>
          <w:noProof/>
        </w:rPr>
        <w:t> </w:t>
      </w:r>
      <w:r w:rsidR="00115F78" w:rsidRPr="00115F78">
        <w:rPr>
          <w:noProof/>
        </w:rPr>
        <w:t>ucz</w:t>
      </w:r>
      <w:r w:rsidRPr="00115F78">
        <w:rPr>
          <w:noProof/>
        </w:rPr>
        <w:t>estnictwie zawartych</w:t>
      </w:r>
      <w:r w:rsidR="00115F78" w:rsidRPr="00115F78">
        <w:rPr>
          <w:noProof/>
        </w:rPr>
        <w:t xml:space="preserve"> z</w:t>
      </w:r>
      <w:r w:rsidR="00115F78">
        <w:rPr>
          <w:noProof/>
        </w:rPr>
        <w:t> </w:t>
      </w:r>
      <w:r w:rsidR="00115F78" w:rsidRPr="00115F78">
        <w:rPr>
          <w:noProof/>
        </w:rPr>
        <w:t>Uni</w:t>
      </w:r>
      <w:r w:rsidRPr="00115F78">
        <w:rPr>
          <w:noProof/>
        </w:rPr>
        <w:t>ą. Gdy te cztery państwa stowarzyszone</w:t>
      </w:r>
      <w:r w:rsidR="00115F78" w:rsidRPr="00115F78">
        <w:rPr>
          <w:noProof/>
        </w:rPr>
        <w:t xml:space="preserve"> w</w:t>
      </w:r>
      <w:r w:rsidR="00115F78">
        <w:rPr>
          <w:noProof/>
        </w:rPr>
        <w:t> </w:t>
      </w:r>
      <w:r w:rsidR="00115F78" w:rsidRPr="00115F78">
        <w:rPr>
          <w:noProof/>
        </w:rPr>
        <w:t>ram</w:t>
      </w:r>
      <w:r w:rsidRPr="00115F78">
        <w:rPr>
          <w:noProof/>
        </w:rPr>
        <w:t>ach Schengen zostaną powiadomione, będą musiały potwierdzić swoją zgodę na treść rozporządzenia oraz wdrożyć je do swojego prawa krajowego</w:t>
      </w:r>
      <w:r w:rsidR="00115F78" w:rsidRPr="00115F78">
        <w:rPr>
          <w:noProof/>
        </w:rPr>
        <w:t>. W</w:t>
      </w:r>
      <w:r w:rsidR="00115F78">
        <w:rPr>
          <w:noProof/>
        </w:rPr>
        <w:t> </w:t>
      </w:r>
      <w:r w:rsidR="00115F78" w:rsidRPr="00115F78">
        <w:rPr>
          <w:noProof/>
        </w:rPr>
        <w:t>zwi</w:t>
      </w:r>
      <w:r w:rsidRPr="00115F78">
        <w:rPr>
          <w:noProof/>
        </w:rPr>
        <w:t>ązku</w:t>
      </w:r>
      <w:r w:rsidR="00115F78" w:rsidRPr="00115F78">
        <w:rPr>
          <w:noProof/>
        </w:rPr>
        <w:t xml:space="preserve"> z</w:t>
      </w:r>
      <w:r w:rsidR="00115F78">
        <w:rPr>
          <w:noProof/>
        </w:rPr>
        <w:t> </w:t>
      </w:r>
      <w:r w:rsidR="00115F78" w:rsidRPr="00115F78">
        <w:rPr>
          <w:noProof/>
        </w:rPr>
        <w:t>tym</w:t>
      </w:r>
      <w:r w:rsidRPr="00115F78">
        <w:rPr>
          <w:noProof/>
        </w:rPr>
        <w:t xml:space="preserve"> proponowane środki będą miały również zastosowanie do tych czterech państw.</w:t>
      </w:r>
    </w:p>
    <w:p w14:paraId="3F7474CB" w14:textId="77777777" w:rsidR="00286E0D" w:rsidRPr="00115F78" w:rsidRDefault="00286E0D" w:rsidP="00286E0D">
      <w:pPr>
        <w:pStyle w:val="ManualHeading1"/>
        <w:rPr>
          <w:noProof/>
        </w:rPr>
      </w:pPr>
      <w:r w:rsidRPr="00115F78">
        <w:rPr>
          <w:noProof/>
        </w:rPr>
        <w:t>2.</w:t>
      </w:r>
      <w:r w:rsidRPr="00115F78">
        <w:rPr>
          <w:noProof/>
        </w:rPr>
        <w:tab/>
        <w:t>PODSTAWA PRAWNA, POMOCNICZOŚĆ I PROPORCJONALNOŚĆ</w:t>
      </w:r>
    </w:p>
    <w:p w14:paraId="71B17439" w14:textId="77777777" w:rsidR="00286E0D" w:rsidRPr="00115F78" w:rsidRDefault="00286E0D" w:rsidP="00286E0D">
      <w:pPr>
        <w:pStyle w:val="ManualHeading2"/>
        <w:rPr>
          <w:rFonts w:eastAsia="Arial Unicode MS"/>
          <w:noProof/>
          <w:u w:color="000000"/>
          <w:bdr w:val="nil"/>
        </w:rPr>
      </w:pPr>
      <w:r w:rsidRPr="00115F78">
        <w:rPr>
          <w:noProof/>
          <w:u w:color="000000"/>
          <w:bdr w:val="nil"/>
        </w:rPr>
        <w:t>•</w:t>
      </w:r>
      <w:r w:rsidRPr="00115F78">
        <w:rPr>
          <w:noProof/>
        </w:rPr>
        <w:tab/>
      </w:r>
      <w:r w:rsidRPr="00115F78">
        <w:rPr>
          <w:noProof/>
          <w:u w:color="000000"/>
          <w:bdr w:val="nil"/>
        </w:rPr>
        <w:t>Podstawa prawna</w:t>
      </w:r>
    </w:p>
    <w:p w14:paraId="3FC49ECD" w14:textId="2DFD3C4B" w:rsidR="00286E0D" w:rsidRPr="00115F78" w:rsidRDefault="00286E0D" w:rsidP="00286E0D">
      <w:pPr>
        <w:pBdr>
          <w:top w:val="nil"/>
          <w:left w:val="nil"/>
          <w:bottom w:val="nil"/>
          <w:right w:val="nil"/>
          <w:between w:val="nil"/>
          <w:bar w:val="nil"/>
        </w:pBdr>
        <w:rPr>
          <w:rFonts w:eastAsia="Arial Unicode MS"/>
          <w:noProof/>
        </w:rPr>
      </w:pPr>
      <w:r w:rsidRPr="00115F78">
        <w:rPr>
          <w:noProof/>
        </w:rPr>
        <w:t>Art. 3 ust.</w:t>
      </w:r>
      <w:r w:rsidR="00115F78" w:rsidRPr="00115F78">
        <w:rPr>
          <w:noProof/>
        </w:rPr>
        <w:t> </w:t>
      </w:r>
      <w:r w:rsidRPr="00115F78">
        <w:rPr>
          <w:noProof/>
        </w:rPr>
        <w:t>2 Traktatu</w:t>
      </w:r>
      <w:r w:rsidR="00115F78" w:rsidRPr="00115F78">
        <w:rPr>
          <w:noProof/>
        </w:rPr>
        <w:t xml:space="preserve"> o</w:t>
      </w:r>
      <w:r w:rsidR="00115F78">
        <w:rPr>
          <w:noProof/>
        </w:rPr>
        <w:t> </w:t>
      </w:r>
      <w:r w:rsidR="00115F78" w:rsidRPr="00115F78">
        <w:rPr>
          <w:noProof/>
        </w:rPr>
        <w:t>Uni</w:t>
      </w:r>
      <w:r w:rsidRPr="00115F78">
        <w:rPr>
          <w:noProof/>
        </w:rPr>
        <w:t>i Europejskiej stanowi, że „Unia zapewnia swoim obywatelom przestrzeń wolności, bezpieczeństwa</w:t>
      </w:r>
      <w:r w:rsidR="00115F78" w:rsidRPr="00115F78">
        <w:rPr>
          <w:noProof/>
        </w:rPr>
        <w:t xml:space="preserve"> i</w:t>
      </w:r>
      <w:r w:rsidR="00115F78">
        <w:rPr>
          <w:noProof/>
        </w:rPr>
        <w:t> </w:t>
      </w:r>
      <w:r w:rsidR="00115F78" w:rsidRPr="00115F78">
        <w:rPr>
          <w:noProof/>
        </w:rPr>
        <w:t>spr</w:t>
      </w:r>
      <w:r w:rsidRPr="00115F78">
        <w:rPr>
          <w:noProof/>
        </w:rPr>
        <w:t>awiedliwości bez granic wewnętrznych,</w:t>
      </w:r>
      <w:r w:rsidR="00115F78" w:rsidRPr="00115F78">
        <w:rPr>
          <w:noProof/>
        </w:rPr>
        <w:t xml:space="preserve"> w</w:t>
      </w:r>
      <w:r w:rsidR="00115F78">
        <w:rPr>
          <w:noProof/>
        </w:rPr>
        <w:t> </w:t>
      </w:r>
      <w:r w:rsidR="00115F78" w:rsidRPr="00115F78">
        <w:rPr>
          <w:noProof/>
        </w:rPr>
        <w:t>któ</w:t>
      </w:r>
      <w:r w:rsidRPr="00115F78">
        <w:rPr>
          <w:noProof/>
        </w:rPr>
        <w:t>rej zagwarantowana jest swoboda przepływu osób,</w:t>
      </w:r>
      <w:r w:rsidR="00115F78" w:rsidRPr="00115F78">
        <w:rPr>
          <w:noProof/>
        </w:rPr>
        <w:t xml:space="preserve"> w</w:t>
      </w:r>
      <w:r w:rsidR="00115F78">
        <w:rPr>
          <w:noProof/>
        </w:rPr>
        <w:t> </w:t>
      </w:r>
      <w:r w:rsidR="00115F78" w:rsidRPr="00115F78">
        <w:rPr>
          <w:noProof/>
        </w:rPr>
        <w:t>pow</w:t>
      </w:r>
      <w:r w:rsidRPr="00115F78">
        <w:rPr>
          <w:noProof/>
        </w:rPr>
        <w:t>iązaniu</w:t>
      </w:r>
      <w:r w:rsidR="00115F78" w:rsidRPr="00115F78">
        <w:rPr>
          <w:noProof/>
        </w:rPr>
        <w:t xml:space="preserve"> z</w:t>
      </w:r>
      <w:r w:rsidR="00115F78">
        <w:rPr>
          <w:noProof/>
        </w:rPr>
        <w:t> </w:t>
      </w:r>
      <w:r w:rsidR="00115F78" w:rsidRPr="00115F78">
        <w:rPr>
          <w:noProof/>
        </w:rPr>
        <w:t>wła</w:t>
      </w:r>
      <w:r w:rsidRPr="00115F78">
        <w:rPr>
          <w:noProof/>
        </w:rPr>
        <w:t>ściwymi środkami</w:t>
      </w:r>
      <w:r w:rsidR="00115F78" w:rsidRPr="00115F78">
        <w:rPr>
          <w:noProof/>
        </w:rPr>
        <w:t xml:space="preserve"> w</w:t>
      </w:r>
      <w:r w:rsidR="00115F78">
        <w:rPr>
          <w:noProof/>
        </w:rPr>
        <w:t> </w:t>
      </w:r>
      <w:r w:rsidR="00115F78" w:rsidRPr="00115F78">
        <w:rPr>
          <w:noProof/>
        </w:rPr>
        <w:t>odn</w:t>
      </w:r>
      <w:r w:rsidRPr="00115F78">
        <w:rPr>
          <w:noProof/>
        </w:rPr>
        <w:t>iesieniu do kontroli granic zewnętrznych, azylu, imigracji, jak również zapobiegania</w:t>
      </w:r>
      <w:r w:rsidR="00115F78" w:rsidRPr="00115F78">
        <w:rPr>
          <w:noProof/>
        </w:rPr>
        <w:t xml:space="preserve"> i</w:t>
      </w:r>
      <w:r w:rsidR="00115F78">
        <w:rPr>
          <w:noProof/>
        </w:rPr>
        <w:t> </w:t>
      </w:r>
      <w:r w:rsidR="00115F78" w:rsidRPr="00115F78">
        <w:rPr>
          <w:noProof/>
        </w:rPr>
        <w:t>zwa</w:t>
      </w:r>
      <w:r w:rsidRPr="00115F78">
        <w:rPr>
          <w:noProof/>
        </w:rPr>
        <w:t>lczania przestępczości”. Podstawę prawną niniejszego wniosku można znaleźć</w:t>
      </w:r>
      <w:r w:rsidR="00115F78" w:rsidRPr="00115F78">
        <w:rPr>
          <w:noProof/>
        </w:rPr>
        <w:t xml:space="preserve"> w</w:t>
      </w:r>
      <w:r w:rsidR="00115F78">
        <w:rPr>
          <w:noProof/>
        </w:rPr>
        <w:t> </w:t>
      </w:r>
      <w:r w:rsidR="00115F78" w:rsidRPr="00115F78">
        <w:rPr>
          <w:noProof/>
        </w:rPr>
        <w:t>śro</w:t>
      </w:r>
      <w:r w:rsidRPr="00115F78">
        <w:rPr>
          <w:noProof/>
        </w:rPr>
        <w:t>dkach,</w:t>
      </w:r>
      <w:r w:rsidR="00115F78" w:rsidRPr="00115F78">
        <w:rPr>
          <w:noProof/>
        </w:rPr>
        <w:t xml:space="preserve"> o</w:t>
      </w:r>
      <w:r w:rsidR="00115F78">
        <w:rPr>
          <w:noProof/>
        </w:rPr>
        <w:t> </w:t>
      </w:r>
      <w:r w:rsidR="00115F78" w:rsidRPr="00115F78">
        <w:rPr>
          <w:noProof/>
        </w:rPr>
        <w:t>któ</w:t>
      </w:r>
      <w:r w:rsidRPr="00115F78">
        <w:rPr>
          <w:noProof/>
        </w:rPr>
        <w:t>rych mowa</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77 ust.</w:t>
      </w:r>
      <w:r w:rsidR="00115F78" w:rsidRPr="00115F78">
        <w:rPr>
          <w:noProof/>
        </w:rPr>
        <w:t> </w:t>
      </w:r>
      <w:r w:rsidRPr="00115F78">
        <w:rPr>
          <w:noProof/>
        </w:rPr>
        <w:t>2</w:t>
      </w:r>
      <w:r w:rsidR="00115F78" w:rsidRPr="00115F78">
        <w:rPr>
          <w:noProof/>
        </w:rPr>
        <w:t xml:space="preserve"> i</w:t>
      </w:r>
      <w:r w:rsidR="00115F78">
        <w:rPr>
          <w:noProof/>
        </w:rPr>
        <w:t> </w:t>
      </w:r>
      <w:r w:rsidR="00115F78" w:rsidRPr="00115F78">
        <w:rPr>
          <w:noProof/>
        </w:rPr>
        <w:t>art</w:t>
      </w:r>
      <w:r w:rsidRPr="00115F78">
        <w:rPr>
          <w:noProof/>
        </w:rPr>
        <w:t>.</w:t>
      </w:r>
      <w:r w:rsidR="00115F78" w:rsidRPr="00115F78">
        <w:rPr>
          <w:noProof/>
        </w:rPr>
        <w:t> </w:t>
      </w:r>
      <w:r w:rsidRPr="00115F78">
        <w:rPr>
          <w:noProof/>
        </w:rPr>
        <w:t>79 ust.</w:t>
      </w:r>
      <w:r w:rsidR="00115F78" w:rsidRPr="00115F78">
        <w:rPr>
          <w:noProof/>
        </w:rPr>
        <w:t> </w:t>
      </w:r>
      <w:r w:rsidRPr="00115F78">
        <w:rPr>
          <w:noProof/>
        </w:rPr>
        <w:t>2 lit.</w:t>
      </w:r>
      <w:r w:rsidR="00115F78" w:rsidRPr="00115F78">
        <w:rPr>
          <w:noProof/>
        </w:rPr>
        <w:t> </w:t>
      </w:r>
      <w:r w:rsidRPr="00115F78">
        <w:rPr>
          <w:noProof/>
        </w:rPr>
        <w:t>c) i d) Traktatu</w:t>
      </w:r>
      <w:r w:rsidR="00115F78" w:rsidRPr="00115F78">
        <w:rPr>
          <w:noProof/>
        </w:rPr>
        <w:t xml:space="preserve"> o</w:t>
      </w:r>
      <w:r w:rsidR="00115F78">
        <w:rPr>
          <w:noProof/>
        </w:rPr>
        <w:t> </w:t>
      </w:r>
      <w:r w:rsidR="00115F78" w:rsidRPr="00115F78">
        <w:rPr>
          <w:noProof/>
        </w:rPr>
        <w:t>fun</w:t>
      </w:r>
      <w:r w:rsidRPr="00115F78">
        <w:rPr>
          <w:noProof/>
        </w:rPr>
        <w:t>kcjonowaniu Unii Europejskiej (TFUE).</w:t>
      </w:r>
    </w:p>
    <w:p w14:paraId="750CEE1E" w14:textId="77777777" w:rsidR="00286E0D" w:rsidRPr="00115F78" w:rsidRDefault="00286E0D" w:rsidP="00286E0D">
      <w:pPr>
        <w:pStyle w:val="ManualHeading2"/>
        <w:rPr>
          <w:rFonts w:eastAsia="Arial Unicode MS"/>
          <w:noProof/>
          <w:u w:color="000000"/>
          <w:bdr w:val="nil"/>
        </w:rPr>
      </w:pPr>
      <w:r w:rsidRPr="00115F78">
        <w:rPr>
          <w:noProof/>
          <w:u w:color="000000"/>
          <w:bdr w:val="nil"/>
        </w:rPr>
        <w:t>•</w:t>
      </w:r>
      <w:r w:rsidRPr="00115F78">
        <w:rPr>
          <w:noProof/>
        </w:rPr>
        <w:tab/>
      </w:r>
      <w:r w:rsidRPr="00115F78">
        <w:rPr>
          <w:noProof/>
          <w:u w:color="000000"/>
          <w:bdr w:val="nil"/>
        </w:rPr>
        <w:t xml:space="preserve">Pomocniczość (w przypadku kompetencji niewyłącznych) </w:t>
      </w:r>
    </w:p>
    <w:p w14:paraId="0C17F853" w14:textId="29F09C3B" w:rsidR="00286E0D" w:rsidRPr="00115F78" w:rsidRDefault="0031749A" w:rsidP="00D35A81">
      <w:pPr>
        <w:pBdr>
          <w:top w:val="nil"/>
          <w:left w:val="nil"/>
          <w:bottom w:val="nil"/>
          <w:right w:val="nil"/>
          <w:between w:val="nil"/>
          <w:bar w:val="nil"/>
        </w:pBdr>
        <w:rPr>
          <w:rFonts w:eastAsia="Arial Unicode MS"/>
          <w:noProof/>
        </w:rPr>
      </w:pPr>
      <w:r w:rsidRPr="00115F78">
        <w:rPr>
          <w:noProof/>
          <w:color w:val="000000" w:themeColor="text1"/>
        </w:rPr>
        <w:t>Państwa członkowskie nie mogą osiągnąć celów niniejszego wniosku, działając samodzielnie, gdyż odnośne wyzwania mają charakter transgraniczny</w:t>
      </w:r>
      <w:r w:rsidR="00115F78" w:rsidRPr="00115F78">
        <w:rPr>
          <w:noProof/>
          <w:color w:val="000000" w:themeColor="text1"/>
        </w:rPr>
        <w:t xml:space="preserve"> i</w:t>
      </w:r>
      <w:r w:rsidR="00115F78">
        <w:rPr>
          <w:noProof/>
          <w:color w:val="000000" w:themeColor="text1"/>
        </w:rPr>
        <w:t> </w:t>
      </w:r>
      <w:r w:rsidR="00115F78" w:rsidRPr="00115F78">
        <w:rPr>
          <w:noProof/>
          <w:color w:val="000000" w:themeColor="text1"/>
        </w:rPr>
        <w:t>nie</w:t>
      </w:r>
      <w:r w:rsidRPr="00115F78">
        <w:rPr>
          <w:noProof/>
          <w:color w:val="000000" w:themeColor="text1"/>
        </w:rPr>
        <w:t xml:space="preserve"> ograniczają się do pojedynczych państw członkowskich ani do podgrupy państw członkowskich. </w:t>
      </w:r>
      <w:r w:rsidRPr="00115F78">
        <w:rPr>
          <w:noProof/>
        </w:rPr>
        <w:t>Unijne wsparcie tworzy wartość dodaną przez propagowanie wspólnego podejścia we wszystkich państwach członkowskich przy wdrażaniu dorobku prawnego</w:t>
      </w:r>
      <w:r w:rsidR="00115F78" w:rsidRPr="00115F78">
        <w:rPr>
          <w:noProof/>
        </w:rPr>
        <w:t xml:space="preserve"> i</w:t>
      </w:r>
      <w:r w:rsidR="00115F78">
        <w:rPr>
          <w:noProof/>
        </w:rPr>
        <w:t> </w:t>
      </w:r>
      <w:r w:rsidR="00115F78" w:rsidRPr="00115F78">
        <w:rPr>
          <w:noProof/>
        </w:rPr>
        <w:t>nor</w:t>
      </w:r>
      <w:r w:rsidRPr="00115F78">
        <w:rPr>
          <w:noProof/>
        </w:rPr>
        <w:t>m UE oraz wspieraniu współpracy między państwami członkowskimi</w:t>
      </w:r>
      <w:r w:rsidR="00115F78" w:rsidRPr="00115F78">
        <w:rPr>
          <w:noProof/>
        </w:rPr>
        <w:t xml:space="preserve"> w</w:t>
      </w:r>
      <w:r w:rsidR="00115F78">
        <w:rPr>
          <w:noProof/>
        </w:rPr>
        <w:t> </w:t>
      </w:r>
      <w:r w:rsidR="00115F78" w:rsidRPr="00115F78">
        <w:rPr>
          <w:noProof/>
        </w:rPr>
        <w:t>kwe</w:t>
      </w:r>
      <w:r w:rsidRPr="00115F78">
        <w:rPr>
          <w:noProof/>
        </w:rPr>
        <w:t>stiach ponadnarodowych.</w:t>
      </w:r>
    </w:p>
    <w:p w14:paraId="0E9E52B6" w14:textId="77777777" w:rsidR="00286E0D" w:rsidRPr="00115F78" w:rsidRDefault="00286E0D" w:rsidP="00286E0D">
      <w:pPr>
        <w:pStyle w:val="ManualHeading2"/>
        <w:rPr>
          <w:rFonts w:eastAsia="Arial Unicode MS"/>
          <w:noProof/>
          <w:u w:color="000000"/>
          <w:bdr w:val="nil"/>
        </w:rPr>
      </w:pPr>
      <w:r w:rsidRPr="00115F78">
        <w:rPr>
          <w:noProof/>
          <w:u w:color="000000"/>
          <w:bdr w:val="nil"/>
        </w:rPr>
        <w:t>•</w:t>
      </w:r>
      <w:r w:rsidRPr="00115F78">
        <w:rPr>
          <w:noProof/>
        </w:rPr>
        <w:tab/>
      </w:r>
      <w:r w:rsidRPr="00115F78">
        <w:rPr>
          <w:noProof/>
          <w:u w:color="000000"/>
          <w:bdr w:val="nil"/>
        </w:rPr>
        <w:t>Proporcjonalność</w:t>
      </w:r>
    </w:p>
    <w:p w14:paraId="6AD7B953" w14:textId="66E00F0E" w:rsidR="00286E0D" w:rsidRPr="00115F78" w:rsidRDefault="0031749A" w:rsidP="00FA3905">
      <w:pPr>
        <w:pBdr>
          <w:top w:val="nil"/>
          <w:left w:val="nil"/>
          <w:bottom w:val="nil"/>
          <w:right w:val="nil"/>
          <w:between w:val="nil"/>
          <w:bar w:val="nil"/>
        </w:pBdr>
        <w:rPr>
          <w:rFonts w:eastAsia="Arial Unicode MS"/>
          <w:noProof/>
          <w:color w:val="000000" w:themeColor="text1"/>
        </w:rPr>
      </w:pPr>
      <w:r w:rsidRPr="00115F78">
        <w:rPr>
          <w:noProof/>
          <w:color w:val="000000" w:themeColor="text1"/>
        </w:rPr>
        <w:t>Wniosek nie wykracza poza to, co jest konieczne do osiągnięcia celów wymienionych</w:t>
      </w:r>
      <w:r w:rsidR="00115F78" w:rsidRPr="00115F78">
        <w:rPr>
          <w:noProof/>
          <w:color w:val="000000" w:themeColor="text1"/>
        </w:rPr>
        <w:t xml:space="preserve"> w</w:t>
      </w:r>
      <w:r w:rsidR="00115F78">
        <w:rPr>
          <w:noProof/>
          <w:color w:val="000000" w:themeColor="text1"/>
        </w:rPr>
        <w:t> </w:t>
      </w:r>
      <w:r w:rsidR="00115F78" w:rsidRPr="00115F78">
        <w:rPr>
          <w:noProof/>
          <w:color w:val="000000" w:themeColor="text1"/>
        </w:rPr>
        <w:t>sek</w:t>
      </w:r>
      <w:r w:rsidRPr="00115F78">
        <w:rPr>
          <w:noProof/>
          <w:color w:val="000000" w:themeColor="text1"/>
        </w:rPr>
        <w:t>cji 1. Wchodzi on</w:t>
      </w:r>
      <w:r w:rsidR="00115F78" w:rsidRPr="00115F78">
        <w:rPr>
          <w:noProof/>
          <w:color w:val="000000" w:themeColor="text1"/>
        </w:rPr>
        <w:t xml:space="preserve"> w</w:t>
      </w:r>
      <w:r w:rsidR="00115F78">
        <w:rPr>
          <w:noProof/>
          <w:color w:val="000000" w:themeColor="text1"/>
        </w:rPr>
        <w:t> </w:t>
      </w:r>
      <w:r w:rsidR="00115F78" w:rsidRPr="00115F78">
        <w:rPr>
          <w:noProof/>
          <w:color w:val="000000" w:themeColor="text1"/>
        </w:rPr>
        <w:t>zak</w:t>
      </w:r>
      <w:r w:rsidRPr="00115F78">
        <w:rPr>
          <w:noProof/>
          <w:color w:val="000000" w:themeColor="text1"/>
        </w:rPr>
        <w:t>res działań</w:t>
      </w:r>
      <w:r w:rsidR="00115F78" w:rsidRPr="00115F78">
        <w:rPr>
          <w:noProof/>
          <w:color w:val="000000" w:themeColor="text1"/>
        </w:rPr>
        <w:t xml:space="preserve"> w</w:t>
      </w:r>
      <w:r w:rsidR="00115F78">
        <w:rPr>
          <w:noProof/>
          <w:color w:val="000000" w:themeColor="text1"/>
        </w:rPr>
        <w:t> </w:t>
      </w:r>
      <w:r w:rsidR="00115F78" w:rsidRPr="00115F78">
        <w:rPr>
          <w:noProof/>
          <w:color w:val="000000" w:themeColor="text1"/>
        </w:rPr>
        <w:t>prz</w:t>
      </w:r>
      <w:r w:rsidRPr="00115F78">
        <w:rPr>
          <w:noProof/>
          <w:color w:val="000000" w:themeColor="text1"/>
        </w:rPr>
        <w:t>estrzeni wolności, bezpieczeństwa</w:t>
      </w:r>
      <w:r w:rsidR="00115F78" w:rsidRPr="00115F78">
        <w:rPr>
          <w:noProof/>
          <w:color w:val="000000" w:themeColor="text1"/>
        </w:rPr>
        <w:t xml:space="preserve"> i</w:t>
      </w:r>
      <w:r w:rsidR="00115F78">
        <w:rPr>
          <w:noProof/>
          <w:color w:val="000000" w:themeColor="text1"/>
        </w:rPr>
        <w:t> </w:t>
      </w:r>
      <w:r w:rsidR="00115F78" w:rsidRPr="00115F78">
        <w:rPr>
          <w:noProof/>
          <w:color w:val="000000" w:themeColor="text1"/>
        </w:rPr>
        <w:t>spr</w:t>
      </w:r>
      <w:r w:rsidRPr="00115F78">
        <w:rPr>
          <w:noProof/>
          <w:color w:val="000000" w:themeColor="text1"/>
        </w:rPr>
        <w:t>awiedliwości określonej</w:t>
      </w:r>
      <w:r w:rsidR="00115F78" w:rsidRPr="00115F78">
        <w:rPr>
          <w:noProof/>
          <w:color w:val="000000" w:themeColor="text1"/>
        </w:rPr>
        <w:t xml:space="preserve"> w</w:t>
      </w:r>
      <w:r w:rsidR="00115F78">
        <w:rPr>
          <w:noProof/>
          <w:color w:val="000000" w:themeColor="text1"/>
        </w:rPr>
        <w:t> </w:t>
      </w:r>
      <w:r w:rsidR="00115F78" w:rsidRPr="00115F78">
        <w:rPr>
          <w:noProof/>
          <w:color w:val="000000" w:themeColor="text1"/>
        </w:rPr>
        <w:t>tyt</w:t>
      </w:r>
      <w:r w:rsidRPr="00115F78">
        <w:rPr>
          <w:noProof/>
          <w:color w:val="000000" w:themeColor="text1"/>
        </w:rPr>
        <w:t>ule V części trzeciej TFUE. Cele</w:t>
      </w:r>
      <w:r w:rsidR="00115F78" w:rsidRPr="00115F78">
        <w:rPr>
          <w:noProof/>
          <w:color w:val="000000" w:themeColor="text1"/>
        </w:rPr>
        <w:t xml:space="preserve"> i</w:t>
      </w:r>
      <w:r w:rsidR="00115F78">
        <w:rPr>
          <w:noProof/>
          <w:color w:val="000000" w:themeColor="text1"/>
        </w:rPr>
        <w:t> </w:t>
      </w:r>
      <w:r w:rsidR="00115F78" w:rsidRPr="00115F78">
        <w:rPr>
          <w:noProof/>
          <w:color w:val="000000" w:themeColor="text1"/>
        </w:rPr>
        <w:t>odp</w:t>
      </w:r>
      <w:r w:rsidRPr="00115F78">
        <w:rPr>
          <w:noProof/>
          <w:color w:val="000000" w:themeColor="text1"/>
        </w:rPr>
        <w:t>owiadające im unijne wsparcie są proporcjonalne do tego, co instrument ma osiągnąć.</w:t>
      </w:r>
    </w:p>
    <w:p w14:paraId="70EDA19B" w14:textId="77777777" w:rsidR="00286E0D" w:rsidRPr="00115F78" w:rsidRDefault="00286E0D" w:rsidP="00286E0D">
      <w:pPr>
        <w:pStyle w:val="ManualHeading2"/>
        <w:rPr>
          <w:rFonts w:eastAsia="Arial Unicode MS"/>
          <w:noProof/>
          <w:u w:color="000000"/>
          <w:bdr w:val="nil"/>
        </w:rPr>
      </w:pPr>
      <w:r w:rsidRPr="00115F78">
        <w:rPr>
          <w:noProof/>
          <w:u w:color="000000"/>
          <w:bdr w:val="nil"/>
        </w:rPr>
        <w:t>•</w:t>
      </w:r>
      <w:r w:rsidRPr="00115F78">
        <w:rPr>
          <w:noProof/>
        </w:rPr>
        <w:tab/>
      </w:r>
      <w:r w:rsidRPr="00115F78">
        <w:rPr>
          <w:noProof/>
          <w:u w:color="000000"/>
          <w:bdr w:val="nil"/>
        </w:rPr>
        <w:t>Wybór instrumentu</w:t>
      </w:r>
    </w:p>
    <w:p w14:paraId="675DAC45" w14:textId="6685467B" w:rsidR="0031749A" w:rsidRPr="00115F78" w:rsidRDefault="0031749A" w:rsidP="001F3E4C">
      <w:pPr>
        <w:pBdr>
          <w:top w:val="nil"/>
          <w:left w:val="nil"/>
          <w:bottom w:val="nil"/>
          <w:right w:val="nil"/>
          <w:between w:val="nil"/>
          <w:bar w:val="nil"/>
        </w:pBdr>
        <w:rPr>
          <w:rFonts w:eastAsia="Arial Unicode MS"/>
          <w:noProof/>
          <w:color w:val="000000" w:themeColor="text1"/>
        </w:rPr>
      </w:pPr>
      <w:r w:rsidRPr="00115F78">
        <w:rPr>
          <w:noProof/>
        </w:rPr>
        <w:t>Najwłaściwszym instrumentem na potrzeby niniejszego wniosku jest rozporządzenie Parlamentu Europejskiego</w:t>
      </w:r>
      <w:r w:rsidR="00115F78" w:rsidRPr="00115F78">
        <w:rPr>
          <w:noProof/>
        </w:rPr>
        <w:t xml:space="preserve"> i</w:t>
      </w:r>
      <w:r w:rsidR="00115F78">
        <w:rPr>
          <w:noProof/>
        </w:rPr>
        <w:t> </w:t>
      </w:r>
      <w:r w:rsidR="00115F78" w:rsidRPr="00115F78">
        <w:rPr>
          <w:noProof/>
        </w:rPr>
        <w:t>Rad</w:t>
      </w:r>
      <w:r w:rsidRPr="00115F78">
        <w:rPr>
          <w:noProof/>
        </w:rPr>
        <w:t>y ustanawiające unijne wsparcie na rzecz zarządzania granicami na okres od</w:t>
      </w:r>
      <w:r w:rsidR="00115F78" w:rsidRPr="00115F78">
        <w:rPr>
          <w:noProof/>
        </w:rPr>
        <w:t> </w:t>
      </w:r>
      <w:r w:rsidRPr="00115F78">
        <w:rPr>
          <w:noProof/>
        </w:rPr>
        <w:t>1 stycznia 2028</w:t>
      </w:r>
      <w:r w:rsidR="00115F78" w:rsidRPr="00115F78">
        <w:rPr>
          <w:noProof/>
        </w:rPr>
        <w:t> </w:t>
      </w:r>
      <w:r w:rsidRPr="00115F78">
        <w:rPr>
          <w:noProof/>
        </w:rPr>
        <w:t>r. do</w:t>
      </w:r>
      <w:r w:rsidR="00115F78" w:rsidRPr="00115F78">
        <w:rPr>
          <w:noProof/>
        </w:rPr>
        <w:t> </w:t>
      </w:r>
      <w:r w:rsidRPr="00115F78">
        <w:rPr>
          <w:noProof/>
        </w:rPr>
        <w:t>31 grudnia 2034</w:t>
      </w:r>
      <w:r w:rsidR="00115F78" w:rsidRPr="00115F78">
        <w:rPr>
          <w:noProof/>
        </w:rPr>
        <w:t> </w:t>
      </w:r>
      <w:r w:rsidRPr="00115F78">
        <w:rPr>
          <w:noProof/>
        </w:rPr>
        <w:t>r.</w:t>
      </w:r>
      <w:r w:rsidR="00115F78" w:rsidRPr="00115F78">
        <w:rPr>
          <w:noProof/>
        </w:rPr>
        <w:t xml:space="preserve"> i</w:t>
      </w:r>
      <w:r w:rsidR="00115F78">
        <w:rPr>
          <w:noProof/>
        </w:rPr>
        <w:t> </w:t>
      </w:r>
      <w:r w:rsidR="00115F78" w:rsidRPr="00115F78">
        <w:rPr>
          <w:noProof/>
        </w:rPr>
        <w:t>uzu</w:t>
      </w:r>
      <w:r w:rsidRPr="00115F78">
        <w:rPr>
          <w:noProof/>
        </w:rPr>
        <w:t>pełniające wniosek dotyczący rozporządzenia (UE) [...]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w:t>
      </w:r>
    </w:p>
    <w:p w14:paraId="0FA6C1BD" w14:textId="77777777" w:rsidR="00286E0D" w:rsidRPr="00115F78" w:rsidRDefault="00286E0D" w:rsidP="00286E0D">
      <w:pPr>
        <w:pStyle w:val="ManualHeading1"/>
        <w:rPr>
          <w:noProof/>
        </w:rPr>
      </w:pPr>
      <w:r w:rsidRPr="00115F78">
        <w:rPr>
          <w:noProof/>
        </w:rPr>
        <w:t>3.</w:t>
      </w:r>
      <w:r w:rsidRPr="00115F78">
        <w:rPr>
          <w:noProof/>
        </w:rPr>
        <w:tab/>
        <w:t>WYNIKI OCEN RETROSPEKTYWNYCH, KONSULTACJI Z ZAINTERESOWANYMI STRONAMI I OCEN SKUTKÓW</w:t>
      </w:r>
    </w:p>
    <w:p w14:paraId="0B632E01" w14:textId="77777777" w:rsidR="00286E0D" w:rsidRPr="00115F78" w:rsidRDefault="00286E0D" w:rsidP="00286E0D">
      <w:pPr>
        <w:pStyle w:val="ManualHeading2"/>
        <w:rPr>
          <w:rFonts w:eastAsia="Arial Unicode MS"/>
          <w:noProof/>
          <w:u w:color="000000"/>
          <w:bdr w:val="nil"/>
        </w:rPr>
      </w:pPr>
      <w:r w:rsidRPr="00115F78">
        <w:rPr>
          <w:noProof/>
          <w:u w:color="000000"/>
          <w:bdr w:val="nil"/>
        </w:rPr>
        <w:t>•</w:t>
      </w:r>
      <w:r w:rsidRPr="00115F78">
        <w:rPr>
          <w:noProof/>
        </w:rPr>
        <w:tab/>
      </w:r>
      <w:r w:rsidRPr="00115F78">
        <w:rPr>
          <w:noProof/>
          <w:u w:color="000000"/>
          <w:bdr w:val="nil"/>
        </w:rPr>
        <w:t>Oceny retrospektywne/oceny adekwatności obowiązującego prawodawstwa</w:t>
      </w:r>
    </w:p>
    <w:p w14:paraId="76E894A2" w14:textId="6AFA21AE" w:rsidR="00286E0D" w:rsidRPr="00115F78" w:rsidRDefault="00286E0D" w:rsidP="00EB6497">
      <w:pPr>
        <w:pBdr>
          <w:top w:val="nil"/>
          <w:left w:val="nil"/>
          <w:bottom w:val="nil"/>
          <w:right w:val="nil"/>
          <w:between w:val="nil"/>
          <w:bar w:val="nil"/>
        </w:pBdr>
        <w:rPr>
          <w:rFonts w:eastAsia="Arial Unicode MS"/>
          <w:noProof/>
        </w:rPr>
      </w:pPr>
      <w:r w:rsidRPr="00115F78">
        <w:rPr>
          <w:noProof/>
        </w:rPr>
        <w:t xml:space="preserve">Wstępne wyniki trwającej oceny </w:t>
      </w:r>
      <w:r w:rsidRPr="00115F78">
        <w:rPr>
          <w:i/>
          <w:iCs/>
          <w:noProof/>
        </w:rPr>
        <w:t>ex post</w:t>
      </w:r>
      <w:r w:rsidRPr="00115F78">
        <w:rPr>
          <w:noProof/>
        </w:rPr>
        <w:t xml:space="preserve"> Funduszu Bezpieczeństwa Wewnętrznego – granice</w:t>
      </w:r>
      <w:r w:rsidR="00115F78" w:rsidRPr="00115F78">
        <w:rPr>
          <w:noProof/>
        </w:rPr>
        <w:t xml:space="preserve"> i</w:t>
      </w:r>
      <w:r w:rsidR="00115F78">
        <w:rPr>
          <w:noProof/>
        </w:rPr>
        <w:t> </w:t>
      </w:r>
      <w:r w:rsidR="00115F78" w:rsidRPr="00115F78">
        <w:rPr>
          <w:noProof/>
        </w:rPr>
        <w:t>wiz</w:t>
      </w:r>
      <w:r w:rsidRPr="00115F78">
        <w:rPr>
          <w:noProof/>
        </w:rPr>
        <w:t>y (FBW-GW)</w:t>
      </w:r>
      <w:r w:rsidR="00115F78" w:rsidRPr="00115F78">
        <w:rPr>
          <w:noProof/>
        </w:rPr>
        <w:t xml:space="preserve"> w</w:t>
      </w:r>
      <w:r w:rsidR="00115F78">
        <w:rPr>
          <w:noProof/>
        </w:rPr>
        <w:t> </w:t>
      </w:r>
      <w:r w:rsidR="00115F78" w:rsidRPr="00115F78">
        <w:rPr>
          <w:noProof/>
        </w:rPr>
        <w:t>okr</w:t>
      </w:r>
      <w:r w:rsidRPr="00115F78">
        <w:rPr>
          <w:noProof/>
        </w:rPr>
        <w:t>esie programowania 2014–2020 potwierdzają, że FBW-GW skutecznie wspierał państwa członkowskie</w:t>
      </w:r>
      <w:r w:rsidR="00115F78" w:rsidRPr="00115F78">
        <w:rPr>
          <w:noProof/>
        </w:rPr>
        <w:t xml:space="preserve"> w</w:t>
      </w:r>
      <w:r w:rsidR="00115F78">
        <w:rPr>
          <w:noProof/>
        </w:rPr>
        <w:t> </w:t>
      </w:r>
      <w:r w:rsidR="00115F78" w:rsidRPr="00115F78">
        <w:rPr>
          <w:noProof/>
        </w:rPr>
        <w:t>osi</w:t>
      </w:r>
      <w:r w:rsidRPr="00115F78">
        <w:rPr>
          <w:noProof/>
        </w:rPr>
        <w:t>ąganiu ich celów</w:t>
      </w:r>
      <w:r w:rsidR="00115F78" w:rsidRPr="00115F78">
        <w:rPr>
          <w:noProof/>
        </w:rPr>
        <w:t xml:space="preserve"> w</w:t>
      </w:r>
      <w:r w:rsidR="00115F78">
        <w:rPr>
          <w:noProof/>
        </w:rPr>
        <w:t> </w:t>
      </w:r>
      <w:r w:rsidR="00115F78" w:rsidRPr="00115F78">
        <w:rPr>
          <w:noProof/>
        </w:rPr>
        <w:t>dzi</w:t>
      </w:r>
      <w:r w:rsidRPr="00115F78">
        <w:rPr>
          <w:noProof/>
        </w:rPr>
        <w:t>edzinie polityki wizowej</w:t>
      </w:r>
      <w:r w:rsidR="00115F78" w:rsidRPr="00115F78">
        <w:rPr>
          <w:noProof/>
        </w:rPr>
        <w:t xml:space="preserve"> i</w:t>
      </w:r>
      <w:r w:rsidR="00115F78">
        <w:rPr>
          <w:noProof/>
        </w:rPr>
        <w:t> </w:t>
      </w:r>
      <w:r w:rsidR="00115F78" w:rsidRPr="00115F78">
        <w:rPr>
          <w:noProof/>
        </w:rPr>
        <w:t>zar</w:t>
      </w:r>
      <w:r w:rsidRPr="00115F78">
        <w:rPr>
          <w:noProof/>
        </w:rPr>
        <w:t>ządzania granicami zewnętrznymi. Wprowadzenie programowania wieloletniego</w:t>
      </w:r>
      <w:r w:rsidR="00115F78" w:rsidRPr="00115F78">
        <w:rPr>
          <w:noProof/>
        </w:rPr>
        <w:t xml:space="preserve"> i</w:t>
      </w:r>
      <w:r w:rsidR="00115F78">
        <w:rPr>
          <w:noProof/>
        </w:rPr>
        <w:t> </w:t>
      </w:r>
      <w:r w:rsidR="00115F78" w:rsidRPr="00115F78">
        <w:rPr>
          <w:noProof/>
        </w:rPr>
        <w:t>kra</w:t>
      </w:r>
      <w:r w:rsidRPr="00115F78">
        <w:rPr>
          <w:noProof/>
        </w:rPr>
        <w:t>jowych zasad kwalifikowalności przyczyniło się do zmniejszenia obciążenia administracyjnego</w:t>
      </w:r>
      <w:r w:rsidR="00115F78" w:rsidRPr="00115F78">
        <w:rPr>
          <w:noProof/>
        </w:rPr>
        <w:t>. W</w:t>
      </w:r>
      <w:r w:rsidR="00115F78">
        <w:rPr>
          <w:noProof/>
        </w:rPr>
        <w:t> </w:t>
      </w:r>
      <w:r w:rsidR="00115F78" w:rsidRPr="00115F78">
        <w:rPr>
          <w:noProof/>
        </w:rPr>
        <w:t>prz</w:t>
      </w:r>
      <w:r w:rsidRPr="00115F78">
        <w:rPr>
          <w:noProof/>
        </w:rPr>
        <w:t>ypadkach,</w:t>
      </w:r>
      <w:r w:rsidR="00115F78" w:rsidRPr="00115F78">
        <w:rPr>
          <w:noProof/>
        </w:rPr>
        <w:t xml:space="preserve"> w</w:t>
      </w:r>
      <w:r w:rsidR="00115F78">
        <w:rPr>
          <w:noProof/>
        </w:rPr>
        <w:t> </w:t>
      </w:r>
      <w:r w:rsidR="00115F78" w:rsidRPr="00115F78">
        <w:rPr>
          <w:noProof/>
        </w:rPr>
        <w:t>któ</w:t>
      </w:r>
      <w:r w:rsidRPr="00115F78">
        <w:rPr>
          <w:noProof/>
        </w:rPr>
        <w:t>rych zastosowano uproszczone formy kosztów, skutecznie zmniejszyły one obciążenie administracyjne, ale rozwiązania tego nie przyjęto na szerszą skalę. FBW-GW charakteryzował się różnym stopniem efektywności pod względem kosztów</w:t>
      </w:r>
      <w:r w:rsidR="00115F78" w:rsidRPr="00115F78">
        <w:rPr>
          <w:noProof/>
        </w:rPr>
        <w:t xml:space="preserve"> i</w:t>
      </w:r>
      <w:r w:rsidR="00115F78">
        <w:rPr>
          <w:noProof/>
        </w:rPr>
        <w:t> </w:t>
      </w:r>
      <w:r w:rsidR="00115F78" w:rsidRPr="00115F78">
        <w:rPr>
          <w:noProof/>
        </w:rPr>
        <w:t>wyd</w:t>
      </w:r>
      <w:r w:rsidRPr="00115F78">
        <w:rPr>
          <w:noProof/>
        </w:rPr>
        <w:t>ajności. FBW-GW był spójny</w:t>
      </w:r>
      <w:r w:rsidR="00115F78" w:rsidRPr="00115F78">
        <w:rPr>
          <w:noProof/>
        </w:rPr>
        <w:t xml:space="preserve"> z</w:t>
      </w:r>
      <w:r w:rsidR="00115F78">
        <w:rPr>
          <w:noProof/>
        </w:rPr>
        <w:t> </w:t>
      </w:r>
      <w:r w:rsidR="00115F78" w:rsidRPr="00115F78">
        <w:rPr>
          <w:noProof/>
        </w:rPr>
        <w:t>kom</w:t>
      </w:r>
      <w:r w:rsidRPr="00115F78">
        <w:rPr>
          <w:noProof/>
        </w:rPr>
        <w:t>ponentami funduszu</w:t>
      </w:r>
      <w:r w:rsidR="00115F78" w:rsidRPr="00115F78">
        <w:rPr>
          <w:noProof/>
        </w:rPr>
        <w:t xml:space="preserve"> i</w:t>
      </w:r>
      <w:r w:rsidR="00115F78">
        <w:rPr>
          <w:noProof/>
        </w:rPr>
        <w:t> </w:t>
      </w:r>
      <w:r w:rsidR="00115F78" w:rsidRPr="00115F78">
        <w:rPr>
          <w:noProof/>
        </w:rPr>
        <w:t>inn</w:t>
      </w:r>
      <w:r w:rsidRPr="00115F78">
        <w:rPr>
          <w:noProof/>
        </w:rPr>
        <w:t>ymi funduszami UE, jednak spójność</w:t>
      </w:r>
      <w:r w:rsidR="00115F78" w:rsidRPr="00115F78">
        <w:rPr>
          <w:noProof/>
        </w:rPr>
        <w:t xml:space="preserve"> z</w:t>
      </w:r>
      <w:r w:rsidR="00115F78">
        <w:rPr>
          <w:noProof/>
        </w:rPr>
        <w:t> </w:t>
      </w:r>
      <w:r w:rsidR="00115F78" w:rsidRPr="00115F78">
        <w:rPr>
          <w:noProof/>
        </w:rPr>
        <w:t>pro</w:t>
      </w:r>
      <w:r w:rsidRPr="00115F78">
        <w:rPr>
          <w:noProof/>
        </w:rPr>
        <w:t>gramem „Horyzont Europa” oraz między programami krajowymi</w:t>
      </w:r>
      <w:r w:rsidR="00115F78" w:rsidRPr="00115F78">
        <w:rPr>
          <w:noProof/>
        </w:rPr>
        <w:t xml:space="preserve"> a</w:t>
      </w:r>
      <w:r w:rsidR="00115F78">
        <w:rPr>
          <w:noProof/>
        </w:rPr>
        <w:t> </w:t>
      </w:r>
      <w:r w:rsidR="00115F78" w:rsidRPr="00115F78">
        <w:rPr>
          <w:noProof/>
        </w:rPr>
        <w:t>dzi</w:t>
      </w:r>
      <w:r w:rsidRPr="00115F78">
        <w:rPr>
          <w:noProof/>
        </w:rPr>
        <w:t>ałaniami Unii można jeszcze bardziej wzmocnić. FBW-GW</w:t>
      </w:r>
      <w:r w:rsidR="00115F78" w:rsidRPr="00115F78">
        <w:rPr>
          <w:noProof/>
        </w:rPr>
        <w:t xml:space="preserve"> w</w:t>
      </w:r>
      <w:r w:rsidR="00115F78">
        <w:rPr>
          <w:noProof/>
        </w:rPr>
        <w:t> </w:t>
      </w:r>
      <w:r w:rsidR="00115F78" w:rsidRPr="00115F78">
        <w:rPr>
          <w:noProof/>
        </w:rPr>
        <w:t>zna</w:t>
      </w:r>
      <w:r w:rsidRPr="00115F78">
        <w:rPr>
          <w:noProof/>
        </w:rPr>
        <w:t xml:space="preserve">cznym stopniu przyczynił się do zwiększenia unijnej wartości dodanej. </w:t>
      </w:r>
      <w:bookmarkStart w:id="6" w:name="_Hlk202880568"/>
      <w:r w:rsidRPr="00115F78">
        <w:rPr>
          <w:noProof/>
        </w:rPr>
        <w:t xml:space="preserve">Ze wstępnych ustaleń oceny </w:t>
      </w:r>
      <w:r w:rsidRPr="00115F78">
        <w:rPr>
          <w:i/>
          <w:iCs/>
          <w:noProof/>
        </w:rPr>
        <w:t>ex post</w:t>
      </w:r>
      <w:r w:rsidRPr="00115F78">
        <w:rPr>
          <w:noProof/>
        </w:rPr>
        <w:t xml:space="preserve"> wynika, że uproszczenie wymogów sprawozdawczych</w:t>
      </w:r>
      <w:r w:rsidR="00115F78" w:rsidRPr="00115F78">
        <w:rPr>
          <w:noProof/>
        </w:rPr>
        <w:t xml:space="preserve"> i</w:t>
      </w:r>
      <w:r w:rsidR="00115F78">
        <w:rPr>
          <w:noProof/>
        </w:rPr>
        <w:t> </w:t>
      </w:r>
      <w:r w:rsidR="00115F78" w:rsidRPr="00115F78">
        <w:rPr>
          <w:noProof/>
        </w:rPr>
        <w:t>pro</w:t>
      </w:r>
      <w:r w:rsidRPr="00115F78">
        <w:rPr>
          <w:noProof/>
        </w:rPr>
        <w:t>cedur administracyjnych może znacznie zwiększyć skuteczność, jeżeli nie będzie wywierało negatywnego wpływu na jakość</w:t>
      </w:r>
      <w:r w:rsidR="00115F78" w:rsidRPr="00115F78">
        <w:rPr>
          <w:noProof/>
        </w:rPr>
        <w:t xml:space="preserve"> i</w:t>
      </w:r>
      <w:r w:rsidR="00115F78">
        <w:rPr>
          <w:noProof/>
        </w:rPr>
        <w:t> </w:t>
      </w:r>
      <w:r w:rsidR="00115F78" w:rsidRPr="00115F78">
        <w:rPr>
          <w:noProof/>
        </w:rPr>
        <w:t>inf</w:t>
      </w:r>
      <w:r w:rsidRPr="00115F78">
        <w:rPr>
          <w:noProof/>
        </w:rPr>
        <w:t>ormacje ilościowe niezbędne do monitorowania wdrażania. Podejście to powinno zminimalizować obciążenie administracyjne</w:t>
      </w:r>
      <w:r w:rsidR="00115F78" w:rsidRPr="00115F78">
        <w:rPr>
          <w:noProof/>
        </w:rPr>
        <w:t xml:space="preserve"> i</w:t>
      </w:r>
      <w:r w:rsidR="00115F78">
        <w:rPr>
          <w:noProof/>
        </w:rPr>
        <w:t> </w:t>
      </w:r>
      <w:r w:rsidR="00115F78" w:rsidRPr="00115F78">
        <w:rPr>
          <w:noProof/>
        </w:rPr>
        <w:t>umo</w:t>
      </w:r>
      <w:r w:rsidRPr="00115F78">
        <w:rPr>
          <w:noProof/>
        </w:rPr>
        <w:t>żliwi zainteresowanym stronom skupienie się na osiąganiu wyników,</w:t>
      </w:r>
      <w:r w:rsidR="00115F78" w:rsidRPr="00115F78">
        <w:rPr>
          <w:noProof/>
        </w:rPr>
        <w:t xml:space="preserve"> a</w:t>
      </w:r>
      <w:r w:rsidR="00115F78">
        <w:rPr>
          <w:noProof/>
        </w:rPr>
        <w:t> </w:t>
      </w:r>
      <w:r w:rsidR="00115F78" w:rsidRPr="00115F78">
        <w:rPr>
          <w:noProof/>
        </w:rPr>
        <w:t>nie</w:t>
      </w:r>
      <w:r w:rsidRPr="00115F78">
        <w:rPr>
          <w:noProof/>
        </w:rPr>
        <w:t xml:space="preserve"> na wypełnianiu procedur biurokratycznych.</w:t>
      </w:r>
      <w:bookmarkEnd w:id="6"/>
    </w:p>
    <w:p w14:paraId="539AF480" w14:textId="23DD0BA4" w:rsidR="00286E0D" w:rsidRPr="00115F78" w:rsidRDefault="00286E0D" w:rsidP="00EB6497">
      <w:pPr>
        <w:pBdr>
          <w:top w:val="nil"/>
          <w:left w:val="nil"/>
          <w:bottom w:val="nil"/>
          <w:right w:val="nil"/>
          <w:between w:val="nil"/>
          <w:bar w:val="nil"/>
        </w:pBdr>
        <w:rPr>
          <w:rFonts w:eastAsia="Arial Unicode MS"/>
          <w:i/>
          <w:noProof/>
        </w:rPr>
      </w:pPr>
      <w:r w:rsidRPr="00115F78">
        <w:rPr>
          <w:noProof/>
        </w:rPr>
        <w:t>Wstępne wyniki oceny śródokresowej Instrumentu na rzecz Zarządzania Granicami</w:t>
      </w:r>
      <w:r w:rsidR="00115F78" w:rsidRPr="00115F78">
        <w:rPr>
          <w:noProof/>
        </w:rPr>
        <w:t xml:space="preserve"> i</w:t>
      </w:r>
      <w:r w:rsidR="00115F78">
        <w:rPr>
          <w:noProof/>
        </w:rPr>
        <w:t> </w:t>
      </w:r>
      <w:r w:rsidR="00115F78" w:rsidRPr="00115F78">
        <w:rPr>
          <w:noProof/>
        </w:rPr>
        <w:t>Wiz</w:t>
      </w:r>
      <w:r w:rsidRPr="00115F78">
        <w:rPr>
          <w:noProof/>
        </w:rPr>
        <w:t xml:space="preserve"> (IZGW) za okres programowania 2021–2027 potwierdzają znaczną poprawę ram monitorowania</w:t>
      </w:r>
      <w:r w:rsidR="00115F78" w:rsidRPr="00115F78">
        <w:rPr>
          <w:noProof/>
        </w:rPr>
        <w:t xml:space="preserve"> i</w:t>
      </w:r>
      <w:r w:rsidR="00115F78">
        <w:rPr>
          <w:noProof/>
        </w:rPr>
        <w:t> </w:t>
      </w:r>
      <w:r w:rsidR="00115F78" w:rsidRPr="00115F78">
        <w:rPr>
          <w:noProof/>
        </w:rPr>
        <w:t>oce</w:t>
      </w:r>
      <w:r w:rsidRPr="00115F78">
        <w:rPr>
          <w:noProof/>
        </w:rPr>
        <w:t>ny IZGW</w:t>
      </w:r>
      <w:r w:rsidR="00115F78" w:rsidRPr="00115F78">
        <w:rPr>
          <w:noProof/>
        </w:rPr>
        <w:t xml:space="preserve"> w</w:t>
      </w:r>
      <w:r w:rsidR="00115F78">
        <w:rPr>
          <w:noProof/>
        </w:rPr>
        <w:t> </w:t>
      </w:r>
      <w:r w:rsidR="00115F78" w:rsidRPr="00115F78">
        <w:rPr>
          <w:noProof/>
        </w:rPr>
        <w:t>por</w:t>
      </w:r>
      <w:r w:rsidRPr="00115F78">
        <w:rPr>
          <w:noProof/>
        </w:rPr>
        <w:t>ównaniu</w:t>
      </w:r>
      <w:r w:rsidR="00115F78" w:rsidRPr="00115F78">
        <w:rPr>
          <w:noProof/>
        </w:rPr>
        <w:t xml:space="preserve"> z</w:t>
      </w:r>
      <w:r w:rsidR="00115F78">
        <w:rPr>
          <w:noProof/>
        </w:rPr>
        <w:t> </w:t>
      </w:r>
      <w:r w:rsidR="00115F78" w:rsidRPr="00115F78">
        <w:rPr>
          <w:noProof/>
        </w:rPr>
        <w:t>okr</w:t>
      </w:r>
      <w:r w:rsidRPr="00115F78">
        <w:rPr>
          <w:noProof/>
        </w:rPr>
        <w:t>esem 2014–2020. Państwa członkowskie</w:t>
      </w:r>
      <w:r w:rsidR="00115F78" w:rsidRPr="00115F78">
        <w:rPr>
          <w:noProof/>
        </w:rPr>
        <w:t xml:space="preserve"> i</w:t>
      </w:r>
      <w:r w:rsidR="00115F78">
        <w:rPr>
          <w:noProof/>
        </w:rPr>
        <w:t> </w:t>
      </w:r>
      <w:r w:rsidR="00115F78" w:rsidRPr="00115F78">
        <w:rPr>
          <w:noProof/>
        </w:rPr>
        <w:t>ben</w:t>
      </w:r>
      <w:r w:rsidRPr="00115F78">
        <w:rPr>
          <w:noProof/>
        </w:rPr>
        <w:t>eficjenci zwrócili uwagę na obawy dotyczące obciążenia administracyjnego. Do tej pory instytucje zarządzające</w:t>
      </w:r>
      <w:r w:rsidR="00115F78" w:rsidRPr="00115F78">
        <w:rPr>
          <w:noProof/>
        </w:rPr>
        <w:t xml:space="preserve"> w</w:t>
      </w:r>
      <w:r w:rsidR="00115F78">
        <w:rPr>
          <w:noProof/>
        </w:rPr>
        <w:t> </w:t>
      </w:r>
      <w:r w:rsidR="00115F78" w:rsidRPr="00115F78">
        <w:rPr>
          <w:noProof/>
        </w:rPr>
        <w:t>ogr</w:t>
      </w:r>
      <w:r w:rsidRPr="00115F78">
        <w:rPr>
          <w:noProof/>
        </w:rPr>
        <w:t>aniczonym stopniu korzystały</w:t>
      </w:r>
      <w:r w:rsidR="00115F78" w:rsidRPr="00115F78">
        <w:rPr>
          <w:noProof/>
        </w:rPr>
        <w:t xml:space="preserve"> z</w:t>
      </w:r>
      <w:r w:rsidR="00115F78">
        <w:rPr>
          <w:noProof/>
        </w:rPr>
        <w:t> </w:t>
      </w:r>
      <w:r w:rsidR="00115F78" w:rsidRPr="00115F78">
        <w:rPr>
          <w:noProof/>
        </w:rPr>
        <w:t>upr</w:t>
      </w:r>
      <w:r w:rsidRPr="00115F78">
        <w:rPr>
          <w:noProof/>
        </w:rPr>
        <w:t>oszczonych form kosztów</w:t>
      </w:r>
      <w:r w:rsidR="00115F78" w:rsidRPr="00115F78">
        <w:rPr>
          <w:noProof/>
        </w:rPr>
        <w:t xml:space="preserve"> i</w:t>
      </w:r>
      <w:r w:rsidR="00115F78">
        <w:rPr>
          <w:noProof/>
        </w:rPr>
        <w:t> </w:t>
      </w:r>
      <w:r w:rsidR="00115F78" w:rsidRPr="00115F78">
        <w:rPr>
          <w:noProof/>
        </w:rPr>
        <w:t>fin</w:t>
      </w:r>
      <w:r w:rsidRPr="00115F78">
        <w:rPr>
          <w:noProof/>
        </w:rPr>
        <w:t>ansowania niepowiązanego</w:t>
      </w:r>
      <w:r w:rsidR="00115F78" w:rsidRPr="00115F78">
        <w:rPr>
          <w:noProof/>
        </w:rPr>
        <w:t xml:space="preserve"> z</w:t>
      </w:r>
      <w:r w:rsidR="00115F78">
        <w:rPr>
          <w:noProof/>
        </w:rPr>
        <w:t> </w:t>
      </w:r>
      <w:r w:rsidR="00115F78" w:rsidRPr="00115F78">
        <w:rPr>
          <w:noProof/>
        </w:rPr>
        <w:t>kos</w:t>
      </w:r>
      <w:r w:rsidRPr="00115F78">
        <w:rPr>
          <w:noProof/>
        </w:rPr>
        <w:t>ztami odnośnych operacji, co mogłoby zmniejszyć obciążenie administracyjne. Programy państw członkowskich</w:t>
      </w:r>
      <w:r w:rsidR="00115F78" w:rsidRPr="00115F78">
        <w:rPr>
          <w:noProof/>
        </w:rPr>
        <w:t xml:space="preserve"> i</w:t>
      </w:r>
      <w:r w:rsidR="00115F78">
        <w:rPr>
          <w:noProof/>
        </w:rPr>
        <w:t> </w:t>
      </w:r>
      <w:r w:rsidR="00115F78" w:rsidRPr="00115F78">
        <w:rPr>
          <w:noProof/>
        </w:rPr>
        <w:t>pro</w:t>
      </w:r>
      <w:r w:rsidRPr="00115F78">
        <w:rPr>
          <w:noProof/>
        </w:rPr>
        <w:t>gramy prac Komisji</w:t>
      </w:r>
      <w:r w:rsidR="00115F78" w:rsidRPr="00115F78">
        <w:rPr>
          <w:noProof/>
        </w:rPr>
        <w:t xml:space="preserve"> w</w:t>
      </w:r>
      <w:r w:rsidR="00115F78">
        <w:rPr>
          <w:noProof/>
        </w:rPr>
        <w:t> </w:t>
      </w:r>
      <w:r w:rsidR="00115F78" w:rsidRPr="00115F78">
        <w:rPr>
          <w:noProof/>
        </w:rPr>
        <w:t>odn</w:t>
      </w:r>
      <w:r w:rsidRPr="00115F78">
        <w:rPr>
          <w:noProof/>
        </w:rPr>
        <w:t>iesieniu do instrumentu tematycznego są spójne</w:t>
      </w:r>
      <w:r w:rsidR="00115F78" w:rsidRPr="00115F78">
        <w:rPr>
          <w:noProof/>
        </w:rPr>
        <w:t xml:space="preserve"> z</w:t>
      </w:r>
      <w:r w:rsidR="00115F78">
        <w:rPr>
          <w:noProof/>
        </w:rPr>
        <w:t> </w:t>
      </w:r>
      <w:r w:rsidR="00115F78" w:rsidRPr="00115F78">
        <w:rPr>
          <w:noProof/>
        </w:rPr>
        <w:t>inn</w:t>
      </w:r>
      <w:r w:rsidRPr="00115F78">
        <w:rPr>
          <w:noProof/>
        </w:rPr>
        <w:t>ymi krajowymi</w:t>
      </w:r>
      <w:r w:rsidR="00115F78" w:rsidRPr="00115F78">
        <w:rPr>
          <w:noProof/>
        </w:rPr>
        <w:t xml:space="preserve"> i</w:t>
      </w:r>
      <w:r w:rsidR="00115F78">
        <w:rPr>
          <w:noProof/>
        </w:rPr>
        <w:t> </w:t>
      </w:r>
      <w:r w:rsidR="00115F78" w:rsidRPr="00115F78">
        <w:rPr>
          <w:noProof/>
        </w:rPr>
        <w:t>uni</w:t>
      </w:r>
      <w:r w:rsidRPr="00115F78">
        <w:rPr>
          <w:noProof/>
        </w:rPr>
        <w:t>jnymi instrumentami finansowania. Aby jednak zwiększyć absorpcję innowacyjnych rozwiązań technologicznych, należy jeszcze bardziej wzmocnić spójność między działaniami Unii</w:t>
      </w:r>
      <w:r w:rsidR="00115F78" w:rsidRPr="00115F78">
        <w:rPr>
          <w:noProof/>
        </w:rPr>
        <w:t xml:space="preserve"> a</w:t>
      </w:r>
      <w:r w:rsidR="00115F78">
        <w:rPr>
          <w:noProof/>
        </w:rPr>
        <w:t> </w:t>
      </w:r>
      <w:r w:rsidR="00115F78" w:rsidRPr="00115F78">
        <w:rPr>
          <w:noProof/>
        </w:rPr>
        <w:t>pro</w:t>
      </w:r>
      <w:r w:rsidRPr="00115F78">
        <w:rPr>
          <w:noProof/>
        </w:rPr>
        <w:t>gramami państw członkowskich, jak również spójność</w:t>
      </w:r>
      <w:r w:rsidR="00115F78" w:rsidRPr="00115F78">
        <w:rPr>
          <w:noProof/>
        </w:rPr>
        <w:t xml:space="preserve"> z</w:t>
      </w:r>
      <w:r w:rsidR="00115F78">
        <w:rPr>
          <w:noProof/>
        </w:rPr>
        <w:t> </w:t>
      </w:r>
      <w:r w:rsidR="00115F78" w:rsidRPr="00115F78">
        <w:rPr>
          <w:noProof/>
        </w:rPr>
        <w:t>pro</w:t>
      </w:r>
      <w:r w:rsidRPr="00115F78">
        <w:rPr>
          <w:noProof/>
        </w:rPr>
        <w:t>gramem „Horyzont Europa”. IZGW wspiera ponadto współpracę, zapewnia zgodność</w:t>
      </w:r>
      <w:r w:rsidR="00115F78" w:rsidRPr="00115F78">
        <w:rPr>
          <w:noProof/>
        </w:rPr>
        <w:t xml:space="preserve"> z</w:t>
      </w:r>
      <w:r w:rsidR="00115F78">
        <w:rPr>
          <w:noProof/>
        </w:rPr>
        <w:t> </w:t>
      </w:r>
      <w:r w:rsidR="00115F78" w:rsidRPr="00115F78">
        <w:rPr>
          <w:noProof/>
        </w:rPr>
        <w:t>nor</w:t>
      </w:r>
      <w:r w:rsidRPr="00115F78">
        <w:rPr>
          <w:noProof/>
        </w:rPr>
        <w:t>mami UE oraz wzmacnia unijne zbiorowe ramy zarządzania granicami</w:t>
      </w:r>
      <w:r w:rsidR="00115F78" w:rsidRPr="00115F78">
        <w:rPr>
          <w:noProof/>
        </w:rPr>
        <w:t xml:space="preserve"> i</w:t>
      </w:r>
      <w:r w:rsidR="00115F78">
        <w:rPr>
          <w:noProof/>
        </w:rPr>
        <w:t> </w:t>
      </w:r>
      <w:r w:rsidR="00115F78" w:rsidRPr="00115F78">
        <w:rPr>
          <w:noProof/>
        </w:rPr>
        <w:t>pol</w:t>
      </w:r>
      <w:r w:rsidRPr="00115F78">
        <w:rPr>
          <w:noProof/>
        </w:rPr>
        <w:t xml:space="preserve">ityki wizowej. </w:t>
      </w:r>
      <w:bookmarkStart w:id="7" w:name="_Hlk202880726"/>
      <w:r w:rsidRPr="00115F78">
        <w:rPr>
          <w:noProof/>
        </w:rPr>
        <w:t>Zainteresowane strony doceniły</w:t>
      </w:r>
      <w:r w:rsidR="00115F78" w:rsidRPr="00115F78">
        <w:rPr>
          <w:noProof/>
        </w:rPr>
        <w:t xml:space="preserve"> w</w:t>
      </w:r>
      <w:r w:rsidR="00115F78">
        <w:rPr>
          <w:noProof/>
        </w:rPr>
        <w:t> </w:t>
      </w:r>
      <w:r w:rsidR="00115F78" w:rsidRPr="00115F78">
        <w:rPr>
          <w:noProof/>
        </w:rPr>
        <w:t>szc</w:t>
      </w:r>
      <w:r w:rsidRPr="00115F78">
        <w:rPr>
          <w:noProof/>
        </w:rPr>
        <w:t>zególności konkretne działania ze względu na ich elastyczność</w:t>
      </w:r>
      <w:r w:rsidR="00115F78" w:rsidRPr="00115F78">
        <w:rPr>
          <w:noProof/>
        </w:rPr>
        <w:t xml:space="preserve"> i</w:t>
      </w:r>
      <w:r w:rsidR="00115F78">
        <w:rPr>
          <w:noProof/>
        </w:rPr>
        <w:t> </w:t>
      </w:r>
      <w:r w:rsidR="00115F78" w:rsidRPr="00115F78">
        <w:rPr>
          <w:noProof/>
        </w:rPr>
        <w:t>moż</w:t>
      </w:r>
      <w:r w:rsidRPr="00115F78">
        <w:rPr>
          <w:noProof/>
        </w:rPr>
        <w:t>liwość udostępnienia dodatkowego finansowania ad hoc na konkretne priorytety</w:t>
      </w:r>
      <w:r w:rsidR="00115F78" w:rsidRPr="00115F78">
        <w:rPr>
          <w:noProof/>
        </w:rPr>
        <w:t>. W</w:t>
      </w:r>
      <w:r w:rsidR="00115F78">
        <w:rPr>
          <w:noProof/>
        </w:rPr>
        <w:t> </w:t>
      </w:r>
      <w:r w:rsidR="00115F78" w:rsidRPr="00115F78">
        <w:rPr>
          <w:noProof/>
        </w:rPr>
        <w:t>oce</w:t>
      </w:r>
      <w:r w:rsidRPr="00115F78">
        <w:rPr>
          <w:noProof/>
        </w:rPr>
        <w:t>nie śródokresowej podkreślono również znaczenie dalszego uproszczenia finansowania</w:t>
      </w:r>
      <w:r w:rsidR="00115F78" w:rsidRPr="00115F78">
        <w:rPr>
          <w:noProof/>
        </w:rPr>
        <w:t xml:space="preserve"> i</w:t>
      </w:r>
      <w:r w:rsidR="00115F78">
        <w:rPr>
          <w:noProof/>
        </w:rPr>
        <w:t> </w:t>
      </w:r>
      <w:r w:rsidR="00115F78" w:rsidRPr="00115F78">
        <w:rPr>
          <w:noProof/>
        </w:rPr>
        <w:t>lep</w:t>
      </w:r>
      <w:r w:rsidRPr="00115F78">
        <w:rPr>
          <w:noProof/>
        </w:rPr>
        <w:t>szego wyjaśnienia instytucjom zarządzającym,</w:t>
      </w:r>
      <w:r w:rsidR="00115F78" w:rsidRPr="00115F78">
        <w:rPr>
          <w:noProof/>
        </w:rPr>
        <w:t xml:space="preserve"> w</w:t>
      </w:r>
      <w:r w:rsidR="00115F78">
        <w:rPr>
          <w:noProof/>
        </w:rPr>
        <w:t> </w:t>
      </w:r>
      <w:r w:rsidR="00115F78" w:rsidRPr="00115F78">
        <w:rPr>
          <w:noProof/>
        </w:rPr>
        <w:t>jak</w:t>
      </w:r>
      <w:r w:rsidRPr="00115F78">
        <w:rPr>
          <w:noProof/>
        </w:rPr>
        <w:t>i sposób ramy wykonania mogą przyczynić się do skutecznego zarządzania programami, wykraczając poza czysto formalną sprawozdawczość wymaganą</w:t>
      </w:r>
      <w:r w:rsidR="00115F78" w:rsidRPr="00115F78">
        <w:rPr>
          <w:noProof/>
        </w:rPr>
        <w:t xml:space="preserve"> w</w:t>
      </w:r>
      <w:r w:rsidR="00115F78">
        <w:rPr>
          <w:noProof/>
        </w:rPr>
        <w:t> </w:t>
      </w:r>
      <w:r w:rsidR="00115F78" w:rsidRPr="00115F78">
        <w:rPr>
          <w:noProof/>
        </w:rPr>
        <w:t>roz</w:t>
      </w:r>
      <w:r w:rsidRPr="00115F78">
        <w:rPr>
          <w:noProof/>
        </w:rPr>
        <w:t>porządzeniu</w:t>
      </w:r>
      <w:bookmarkEnd w:id="7"/>
      <w:r w:rsidRPr="00115F78">
        <w:rPr>
          <w:noProof/>
        </w:rPr>
        <w:t>.</w:t>
      </w:r>
    </w:p>
    <w:p w14:paraId="7AA2B0D5" w14:textId="4BCE7ACA" w:rsidR="00286E0D" w:rsidRPr="00115F78" w:rsidRDefault="00286E0D" w:rsidP="00286E0D">
      <w:pPr>
        <w:pStyle w:val="ManualHeading2"/>
        <w:rPr>
          <w:rFonts w:eastAsia="Arial Unicode MS"/>
          <w:noProof/>
          <w:u w:color="000000"/>
          <w:bdr w:val="nil"/>
        </w:rPr>
      </w:pPr>
      <w:r w:rsidRPr="00115F78">
        <w:rPr>
          <w:noProof/>
          <w:u w:color="000000"/>
          <w:bdr w:val="nil"/>
        </w:rPr>
        <w:t>•</w:t>
      </w:r>
      <w:r w:rsidRPr="00115F78">
        <w:rPr>
          <w:noProof/>
        </w:rPr>
        <w:tab/>
      </w:r>
      <w:r w:rsidRPr="00115F78">
        <w:rPr>
          <w:noProof/>
          <w:u w:color="000000"/>
          <w:bdr w:val="nil"/>
        </w:rPr>
        <w:t>Konsultacje</w:t>
      </w:r>
      <w:r w:rsidR="00115F78" w:rsidRPr="00115F78">
        <w:rPr>
          <w:noProof/>
          <w:u w:color="000000"/>
          <w:bdr w:val="nil"/>
        </w:rPr>
        <w:t xml:space="preserve"> z</w:t>
      </w:r>
      <w:r w:rsidR="00115F78">
        <w:rPr>
          <w:noProof/>
          <w:u w:color="000000"/>
          <w:bdr w:val="nil"/>
        </w:rPr>
        <w:t> </w:t>
      </w:r>
      <w:r w:rsidR="00115F78" w:rsidRPr="00115F78">
        <w:rPr>
          <w:noProof/>
          <w:u w:color="000000"/>
          <w:bdr w:val="nil"/>
        </w:rPr>
        <w:t>zai</w:t>
      </w:r>
      <w:r w:rsidRPr="00115F78">
        <w:rPr>
          <w:noProof/>
          <w:u w:color="000000"/>
          <w:bdr w:val="nil"/>
        </w:rPr>
        <w:t>nteresowanymi stronami</w:t>
      </w:r>
    </w:p>
    <w:p w14:paraId="4E66CF84" w14:textId="4296E72F" w:rsidR="00286E0D" w:rsidRPr="00115F78" w:rsidRDefault="00286E0D" w:rsidP="001F3E4C">
      <w:pPr>
        <w:pBdr>
          <w:top w:val="nil"/>
          <w:left w:val="nil"/>
          <w:bottom w:val="nil"/>
          <w:right w:val="nil"/>
          <w:between w:val="nil"/>
          <w:bar w:val="nil"/>
        </w:pBdr>
        <w:rPr>
          <w:rFonts w:eastAsia="Arial Unicode MS"/>
          <w:noProof/>
        </w:rPr>
      </w:pPr>
      <w:r w:rsidRPr="00115F78">
        <w:rPr>
          <w:noProof/>
        </w:rPr>
        <w:t>Podczas przygotowywania inicjatywy Komisja aktywnie konsultowała się</w:t>
      </w:r>
      <w:r w:rsidR="00115F78" w:rsidRPr="00115F78">
        <w:rPr>
          <w:noProof/>
        </w:rPr>
        <w:t xml:space="preserve"> z</w:t>
      </w:r>
      <w:r w:rsidR="00115F78">
        <w:rPr>
          <w:noProof/>
        </w:rPr>
        <w:t> </w:t>
      </w:r>
      <w:r w:rsidR="00115F78" w:rsidRPr="00115F78">
        <w:rPr>
          <w:noProof/>
        </w:rPr>
        <w:t>zai</w:t>
      </w:r>
      <w:r w:rsidRPr="00115F78">
        <w:rPr>
          <w:noProof/>
        </w:rPr>
        <w:t>nteresowanymi stronami,</w:t>
      </w:r>
      <w:r w:rsidR="00115F78" w:rsidRPr="00115F78">
        <w:rPr>
          <w:noProof/>
        </w:rPr>
        <w:t xml:space="preserve"> w</w:t>
      </w:r>
      <w:r w:rsidR="00115F78">
        <w:rPr>
          <w:noProof/>
        </w:rPr>
        <w:t> </w:t>
      </w:r>
      <w:r w:rsidR="00115F78" w:rsidRPr="00115F78">
        <w:rPr>
          <w:noProof/>
        </w:rPr>
        <w:t>szc</w:t>
      </w:r>
      <w:r w:rsidRPr="00115F78">
        <w:rPr>
          <w:noProof/>
        </w:rPr>
        <w:t>zególności przez specjalne wydarzenia</w:t>
      </w:r>
      <w:r w:rsidR="00115F78" w:rsidRPr="00115F78">
        <w:rPr>
          <w:noProof/>
        </w:rPr>
        <w:t xml:space="preserve"> i</w:t>
      </w:r>
      <w:r w:rsidR="00115F78">
        <w:rPr>
          <w:noProof/>
        </w:rPr>
        <w:t> </w:t>
      </w:r>
      <w:r w:rsidR="00115F78" w:rsidRPr="00115F78">
        <w:rPr>
          <w:noProof/>
        </w:rPr>
        <w:t>kon</w:t>
      </w:r>
      <w:r w:rsidRPr="00115F78">
        <w:rPr>
          <w:noProof/>
        </w:rPr>
        <w:t xml:space="preserve">sultacje publiczne, co </w:t>
      </w:r>
      <w:bookmarkStart w:id="8" w:name="_Hlk202112428"/>
      <w:r w:rsidRPr="00115F78">
        <w:rPr>
          <w:noProof/>
        </w:rPr>
        <w:t>szczegółowo opisano</w:t>
      </w:r>
      <w:r w:rsidR="00115F78" w:rsidRPr="00115F78">
        <w:rPr>
          <w:noProof/>
        </w:rPr>
        <w:t xml:space="preserve"> w</w:t>
      </w:r>
      <w:r w:rsidR="00115F78">
        <w:rPr>
          <w:noProof/>
        </w:rPr>
        <w:t> </w:t>
      </w:r>
      <w:r w:rsidR="00115F78" w:rsidRPr="00115F78">
        <w:rPr>
          <w:noProof/>
        </w:rPr>
        <w:t>odp</w:t>
      </w:r>
      <w:r w:rsidRPr="00115F78">
        <w:rPr>
          <w:noProof/>
        </w:rPr>
        <w:t>owiednim rozdziale uzasadnienia</w:t>
      </w:r>
      <w:bookmarkStart w:id="9" w:name="_Hlk201931196"/>
      <w:r w:rsidRPr="00115F78">
        <w:rPr>
          <w:noProof/>
        </w:rPr>
        <w:t xml:space="preserve"> wniosku dotyczącego rozporządzenia (UE) [...]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w:t>
      </w:r>
      <w:bookmarkEnd w:id="8"/>
      <w:bookmarkEnd w:id="9"/>
      <w:r w:rsidRPr="00115F78">
        <w:rPr>
          <w:noProof/>
        </w:rPr>
        <w:t xml:space="preserve">. </w:t>
      </w:r>
    </w:p>
    <w:p w14:paraId="5933E9C5" w14:textId="77777777" w:rsidR="00286E0D" w:rsidRPr="00115F78" w:rsidRDefault="00286E0D" w:rsidP="00286E0D">
      <w:pPr>
        <w:pStyle w:val="ManualHeading2"/>
        <w:rPr>
          <w:rFonts w:eastAsia="Arial Unicode MS"/>
          <w:noProof/>
          <w:u w:color="000000"/>
          <w:bdr w:val="nil"/>
        </w:rPr>
      </w:pPr>
      <w:r w:rsidRPr="00115F78">
        <w:rPr>
          <w:noProof/>
          <w:u w:color="000000"/>
          <w:bdr w:val="nil"/>
        </w:rPr>
        <w:t>•</w:t>
      </w:r>
      <w:r w:rsidRPr="00115F78">
        <w:rPr>
          <w:noProof/>
        </w:rPr>
        <w:tab/>
      </w:r>
      <w:r w:rsidRPr="00115F78">
        <w:rPr>
          <w:noProof/>
          <w:u w:color="000000"/>
          <w:bdr w:val="nil"/>
        </w:rPr>
        <w:t>Ekspertyzy zewnętrzne</w:t>
      </w:r>
    </w:p>
    <w:p w14:paraId="379C1D35" w14:textId="5FF3BC46" w:rsidR="00286E0D" w:rsidRPr="00115F78" w:rsidRDefault="00286E0D" w:rsidP="00286E0D">
      <w:pPr>
        <w:pBdr>
          <w:top w:val="nil"/>
          <w:left w:val="nil"/>
          <w:bottom w:val="nil"/>
          <w:right w:val="nil"/>
          <w:between w:val="nil"/>
          <w:bar w:val="nil"/>
        </w:pBdr>
        <w:rPr>
          <w:rFonts w:eastAsia="Arial Unicode MS"/>
          <w:noProof/>
        </w:rPr>
      </w:pPr>
      <w:r w:rsidRPr="00115F78">
        <w:rPr>
          <w:noProof/>
        </w:rPr>
        <w:t>Informacje na temat korzystania przez Komisję</w:t>
      </w:r>
      <w:r w:rsidR="00115F78" w:rsidRPr="00115F78">
        <w:rPr>
          <w:noProof/>
        </w:rPr>
        <w:t xml:space="preserve"> z</w:t>
      </w:r>
      <w:r w:rsidR="00115F78">
        <w:rPr>
          <w:noProof/>
        </w:rPr>
        <w:t> </w:t>
      </w:r>
      <w:r w:rsidR="00115F78" w:rsidRPr="00115F78">
        <w:rPr>
          <w:noProof/>
        </w:rPr>
        <w:t>pom</w:t>
      </w:r>
      <w:r w:rsidRPr="00115F78">
        <w:rPr>
          <w:noProof/>
        </w:rPr>
        <w:t>ocy ekspertów zewnętrznych przedstawiono</w:t>
      </w:r>
      <w:r w:rsidR="00115F78" w:rsidRPr="00115F78">
        <w:rPr>
          <w:noProof/>
        </w:rPr>
        <w:t xml:space="preserve"> w</w:t>
      </w:r>
      <w:r w:rsidR="00115F78">
        <w:rPr>
          <w:noProof/>
        </w:rPr>
        <w:t> </w:t>
      </w:r>
      <w:r w:rsidR="00115F78" w:rsidRPr="00115F78">
        <w:rPr>
          <w:noProof/>
        </w:rPr>
        <w:t>odp</w:t>
      </w:r>
      <w:r w:rsidRPr="00115F78">
        <w:rPr>
          <w:noProof/>
        </w:rPr>
        <w:t>owiednim rozdziale uzasadnienia wniosku dotyczącego rozporządzenia (UE) [...]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w:t>
      </w:r>
    </w:p>
    <w:p w14:paraId="7B1950A5" w14:textId="77777777" w:rsidR="00286E0D" w:rsidRPr="00115F78" w:rsidRDefault="00286E0D" w:rsidP="00286E0D">
      <w:pPr>
        <w:pStyle w:val="ManualHeading2"/>
        <w:rPr>
          <w:rFonts w:eastAsia="Arial Unicode MS"/>
          <w:noProof/>
          <w:u w:color="000000"/>
          <w:bdr w:val="nil"/>
        </w:rPr>
      </w:pPr>
      <w:r w:rsidRPr="00115F78">
        <w:rPr>
          <w:noProof/>
          <w:u w:color="000000"/>
          <w:bdr w:val="nil"/>
        </w:rPr>
        <w:t>•</w:t>
      </w:r>
      <w:r w:rsidRPr="00115F78">
        <w:rPr>
          <w:noProof/>
        </w:rPr>
        <w:tab/>
      </w:r>
      <w:r w:rsidRPr="00115F78">
        <w:rPr>
          <w:noProof/>
          <w:u w:color="000000"/>
          <w:bdr w:val="nil"/>
        </w:rPr>
        <w:t>Ocena skutków</w:t>
      </w:r>
    </w:p>
    <w:p w14:paraId="1537B458" w14:textId="4E83E1E8" w:rsidR="00286E0D" w:rsidRPr="00115F78" w:rsidRDefault="00286E0D" w:rsidP="00286E0D">
      <w:pPr>
        <w:pBdr>
          <w:top w:val="nil"/>
          <w:left w:val="nil"/>
          <w:bottom w:val="nil"/>
          <w:right w:val="nil"/>
          <w:between w:val="nil"/>
          <w:bar w:val="nil"/>
        </w:pBdr>
        <w:rPr>
          <w:rFonts w:eastAsia="Arial Unicode MS"/>
          <w:noProof/>
        </w:rPr>
      </w:pPr>
      <w:bookmarkStart w:id="10" w:name="_Hlk201931214"/>
      <w:r w:rsidRPr="00115F78">
        <w:rPr>
          <w:noProof/>
        </w:rPr>
        <w:t>Informacje na temat przeprowadzonej przez Komisję oceny skutków przedstawiono</w:t>
      </w:r>
      <w:r w:rsidR="00115F78" w:rsidRPr="00115F78">
        <w:rPr>
          <w:noProof/>
        </w:rPr>
        <w:t xml:space="preserve"> w</w:t>
      </w:r>
      <w:r w:rsidR="00115F78">
        <w:rPr>
          <w:noProof/>
        </w:rPr>
        <w:t> </w:t>
      </w:r>
      <w:r w:rsidR="00115F78" w:rsidRPr="00115F78">
        <w:rPr>
          <w:noProof/>
        </w:rPr>
        <w:t>odp</w:t>
      </w:r>
      <w:r w:rsidRPr="00115F78">
        <w:rPr>
          <w:noProof/>
        </w:rPr>
        <w:t>owiednim rozdziale uzasadnienia wniosku dotyczącego rozporządzenia (UE) [...]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w:t>
      </w:r>
      <w:bookmarkEnd w:id="10"/>
      <w:r w:rsidRPr="00115F78">
        <w:rPr>
          <w:noProof/>
        </w:rPr>
        <w:t>.</w:t>
      </w:r>
    </w:p>
    <w:p w14:paraId="150E44C0" w14:textId="77777777" w:rsidR="00286E0D" w:rsidRPr="00115F78" w:rsidRDefault="00286E0D" w:rsidP="00286E0D">
      <w:pPr>
        <w:pStyle w:val="ManualHeading2"/>
        <w:rPr>
          <w:rFonts w:eastAsia="Arial Unicode MS"/>
          <w:noProof/>
          <w:u w:color="000000"/>
          <w:bdr w:val="nil"/>
        </w:rPr>
      </w:pPr>
      <w:r w:rsidRPr="00115F78">
        <w:rPr>
          <w:noProof/>
          <w:u w:color="000000"/>
          <w:bdr w:val="nil"/>
        </w:rPr>
        <w:t>•</w:t>
      </w:r>
      <w:r w:rsidRPr="00115F78">
        <w:rPr>
          <w:noProof/>
        </w:rPr>
        <w:tab/>
      </w:r>
      <w:r w:rsidRPr="00115F78">
        <w:rPr>
          <w:noProof/>
          <w:u w:color="000000"/>
          <w:bdr w:val="nil"/>
        </w:rPr>
        <w:t>Uproszczenie</w:t>
      </w:r>
    </w:p>
    <w:p w14:paraId="5F7036BD" w14:textId="13A98E7A" w:rsidR="00286E0D" w:rsidRPr="00115F78" w:rsidRDefault="00286E0D" w:rsidP="00286E0D">
      <w:pPr>
        <w:pBdr>
          <w:top w:val="nil"/>
          <w:left w:val="nil"/>
          <w:bottom w:val="nil"/>
          <w:right w:val="nil"/>
          <w:between w:val="nil"/>
          <w:bar w:val="nil"/>
        </w:pBdr>
        <w:rPr>
          <w:rFonts w:eastAsia="Calibri"/>
          <w:noProof/>
        </w:rPr>
      </w:pPr>
      <w:r w:rsidRPr="00115F78">
        <w:rPr>
          <w:noProof/>
        </w:rPr>
        <w:t>Niniejsza inicjatywa ma przyczynić się do znacznego ograniczenia obciążenia administracyjnego</w:t>
      </w:r>
      <w:r w:rsidR="00115F78" w:rsidRPr="00115F78">
        <w:rPr>
          <w:noProof/>
        </w:rPr>
        <w:t xml:space="preserve"> i</w:t>
      </w:r>
      <w:r w:rsidR="00115F78">
        <w:rPr>
          <w:noProof/>
        </w:rPr>
        <w:t> </w:t>
      </w:r>
      <w:r w:rsidR="00115F78" w:rsidRPr="00115F78">
        <w:rPr>
          <w:noProof/>
        </w:rPr>
        <w:t>kos</w:t>
      </w:r>
      <w:r w:rsidRPr="00115F78">
        <w:rPr>
          <w:noProof/>
        </w:rPr>
        <w:t>ztów, jak również do poprawy efektywności we wdrażaniu unijnego wsparcia – zob. również odpowiedni rozdział uzasadnienia wniosku dotyczącego rozporządzenia (UE) [...]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w:t>
      </w:r>
    </w:p>
    <w:p w14:paraId="6EF0EB51" w14:textId="77777777" w:rsidR="00286E0D" w:rsidRPr="00115F78" w:rsidRDefault="00286E0D" w:rsidP="00286E0D">
      <w:pPr>
        <w:pStyle w:val="ManualHeading2"/>
        <w:rPr>
          <w:rFonts w:eastAsia="Arial Unicode MS"/>
          <w:noProof/>
          <w:u w:color="000000"/>
          <w:bdr w:val="nil"/>
        </w:rPr>
      </w:pPr>
      <w:r w:rsidRPr="00115F78">
        <w:rPr>
          <w:noProof/>
          <w:u w:color="000000"/>
          <w:bdr w:val="nil"/>
        </w:rPr>
        <w:t>•</w:t>
      </w:r>
      <w:r w:rsidRPr="00115F78">
        <w:rPr>
          <w:noProof/>
        </w:rPr>
        <w:tab/>
      </w:r>
      <w:r w:rsidRPr="00115F78">
        <w:rPr>
          <w:noProof/>
          <w:u w:color="000000"/>
          <w:bdr w:val="nil"/>
        </w:rPr>
        <w:t>Prawa podstawowe</w:t>
      </w:r>
    </w:p>
    <w:p w14:paraId="2B806987" w14:textId="63B8F7A3" w:rsidR="00286E0D" w:rsidRPr="00115F78" w:rsidRDefault="00286E0D" w:rsidP="00286E0D">
      <w:pPr>
        <w:pBdr>
          <w:top w:val="nil"/>
          <w:left w:val="nil"/>
          <w:bottom w:val="nil"/>
          <w:right w:val="nil"/>
          <w:between w:val="nil"/>
          <w:bar w:val="nil"/>
        </w:pBdr>
        <w:rPr>
          <w:rFonts w:eastAsia="Arial Unicode MS"/>
          <w:noProof/>
        </w:rPr>
      </w:pPr>
      <w:r w:rsidRPr="00115F78">
        <w:rPr>
          <w:noProof/>
        </w:rPr>
        <w:t>Unijne wsparcie będzie wdrażane zgodnie</w:t>
      </w:r>
      <w:r w:rsidR="00115F78" w:rsidRPr="00115F78">
        <w:rPr>
          <w:noProof/>
        </w:rPr>
        <w:t xml:space="preserve"> z</w:t>
      </w:r>
      <w:r w:rsidR="00115F78">
        <w:rPr>
          <w:noProof/>
        </w:rPr>
        <w:t> </w:t>
      </w:r>
      <w:r w:rsidR="00115F78" w:rsidRPr="00115F78">
        <w:rPr>
          <w:noProof/>
        </w:rPr>
        <w:t>Kar</w:t>
      </w:r>
      <w:r w:rsidRPr="00115F78">
        <w:rPr>
          <w:noProof/>
        </w:rPr>
        <w:t>tą praw podstawowych Unii Europejskiej</w:t>
      </w:r>
      <w:r w:rsidR="00115F78" w:rsidRPr="00115F78">
        <w:rPr>
          <w:noProof/>
        </w:rPr>
        <w:t xml:space="preserve"> i</w:t>
      </w:r>
      <w:r w:rsidR="00115F78">
        <w:rPr>
          <w:noProof/>
        </w:rPr>
        <w:t> </w:t>
      </w:r>
      <w:r w:rsidR="00115F78" w:rsidRPr="00115F78">
        <w:rPr>
          <w:noProof/>
        </w:rPr>
        <w:t>zas</w:t>
      </w:r>
      <w:r w:rsidRPr="00115F78">
        <w:rPr>
          <w:noProof/>
        </w:rPr>
        <w:t>adą praworządności określoną</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2 lit.</w:t>
      </w:r>
      <w:r w:rsidR="00115F78" w:rsidRPr="00115F78">
        <w:rPr>
          <w:noProof/>
        </w:rPr>
        <w:t> </w:t>
      </w:r>
      <w:r w:rsidRPr="00115F78">
        <w:rPr>
          <w:noProof/>
        </w:rPr>
        <w:t>a) rozporządzenia (UE, Euratom) 2020/2092 – zob. również odpowiednia sekcja uzasadnienia wniosku Komisji dotyczącego rozporządzenia (UE) [...]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w:t>
      </w:r>
    </w:p>
    <w:p w14:paraId="785D377B" w14:textId="77777777" w:rsidR="00286E0D" w:rsidRPr="00115F78" w:rsidRDefault="00286E0D" w:rsidP="00286E0D">
      <w:pPr>
        <w:pStyle w:val="ManualHeading1"/>
        <w:rPr>
          <w:noProof/>
        </w:rPr>
      </w:pPr>
      <w:r w:rsidRPr="00115F78">
        <w:rPr>
          <w:noProof/>
        </w:rPr>
        <w:t>4.</w:t>
      </w:r>
      <w:r w:rsidRPr="00115F78">
        <w:rPr>
          <w:noProof/>
        </w:rPr>
        <w:tab/>
        <w:t>WPŁYW NA BUDŻET</w:t>
      </w:r>
    </w:p>
    <w:p w14:paraId="3E5D695D" w14:textId="73871E8F" w:rsidR="00401265" w:rsidRPr="00115F78" w:rsidRDefault="00401265" w:rsidP="00401265">
      <w:pPr>
        <w:pBdr>
          <w:top w:val="nil"/>
          <w:left w:val="nil"/>
          <w:bottom w:val="nil"/>
          <w:right w:val="nil"/>
          <w:between w:val="nil"/>
          <w:bar w:val="nil"/>
        </w:pBdr>
        <w:rPr>
          <w:rFonts w:eastAsia="Arial Unicode MS"/>
          <w:noProof/>
          <w:color w:val="000000" w:themeColor="text1"/>
        </w:rPr>
      </w:pPr>
      <w:r w:rsidRPr="00115F78">
        <w:rPr>
          <w:noProof/>
        </w:rPr>
        <w:t>Orientacyjną pulę środków finansowych na wdrożenie celów objętych unijnym wsparciem na lata 2028–2034 określa się na poziomie 15 396 750 000 EUR</w:t>
      </w:r>
      <w:r w:rsidR="00115F78" w:rsidRPr="00115F78">
        <w:rPr>
          <w:noProof/>
        </w:rPr>
        <w:t xml:space="preserve"> w</w:t>
      </w:r>
      <w:r w:rsidR="00115F78">
        <w:rPr>
          <w:noProof/>
        </w:rPr>
        <w:t> </w:t>
      </w:r>
      <w:r w:rsidR="00115F78" w:rsidRPr="00115F78">
        <w:rPr>
          <w:noProof/>
        </w:rPr>
        <w:t>cen</w:t>
      </w:r>
      <w:r w:rsidRPr="00115F78">
        <w:rPr>
          <w:noProof/>
        </w:rPr>
        <w:t>ach bieżących.</w:t>
      </w:r>
      <w:r w:rsidRPr="00115F78">
        <w:rPr>
          <w:noProof/>
          <w:color w:val="000000" w:themeColor="text1"/>
        </w:rPr>
        <w:t> Środki te są wdrażane zgodnie</w:t>
      </w:r>
      <w:r w:rsidR="00115F78" w:rsidRPr="00115F78">
        <w:rPr>
          <w:noProof/>
          <w:color w:val="000000" w:themeColor="text1"/>
        </w:rPr>
        <w:t xml:space="preserve"> z</w:t>
      </w:r>
      <w:r w:rsidR="00115F78">
        <w:rPr>
          <w:noProof/>
          <w:color w:val="000000" w:themeColor="text1"/>
        </w:rPr>
        <w:t> </w:t>
      </w:r>
      <w:r w:rsidR="00115F78" w:rsidRPr="00115F78">
        <w:rPr>
          <w:noProof/>
          <w:color w:val="000000" w:themeColor="text1"/>
        </w:rPr>
        <w:t>prz</w:t>
      </w:r>
      <w:r w:rsidRPr="00115F78">
        <w:rPr>
          <w:noProof/>
          <w:color w:val="000000" w:themeColor="text1"/>
        </w:rPr>
        <w:t>episami horyzontalnymi odnoszącymi się do planów partnerstwa krajowego</w:t>
      </w:r>
      <w:r w:rsidR="00115F78" w:rsidRPr="00115F78">
        <w:rPr>
          <w:noProof/>
          <w:color w:val="000000" w:themeColor="text1"/>
        </w:rPr>
        <w:t xml:space="preserve"> i</w:t>
      </w:r>
      <w:r w:rsidR="00115F78">
        <w:rPr>
          <w:noProof/>
          <w:color w:val="000000" w:themeColor="text1"/>
        </w:rPr>
        <w:t> </w:t>
      </w:r>
      <w:r w:rsidR="00115F78" w:rsidRPr="00115F78">
        <w:rPr>
          <w:noProof/>
          <w:color w:val="000000" w:themeColor="text1"/>
        </w:rPr>
        <w:t>reg</w:t>
      </w:r>
      <w:r w:rsidRPr="00115F78">
        <w:rPr>
          <w:noProof/>
          <w:color w:val="000000" w:themeColor="text1"/>
        </w:rPr>
        <w:t>ionalnego</w:t>
      </w:r>
      <w:r w:rsidR="00115F78" w:rsidRPr="00115F78">
        <w:rPr>
          <w:noProof/>
          <w:color w:val="000000" w:themeColor="text1"/>
        </w:rPr>
        <w:t xml:space="preserve"> i</w:t>
      </w:r>
      <w:r w:rsidR="00115F78">
        <w:rPr>
          <w:noProof/>
          <w:color w:val="000000" w:themeColor="text1"/>
        </w:rPr>
        <w:t> </w:t>
      </w:r>
      <w:r w:rsidR="00115F78" w:rsidRPr="00115F78">
        <w:rPr>
          <w:noProof/>
          <w:color w:val="000000" w:themeColor="text1"/>
        </w:rPr>
        <w:t>okr</w:t>
      </w:r>
      <w:r w:rsidRPr="00115F78">
        <w:rPr>
          <w:noProof/>
          <w:color w:val="000000" w:themeColor="text1"/>
        </w:rPr>
        <w:t>eślonymi</w:t>
      </w:r>
      <w:r w:rsidR="00115F78" w:rsidRPr="00115F78">
        <w:rPr>
          <w:noProof/>
          <w:color w:val="000000" w:themeColor="text1"/>
        </w:rPr>
        <w:t xml:space="preserve"> w</w:t>
      </w:r>
      <w:r w:rsidR="00115F78">
        <w:rPr>
          <w:noProof/>
          <w:color w:val="000000" w:themeColor="text1"/>
        </w:rPr>
        <w:t> </w:t>
      </w:r>
      <w:r w:rsidR="00115F78" w:rsidRPr="00115F78">
        <w:rPr>
          <w:noProof/>
          <w:color w:val="000000" w:themeColor="text1"/>
        </w:rPr>
        <w:t>roz</w:t>
      </w:r>
      <w:r w:rsidRPr="00115F78">
        <w:rPr>
          <w:noProof/>
          <w:color w:val="000000" w:themeColor="text1"/>
        </w:rPr>
        <w:t>porządzeniu (UE) [...] ustanawiającym Europejski Fundusz Spójności Gospodarczej, Społecznej</w:t>
      </w:r>
      <w:r w:rsidR="00115F78" w:rsidRPr="00115F78">
        <w:rPr>
          <w:noProof/>
          <w:color w:val="000000" w:themeColor="text1"/>
        </w:rPr>
        <w:t xml:space="preserve"> i</w:t>
      </w:r>
      <w:r w:rsidR="00115F78">
        <w:rPr>
          <w:noProof/>
          <w:color w:val="000000" w:themeColor="text1"/>
        </w:rPr>
        <w:t> </w:t>
      </w:r>
      <w:r w:rsidR="00115F78" w:rsidRPr="00115F78">
        <w:rPr>
          <w:noProof/>
          <w:color w:val="000000" w:themeColor="text1"/>
        </w:rPr>
        <w:t>Ter</w:t>
      </w:r>
      <w:r w:rsidRPr="00115F78">
        <w:rPr>
          <w:noProof/>
          <w:color w:val="000000" w:themeColor="text1"/>
        </w:rPr>
        <w:t>ytorialnej, Rolnictwa</w:t>
      </w:r>
      <w:r w:rsidR="00115F78" w:rsidRPr="00115F78">
        <w:rPr>
          <w:noProof/>
          <w:color w:val="000000" w:themeColor="text1"/>
        </w:rPr>
        <w:t xml:space="preserve"> i</w:t>
      </w:r>
      <w:r w:rsidR="00115F78">
        <w:rPr>
          <w:noProof/>
          <w:color w:val="000000" w:themeColor="text1"/>
        </w:rPr>
        <w:t> </w:t>
      </w:r>
      <w:r w:rsidR="00115F78" w:rsidRPr="00115F78">
        <w:rPr>
          <w:noProof/>
          <w:color w:val="000000" w:themeColor="text1"/>
        </w:rPr>
        <w:t>Obs</w:t>
      </w:r>
      <w:r w:rsidRPr="00115F78">
        <w:rPr>
          <w:noProof/>
          <w:color w:val="000000" w:themeColor="text1"/>
        </w:rPr>
        <w:t>zarów Wiejskich, Rybołówstwa</w:t>
      </w:r>
      <w:r w:rsidR="00115F78" w:rsidRPr="00115F78">
        <w:rPr>
          <w:noProof/>
          <w:color w:val="000000" w:themeColor="text1"/>
        </w:rPr>
        <w:t xml:space="preserve"> i</w:t>
      </w:r>
      <w:r w:rsidR="00115F78">
        <w:rPr>
          <w:noProof/>
          <w:color w:val="000000" w:themeColor="text1"/>
        </w:rPr>
        <w:t> </w:t>
      </w:r>
      <w:r w:rsidR="00115F78" w:rsidRPr="00115F78">
        <w:rPr>
          <w:noProof/>
          <w:color w:val="000000" w:themeColor="text1"/>
        </w:rPr>
        <w:t>Pol</w:t>
      </w:r>
      <w:r w:rsidRPr="00115F78">
        <w:rPr>
          <w:noProof/>
          <w:color w:val="000000" w:themeColor="text1"/>
        </w:rPr>
        <w:t>ityki Morskiej, Dobrobytu</w:t>
      </w:r>
      <w:r w:rsidR="00115F78" w:rsidRPr="00115F78">
        <w:rPr>
          <w:noProof/>
          <w:color w:val="000000" w:themeColor="text1"/>
        </w:rPr>
        <w:t xml:space="preserve"> i</w:t>
      </w:r>
      <w:r w:rsidR="00115F78">
        <w:rPr>
          <w:noProof/>
          <w:color w:val="000000" w:themeColor="text1"/>
        </w:rPr>
        <w:t> </w:t>
      </w:r>
      <w:r w:rsidR="00115F78" w:rsidRPr="00115F78">
        <w:rPr>
          <w:noProof/>
          <w:color w:val="000000" w:themeColor="text1"/>
        </w:rPr>
        <w:t>Bez</w:t>
      </w:r>
      <w:r w:rsidRPr="00115F78">
        <w:rPr>
          <w:noProof/>
          <w:color w:val="000000" w:themeColor="text1"/>
        </w:rPr>
        <w:t>pieczeństwa.</w:t>
      </w:r>
    </w:p>
    <w:p w14:paraId="2B2668EA" w14:textId="42F468FB" w:rsidR="00286E0D" w:rsidRPr="00115F78"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115F78" w:rsidRDefault="00286E0D" w:rsidP="00286E0D">
      <w:pPr>
        <w:pStyle w:val="ManualHeading1"/>
        <w:rPr>
          <w:noProof/>
        </w:rPr>
      </w:pPr>
      <w:r w:rsidRPr="00115F78">
        <w:rPr>
          <w:noProof/>
        </w:rPr>
        <w:t>5.</w:t>
      </w:r>
      <w:r w:rsidRPr="00115F78">
        <w:rPr>
          <w:noProof/>
        </w:rPr>
        <w:tab/>
        <w:t>ELEMENTY FAKULTATYWNE</w:t>
      </w:r>
    </w:p>
    <w:p w14:paraId="68F9A644" w14:textId="62F21989" w:rsidR="00286E0D" w:rsidRPr="00115F78" w:rsidRDefault="00286E0D" w:rsidP="00286E0D">
      <w:pPr>
        <w:pStyle w:val="ManualHeading2"/>
        <w:rPr>
          <w:rFonts w:eastAsia="Arial Unicode MS"/>
          <w:noProof/>
          <w:u w:color="000000"/>
          <w:bdr w:val="nil"/>
        </w:rPr>
      </w:pPr>
      <w:r w:rsidRPr="00115F78">
        <w:rPr>
          <w:noProof/>
          <w:u w:color="000000"/>
          <w:bdr w:val="nil"/>
        </w:rPr>
        <w:t>•</w:t>
      </w:r>
      <w:r w:rsidRPr="00115F78">
        <w:rPr>
          <w:noProof/>
        </w:rPr>
        <w:tab/>
      </w:r>
      <w:r w:rsidRPr="00115F78">
        <w:rPr>
          <w:noProof/>
          <w:u w:color="000000"/>
          <w:bdr w:val="nil"/>
        </w:rPr>
        <w:t>Plany wdrożenia</w:t>
      </w:r>
      <w:r w:rsidR="00115F78" w:rsidRPr="00115F78">
        <w:rPr>
          <w:noProof/>
          <w:u w:color="000000"/>
          <w:bdr w:val="nil"/>
        </w:rPr>
        <w:t xml:space="preserve"> i</w:t>
      </w:r>
      <w:r w:rsidR="00115F78">
        <w:rPr>
          <w:noProof/>
          <w:u w:color="000000"/>
          <w:bdr w:val="nil"/>
        </w:rPr>
        <w:t> </w:t>
      </w:r>
      <w:r w:rsidR="00115F78" w:rsidRPr="00115F78">
        <w:rPr>
          <w:noProof/>
          <w:u w:color="000000"/>
          <w:bdr w:val="nil"/>
        </w:rPr>
        <w:t>mon</w:t>
      </w:r>
      <w:r w:rsidRPr="00115F78">
        <w:rPr>
          <w:noProof/>
          <w:u w:color="000000"/>
          <w:bdr w:val="nil"/>
        </w:rPr>
        <w:t>itorowanie, ocena</w:t>
      </w:r>
      <w:r w:rsidR="00115F78" w:rsidRPr="00115F78">
        <w:rPr>
          <w:noProof/>
          <w:u w:color="000000"/>
          <w:bdr w:val="nil"/>
        </w:rPr>
        <w:t xml:space="preserve"> i</w:t>
      </w:r>
      <w:r w:rsidR="00115F78">
        <w:rPr>
          <w:noProof/>
          <w:u w:color="000000"/>
          <w:bdr w:val="nil"/>
        </w:rPr>
        <w:t> </w:t>
      </w:r>
      <w:r w:rsidR="00115F78" w:rsidRPr="00115F78">
        <w:rPr>
          <w:noProof/>
          <w:u w:color="000000"/>
          <w:bdr w:val="nil"/>
        </w:rPr>
        <w:t>spr</w:t>
      </w:r>
      <w:r w:rsidRPr="00115F78">
        <w:rPr>
          <w:noProof/>
          <w:u w:color="000000"/>
          <w:bdr w:val="nil"/>
        </w:rPr>
        <w:t>awozdania</w:t>
      </w:r>
    </w:p>
    <w:p w14:paraId="4C6C6654" w14:textId="29C42D38" w:rsidR="00286E0D" w:rsidRPr="00115F78" w:rsidRDefault="00286E0D" w:rsidP="00B86814">
      <w:pPr>
        <w:pBdr>
          <w:top w:val="nil"/>
          <w:left w:val="nil"/>
          <w:bottom w:val="nil"/>
          <w:right w:val="nil"/>
          <w:between w:val="nil"/>
          <w:bar w:val="nil"/>
        </w:pBdr>
        <w:rPr>
          <w:rFonts w:eastAsia="Arial Unicode MS"/>
          <w:noProof/>
        </w:rPr>
      </w:pPr>
      <w:r w:rsidRPr="00115F78">
        <w:rPr>
          <w:noProof/>
        </w:rPr>
        <w:t>Unijne wsparcie</w:t>
      </w:r>
      <w:r w:rsidR="00115F78" w:rsidRPr="00115F78">
        <w:rPr>
          <w:noProof/>
        </w:rPr>
        <w:t xml:space="preserve"> w</w:t>
      </w:r>
      <w:r w:rsidR="00115F78">
        <w:rPr>
          <w:noProof/>
        </w:rPr>
        <w:t> </w:t>
      </w:r>
      <w:r w:rsidR="00115F78" w:rsidRPr="00115F78">
        <w:rPr>
          <w:noProof/>
        </w:rPr>
        <w:t>ram</w:t>
      </w:r>
      <w:r w:rsidRPr="00115F78">
        <w:rPr>
          <w:noProof/>
        </w:rPr>
        <w:t>ach niniejszego wniosku będzie wdrażane</w:t>
      </w:r>
      <w:r w:rsidR="00115F78" w:rsidRPr="00115F78">
        <w:rPr>
          <w:noProof/>
        </w:rPr>
        <w:t xml:space="preserve"> w</w:t>
      </w:r>
      <w:r w:rsidR="00115F78">
        <w:rPr>
          <w:noProof/>
        </w:rPr>
        <w:t> </w:t>
      </w:r>
      <w:r w:rsidR="00115F78" w:rsidRPr="00115F78">
        <w:rPr>
          <w:noProof/>
        </w:rPr>
        <w:t>dro</w:t>
      </w:r>
      <w:r w:rsidRPr="00115F78">
        <w:rPr>
          <w:noProof/>
        </w:rPr>
        <w:t>dze zarządzania dzielonego przez państwa członkowskie oraz</w:t>
      </w:r>
      <w:r w:rsidR="00115F78" w:rsidRPr="00115F78">
        <w:rPr>
          <w:noProof/>
        </w:rPr>
        <w:t xml:space="preserve"> w</w:t>
      </w:r>
      <w:r w:rsidR="00115F78">
        <w:rPr>
          <w:noProof/>
        </w:rPr>
        <w:t> </w:t>
      </w:r>
      <w:r w:rsidR="00115F78" w:rsidRPr="00115F78">
        <w:rPr>
          <w:noProof/>
        </w:rPr>
        <w:t>dro</w:t>
      </w:r>
      <w:r w:rsidRPr="00115F78">
        <w:rPr>
          <w:noProof/>
        </w:rPr>
        <w:t>dze zarządzania bezpośredniego</w:t>
      </w:r>
      <w:r w:rsidR="00115F78" w:rsidRPr="00115F78">
        <w:rPr>
          <w:noProof/>
        </w:rPr>
        <w:t xml:space="preserve"> i</w:t>
      </w:r>
      <w:r w:rsidR="00115F78">
        <w:rPr>
          <w:noProof/>
        </w:rPr>
        <w:t> </w:t>
      </w:r>
      <w:r w:rsidR="00115F78" w:rsidRPr="00115F78">
        <w:rPr>
          <w:noProof/>
        </w:rPr>
        <w:t>poś</w:t>
      </w:r>
      <w:r w:rsidRPr="00115F78">
        <w:rPr>
          <w:noProof/>
        </w:rPr>
        <w:t>redniego przez Komisję. Wdrażanie unijnego wsparcia będzie monitorowane za pomocą mających zastosowanie do wieloletnich ram finansowych na lata 2028–2034 ram wykonania, które określono we wniosku dotyczącym rozporządzenia (UE) [...] ustanawiającego monitorowanie wydatków budżetowych</w:t>
      </w:r>
      <w:r w:rsidR="00115F78" w:rsidRPr="00115F78">
        <w:rPr>
          <w:noProof/>
        </w:rPr>
        <w:t xml:space="preserve"> i</w:t>
      </w:r>
      <w:r w:rsidR="00115F78">
        <w:rPr>
          <w:noProof/>
        </w:rPr>
        <w:t> </w:t>
      </w:r>
      <w:r w:rsidR="00115F78" w:rsidRPr="00115F78">
        <w:rPr>
          <w:noProof/>
        </w:rPr>
        <w:t>ram</w:t>
      </w:r>
      <w:r w:rsidRPr="00115F78">
        <w:rPr>
          <w:noProof/>
        </w:rPr>
        <w:t>y wykonania budżetu oraz inne przepisy horyzontalne dla programów</w:t>
      </w:r>
      <w:r w:rsidR="00115F78" w:rsidRPr="00115F78">
        <w:rPr>
          <w:noProof/>
        </w:rPr>
        <w:t xml:space="preserve"> i</w:t>
      </w:r>
      <w:r w:rsidR="00115F78">
        <w:rPr>
          <w:noProof/>
        </w:rPr>
        <w:t> </w:t>
      </w:r>
      <w:r w:rsidR="00115F78" w:rsidRPr="00115F78">
        <w:rPr>
          <w:noProof/>
        </w:rPr>
        <w:t>dzi</w:t>
      </w:r>
      <w:r w:rsidRPr="00115F78">
        <w:rPr>
          <w:noProof/>
        </w:rPr>
        <w:t>ałań Unii.</w:t>
      </w:r>
    </w:p>
    <w:p w14:paraId="759E865E" w14:textId="77777777" w:rsidR="00286E0D" w:rsidRPr="00115F78" w:rsidRDefault="00286E0D" w:rsidP="00286E0D">
      <w:pPr>
        <w:pStyle w:val="ManualHeading2"/>
        <w:rPr>
          <w:rFonts w:eastAsia="Arial Unicode MS"/>
          <w:noProof/>
          <w:u w:color="000000"/>
          <w:bdr w:val="nil"/>
        </w:rPr>
      </w:pPr>
      <w:r w:rsidRPr="00115F78">
        <w:rPr>
          <w:noProof/>
          <w:u w:color="000000"/>
          <w:bdr w:val="nil"/>
        </w:rPr>
        <w:t>•</w:t>
      </w:r>
      <w:r w:rsidRPr="00115F78">
        <w:rPr>
          <w:noProof/>
        </w:rPr>
        <w:tab/>
      </w:r>
      <w:r w:rsidRPr="00115F78">
        <w:rPr>
          <w:noProof/>
          <w:u w:color="000000"/>
          <w:bdr w:val="nil"/>
        </w:rPr>
        <w:t>Szczegółowe objaśnienia poszczególnych przepisów wniosku</w:t>
      </w:r>
    </w:p>
    <w:p w14:paraId="5D95CCE4" w14:textId="083A3F74" w:rsidR="002779C4" w:rsidRPr="00115F78" w:rsidRDefault="00286E0D" w:rsidP="002779C4">
      <w:pPr>
        <w:pBdr>
          <w:top w:val="nil"/>
          <w:left w:val="nil"/>
          <w:bottom w:val="nil"/>
          <w:right w:val="nil"/>
          <w:between w:val="nil"/>
          <w:bar w:val="nil"/>
        </w:pBdr>
        <w:rPr>
          <w:rFonts w:eastAsia="Arial Unicode MS"/>
          <w:noProof/>
        </w:rPr>
      </w:pPr>
      <w:r w:rsidRPr="00115F78">
        <w:rPr>
          <w:noProof/>
        </w:rPr>
        <w:t>Proponowane rozporządzenie określa</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1 zakres unijnego wsparcia na rzecz zintegrowanego zarządzania granicami UE</w:t>
      </w:r>
      <w:r w:rsidR="00115F78" w:rsidRPr="00115F78">
        <w:rPr>
          <w:noProof/>
        </w:rPr>
        <w:t xml:space="preserve"> i</w:t>
      </w:r>
      <w:r w:rsidR="00115F78">
        <w:rPr>
          <w:noProof/>
        </w:rPr>
        <w:t> </w:t>
      </w:r>
      <w:r w:rsidR="00115F78" w:rsidRPr="00115F78">
        <w:rPr>
          <w:noProof/>
        </w:rPr>
        <w:t>uni</w:t>
      </w:r>
      <w:r w:rsidRPr="00115F78">
        <w:rPr>
          <w:noProof/>
        </w:rPr>
        <w:t>jnej polityki wizowej na okres od</w:t>
      </w:r>
      <w:r w:rsidR="00115F78" w:rsidRPr="00115F78">
        <w:rPr>
          <w:noProof/>
        </w:rPr>
        <w:t> </w:t>
      </w:r>
      <w:r w:rsidRPr="00115F78">
        <w:rPr>
          <w:noProof/>
        </w:rPr>
        <w:t>1 stycznia 2028</w:t>
      </w:r>
      <w:r w:rsidR="00115F78" w:rsidRPr="00115F78">
        <w:rPr>
          <w:noProof/>
        </w:rPr>
        <w:t> </w:t>
      </w:r>
      <w:r w:rsidRPr="00115F78">
        <w:rPr>
          <w:noProof/>
        </w:rPr>
        <w:t>r. do</w:t>
      </w:r>
      <w:r w:rsidR="00115F78" w:rsidRPr="00115F78">
        <w:rPr>
          <w:noProof/>
        </w:rPr>
        <w:t> </w:t>
      </w:r>
      <w:r w:rsidRPr="00115F78">
        <w:rPr>
          <w:noProof/>
        </w:rPr>
        <w:t>31 grudnia 2034</w:t>
      </w:r>
      <w:r w:rsidR="00115F78" w:rsidRPr="00115F78">
        <w:rPr>
          <w:noProof/>
        </w:rPr>
        <w:t> </w:t>
      </w:r>
      <w:r w:rsidRPr="00115F78">
        <w:rPr>
          <w:noProof/>
        </w:rPr>
        <w:t>r</w:t>
      </w:r>
      <w:r w:rsidR="00115F78" w:rsidRPr="00115F78">
        <w:rPr>
          <w:noProof/>
        </w:rPr>
        <w:t>. W</w:t>
      </w:r>
      <w:r w:rsidR="00115F78">
        <w:rPr>
          <w:noProof/>
        </w:rPr>
        <w:t> </w:t>
      </w:r>
      <w:r w:rsidR="00115F78" w:rsidRPr="00115F78">
        <w:rPr>
          <w:noProof/>
        </w:rPr>
        <w:t>naw</w:t>
      </w:r>
      <w:r w:rsidRPr="00115F78">
        <w:rPr>
          <w:noProof/>
        </w:rPr>
        <w:t>iązaniu do tego</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2 zawarto zasadnicze definicje,</w:t>
      </w:r>
      <w:r w:rsidR="00115F78" w:rsidRPr="00115F78">
        <w:rPr>
          <w:noProof/>
        </w:rPr>
        <w:t xml:space="preserve"> a</w:t>
      </w:r>
      <w:r w:rsidR="00115F78">
        <w:rPr>
          <w:noProof/>
        </w:rPr>
        <w:t> </w:t>
      </w:r>
      <w:r w:rsidR="00115F78" w:rsidRPr="00115F78">
        <w:rPr>
          <w:noProof/>
        </w:rPr>
        <w:t>w</w:t>
      </w:r>
      <w:r w:rsidR="00115F78">
        <w:rPr>
          <w:noProof/>
        </w:rPr>
        <w:t> </w:t>
      </w:r>
      <w:r w:rsidR="00115F78" w:rsidRPr="00115F78">
        <w:rPr>
          <w:noProof/>
        </w:rPr>
        <w:t>art</w:t>
      </w:r>
      <w:r w:rsidRPr="00115F78">
        <w:rPr>
          <w:noProof/>
        </w:rPr>
        <w:t>.</w:t>
      </w:r>
      <w:r w:rsidR="00115F78" w:rsidRPr="00115F78">
        <w:rPr>
          <w:noProof/>
        </w:rPr>
        <w:t> </w:t>
      </w:r>
      <w:r w:rsidRPr="00115F78">
        <w:rPr>
          <w:noProof/>
        </w:rPr>
        <w:t>3 określono cele, zgodnie</w:t>
      </w:r>
      <w:r w:rsidR="00115F78" w:rsidRPr="00115F78">
        <w:rPr>
          <w:noProof/>
        </w:rPr>
        <w:t xml:space="preserve"> z</w:t>
      </w:r>
      <w:r w:rsidR="00115F78">
        <w:rPr>
          <w:noProof/>
        </w:rPr>
        <w:t> </w:t>
      </w:r>
      <w:r w:rsidR="00115F78" w:rsidRPr="00115F78">
        <w:rPr>
          <w:noProof/>
        </w:rPr>
        <w:t>uni</w:t>
      </w:r>
      <w:r w:rsidRPr="00115F78">
        <w:rPr>
          <w:noProof/>
        </w:rPr>
        <w:t>jnym wsparciem, które będzie udzielane na podstawie przepisów horyzontalnych Europejskiego Funduszu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 ustanowionego rozporządzeniem (UE) [...].</w:t>
      </w:r>
    </w:p>
    <w:p w14:paraId="56E233B3" w14:textId="596C4FE1" w:rsidR="002779C4" w:rsidRPr="00115F78" w:rsidRDefault="002779C4" w:rsidP="00286E0D">
      <w:pPr>
        <w:pBdr>
          <w:top w:val="nil"/>
          <w:left w:val="nil"/>
          <w:bottom w:val="nil"/>
          <w:right w:val="nil"/>
          <w:between w:val="nil"/>
          <w:bar w:val="nil"/>
        </w:pBdr>
        <w:rPr>
          <w:rFonts w:eastAsia="Arial Unicode MS"/>
          <w:noProof/>
        </w:rPr>
      </w:pPr>
      <w:r w:rsidRPr="00115F78">
        <w:rPr>
          <w:noProof/>
        </w:rPr>
        <w:t>W art.</w:t>
      </w:r>
      <w:r w:rsidR="00115F78" w:rsidRPr="00115F78">
        <w:rPr>
          <w:noProof/>
        </w:rPr>
        <w:t> </w:t>
      </w:r>
      <w:r w:rsidRPr="00115F78">
        <w:rPr>
          <w:noProof/>
        </w:rPr>
        <w:t>4 wniosku przedstawiono przepisy dotyczące finansowania unijnego wsparcia,</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5 – przepisy dotyczące państw stowarzyszonych</w:t>
      </w:r>
      <w:r w:rsidR="00115F78" w:rsidRPr="00115F78">
        <w:rPr>
          <w:noProof/>
        </w:rPr>
        <w:t xml:space="preserve"> w</w:t>
      </w:r>
      <w:r w:rsidR="00115F78">
        <w:rPr>
          <w:noProof/>
        </w:rPr>
        <w:t> </w:t>
      </w:r>
      <w:r w:rsidR="00115F78" w:rsidRPr="00115F78">
        <w:rPr>
          <w:noProof/>
        </w:rPr>
        <w:t>ram</w:t>
      </w:r>
      <w:r w:rsidRPr="00115F78">
        <w:rPr>
          <w:noProof/>
        </w:rPr>
        <w:t>ach Schengen,</w:t>
      </w:r>
      <w:r w:rsidR="00115F78" w:rsidRPr="00115F78">
        <w:rPr>
          <w:noProof/>
        </w:rPr>
        <w:t xml:space="preserve"> a</w:t>
      </w:r>
      <w:r w:rsidR="00115F78">
        <w:rPr>
          <w:noProof/>
        </w:rPr>
        <w:t> </w:t>
      </w:r>
      <w:r w:rsidR="00115F78" w:rsidRPr="00115F78">
        <w:rPr>
          <w:noProof/>
        </w:rPr>
        <w:t>w</w:t>
      </w:r>
      <w:r w:rsidR="00115F78">
        <w:rPr>
          <w:noProof/>
        </w:rPr>
        <w:t> </w:t>
      </w:r>
      <w:r w:rsidR="00115F78" w:rsidRPr="00115F78">
        <w:rPr>
          <w:noProof/>
        </w:rPr>
        <w:t>art</w:t>
      </w:r>
      <w:r w:rsidRPr="00115F78">
        <w:rPr>
          <w:noProof/>
        </w:rPr>
        <w:t>.</w:t>
      </w:r>
      <w:r w:rsidR="00115F78" w:rsidRPr="00115F78">
        <w:rPr>
          <w:noProof/>
        </w:rPr>
        <w:t> </w:t>
      </w:r>
      <w:r w:rsidRPr="00115F78">
        <w:rPr>
          <w:noProof/>
        </w:rPr>
        <w:t xml:space="preserve">6 – przepisy dotyczące wdrożenia operacji specjalnego programu tranzytowego na Litwie. </w:t>
      </w:r>
    </w:p>
    <w:p w14:paraId="3EE630F2" w14:textId="0776E309" w:rsidR="00286E0D" w:rsidRPr="00115F78" w:rsidRDefault="00286E0D" w:rsidP="00286E0D">
      <w:pPr>
        <w:pBdr>
          <w:top w:val="nil"/>
          <w:left w:val="nil"/>
          <w:bottom w:val="nil"/>
          <w:right w:val="nil"/>
          <w:between w:val="nil"/>
          <w:bar w:val="nil"/>
        </w:pBdr>
        <w:rPr>
          <w:rFonts w:eastAsia="Arial Unicode MS"/>
          <w:noProof/>
        </w:rPr>
      </w:pPr>
      <w:r w:rsidRPr="00115F78">
        <w:rPr>
          <w:noProof/>
        </w:rPr>
        <w:t>We wniosku dotyczącym rozporządzenia określono również</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7 zasady traktowania budżetowego zasobów przeznaczonych na pokrycie kosztów operacyjnych europejskiego systemu informacji</w:t>
      </w:r>
      <w:r w:rsidR="00115F78" w:rsidRPr="00115F78">
        <w:rPr>
          <w:noProof/>
        </w:rPr>
        <w:t xml:space="preserve"> o</w:t>
      </w:r>
      <w:r w:rsidR="00115F78">
        <w:rPr>
          <w:noProof/>
        </w:rPr>
        <w:t> </w:t>
      </w:r>
      <w:r w:rsidR="00115F78" w:rsidRPr="00115F78">
        <w:rPr>
          <w:noProof/>
        </w:rPr>
        <w:t>pod</w:t>
      </w:r>
      <w:r w:rsidRPr="00115F78">
        <w:rPr>
          <w:noProof/>
        </w:rPr>
        <w:t>róży oraz zezwoleń na podróż zgodnie</w:t>
      </w:r>
      <w:r w:rsidR="00115F78" w:rsidRPr="00115F78">
        <w:rPr>
          <w:noProof/>
        </w:rPr>
        <w:t xml:space="preserve"> z</w:t>
      </w:r>
      <w:r w:rsidR="00115F78">
        <w:rPr>
          <w:noProof/>
        </w:rPr>
        <w:t> </w:t>
      </w:r>
      <w:r w:rsidR="00115F78" w:rsidRPr="00115F78">
        <w:rPr>
          <w:noProof/>
        </w:rPr>
        <w:t>roz</w:t>
      </w:r>
      <w:r w:rsidRPr="00115F78">
        <w:rPr>
          <w:noProof/>
        </w:rPr>
        <w:t>porządzeniem (UE) 2018/1240,</w:t>
      </w:r>
      <w:r w:rsidR="00115F78" w:rsidRPr="00115F78">
        <w:rPr>
          <w:noProof/>
        </w:rPr>
        <w:t xml:space="preserve"> a</w:t>
      </w:r>
      <w:r w:rsidR="00115F78">
        <w:rPr>
          <w:noProof/>
        </w:rPr>
        <w:t> </w:t>
      </w:r>
      <w:r w:rsidR="00115F78" w:rsidRPr="00115F78">
        <w:rPr>
          <w:noProof/>
        </w:rPr>
        <w:t>w</w:t>
      </w:r>
      <w:r w:rsidR="00115F78">
        <w:rPr>
          <w:noProof/>
        </w:rPr>
        <w:t> </w:t>
      </w:r>
      <w:r w:rsidR="00115F78" w:rsidRPr="00115F78">
        <w:rPr>
          <w:noProof/>
        </w:rPr>
        <w:t>art</w:t>
      </w:r>
      <w:r w:rsidRPr="00115F78">
        <w:rPr>
          <w:noProof/>
        </w:rPr>
        <w:t>.</w:t>
      </w:r>
      <w:r w:rsidR="00115F78" w:rsidRPr="00115F78">
        <w:rPr>
          <w:noProof/>
        </w:rPr>
        <w:t> </w:t>
      </w:r>
      <w:r w:rsidRPr="00115F78">
        <w:rPr>
          <w:noProof/>
        </w:rPr>
        <w:t xml:space="preserve">8 określono zasady traktowania budżetowego wkładów finansowych państw członkowskich do celów rocznej puli solidarnościowej ustanowionej </w:t>
      </w:r>
      <w:bookmarkStart w:id="11" w:name="_Hlk201927609"/>
      <w:r w:rsidRPr="00115F78">
        <w:rPr>
          <w:noProof/>
        </w:rPr>
        <w:t>rozporządzeniem Parlamentu Europejskiego</w:t>
      </w:r>
      <w:r w:rsidR="00115F78" w:rsidRPr="00115F78">
        <w:rPr>
          <w:noProof/>
        </w:rPr>
        <w:t xml:space="preserve"> i</w:t>
      </w:r>
      <w:r w:rsidR="00115F78">
        <w:rPr>
          <w:noProof/>
        </w:rPr>
        <w:t> </w:t>
      </w:r>
      <w:r w:rsidR="00115F78" w:rsidRPr="00115F78">
        <w:rPr>
          <w:noProof/>
        </w:rPr>
        <w:t>Rad</w:t>
      </w:r>
      <w:r w:rsidRPr="00115F78">
        <w:rPr>
          <w:noProof/>
        </w:rPr>
        <w:t>y (UE) 2024/1351</w:t>
      </w:r>
      <w:bookmarkEnd w:id="11"/>
      <w:r w:rsidR="00115F78" w:rsidRPr="00115F78">
        <w:rPr>
          <w:noProof/>
        </w:rPr>
        <w:t xml:space="preserve"> z</w:t>
      </w:r>
      <w:r w:rsidR="00115F78">
        <w:rPr>
          <w:noProof/>
        </w:rPr>
        <w:t> </w:t>
      </w:r>
      <w:r w:rsidR="00115F78" w:rsidRPr="00115F78">
        <w:rPr>
          <w:noProof/>
        </w:rPr>
        <w:t>dni</w:t>
      </w:r>
      <w:r w:rsidRPr="00115F78">
        <w:rPr>
          <w:noProof/>
        </w:rPr>
        <w:t>a 14 maja 2024</w:t>
      </w:r>
      <w:r w:rsidR="00115F78" w:rsidRPr="00115F78">
        <w:rPr>
          <w:noProof/>
        </w:rPr>
        <w:t> </w:t>
      </w:r>
      <w:r w:rsidRPr="00115F78">
        <w:rPr>
          <w:noProof/>
        </w:rPr>
        <w:t>r.</w:t>
      </w:r>
      <w:r w:rsidRPr="00115F78">
        <w:rPr>
          <w:rStyle w:val="FootnoteReference"/>
          <w:noProof/>
        </w:rPr>
        <w:footnoteReference w:id="3"/>
      </w:r>
    </w:p>
    <w:p w14:paraId="1FF0825E" w14:textId="0E7083D2" w:rsidR="00286E0D" w:rsidRPr="00115F78" w:rsidRDefault="00631DBC" w:rsidP="00286E0D">
      <w:pPr>
        <w:pBdr>
          <w:top w:val="nil"/>
          <w:left w:val="nil"/>
          <w:bottom w:val="nil"/>
          <w:right w:val="nil"/>
          <w:between w:val="nil"/>
          <w:bar w:val="nil"/>
        </w:pBdr>
        <w:rPr>
          <w:noProof/>
        </w:rPr>
      </w:pPr>
      <w:r w:rsidRPr="00115F78">
        <w:rPr>
          <w:noProof/>
        </w:rPr>
        <w:t>W art.</w:t>
      </w:r>
      <w:r w:rsidR="00115F78" w:rsidRPr="00115F78">
        <w:rPr>
          <w:noProof/>
        </w:rPr>
        <w:t> </w:t>
      </w:r>
      <w:r w:rsidRPr="00115F78">
        <w:rPr>
          <w:noProof/>
        </w:rPr>
        <w:t>9 ustanowiono przepisy przejściowe</w:t>
      </w:r>
      <w:r w:rsidR="00115F78" w:rsidRPr="00115F78">
        <w:rPr>
          <w:noProof/>
        </w:rPr>
        <w:t>. W</w:t>
      </w:r>
      <w:r w:rsidR="00115F78">
        <w:rPr>
          <w:noProof/>
        </w:rPr>
        <w:t> </w:t>
      </w:r>
      <w:r w:rsidR="00115F78" w:rsidRPr="00115F78">
        <w:rPr>
          <w:noProof/>
        </w:rPr>
        <w:t>art</w:t>
      </w:r>
      <w:r w:rsidRPr="00115F78">
        <w:rPr>
          <w:noProof/>
        </w:rPr>
        <w:t>.</w:t>
      </w:r>
      <w:r w:rsidR="00115F78" w:rsidRPr="00115F78">
        <w:rPr>
          <w:noProof/>
        </w:rPr>
        <w:t> </w:t>
      </w:r>
      <w:r w:rsidRPr="00115F78">
        <w:rPr>
          <w:noProof/>
        </w:rPr>
        <w:t>10 wyznaczono datę wejścia</w:t>
      </w:r>
      <w:r w:rsidR="00115F78" w:rsidRPr="00115F78">
        <w:rPr>
          <w:noProof/>
        </w:rPr>
        <w:t xml:space="preserve"> w</w:t>
      </w:r>
      <w:r w:rsidR="00115F78">
        <w:rPr>
          <w:noProof/>
        </w:rPr>
        <w:t> </w:t>
      </w:r>
      <w:r w:rsidR="00115F78" w:rsidRPr="00115F78">
        <w:rPr>
          <w:noProof/>
        </w:rPr>
        <w:t>życ</w:t>
      </w:r>
      <w:r w:rsidRPr="00115F78">
        <w:rPr>
          <w:noProof/>
        </w:rPr>
        <w:t>ie wnioskowanego rozporządzenia</w:t>
      </w:r>
      <w:r w:rsidR="00115F78" w:rsidRPr="00115F78">
        <w:rPr>
          <w:noProof/>
        </w:rPr>
        <w:t xml:space="preserve"> i</w:t>
      </w:r>
      <w:r w:rsidR="00115F78">
        <w:rPr>
          <w:noProof/>
        </w:rPr>
        <w:t> </w:t>
      </w:r>
      <w:r w:rsidR="00115F78" w:rsidRPr="00115F78">
        <w:rPr>
          <w:noProof/>
        </w:rPr>
        <w:t>ust</w:t>
      </w:r>
      <w:r w:rsidRPr="00115F78">
        <w:rPr>
          <w:noProof/>
        </w:rPr>
        <w:t>anowiono, że będzie ono wiążące</w:t>
      </w:r>
      <w:r w:rsidR="00115F78" w:rsidRPr="00115F78">
        <w:rPr>
          <w:noProof/>
        </w:rPr>
        <w:t xml:space="preserve"> w</w:t>
      </w:r>
      <w:r w:rsidR="00115F78">
        <w:rPr>
          <w:noProof/>
        </w:rPr>
        <w:t> </w:t>
      </w:r>
      <w:r w:rsidR="00115F78" w:rsidRPr="00115F78">
        <w:rPr>
          <w:noProof/>
        </w:rPr>
        <w:t>cał</w:t>
      </w:r>
      <w:r w:rsidRPr="00115F78">
        <w:rPr>
          <w:noProof/>
        </w:rPr>
        <w:t>ości</w:t>
      </w:r>
      <w:r w:rsidR="00115F78" w:rsidRPr="00115F78">
        <w:rPr>
          <w:noProof/>
        </w:rPr>
        <w:t xml:space="preserve"> i</w:t>
      </w:r>
      <w:r w:rsidR="00115F78">
        <w:rPr>
          <w:noProof/>
        </w:rPr>
        <w:t> </w:t>
      </w:r>
      <w:r w:rsidR="00115F78" w:rsidRPr="00115F78">
        <w:rPr>
          <w:noProof/>
        </w:rPr>
        <w:t>bez</w:t>
      </w:r>
      <w:r w:rsidRPr="00115F78">
        <w:rPr>
          <w:noProof/>
        </w:rPr>
        <w:t>pośrednio stosowane we wszystkich państwach członkowskich zgodnie</w:t>
      </w:r>
      <w:r w:rsidR="00115F78" w:rsidRPr="00115F78">
        <w:rPr>
          <w:noProof/>
        </w:rPr>
        <w:t xml:space="preserve"> z</w:t>
      </w:r>
      <w:r w:rsidR="00115F78">
        <w:rPr>
          <w:noProof/>
        </w:rPr>
        <w:t> </w:t>
      </w:r>
      <w:r w:rsidR="00115F78" w:rsidRPr="00115F78">
        <w:rPr>
          <w:noProof/>
        </w:rPr>
        <w:t>Tra</w:t>
      </w:r>
      <w:r w:rsidRPr="00115F78">
        <w:rPr>
          <w:noProof/>
        </w:rPr>
        <w:t>ktatami od dnia 1 stycznia 2028</w:t>
      </w:r>
      <w:r w:rsidR="00115F78" w:rsidRPr="00115F78">
        <w:rPr>
          <w:noProof/>
        </w:rPr>
        <w:t> </w:t>
      </w:r>
      <w:r w:rsidRPr="00115F78">
        <w:rPr>
          <w:noProof/>
        </w:rPr>
        <w:t>r.</w:t>
      </w:r>
    </w:p>
    <w:p w14:paraId="68C60A71" w14:textId="77777777" w:rsidR="00286E0D" w:rsidRPr="00115F78" w:rsidRDefault="00286E0D" w:rsidP="00286E0D">
      <w:pPr>
        <w:spacing w:before="0" w:after="200" w:line="276" w:lineRule="auto"/>
        <w:jc w:val="left"/>
        <w:rPr>
          <w:rFonts w:eastAsia="Arial Unicode MS"/>
          <w:noProof/>
          <w:color w:val="000000" w:themeColor="text1"/>
        </w:rPr>
      </w:pPr>
      <w:r w:rsidRPr="00115F78">
        <w:rPr>
          <w:noProof/>
        </w:rPr>
        <w:br w:type="page"/>
      </w:r>
    </w:p>
    <w:p w14:paraId="567EEDE0" w14:textId="3D67C60B" w:rsidR="00835316" w:rsidRPr="00115F78" w:rsidRDefault="00567BA0" w:rsidP="00567BA0">
      <w:pPr>
        <w:pStyle w:val="Rfrenceinterinstitutionnelle"/>
        <w:rPr>
          <w:noProof/>
        </w:rPr>
      </w:pPr>
      <w:r>
        <w:rPr>
          <w:noProof/>
        </w:rPr>
        <w:t>2025/0541 (COD)</w:t>
      </w:r>
    </w:p>
    <w:p w14:paraId="108B7708" w14:textId="22B74AA4" w:rsidR="00286E0D" w:rsidRPr="00115F78" w:rsidRDefault="00567BA0" w:rsidP="00567BA0">
      <w:pPr>
        <w:pStyle w:val="Statut"/>
        <w:rPr>
          <w:noProof/>
        </w:rPr>
      </w:pPr>
      <w:r w:rsidRPr="00567BA0">
        <w:rPr>
          <w:noProof/>
        </w:rPr>
        <w:t>Wniosek</w:t>
      </w:r>
    </w:p>
    <w:p w14:paraId="5162298C" w14:textId="4E4F1A7A" w:rsidR="00286E0D" w:rsidRPr="00115F78" w:rsidRDefault="00567BA0" w:rsidP="00567BA0">
      <w:pPr>
        <w:pStyle w:val="Typedudocument"/>
        <w:rPr>
          <w:noProof/>
        </w:rPr>
      </w:pPr>
      <w:r w:rsidRPr="00567BA0">
        <w:rPr>
          <w:noProof/>
        </w:rPr>
        <w:t>ROZPORZĄDZENIE PARLAMENTU EUROPEJSKIEGO I RADY</w:t>
      </w:r>
    </w:p>
    <w:p w14:paraId="3DE0D02D" w14:textId="5B34CC27" w:rsidR="00286E0D" w:rsidRPr="00115F78" w:rsidRDefault="00567BA0" w:rsidP="00567BA0">
      <w:pPr>
        <w:pStyle w:val="Titreobjet"/>
        <w:rPr>
          <w:noProof/>
        </w:rPr>
      </w:pPr>
      <w:r w:rsidRPr="00567BA0">
        <w:rPr>
          <w:noProof/>
        </w:rPr>
        <w:t>ustanawiające unijne wsparcie na rzecz strefy Schengen, europejskiego zintegrowanego zarządzania granicami i wspólnej polityki wizowej na okres 2028–2034</w:t>
      </w:r>
    </w:p>
    <w:p w14:paraId="749F32E6" w14:textId="77777777" w:rsidR="00286E0D" w:rsidRPr="00115F78" w:rsidRDefault="00286E0D" w:rsidP="00286E0D">
      <w:pPr>
        <w:pStyle w:val="Institutionquiagit"/>
        <w:rPr>
          <w:noProof/>
        </w:rPr>
      </w:pPr>
      <w:r w:rsidRPr="00115F78">
        <w:rPr>
          <w:noProof/>
        </w:rPr>
        <w:t>PARLAMENT EUROPEJSKI I RADA UNII EUROPEJSKIEJ,</w:t>
      </w:r>
    </w:p>
    <w:p w14:paraId="1A70989E" w14:textId="5F318BA8" w:rsidR="00286E0D" w:rsidRPr="00115F78" w:rsidRDefault="00286E0D" w:rsidP="00286E0D">
      <w:pPr>
        <w:rPr>
          <w:noProof/>
        </w:rPr>
      </w:pPr>
      <w:r w:rsidRPr="00115F78">
        <w:rPr>
          <w:noProof/>
        </w:rPr>
        <w:t>uwzględniając Traktat</w:t>
      </w:r>
      <w:r w:rsidR="00115F78" w:rsidRPr="00115F78">
        <w:rPr>
          <w:noProof/>
        </w:rPr>
        <w:t xml:space="preserve"> o</w:t>
      </w:r>
      <w:r w:rsidR="00115F78">
        <w:rPr>
          <w:noProof/>
        </w:rPr>
        <w:t> </w:t>
      </w:r>
      <w:r w:rsidR="00115F78" w:rsidRPr="00115F78">
        <w:rPr>
          <w:noProof/>
        </w:rPr>
        <w:t>fun</w:t>
      </w:r>
      <w:r w:rsidRPr="00115F78">
        <w:rPr>
          <w:noProof/>
        </w:rPr>
        <w:t>kcjonowaniu Unii Europejskiej,</w:t>
      </w:r>
      <w:r w:rsidR="00115F78" w:rsidRPr="00115F78">
        <w:rPr>
          <w:noProof/>
        </w:rPr>
        <w:t xml:space="preserve"> w</w:t>
      </w:r>
      <w:r w:rsidR="00115F78">
        <w:rPr>
          <w:noProof/>
        </w:rPr>
        <w:t> </w:t>
      </w:r>
      <w:r w:rsidR="00115F78" w:rsidRPr="00115F78">
        <w:rPr>
          <w:noProof/>
        </w:rPr>
        <w:t>szc</w:t>
      </w:r>
      <w:r w:rsidRPr="00115F78">
        <w:rPr>
          <w:noProof/>
        </w:rPr>
        <w:t>zególności jego art.</w:t>
      </w:r>
      <w:r w:rsidR="00115F78" w:rsidRPr="00115F78">
        <w:rPr>
          <w:noProof/>
        </w:rPr>
        <w:t> </w:t>
      </w:r>
      <w:r w:rsidRPr="00115F78">
        <w:rPr>
          <w:noProof/>
        </w:rPr>
        <w:t>77 ust.</w:t>
      </w:r>
      <w:r w:rsidR="00115F78" w:rsidRPr="00115F78">
        <w:rPr>
          <w:noProof/>
        </w:rPr>
        <w:t> </w:t>
      </w:r>
      <w:r w:rsidRPr="00115F78">
        <w:rPr>
          <w:noProof/>
        </w:rPr>
        <w:t>2 oraz art.</w:t>
      </w:r>
      <w:r w:rsidR="00115F78" w:rsidRPr="00115F78">
        <w:rPr>
          <w:noProof/>
        </w:rPr>
        <w:t> </w:t>
      </w:r>
      <w:r w:rsidRPr="00115F78">
        <w:rPr>
          <w:noProof/>
        </w:rPr>
        <w:t>79 ust.</w:t>
      </w:r>
      <w:r w:rsidR="00115F78" w:rsidRPr="00115F78">
        <w:rPr>
          <w:noProof/>
        </w:rPr>
        <w:t> </w:t>
      </w:r>
      <w:r w:rsidRPr="00115F78">
        <w:rPr>
          <w:noProof/>
        </w:rPr>
        <w:t>2 lit.</w:t>
      </w:r>
      <w:r w:rsidR="00115F78" w:rsidRPr="00115F78">
        <w:rPr>
          <w:noProof/>
        </w:rPr>
        <w:t> </w:t>
      </w:r>
      <w:r w:rsidRPr="00115F78">
        <w:rPr>
          <w:noProof/>
        </w:rPr>
        <w:t>c) i d),</w:t>
      </w:r>
    </w:p>
    <w:p w14:paraId="6C9BB100" w14:textId="77777777" w:rsidR="00286E0D" w:rsidRPr="00115F78" w:rsidRDefault="00286E0D" w:rsidP="00286E0D">
      <w:pPr>
        <w:rPr>
          <w:noProof/>
        </w:rPr>
      </w:pPr>
      <w:r w:rsidRPr="00115F78">
        <w:rPr>
          <w:noProof/>
        </w:rPr>
        <w:t>uwzględniając wniosek Komisji Europejskiej,</w:t>
      </w:r>
    </w:p>
    <w:p w14:paraId="2BE23168" w14:textId="77777777" w:rsidR="00286E0D" w:rsidRPr="00115F78" w:rsidRDefault="00286E0D" w:rsidP="00286E0D">
      <w:pPr>
        <w:rPr>
          <w:noProof/>
        </w:rPr>
      </w:pPr>
      <w:r w:rsidRPr="00115F78">
        <w:rPr>
          <w:noProof/>
        </w:rPr>
        <w:t>po przekazaniu projektu aktu ustawodawczego parlamentom narodowym,</w:t>
      </w:r>
    </w:p>
    <w:p w14:paraId="1F8E258B" w14:textId="77777777" w:rsidR="00286E0D" w:rsidRPr="00115F78" w:rsidRDefault="00286E0D" w:rsidP="00286E0D">
      <w:pPr>
        <w:rPr>
          <w:i/>
          <w:noProof/>
        </w:rPr>
      </w:pPr>
      <w:r w:rsidRPr="00115F78">
        <w:rPr>
          <w:noProof/>
        </w:rPr>
        <w:t>uwzględniając opinię Europejskiego Komitetu Ekonomiczno-Społecznego</w:t>
      </w:r>
      <w:r w:rsidRPr="00115F78">
        <w:rPr>
          <w:rStyle w:val="FootnoteReference"/>
          <w:noProof/>
        </w:rPr>
        <w:footnoteReference w:id="4"/>
      </w:r>
      <w:r w:rsidRPr="00115F78">
        <w:rPr>
          <w:noProof/>
        </w:rPr>
        <w:t>,</w:t>
      </w:r>
    </w:p>
    <w:p w14:paraId="2B431944" w14:textId="564D147B" w:rsidR="00286E0D" w:rsidRPr="00115F78" w:rsidRDefault="00286E0D" w:rsidP="00286E0D">
      <w:pPr>
        <w:rPr>
          <w:noProof/>
        </w:rPr>
      </w:pPr>
      <w:r w:rsidRPr="00115F78">
        <w:rPr>
          <w:noProof/>
        </w:rPr>
        <w:t>po konsultacji</w:t>
      </w:r>
      <w:r w:rsidR="00115F78" w:rsidRPr="00115F78">
        <w:rPr>
          <w:noProof/>
        </w:rPr>
        <w:t xml:space="preserve"> z</w:t>
      </w:r>
      <w:r w:rsidR="00115F78">
        <w:rPr>
          <w:noProof/>
        </w:rPr>
        <w:t> </w:t>
      </w:r>
      <w:r w:rsidR="00115F78" w:rsidRPr="00115F78">
        <w:rPr>
          <w:noProof/>
        </w:rPr>
        <w:t>Kom</w:t>
      </w:r>
      <w:r w:rsidRPr="00115F78">
        <w:rPr>
          <w:noProof/>
        </w:rPr>
        <w:t>itetem Regionów,</w:t>
      </w:r>
    </w:p>
    <w:p w14:paraId="482D2264" w14:textId="77777777" w:rsidR="00286E0D" w:rsidRPr="00115F78" w:rsidRDefault="00286E0D" w:rsidP="00286E0D">
      <w:pPr>
        <w:rPr>
          <w:noProof/>
        </w:rPr>
      </w:pPr>
      <w:r w:rsidRPr="00115F78">
        <w:rPr>
          <w:noProof/>
        </w:rPr>
        <w:t>stanowiąc zgodnie ze zwykłą procedurą ustawodawczą</w:t>
      </w:r>
      <w:r w:rsidRPr="00115F78">
        <w:rPr>
          <w:rStyle w:val="FootnoteReference"/>
          <w:noProof/>
        </w:rPr>
        <w:footnoteReference w:id="5"/>
      </w:r>
      <w:r w:rsidRPr="00115F78">
        <w:rPr>
          <w:noProof/>
        </w:rPr>
        <w:t>,</w:t>
      </w:r>
    </w:p>
    <w:p w14:paraId="068D2442" w14:textId="77777777" w:rsidR="00286E0D" w:rsidRPr="00115F78" w:rsidRDefault="00286E0D" w:rsidP="00286E0D">
      <w:pPr>
        <w:rPr>
          <w:noProof/>
        </w:rPr>
      </w:pPr>
      <w:r w:rsidRPr="00115F78">
        <w:rPr>
          <w:noProof/>
        </w:rPr>
        <w:t>a także mając na uwadze, co następuje:</w:t>
      </w:r>
    </w:p>
    <w:p w14:paraId="6FB4A7DA" w14:textId="49FD271A" w:rsidR="00286E0D" w:rsidRPr="00115F78" w:rsidRDefault="003347AC" w:rsidP="003347AC">
      <w:pPr>
        <w:pStyle w:val="ManualConsidrant"/>
        <w:rPr>
          <w:noProof/>
        </w:rPr>
      </w:pPr>
      <w:r w:rsidRPr="00115F78">
        <w:rPr>
          <w:noProof/>
        </w:rPr>
        <w:t>(1)</w:t>
      </w:r>
      <w:r w:rsidRPr="00115F78">
        <w:rPr>
          <w:noProof/>
        </w:rPr>
        <w:tab/>
        <w:t>Cel Unii, jakim jest ustanowienie przestrzeni wolności, bezpieczeństwa</w:t>
      </w:r>
      <w:r w:rsidR="00115F78" w:rsidRPr="00115F78">
        <w:rPr>
          <w:noProof/>
        </w:rPr>
        <w:t xml:space="preserve"> i</w:t>
      </w:r>
      <w:r w:rsidR="00115F78">
        <w:rPr>
          <w:noProof/>
        </w:rPr>
        <w:t> </w:t>
      </w:r>
      <w:r w:rsidR="00115F78" w:rsidRPr="00115F78">
        <w:rPr>
          <w:noProof/>
        </w:rPr>
        <w:t>spr</w:t>
      </w:r>
      <w:r w:rsidRPr="00115F78">
        <w:rPr>
          <w:noProof/>
        </w:rPr>
        <w:t>awiedliwości zgodnie</w:t>
      </w:r>
      <w:r w:rsidR="00115F78" w:rsidRPr="00115F78">
        <w:rPr>
          <w:noProof/>
        </w:rPr>
        <w:t xml:space="preserve"> z</w:t>
      </w:r>
      <w:r w:rsidR="00115F78">
        <w:rPr>
          <w:noProof/>
        </w:rPr>
        <w:t> </w:t>
      </w:r>
      <w:r w:rsidR="00115F78" w:rsidRPr="00115F78">
        <w:rPr>
          <w:noProof/>
        </w:rPr>
        <w:t>art</w:t>
      </w:r>
      <w:r w:rsidRPr="00115F78">
        <w:rPr>
          <w:noProof/>
        </w:rPr>
        <w:t>.</w:t>
      </w:r>
      <w:r w:rsidR="00115F78" w:rsidRPr="00115F78">
        <w:rPr>
          <w:noProof/>
        </w:rPr>
        <w:t> </w:t>
      </w:r>
      <w:r w:rsidRPr="00115F78">
        <w:rPr>
          <w:noProof/>
        </w:rPr>
        <w:t>67 ust.</w:t>
      </w:r>
      <w:r w:rsidR="00115F78" w:rsidRPr="00115F78">
        <w:rPr>
          <w:noProof/>
        </w:rPr>
        <w:t> </w:t>
      </w:r>
      <w:r w:rsidRPr="00115F78">
        <w:rPr>
          <w:noProof/>
        </w:rPr>
        <w:t>1 Traktatu</w:t>
      </w:r>
      <w:r w:rsidR="00115F78" w:rsidRPr="00115F78">
        <w:rPr>
          <w:noProof/>
        </w:rPr>
        <w:t xml:space="preserve"> o</w:t>
      </w:r>
      <w:r w:rsidR="00115F78">
        <w:rPr>
          <w:noProof/>
        </w:rPr>
        <w:t> </w:t>
      </w:r>
      <w:r w:rsidR="00115F78" w:rsidRPr="00115F78">
        <w:rPr>
          <w:noProof/>
        </w:rPr>
        <w:t>fun</w:t>
      </w:r>
      <w:r w:rsidRPr="00115F78">
        <w:rPr>
          <w:noProof/>
        </w:rPr>
        <w:t>kcjonowaniu Unii Europejskiej (TFUE), należy realizować przez zapewnienie unijnego wsparcia na rzecz rozwoju wspólnej polityki UE</w:t>
      </w:r>
      <w:r w:rsidR="00115F78" w:rsidRPr="00115F78">
        <w:rPr>
          <w:noProof/>
        </w:rPr>
        <w:t xml:space="preserve"> w</w:t>
      </w:r>
      <w:r w:rsidR="00115F78">
        <w:rPr>
          <w:noProof/>
        </w:rPr>
        <w:t> </w:t>
      </w:r>
      <w:r w:rsidR="00115F78" w:rsidRPr="00115F78">
        <w:rPr>
          <w:noProof/>
        </w:rPr>
        <w:t>dzi</w:t>
      </w:r>
      <w:r w:rsidRPr="00115F78">
        <w:rPr>
          <w:noProof/>
        </w:rPr>
        <w:t>edzinie kontroli granic zewnętrznych,</w:t>
      </w:r>
      <w:r w:rsidR="00115F78" w:rsidRPr="00115F78">
        <w:rPr>
          <w:noProof/>
        </w:rPr>
        <w:t xml:space="preserve"> w</w:t>
      </w:r>
      <w:r w:rsidR="00115F78">
        <w:rPr>
          <w:noProof/>
        </w:rPr>
        <w:t> </w:t>
      </w:r>
      <w:r w:rsidR="00115F78" w:rsidRPr="00115F78">
        <w:rPr>
          <w:noProof/>
        </w:rPr>
        <w:t>tym</w:t>
      </w:r>
      <w:r w:rsidRPr="00115F78">
        <w:rPr>
          <w:noProof/>
        </w:rPr>
        <w:t xml:space="preserve"> na rzecz wspólnej polityki wizowej zgodnie</w:t>
      </w:r>
      <w:r w:rsidR="00115F78" w:rsidRPr="00115F78">
        <w:rPr>
          <w:noProof/>
        </w:rPr>
        <w:t xml:space="preserve"> z</w:t>
      </w:r>
      <w:r w:rsidR="00115F78">
        <w:rPr>
          <w:noProof/>
        </w:rPr>
        <w:t> </w:t>
      </w:r>
      <w:r w:rsidR="00115F78" w:rsidRPr="00115F78">
        <w:rPr>
          <w:noProof/>
        </w:rPr>
        <w:t>art</w:t>
      </w:r>
      <w:r w:rsidRPr="00115F78">
        <w:rPr>
          <w:noProof/>
        </w:rPr>
        <w:t>.</w:t>
      </w:r>
      <w:r w:rsidR="00115F78" w:rsidRPr="00115F78">
        <w:rPr>
          <w:noProof/>
        </w:rPr>
        <w:t> </w:t>
      </w:r>
      <w:r w:rsidRPr="00115F78">
        <w:rPr>
          <w:noProof/>
        </w:rPr>
        <w:t>77 ust.</w:t>
      </w:r>
      <w:r w:rsidR="00115F78" w:rsidRPr="00115F78">
        <w:rPr>
          <w:noProof/>
        </w:rPr>
        <w:t> </w:t>
      </w:r>
      <w:r w:rsidRPr="00115F78">
        <w:rPr>
          <w:noProof/>
        </w:rPr>
        <w:t>2 lit.</w:t>
      </w:r>
      <w:r w:rsidR="00115F78" w:rsidRPr="00115F78">
        <w:rPr>
          <w:noProof/>
        </w:rPr>
        <w:t> </w:t>
      </w:r>
      <w:r w:rsidRPr="00115F78">
        <w:rPr>
          <w:noProof/>
        </w:rPr>
        <w:t>a) TFUE.</w:t>
      </w:r>
    </w:p>
    <w:p w14:paraId="00985906" w14:textId="20B3B4B8" w:rsidR="00286E0D" w:rsidRPr="00115F78" w:rsidRDefault="003347AC" w:rsidP="003347AC">
      <w:pPr>
        <w:pStyle w:val="ManualConsidrant"/>
        <w:rPr>
          <w:noProof/>
          <w:szCs w:val="24"/>
        </w:rPr>
      </w:pPr>
      <w:bookmarkStart w:id="12" w:name="_Hlk201766894"/>
      <w:r w:rsidRPr="00115F78">
        <w:rPr>
          <w:noProof/>
        </w:rPr>
        <w:t>(2)</w:t>
      </w:r>
      <w:r w:rsidRPr="00115F78">
        <w:rPr>
          <w:noProof/>
        </w:rPr>
        <w:tab/>
        <w:t>Aby zapewnić skuteczne</w:t>
      </w:r>
      <w:r w:rsidR="00115F78" w:rsidRPr="00115F78">
        <w:rPr>
          <w:noProof/>
        </w:rPr>
        <w:t xml:space="preserve"> i</w:t>
      </w:r>
      <w:r w:rsidR="00115F78">
        <w:rPr>
          <w:noProof/>
        </w:rPr>
        <w:t> </w:t>
      </w:r>
      <w:r w:rsidR="00115F78" w:rsidRPr="00115F78">
        <w:rPr>
          <w:noProof/>
        </w:rPr>
        <w:t>wyd</w:t>
      </w:r>
      <w:r w:rsidRPr="00115F78">
        <w:rPr>
          <w:noProof/>
        </w:rPr>
        <w:t>ajne funkcjonowanie strefy Schengen bez granic wewnętrznych, nadrzędne znaczenie dla integralności</w:t>
      </w:r>
      <w:r w:rsidR="00115F78" w:rsidRPr="00115F78">
        <w:rPr>
          <w:noProof/>
        </w:rPr>
        <w:t xml:space="preserve"> i</w:t>
      </w:r>
      <w:r w:rsidR="00115F78">
        <w:rPr>
          <w:noProof/>
        </w:rPr>
        <w:t> </w:t>
      </w:r>
      <w:r w:rsidR="00115F78" w:rsidRPr="00115F78">
        <w:rPr>
          <w:noProof/>
        </w:rPr>
        <w:t>odp</w:t>
      </w:r>
      <w:r w:rsidRPr="00115F78">
        <w:rPr>
          <w:noProof/>
        </w:rPr>
        <w:t>orności strefy Schengen mają solidne ramy zarządzania, skuteczne europejskie zintegrowane zarządzanie granicami, wdrażane przez Europejską Straż Graniczną</w:t>
      </w:r>
      <w:r w:rsidR="00115F78" w:rsidRPr="00115F78">
        <w:rPr>
          <w:noProof/>
        </w:rPr>
        <w:t xml:space="preserve"> i</w:t>
      </w:r>
      <w:r w:rsidR="00115F78">
        <w:rPr>
          <w:noProof/>
        </w:rPr>
        <w:t> </w:t>
      </w:r>
      <w:r w:rsidR="00115F78" w:rsidRPr="00115F78">
        <w:rPr>
          <w:noProof/>
        </w:rPr>
        <w:t>Prz</w:t>
      </w:r>
      <w:r w:rsidRPr="00115F78">
        <w:rPr>
          <w:noProof/>
        </w:rPr>
        <w:t>ybrzeżną, ustanowioną rozporządzeniem Parlamentu Europejskiego</w:t>
      </w:r>
      <w:r w:rsidR="00115F78" w:rsidRPr="00115F78">
        <w:rPr>
          <w:noProof/>
        </w:rPr>
        <w:t xml:space="preserve"> i</w:t>
      </w:r>
      <w:r w:rsidR="00115F78">
        <w:rPr>
          <w:noProof/>
        </w:rPr>
        <w:t> </w:t>
      </w:r>
      <w:r w:rsidR="00115F78" w:rsidRPr="00115F78">
        <w:rPr>
          <w:noProof/>
        </w:rPr>
        <w:t>Rad</w:t>
      </w:r>
      <w:r w:rsidRPr="00115F78">
        <w:rPr>
          <w:noProof/>
        </w:rPr>
        <w:t>y (UE) 2019/1896</w:t>
      </w:r>
      <w:r w:rsidRPr="00115F78">
        <w:rPr>
          <w:rStyle w:val="FootnoteReference"/>
          <w:noProof/>
        </w:rPr>
        <w:footnoteReference w:id="6"/>
      </w:r>
      <w:r w:rsidRPr="00115F78">
        <w:rPr>
          <w:noProof/>
        </w:rPr>
        <w:t>, oraz unijna polityka wizowa.</w:t>
      </w:r>
    </w:p>
    <w:bookmarkEnd w:id="12"/>
    <w:p w14:paraId="6F9BF459" w14:textId="44920986" w:rsidR="00286E0D" w:rsidRPr="00115F78" w:rsidRDefault="003347AC" w:rsidP="003347AC">
      <w:pPr>
        <w:pStyle w:val="ManualConsidrant"/>
        <w:rPr>
          <w:rFonts w:eastAsia="Arial Unicode MS"/>
          <w:noProof/>
          <w:szCs w:val="24"/>
        </w:rPr>
      </w:pPr>
      <w:r w:rsidRPr="00115F78">
        <w:rPr>
          <w:noProof/>
        </w:rPr>
        <w:t>(3)</w:t>
      </w:r>
      <w:r w:rsidRPr="00115F78">
        <w:rPr>
          <w:noProof/>
        </w:rPr>
        <w:tab/>
        <w:t>Należy zatem zapewnić unijne wsparcie dla wysiłków państw członkowskich na rzecz ochrony granic zewnętrznych Unii, ograniczenia nielegalnego przekraczania granic</w:t>
      </w:r>
      <w:r w:rsidR="00115F78" w:rsidRPr="00115F78">
        <w:rPr>
          <w:noProof/>
        </w:rPr>
        <w:t xml:space="preserve"> i</w:t>
      </w:r>
      <w:r w:rsidR="00115F78">
        <w:rPr>
          <w:noProof/>
        </w:rPr>
        <w:t> </w:t>
      </w:r>
      <w:r w:rsidR="00115F78" w:rsidRPr="00115F78">
        <w:rPr>
          <w:noProof/>
        </w:rPr>
        <w:t>nie</w:t>
      </w:r>
      <w:r w:rsidRPr="00115F78">
        <w:rPr>
          <w:noProof/>
        </w:rPr>
        <w:t>dozwolonego przemieszczania się między państwami członkowskimi, jak również na rzecz zmodernizowania</w:t>
      </w:r>
      <w:r w:rsidR="00115F78" w:rsidRPr="00115F78">
        <w:rPr>
          <w:noProof/>
        </w:rPr>
        <w:t xml:space="preserve"> i</w:t>
      </w:r>
      <w:r w:rsidR="00115F78">
        <w:rPr>
          <w:noProof/>
        </w:rPr>
        <w:t> </w:t>
      </w:r>
      <w:r w:rsidR="00115F78" w:rsidRPr="00115F78">
        <w:rPr>
          <w:noProof/>
        </w:rPr>
        <w:t>pop</w:t>
      </w:r>
      <w:r w:rsidRPr="00115F78">
        <w:rPr>
          <w:noProof/>
        </w:rPr>
        <w:t>rawy ogólnej skuteczności rozpatrywania wniosków wizowych oraz zapobiegania nadużyciom unijnego systemu wizowego. Unijne wsparcie ma być udzielane na podstawie przepisów horyzontalnych Europejskiego Funduszu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 ustanowionego rozporządzeniem (UE) [...].</w:t>
      </w:r>
    </w:p>
    <w:p w14:paraId="4CF9EAE0" w14:textId="4DF195C6" w:rsidR="00BE09E6" w:rsidRPr="00115F78" w:rsidRDefault="003347AC" w:rsidP="003347AC">
      <w:pPr>
        <w:pStyle w:val="ManualConsidrant"/>
        <w:rPr>
          <w:noProof/>
          <w:sz w:val="22"/>
        </w:rPr>
      </w:pPr>
      <w:r w:rsidRPr="00115F78">
        <w:rPr>
          <w:noProof/>
        </w:rPr>
        <w:t>(4)</w:t>
      </w:r>
      <w:r w:rsidRPr="00115F78">
        <w:rPr>
          <w:noProof/>
        </w:rPr>
        <w:tab/>
        <w:t>Należy również zapewnić unijne wsparcie na rzecz skutecznego wdrażania, stosowania</w:t>
      </w:r>
      <w:r w:rsidR="00115F78" w:rsidRPr="00115F78">
        <w:rPr>
          <w:noProof/>
        </w:rPr>
        <w:t xml:space="preserve"> i</w:t>
      </w:r>
      <w:r w:rsidR="00115F78">
        <w:rPr>
          <w:noProof/>
        </w:rPr>
        <w:t> </w:t>
      </w:r>
      <w:r w:rsidR="00115F78" w:rsidRPr="00115F78">
        <w:rPr>
          <w:noProof/>
        </w:rPr>
        <w:t>roz</w:t>
      </w:r>
      <w:r w:rsidRPr="00115F78">
        <w:rPr>
          <w:noProof/>
        </w:rPr>
        <w:t>woju ram Schengen na szczeblu europejskim</w:t>
      </w:r>
      <w:r w:rsidR="00115F78" w:rsidRPr="00115F78">
        <w:rPr>
          <w:noProof/>
        </w:rPr>
        <w:t xml:space="preserve"> i</w:t>
      </w:r>
      <w:r w:rsidR="00115F78">
        <w:rPr>
          <w:noProof/>
        </w:rPr>
        <w:t> </w:t>
      </w:r>
      <w:r w:rsidR="00115F78" w:rsidRPr="00115F78">
        <w:rPr>
          <w:noProof/>
        </w:rPr>
        <w:t>kra</w:t>
      </w:r>
      <w:r w:rsidRPr="00115F78">
        <w:rPr>
          <w:noProof/>
        </w:rPr>
        <w:t>jowym,</w:t>
      </w:r>
      <w:r w:rsidR="00115F78" w:rsidRPr="00115F78">
        <w:rPr>
          <w:noProof/>
        </w:rPr>
        <w:t xml:space="preserve"> w</w:t>
      </w:r>
      <w:r w:rsidR="00115F78">
        <w:rPr>
          <w:noProof/>
        </w:rPr>
        <w:t> </w:t>
      </w:r>
      <w:r w:rsidR="00115F78" w:rsidRPr="00115F78">
        <w:rPr>
          <w:noProof/>
        </w:rPr>
        <w:t>tym</w:t>
      </w:r>
      <w:r w:rsidRPr="00115F78">
        <w:rPr>
          <w:noProof/>
        </w:rPr>
        <w:t xml:space="preserve"> poprzez wzmocnienie krajowego zarządzania strefą Schengen obejmującego skuteczne struktury koordynacji</w:t>
      </w:r>
      <w:r w:rsidR="00115F78" w:rsidRPr="00115F78">
        <w:rPr>
          <w:noProof/>
        </w:rPr>
        <w:t xml:space="preserve"> i</w:t>
      </w:r>
      <w:r w:rsidR="00115F78">
        <w:rPr>
          <w:noProof/>
        </w:rPr>
        <w:t> </w:t>
      </w:r>
      <w:r w:rsidR="00115F78" w:rsidRPr="00115F78">
        <w:rPr>
          <w:noProof/>
        </w:rPr>
        <w:t>pro</w:t>
      </w:r>
      <w:r w:rsidRPr="00115F78">
        <w:rPr>
          <w:noProof/>
        </w:rPr>
        <w:t xml:space="preserve">cesy strategiczne, które mają kluczowe znaczenie dla prawidłowego funkcjonowania strefy Schengen. </w:t>
      </w:r>
    </w:p>
    <w:p w14:paraId="2AB47203" w14:textId="4205335A" w:rsidR="00286E0D" w:rsidRPr="00115F78" w:rsidRDefault="003347AC" w:rsidP="003347AC">
      <w:pPr>
        <w:pStyle w:val="ManualConsidrant"/>
        <w:rPr>
          <w:noProof/>
          <w:szCs w:val="24"/>
        </w:rPr>
      </w:pPr>
      <w:r w:rsidRPr="00115F78">
        <w:rPr>
          <w:noProof/>
        </w:rPr>
        <w:t>(5)</w:t>
      </w:r>
      <w:r w:rsidRPr="00115F78">
        <w:rPr>
          <w:noProof/>
        </w:rPr>
        <w:tab/>
        <w:t>W niniejszym rozporządzeniu określa się cele unijnego wsparcia na rzecz dobrze funkcjonującej strefy Schengen bez kontroli na granicach wewnętrznych, przy uwzględnieniu europejskiego zintegrowanego zarządzania granicami,</w:t>
      </w:r>
      <w:r w:rsidR="00115F78" w:rsidRPr="00115F78">
        <w:rPr>
          <w:noProof/>
        </w:rPr>
        <w:t xml:space="preserve"> w</w:t>
      </w:r>
      <w:r w:rsidR="00115F78">
        <w:rPr>
          <w:noProof/>
        </w:rPr>
        <w:t> </w:t>
      </w:r>
      <w:r w:rsidR="00115F78" w:rsidRPr="00115F78">
        <w:rPr>
          <w:noProof/>
        </w:rPr>
        <w:t>tym</w:t>
      </w:r>
      <w:r w:rsidRPr="00115F78">
        <w:rPr>
          <w:noProof/>
        </w:rPr>
        <w:t xml:space="preserve"> cele wsparcia na rzecz funkcjonowania strefy Schengen</w:t>
      </w:r>
      <w:r w:rsidR="00115F78" w:rsidRPr="00115F78">
        <w:rPr>
          <w:noProof/>
        </w:rPr>
        <w:t xml:space="preserve"> i</w:t>
      </w:r>
      <w:r w:rsidR="00115F78">
        <w:rPr>
          <w:noProof/>
        </w:rPr>
        <w:t> </w:t>
      </w:r>
      <w:r w:rsidR="00115F78" w:rsidRPr="00115F78">
        <w:rPr>
          <w:noProof/>
        </w:rPr>
        <w:t>eur</w:t>
      </w:r>
      <w:r w:rsidRPr="00115F78">
        <w:rPr>
          <w:noProof/>
        </w:rPr>
        <w:t xml:space="preserve">opejskiej polityki wizowej </w:t>
      </w:r>
      <w:bookmarkStart w:id="13" w:name="_Hlk201766871"/>
      <w:r w:rsidRPr="00115F78">
        <w:rPr>
          <w:noProof/>
        </w:rPr>
        <w:t>(„unijne wsparcie”). Państwa członkowskie powinny zapewnić, aby ich plany partnerstwa krajowego</w:t>
      </w:r>
      <w:r w:rsidR="00115F78" w:rsidRPr="00115F78">
        <w:rPr>
          <w:noProof/>
        </w:rPr>
        <w:t xml:space="preserve"> i</w:t>
      </w:r>
      <w:r w:rsidR="00115F78">
        <w:rPr>
          <w:noProof/>
        </w:rPr>
        <w:t> </w:t>
      </w:r>
      <w:r w:rsidR="00115F78" w:rsidRPr="00115F78">
        <w:rPr>
          <w:noProof/>
        </w:rPr>
        <w:t>reg</w:t>
      </w:r>
      <w:r w:rsidRPr="00115F78">
        <w:rPr>
          <w:noProof/>
        </w:rPr>
        <w:t>ionalnego uwzględniały każdy</w:t>
      </w:r>
      <w:r w:rsidR="00115F78" w:rsidRPr="00115F78">
        <w:rPr>
          <w:noProof/>
        </w:rPr>
        <w:t xml:space="preserve"> z</w:t>
      </w:r>
      <w:r w:rsidR="00115F78">
        <w:rPr>
          <w:noProof/>
        </w:rPr>
        <w:t> </w:t>
      </w:r>
      <w:r w:rsidR="00115F78" w:rsidRPr="00115F78">
        <w:rPr>
          <w:noProof/>
        </w:rPr>
        <w:t>cel</w:t>
      </w:r>
      <w:r w:rsidRPr="00115F78">
        <w:rPr>
          <w:noProof/>
        </w:rPr>
        <w:t>ów określonych</w:t>
      </w:r>
      <w:r w:rsidR="00115F78" w:rsidRPr="00115F78">
        <w:rPr>
          <w:noProof/>
        </w:rPr>
        <w:t xml:space="preserve"> w</w:t>
      </w:r>
      <w:r w:rsidR="00115F78">
        <w:rPr>
          <w:noProof/>
        </w:rPr>
        <w:t> </w:t>
      </w:r>
      <w:r w:rsidR="00115F78" w:rsidRPr="00115F78">
        <w:rPr>
          <w:noProof/>
        </w:rPr>
        <w:t>nin</w:t>
      </w:r>
      <w:r w:rsidRPr="00115F78">
        <w:rPr>
          <w:noProof/>
        </w:rPr>
        <w:t xml:space="preserve">iejszym rozporządzeniu. </w:t>
      </w:r>
      <w:bookmarkEnd w:id="13"/>
    </w:p>
    <w:p w14:paraId="6786A060" w14:textId="18EED61C" w:rsidR="007947CD" w:rsidRPr="00115F78" w:rsidRDefault="003347AC" w:rsidP="003347AC">
      <w:pPr>
        <w:pStyle w:val="ManualConsidrant"/>
        <w:rPr>
          <w:noProof/>
          <w:szCs w:val="24"/>
        </w:rPr>
      </w:pPr>
      <w:r w:rsidRPr="00115F78">
        <w:rPr>
          <w:noProof/>
        </w:rPr>
        <w:t>(6)</w:t>
      </w:r>
      <w:r w:rsidRPr="00115F78">
        <w:rPr>
          <w:noProof/>
        </w:rPr>
        <w:tab/>
        <w:t>Zgodnie</w:t>
      </w:r>
      <w:r w:rsidR="00115F78" w:rsidRPr="00115F78">
        <w:rPr>
          <w:noProof/>
        </w:rPr>
        <w:t xml:space="preserve"> z</w:t>
      </w:r>
      <w:r w:rsidR="00115F78">
        <w:rPr>
          <w:noProof/>
        </w:rPr>
        <w:t> </w:t>
      </w:r>
      <w:r w:rsidR="00115F78" w:rsidRPr="00115F78">
        <w:rPr>
          <w:noProof/>
        </w:rPr>
        <w:t>akt</w:t>
      </w:r>
      <w:r w:rsidRPr="00115F78">
        <w:rPr>
          <w:noProof/>
        </w:rPr>
        <w:t>em przystąpienia Litwy do UE rozporządzenie uwzględnia również potrzebę wsparcia Litwy</w:t>
      </w:r>
      <w:r w:rsidR="00115F78" w:rsidRPr="00115F78">
        <w:rPr>
          <w:noProof/>
        </w:rPr>
        <w:t xml:space="preserve"> w</w:t>
      </w:r>
      <w:r w:rsidR="00115F78">
        <w:rPr>
          <w:noProof/>
        </w:rPr>
        <w:t> </w:t>
      </w:r>
      <w:r w:rsidR="00115F78" w:rsidRPr="00115F78">
        <w:rPr>
          <w:noProof/>
        </w:rPr>
        <w:t>zar</w:t>
      </w:r>
      <w:r w:rsidRPr="00115F78">
        <w:rPr>
          <w:noProof/>
        </w:rPr>
        <w:t>ządzaniu tranzytem osób między obwodem królewieckim</w:t>
      </w:r>
      <w:r w:rsidR="00115F78" w:rsidRPr="00115F78">
        <w:rPr>
          <w:noProof/>
        </w:rPr>
        <w:t xml:space="preserve"> a</w:t>
      </w:r>
      <w:r w:rsidR="00115F78">
        <w:rPr>
          <w:noProof/>
        </w:rPr>
        <w:t> </w:t>
      </w:r>
      <w:r w:rsidR="00115F78" w:rsidRPr="00115F78">
        <w:rPr>
          <w:noProof/>
        </w:rPr>
        <w:t>inn</w:t>
      </w:r>
      <w:r w:rsidRPr="00115F78">
        <w:rPr>
          <w:noProof/>
        </w:rPr>
        <w:t>ymi częściami Federacji Rosyjskiej.</w:t>
      </w:r>
    </w:p>
    <w:p w14:paraId="32C36110" w14:textId="39A11C43" w:rsidR="00286E0D" w:rsidRPr="00115F78" w:rsidRDefault="003347AC" w:rsidP="003347AC">
      <w:pPr>
        <w:pStyle w:val="ManualConsidrant"/>
        <w:rPr>
          <w:noProof/>
        </w:rPr>
      </w:pPr>
      <w:r w:rsidRPr="00115F78">
        <w:rPr>
          <w:noProof/>
        </w:rPr>
        <w:t>(7)</w:t>
      </w:r>
      <w:r w:rsidRPr="00115F78">
        <w:rPr>
          <w:noProof/>
        </w:rPr>
        <w:tab/>
        <w:t>Kwoty, które mają zostać przydzielone poszczególnym państwom członkowskim, powinny zostać określone przez Komisję zgodnie</w:t>
      </w:r>
      <w:r w:rsidR="00115F78" w:rsidRPr="00115F78">
        <w:rPr>
          <w:noProof/>
        </w:rPr>
        <w:t xml:space="preserve"> z</w:t>
      </w:r>
      <w:r w:rsidR="00115F78">
        <w:rPr>
          <w:noProof/>
        </w:rPr>
        <w:t> </w:t>
      </w:r>
      <w:r w:rsidR="00115F78" w:rsidRPr="00115F78">
        <w:rPr>
          <w:noProof/>
        </w:rPr>
        <w:t>met</w:t>
      </w:r>
      <w:r w:rsidRPr="00115F78">
        <w:rPr>
          <w:noProof/>
        </w:rPr>
        <w:t>odyką alokacji określoną</w:t>
      </w:r>
      <w:r w:rsidR="00115F78" w:rsidRPr="00115F78">
        <w:rPr>
          <w:noProof/>
        </w:rPr>
        <w:t xml:space="preserve"> w</w:t>
      </w:r>
      <w:r w:rsidR="00115F78">
        <w:rPr>
          <w:noProof/>
        </w:rPr>
        <w:t> </w:t>
      </w:r>
      <w:r w:rsidR="00115F78" w:rsidRPr="00115F78">
        <w:rPr>
          <w:noProof/>
        </w:rPr>
        <w:t>roz</w:t>
      </w:r>
      <w:r w:rsidRPr="00115F78">
        <w:rPr>
          <w:noProof/>
        </w:rPr>
        <w:t>porządzeniu (UE) [...] ustanawiającym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w:t>
      </w:r>
      <w:r w:rsidR="00115F78" w:rsidRPr="00115F78">
        <w:rPr>
          <w:noProof/>
        </w:rPr>
        <w:t xml:space="preserve"> w</w:t>
      </w:r>
      <w:r w:rsidR="00115F78">
        <w:rPr>
          <w:noProof/>
        </w:rPr>
        <w:t> </w:t>
      </w:r>
      <w:r w:rsidR="00115F78" w:rsidRPr="00115F78">
        <w:rPr>
          <w:noProof/>
        </w:rPr>
        <w:t>dro</w:t>
      </w:r>
      <w:r w:rsidRPr="00115F78">
        <w:rPr>
          <w:noProof/>
        </w:rPr>
        <w:t>dze jednej decyzji wykonawczej. Decyzja ta powinna co do zasady obejmować również kwoty na podstawie rozporządzenia (UE) [...]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 rozporządzenia (UE) [...] ustanawiającego unijne wsparcie na rzecz azylu, migracji</w:t>
      </w:r>
      <w:r w:rsidR="00115F78" w:rsidRPr="00115F78">
        <w:rPr>
          <w:noProof/>
        </w:rPr>
        <w:t xml:space="preserve"> i</w:t>
      </w:r>
      <w:r w:rsidR="00115F78">
        <w:rPr>
          <w:noProof/>
        </w:rPr>
        <w:t> </w:t>
      </w:r>
      <w:r w:rsidR="00115F78" w:rsidRPr="00115F78">
        <w:rPr>
          <w:noProof/>
        </w:rPr>
        <w:t>int</w:t>
      </w:r>
      <w:r w:rsidRPr="00115F78">
        <w:rPr>
          <w:noProof/>
        </w:rPr>
        <w:t>egracji oraz rozporządzenia (UE) [...] ustanawiającego unijne wsparcie na rzecz bezpieczeństwa wewnętrznego.</w:t>
      </w:r>
    </w:p>
    <w:p w14:paraId="0C6F62A8" w14:textId="6339C988" w:rsidR="00286E0D" w:rsidRPr="00115F78" w:rsidRDefault="003347AC" w:rsidP="003347AC">
      <w:pPr>
        <w:pStyle w:val="ManualConsidrant"/>
        <w:rPr>
          <w:noProof/>
        </w:rPr>
      </w:pPr>
      <w:r w:rsidRPr="00115F78">
        <w:rPr>
          <w:noProof/>
        </w:rPr>
        <w:t>(8)</w:t>
      </w:r>
      <w:r w:rsidRPr="00115F78">
        <w:rPr>
          <w:noProof/>
        </w:rPr>
        <w:tab/>
        <w:t>Unijne wsparcie powinno opierać się na wynikach</w:t>
      </w:r>
      <w:r w:rsidR="00115F78" w:rsidRPr="00115F78">
        <w:rPr>
          <w:noProof/>
        </w:rPr>
        <w:t xml:space="preserve"> i</w:t>
      </w:r>
      <w:r w:rsidR="00115F78">
        <w:rPr>
          <w:noProof/>
        </w:rPr>
        <w:t> </w:t>
      </w:r>
      <w:r w:rsidR="00115F78" w:rsidRPr="00115F78">
        <w:rPr>
          <w:noProof/>
        </w:rPr>
        <w:t>inw</w:t>
      </w:r>
      <w:r w:rsidRPr="00115F78">
        <w:rPr>
          <w:noProof/>
        </w:rPr>
        <w:t>estycjach</w:t>
      </w:r>
      <w:r w:rsidR="00115F78" w:rsidRPr="00115F78">
        <w:rPr>
          <w:noProof/>
        </w:rPr>
        <w:t xml:space="preserve"> z</w:t>
      </w:r>
      <w:r w:rsidR="00115F78">
        <w:rPr>
          <w:noProof/>
        </w:rPr>
        <w:t> </w:t>
      </w:r>
      <w:r w:rsidR="00115F78" w:rsidRPr="00115F78">
        <w:rPr>
          <w:noProof/>
        </w:rPr>
        <w:t>pop</w:t>
      </w:r>
      <w:r w:rsidRPr="00115F78">
        <w:rPr>
          <w:noProof/>
        </w:rPr>
        <w:t>rzednich okresów programowania: (i) Fundusz Granic Zewnętrznych na lata 2007–2013 ustanowiony decyzją nr</w:t>
      </w:r>
      <w:r w:rsidR="00115F78" w:rsidRPr="00115F78">
        <w:rPr>
          <w:noProof/>
        </w:rPr>
        <w:t> </w:t>
      </w:r>
      <w:r w:rsidRPr="00115F78">
        <w:rPr>
          <w:noProof/>
        </w:rPr>
        <w:t>574/2007/WE Parlamentu Europejskiego</w:t>
      </w:r>
      <w:r w:rsidR="00115F78" w:rsidRPr="00115F78">
        <w:rPr>
          <w:noProof/>
        </w:rPr>
        <w:t xml:space="preserve"> i</w:t>
      </w:r>
      <w:r w:rsidR="00115F78">
        <w:rPr>
          <w:noProof/>
        </w:rPr>
        <w:t> </w:t>
      </w:r>
      <w:r w:rsidR="00115F78" w:rsidRPr="00115F78">
        <w:rPr>
          <w:noProof/>
        </w:rPr>
        <w:t>Rad</w:t>
      </w:r>
      <w:r w:rsidRPr="00115F78">
        <w:rPr>
          <w:noProof/>
        </w:rPr>
        <w:t>y</w:t>
      </w:r>
      <w:r w:rsidRPr="00115F78">
        <w:rPr>
          <w:rStyle w:val="FootnoteReference"/>
          <w:noProof/>
        </w:rPr>
        <w:footnoteReference w:id="7"/>
      </w:r>
      <w:r w:rsidRPr="00115F78">
        <w:rPr>
          <w:noProof/>
        </w:rPr>
        <w:t>; (ii)</w:t>
      </w:r>
      <w:r w:rsidRPr="00115F78">
        <w:rPr>
          <w:rStyle w:val="FootnoteReference"/>
          <w:noProof/>
        </w:rPr>
        <w:t xml:space="preserve"> </w:t>
      </w:r>
      <w:r w:rsidRPr="00115F78">
        <w:rPr>
          <w:noProof/>
        </w:rPr>
        <w:t>instrument na rzecz granic zewnętrznych</w:t>
      </w:r>
      <w:r w:rsidR="00115F78" w:rsidRPr="00115F78">
        <w:rPr>
          <w:noProof/>
        </w:rPr>
        <w:t xml:space="preserve"> i</w:t>
      </w:r>
      <w:r w:rsidR="00115F78">
        <w:rPr>
          <w:noProof/>
        </w:rPr>
        <w:t> </w:t>
      </w:r>
      <w:r w:rsidR="00115F78" w:rsidRPr="00115F78">
        <w:rPr>
          <w:noProof/>
        </w:rPr>
        <w:t>wiz w</w:t>
      </w:r>
      <w:r w:rsidR="00115F78">
        <w:rPr>
          <w:noProof/>
        </w:rPr>
        <w:t> </w:t>
      </w:r>
      <w:r w:rsidR="00115F78" w:rsidRPr="00115F78">
        <w:rPr>
          <w:noProof/>
        </w:rPr>
        <w:t>ram</w:t>
      </w:r>
      <w:r w:rsidRPr="00115F78">
        <w:rPr>
          <w:noProof/>
        </w:rPr>
        <w:t>ach Funduszu Bezpieczeństwa Wewnętrznego na lata 2014–2020 ustanowiony rozporządzeniem Parlamentu Europejskiego</w:t>
      </w:r>
      <w:r w:rsidR="00115F78" w:rsidRPr="00115F78">
        <w:rPr>
          <w:noProof/>
        </w:rPr>
        <w:t xml:space="preserve"> i</w:t>
      </w:r>
      <w:r w:rsidR="00115F78">
        <w:rPr>
          <w:noProof/>
        </w:rPr>
        <w:t> </w:t>
      </w:r>
      <w:r w:rsidR="00115F78" w:rsidRPr="00115F78">
        <w:rPr>
          <w:noProof/>
        </w:rPr>
        <w:t>Rad</w:t>
      </w:r>
      <w:r w:rsidRPr="00115F78">
        <w:rPr>
          <w:noProof/>
        </w:rPr>
        <w:t>y (UE) nr</w:t>
      </w:r>
      <w:r w:rsidR="00115F78" w:rsidRPr="00115F78">
        <w:rPr>
          <w:noProof/>
        </w:rPr>
        <w:t> </w:t>
      </w:r>
      <w:r w:rsidRPr="00115F78">
        <w:rPr>
          <w:noProof/>
        </w:rPr>
        <w:t>515/2014</w:t>
      </w:r>
      <w:r w:rsidRPr="00115F78">
        <w:rPr>
          <w:rStyle w:val="FootnoteReference"/>
          <w:noProof/>
        </w:rPr>
        <w:footnoteReference w:id="8"/>
      </w:r>
      <w:r w:rsidRPr="00115F78">
        <w:rPr>
          <w:noProof/>
        </w:rPr>
        <w:t>; oraz (iii) Instrument Wsparcia Finansowego na rzecz Zarządzania Granicami</w:t>
      </w:r>
      <w:r w:rsidR="00115F78" w:rsidRPr="00115F78">
        <w:rPr>
          <w:noProof/>
        </w:rPr>
        <w:t xml:space="preserve"> i</w:t>
      </w:r>
      <w:r w:rsidR="00115F78">
        <w:rPr>
          <w:noProof/>
        </w:rPr>
        <w:t> </w:t>
      </w:r>
      <w:r w:rsidR="00115F78" w:rsidRPr="00115F78">
        <w:rPr>
          <w:noProof/>
        </w:rPr>
        <w:t>Pol</w:t>
      </w:r>
      <w:r w:rsidRPr="00115F78">
        <w:rPr>
          <w:noProof/>
        </w:rPr>
        <w:t>ityki Wizowej</w:t>
      </w:r>
      <w:r w:rsidR="00115F78" w:rsidRPr="00115F78">
        <w:rPr>
          <w:noProof/>
        </w:rPr>
        <w:t xml:space="preserve"> w</w:t>
      </w:r>
      <w:r w:rsidR="00115F78">
        <w:rPr>
          <w:noProof/>
        </w:rPr>
        <w:t> </w:t>
      </w:r>
      <w:r w:rsidR="00115F78" w:rsidRPr="00115F78">
        <w:rPr>
          <w:noProof/>
        </w:rPr>
        <w:t>ram</w:t>
      </w:r>
      <w:r w:rsidRPr="00115F78">
        <w:rPr>
          <w:noProof/>
        </w:rPr>
        <w:t>ach Funduszu Zintegrowanego Zarządzania Granicami na lata 2021–2027 ustanowiony rozporządzeniem Parlamentu Europejskiego</w:t>
      </w:r>
      <w:r w:rsidR="00115F78" w:rsidRPr="00115F78">
        <w:rPr>
          <w:noProof/>
        </w:rPr>
        <w:t xml:space="preserve"> i</w:t>
      </w:r>
      <w:r w:rsidR="00115F78">
        <w:rPr>
          <w:noProof/>
        </w:rPr>
        <w:t> </w:t>
      </w:r>
      <w:r w:rsidR="00115F78" w:rsidRPr="00115F78">
        <w:rPr>
          <w:noProof/>
        </w:rPr>
        <w:t>Rad</w:t>
      </w:r>
      <w:r w:rsidRPr="00115F78">
        <w:rPr>
          <w:noProof/>
        </w:rPr>
        <w:t>y (UE) 2021/1148</w:t>
      </w:r>
      <w:r w:rsidRPr="00115F78">
        <w:rPr>
          <w:rStyle w:val="FootnoteReference"/>
          <w:noProof/>
          <w:szCs w:val="24"/>
        </w:rPr>
        <w:footnoteReference w:id="9"/>
      </w:r>
      <w:r w:rsidRPr="00115F78">
        <w:rPr>
          <w:noProof/>
        </w:rPr>
        <w:t xml:space="preserve">. </w:t>
      </w:r>
    </w:p>
    <w:p w14:paraId="28287138" w14:textId="108AAE2F" w:rsidR="00B9223C" w:rsidRPr="00115F78" w:rsidRDefault="003347AC" w:rsidP="003347AC">
      <w:pPr>
        <w:pStyle w:val="ManualConsidrant"/>
        <w:rPr>
          <w:rFonts w:eastAsia="Arial Unicode MS"/>
          <w:noProof/>
          <w:szCs w:val="24"/>
        </w:rPr>
      </w:pPr>
      <w:r w:rsidRPr="00115F78">
        <w:rPr>
          <w:noProof/>
        </w:rPr>
        <w:t>(9)</w:t>
      </w:r>
      <w:r w:rsidRPr="00115F78">
        <w:rPr>
          <w:noProof/>
        </w:rPr>
        <w:tab/>
        <w:t>W obliczu zmieniającej się sytuacji na świecie</w:t>
      </w:r>
      <w:r w:rsidR="00115F78" w:rsidRPr="00115F78">
        <w:rPr>
          <w:noProof/>
        </w:rPr>
        <w:t xml:space="preserve"> i</w:t>
      </w:r>
      <w:r w:rsidR="00115F78">
        <w:rPr>
          <w:noProof/>
        </w:rPr>
        <w:t> </w:t>
      </w:r>
      <w:r w:rsidR="00115F78" w:rsidRPr="00115F78">
        <w:rPr>
          <w:noProof/>
        </w:rPr>
        <w:t>ros</w:t>
      </w:r>
      <w:r w:rsidRPr="00115F78">
        <w:rPr>
          <w:noProof/>
        </w:rPr>
        <w:t>nącej niestabilności Unia</w:t>
      </w:r>
      <w:r w:rsidR="00115F78" w:rsidRPr="00115F78">
        <w:rPr>
          <w:noProof/>
        </w:rPr>
        <w:t xml:space="preserve"> i</w:t>
      </w:r>
      <w:r w:rsidR="00115F78">
        <w:rPr>
          <w:noProof/>
        </w:rPr>
        <w:t> </w:t>
      </w:r>
      <w:r w:rsidR="00115F78" w:rsidRPr="00115F78">
        <w:rPr>
          <w:noProof/>
        </w:rPr>
        <w:t>jej</w:t>
      </w:r>
      <w:r w:rsidRPr="00115F78">
        <w:rPr>
          <w:noProof/>
        </w:rPr>
        <w:t xml:space="preserve"> państwa członkowskie muszą połączyć swoje zasoby</w:t>
      </w:r>
      <w:r w:rsidR="00115F78" w:rsidRPr="00115F78">
        <w:rPr>
          <w:noProof/>
        </w:rPr>
        <w:t xml:space="preserve"> w</w:t>
      </w:r>
      <w:r w:rsidR="00115F78">
        <w:rPr>
          <w:noProof/>
        </w:rPr>
        <w:t> </w:t>
      </w:r>
      <w:r w:rsidR="00115F78" w:rsidRPr="00115F78">
        <w:rPr>
          <w:noProof/>
        </w:rPr>
        <w:t>cel</w:t>
      </w:r>
      <w:r w:rsidRPr="00115F78">
        <w:rPr>
          <w:noProof/>
        </w:rPr>
        <w:t>u skutecznej ochrony granic zewnętrznych Unii,</w:t>
      </w:r>
      <w:r w:rsidR="00115F78" w:rsidRPr="00115F78">
        <w:rPr>
          <w:noProof/>
        </w:rPr>
        <w:t xml:space="preserve"> w</w:t>
      </w:r>
      <w:r w:rsidR="00115F78">
        <w:rPr>
          <w:noProof/>
        </w:rPr>
        <w:t> </w:t>
      </w:r>
      <w:r w:rsidR="00115F78" w:rsidRPr="00115F78">
        <w:rPr>
          <w:noProof/>
        </w:rPr>
        <w:t>tym w</w:t>
      </w:r>
      <w:r w:rsidR="00115F78">
        <w:rPr>
          <w:noProof/>
        </w:rPr>
        <w:t> </w:t>
      </w:r>
      <w:r w:rsidR="00115F78" w:rsidRPr="00115F78">
        <w:rPr>
          <w:noProof/>
        </w:rPr>
        <w:t>cel</w:t>
      </w:r>
      <w:r w:rsidRPr="00115F78">
        <w:rPr>
          <w:noProof/>
        </w:rPr>
        <w:t>u rozwiązania problemu migracji nieuregulowanej, przemytu migrantów</w:t>
      </w:r>
      <w:r w:rsidR="00115F78" w:rsidRPr="00115F78">
        <w:rPr>
          <w:noProof/>
        </w:rPr>
        <w:t xml:space="preserve"> i</w:t>
      </w:r>
      <w:r w:rsidR="00115F78">
        <w:rPr>
          <w:noProof/>
        </w:rPr>
        <w:t> </w:t>
      </w:r>
      <w:r w:rsidR="00115F78" w:rsidRPr="00115F78">
        <w:rPr>
          <w:noProof/>
        </w:rPr>
        <w:t>han</w:t>
      </w:r>
      <w:r w:rsidRPr="00115F78">
        <w:rPr>
          <w:noProof/>
        </w:rPr>
        <w:t>dlu ludźmi oraz reagowania na działania podmiotów państwowych sztucznie tworzących</w:t>
      </w:r>
      <w:r w:rsidR="00115F78" w:rsidRPr="00115F78">
        <w:rPr>
          <w:noProof/>
        </w:rPr>
        <w:t xml:space="preserve"> i</w:t>
      </w:r>
      <w:r w:rsidR="00115F78">
        <w:rPr>
          <w:noProof/>
        </w:rPr>
        <w:t> </w:t>
      </w:r>
      <w:r w:rsidR="00115F78" w:rsidRPr="00115F78">
        <w:rPr>
          <w:noProof/>
        </w:rPr>
        <w:t>uła</w:t>
      </w:r>
      <w:r w:rsidRPr="00115F78">
        <w:rPr>
          <w:noProof/>
        </w:rPr>
        <w:t>twiających migrację nieuregulowaną, instrumentalizujących przepływy migracyjne jako narzędzie do celów politycznych oraz stosujących taktykę wojny hybrydowej, np. wykorzystujących migrację jako broń</w:t>
      </w:r>
      <w:r w:rsidRPr="00115F78">
        <w:rPr>
          <w:rStyle w:val="FootnoteReference"/>
          <w:noProof/>
        </w:rPr>
        <w:footnoteReference w:id="10"/>
      </w:r>
      <w:r w:rsidRPr="00115F78">
        <w:rPr>
          <w:noProof/>
        </w:rPr>
        <w:t>,</w:t>
      </w:r>
      <w:r w:rsidR="00115F78" w:rsidRPr="00115F78">
        <w:rPr>
          <w:noProof/>
        </w:rPr>
        <w:t xml:space="preserve"> w</w:t>
      </w:r>
      <w:r w:rsidR="00115F78">
        <w:rPr>
          <w:noProof/>
        </w:rPr>
        <w:t> </w:t>
      </w:r>
      <w:r w:rsidR="00115F78" w:rsidRPr="00115F78">
        <w:rPr>
          <w:noProof/>
        </w:rPr>
        <w:t>cel</w:t>
      </w:r>
      <w:r w:rsidRPr="00115F78">
        <w:rPr>
          <w:noProof/>
        </w:rPr>
        <w:t>u destabilizacji Unii Europejskiej</w:t>
      </w:r>
      <w:r w:rsidR="00115F78" w:rsidRPr="00115F78">
        <w:rPr>
          <w:noProof/>
        </w:rPr>
        <w:t xml:space="preserve"> i</w:t>
      </w:r>
      <w:r w:rsidR="00115F78">
        <w:rPr>
          <w:noProof/>
        </w:rPr>
        <w:t> </w:t>
      </w:r>
      <w:r w:rsidR="00115F78" w:rsidRPr="00115F78">
        <w:rPr>
          <w:noProof/>
        </w:rPr>
        <w:t>jej</w:t>
      </w:r>
      <w:r w:rsidRPr="00115F78">
        <w:rPr>
          <w:noProof/>
        </w:rPr>
        <w:t xml:space="preserve"> państw członkowskich</w:t>
      </w:r>
      <w:r w:rsidR="00115F78" w:rsidRPr="00115F78">
        <w:rPr>
          <w:noProof/>
        </w:rPr>
        <w:t>. W</w:t>
      </w:r>
      <w:r w:rsidR="00115F78">
        <w:rPr>
          <w:noProof/>
        </w:rPr>
        <w:t> </w:t>
      </w:r>
      <w:r w:rsidR="00115F78" w:rsidRPr="00115F78">
        <w:rPr>
          <w:noProof/>
        </w:rPr>
        <w:t>int</w:t>
      </w:r>
      <w:r w:rsidRPr="00115F78">
        <w:rPr>
          <w:noProof/>
        </w:rPr>
        <w:t>eresie solidarności</w:t>
      </w:r>
      <w:r w:rsidR="00115F78" w:rsidRPr="00115F78">
        <w:rPr>
          <w:noProof/>
        </w:rPr>
        <w:t xml:space="preserve"> w</w:t>
      </w:r>
      <w:r w:rsidR="00115F78">
        <w:rPr>
          <w:noProof/>
        </w:rPr>
        <w:t> </w:t>
      </w:r>
      <w:r w:rsidR="00115F78" w:rsidRPr="00115F78">
        <w:rPr>
          <w:noProof/>
        </w:rPr>
        <w:t>cał</w:t>
      </w:r>
      <w:r w:rsidRPr="00115F78">
        <w:rPr>
          <w:noProof/>
        </w:rPr>
        <w:t>ej strefie Schengen</w:t>
      </w:r>
      <w:r w:rsidR="00115F78" w:rsidRPr="00115F78">
        <w:rPr>
          <w:noProof/>
        </w:rPr>
        <w:t xml:space="preserve"> i</w:t>
      </w:r>
      <w:r w:rsidR="00115F78">
        <w:rPr>
          <w:noProof/>
        </w:rPr>
        <w:t> </w:t>
      </w:r>
      <w:r w:rsidR="00115F78" w:rsidRPr="00115F78">
        <w:rPr>
          <w:noProof/>
        </w:rPr>
        <w:t>w</w:t>
      </w:r>
      <w:r w:rsidR="00115F78">
        <w:rPr>
          <w:noProof/>
        </w:rPr>
        <w:t> </w:t>
      </w:r>
      <w:r w:rsidR="00115F78" w:rsidRPr="00115F78">
        <w:rPr>
          <w:noProof/>
        </w:rPr>
        <w:t>duc</w:t>
      </w:r>
      <w:r w:rsidRPr="00115F78">
        <w:rPr>
          <w:noProof/>
        </w:rPr>
        <w:t>hu wspólnej odpowiedzialności za ochronę granic zewnętrznych Unii plan partnerstwa krajowego</w:t>
      </w:r>
      <w:r w:rsidR="00115F78" w:rsidRPr="00115F78">
        <w:rPr>
          <w:noProof/>
        </w:rPr>
        <w:t xml:space="preserve"> i</w:t>
      </w:r>
      <w:r w:rsidR="00115F78">
        <w:rPr>
          <w:noProof/>
        </w:rPr>
        <w:t> </w:t>
      </w:r>
      <w:r w:rsidR="00115F78" w:rsidRPr="00115F78">
        <w:rPr>
          <w:noProof/>
        </w:rPr>
        <w:t>reg</w:t>
      </w:r>
      <w:r w:rsidRPr="00115F78">
        <w:rPr>
          <w:noProof/>
        </w:rPr>
        <w:t>ionalnego państwa członkowskiego powinien odpowiednio uwzględniać stwierdzone wyzwania,</w:t>
      </w:r>
      <w:r w:rsidR="00115F78" w:rsidRPr="00115F78">
        <w:rPr>
          <w:noProof/>
        </w:rPr>
        <w:t xml:space="preserve"> w</w:t>
      </w:r>
      <w:r w:rsidR="00115F78">
        <w:rPr>
          <w:noProof/>
        </w:rPr>
        <w:t> </w:t>
      </w:r>
      <w:r w:rsidR="00115F78" w:rsidRPr="00115F78">
        <w:rPr>
          <w:noProof/>
        </w:rPr>
        <w:t>szc</w:t>
      </w:r>
      <w:r w:rsidRPr="00115F78">
        <w:rPr>
          <w:noProof/>
        </w:rPr>
        <w:t>zególności</w:t>
      </w:r>
      <w:r w:rsidR="00115F78" w:rsidRPr="00115F78">
        <w:rPr>
          <w:noProof/>
        </w:rPr>
        <w:t xml:space="preserve"> w</w:t>
      </w:r>
      <w:r w:rsidR="00115F78">
        <w:rPr>
          <w:noProof/>
        </w:rPr>
        <w:t> </w:t>
      </w:r>
      <w:r w:rsidR="00115F78" w:rsidRPr="00115F78">
        <w:rPr>
          <w:noProof/>
        </w:rPr>
        <w:t>kon</w:t>
      </w:r>
      <w:r w:rsidRPr="00115F78">
        <w:rPr>
          <w:noProof/>
        </w:rPr>
        <w:t>tekście strategii europejskiego zintegrowanego zarządzania granicami, strategii europejskiej polityki wizowej oraz</w:t>
      </w:r>
      <w:r w:rsidR="00115F78" w:rsidRPr="00115F78">
        <w:rPr>
          <w:noProof/>
        </w:rPr>
        <w:t xml:space="preserve"> w</w:t>
      </w:r>
      <w:r w:rsidR="00115F78">
        <w:rPr>
          <w:noProof/>
        </w:rPr>
        <w:t> </w:t>
      </w:r>
      <w:r w:rsidR="00115F78" w:rsidRPr="00115F78">
        <w:rPr>
          <w:noProof/>
        </w:rPr>
        <w:t>now</w:t>
      </w:r>
      <w:r w:rsidRPr="00115F78">
        <w:rPr>
          <w:noProof/>
        </w:rPr>
        <w:t>ej architekturze informatycznej Schengen opartej na wielkoskalowych systemach technologii informacyjnej (IT) uruchomionych na potrzeby zarządzania granicami zewnętrznymi</w:t>
      </w:r>
      <w:r w:rsidR="00115F78" w:rsidRPr="00115F78">
        <w:rPr>
          <w:noProof/>
        </w:rPr>
        <w:t xml:space="preserve"> i</w:t>
      </w:r>
      <w:r w:rsidR="00115F78">
        <w:rPr>
          <w:noProof/>
        </w:rPr>
        <w:t> </w:t>
      </w:r>
      <w:r w:rsidR="00115F78" w:rsidRPr="00115F78">
        <w:rPr>
          <w:noProof/>
        </w:rPr>
        <w:t>bez</w:t>
      </w:r>
      <w:r w:rsidRPr="00115F78">
        <w:rPr>
          <w:noProof/>
        </w:rPr>
        <w:t>pieczeństwem, jak również opartej na interoperacyjności tych systemów. Należy ponadto rozważyć wdrożenie rozwiązań technologicznych</w:t>
      </w:r>
      <w:r w:rsidR="00115F78" w:rsidRPr="00115F78">
        <w:rPr>
          <w:noProof/>
        </w:rPr>
        <w:t xml:space="preserve"> i</w:t>
      </w:r>
      <w:r w:rsidR="00115F78">
        <w:rPr>
          <w:noProof/>
        </w:rPr>
        <w:t> </w:t>
      </w:r>
      <w:r w:rsidR="00115F78" w:rsidRPr="00115F78">
        <w:rPr>
          <w:noProof/>
        </w:rPr>
        <w:t>cyf</w:t>
      </w:r>
      <w:r w:rsidRPr="00115F78">
        <w:rPr>
          <w:noProof/>
        </w:rPr>
        <w:t>rowych, które będą wspierały zadania</w:t>
      </w:r>
      <w:r w:rsidR="00115F78" w:rsidRPr="00115F78">
        <w:rPr>
          <w:noProof/>
        </w:rPr>
        <w:t xml:space="preserve"> w</w:t>
      </w:r>
      <w:r w:rsidR="00115F78">
        <w:rPr>
          <w:noProof/>
        </w:rPr>
        <w:t> </w:t>
      </w:r>
      <w:r w:rsidR="00115F78" w:rsidRPr="00115F78">
        <w:rPr>
          <w:noProof/>
        </w:rPr>
        <w:t>zak</w:t>
      </w:r>
      <w:r w:rsidRPr="00115F78">
        <w:rPr>
          <w:noProof/>
        </w:rPr>
        <w:t>resie kontroli granicznych.</w:t>
      </w:r>
    </w:p>
    <w:p w14:paraId="748664DD" w14:textId="7809972C" w:rsidR="00FA5BBE" w:rsidRPr="00115F78" w:rsidRDefault="003347AC" w:rsidP="003347AC">
      <w:pPr>
        <w:pStyle w:val="ManualConsidrant"/>
        <w:rPr>
          <w:noProof/>
        </w:rPr>
      </w:pPr>
      <w:r w:rsidRPr="00115F78">
        <w:rPr>
          <w:noProof/>
        </w:rPr>
        <w:t>(10)</w:t>
      </w:r>
      <w:r w:rsidRPr="00115F78">
        <w:rPr>
          <w:noProof/>
        </w:rPr>
        <w:tab/>
        <w:t>Unijne wsparcie powinno przyczyniać się do zapewnienia zgodności, spójności, synergii</w:t>
      </w:r>
      <w:r w:rsidR="00115F78" w:rsidRPr="00115F78">
        <w:rPr>
          <w:noProof/>
        </w:rPr>
        <w:t xml:space="preserve"> i</w:t>
      </w:r>
      <w:r w:rsidR="00115F78">
        <w:rPr>
          <w:noProof/>
        </w:rPr>
        <w:t> </w:t>
      </w:r>
      <w:r w:rsidR="00115F78" w:rsidRPr="00115F78">
        <w:rPr>
          <w:noProof/>
        </w:rPr>
        <w:t>kom</w:t>
      </w:r>
      <w:r w:rsidRPr="00115F78">
        <w:rPr>
          <w:noProof/>
        </w:rPr>
        <w:t>plementarności między polityką wewnętrzną</w:t>
      </w:r>
      <w:r w:rsidR="00115F78" w:rsidRPr="00115F78">
        <w:rPr>
          <w:noProof/>
        </w:rPr>
        <w:t xml:space="preserve"> i</w:t>
      </w:r>
      <w:r w:rsidR="00115F78">
        <w:rPr>
          <w:noProof/>
        </w:rPr>
        <w:t> </w:t>
      </w:r>
      <w:r w:rsidR="00115F78" w:rsidRPr="00115F78">
        <w:rPr>
          <w:noProof/>
        </w:rPr>
        <w:t>zew</w:t>
      </w:r>
      <w:r w:rsidRPr="00115F78">
        <w:rPr>
          <w:noProof/>
        </w:rPr>
        <w:t>nętrzną Unii. Potrzebna jest większa spójność między polityką migracyjną, azylową, powrotową</w:t>
      </w:r>
      <w:r w:rsidR="00115F78" w:rsidRPr="00115F78">
        <w:rPr>
          <w:noProof/>
        </w:rPr>
        <w:t xml:space="preserve"> i</w:t>
      </w:r>
      <w:r w:rsidR="00115F78">
        <w:rPr>
          <w:noProof/>
        </w:rPr>
        <w:t> </w:t>
      </w:r>
      <w:r w:rsidR="00115F78" w:rsidRPr="00115F78">
        <w:rPr>
          <w:noProof/>
        </w:rPr>
        <w:t>zew</w:t>
      </w:r>
      <w:r w:rsidRPr="00115F78">
        <w:rPr>
          <w:noProof/>
        </w:rPr>
        <w:t>nętrzną oraz ważne jest zapewnienie, aby pomoc zewnętrzna Unii</w:t>
      </w:r>
      <w:r w:rsidR="00115F78" w:rsidRPr="00115F78">
        <w:rPr>
          <w:noProof/>
        </w:rPr>
        <w:t xml:space="preserve"> i</w:t>
      </w:r>
      <w:r w:rsidR="00115F78">
        <w:rPr>
          <w:noProof/>
        </w:rPr>
        <w:t> </w:t>
      </w:r>
      <w:r w:rsidR="00115F78" w:rsidRPr="00115F78">
        <w:rPr>
          <w:noProof/>
        </w:rPr>
        <w:t>uni</w:t>
      </w:r>
      <w:r w:rsidRPr="00115F78">
        <w:rPr>
          <w:noProof/>
        </w:rPr>
        <w:t>jne wsparcie udzielane na podstawie niniejszego rozporządzenia przyczyniały się do skoordynowanego, całościowego</w:t>
      </w:r>
      <w:r w:rsidR="00115F78" w:rsidRPr="00115F78">
        <w:rPr>
          <w:noProof/>
        </w:rPr>
        <w:t xml:space="preserve"> i</w:t>
      </w:r>
      <w:r w:rsidR="00115F78">
        <w:rPr>
          <w:noProof/>
        </w:rPr>
        <w:t> </w:t>
      </w:r>
      <w:r w:rsidR="00115F78" w:rsidRPr="00115F78">
        <w:rPr>
          <w:noProof/>
        </w:rPr>
        <w:t>ust</w:t>
      </w:r>
      <w:r w:rsidRPr="00115F78">
        <w:rPr>
          <w:noProof/>
        </w:rPr>
        <w:t>rukturyzowanego podejścia do migracji, maksymalizując synergie</w:t>
      </w:r>
      <w:r w:rsidR="00115F78" w:rsidRPr="00115F78">
        <w:rPr>
          <w:noProof/>
        </w:rPr>
        <w:t xml:space="preserve"> i</w:t>
      </w:r>
      <w:r w:rsidR="00115F78">
        <w:rPr>
          <w:noProof/>
        </w:rPr>
        <w:t> </w:t>
      </w:r>
      <w:r w:rsidR="00115F78" w:rsidRPr="00115F78">
        <w:rPr>
          <w:noProof/>
        </w:rPr>
        <w:t>zwi</w:t>
      </w:r>
      <w:r w:rsidRPr="00115F78">
        <w:rPr>
          <w:noProof/>
        </w:rPr>
        <w:t>ększając efekt dźwigni. Unijne wsparcie udzielane na podstawie niniejszego rozporządzenia może również obejmować wsparcie odpowiednich zasobów delegatur UE</w:t>
      </w:r>
      <w:r w:rsidR="00115F78" w:rsidRPr="00115F78">
        <w:rPr>
          <w:noProof/>
        </w:rPr>
        <w:t xml:space="preserve"> w</w:t>
      </w:r>
      <w:r w:rsidR="00115F78">
        <w:rPr>
          <w:noProof/>
        </w:rPr>
        <w:t> </w:t>
      </w:r>
      <w:r w:rsidR="00115F78" w:rsidRPr="00115F78">
        <w:rPr>
          <w:noProof/>
        </w:rPr>
        <w:t>nal</w:t>
      </w:r>
      <w:r w:rsidRPr="00115F78">
        <w:rPr>
          <w:noProof/>
        </w:rPr>
        <w:t>eżycie uzasadnionych przypadkach oraz być koordynowane przez państwa członkowskie</w:t>
      </w:r>
      <w:r w:rsidR="00115F78" w:rsidRPr="00115F78">
        <w:rPr>
          <w:noProof/>
        </w:rPr>
        <w:t xml:space="preserve"> i</w:t>
      </w:r>
      <w:r w:rsidR="00115F78">
        <w:rPr>
          <w:noProof/>
        </w:rPr>
        <w:t> </w:t>
      </w:r>
      <w:r w:rsidR="00115F78" w:rsidRPr="00115F78">
        <w:rPr>
          <w:noProof/>
        </w:rPr>
        <w:t>Kom</w:t>
      </w:r>
      <w:r w:rsidRPr="00115F78">
        <w:rPr>
          <w:noProof/>
        </w:rPr>
        <w:t>isję na etapach programowania</w:t>
      </w:r>
      <w:r w:rsidR="00115F78" w:rsidRPr="00115F78">
        <w:rPr>
          <w:noProof/>
        </w:rPr>
        <w:t xml:space="preserve"> i</w:t>
      </w:r>
      <w:r w:rsidR="00115F78">
        <w:rPr>
          <w:noProof/>
        </w:rPr>
        <w:t> </w:t>
      </w:r>
      <w:r w:rsidR="00115F78" w:rsidRPr="00115F78">
        <w:rPr>
          <w:noProof/>
        </w:rPr>
        <w:t>wdr</w:t>
      </w:r>
      <w:r w:rsidRPr="00115F78">
        <w:rPr>
          <w:noProof/>
        </w:rPr>
        <w:t>ażania.</w:t>
      </w:r>
    </w:p>
    <w:p w14:paraId="46F16C80" w14:textId="6400C9DA" w:rsidR="00DC6F83" w:rsidRPr="00115F78" w:rsidRDefault="003347AC" w:rsidP="003347AC">
      <w:pPr>
        <w:pStyle w:val="ManualConsidrant"/>
        <w:rPr>
          <w:noProof/>
        </w:rPr>
      </w:pPr>
      <w:r w:rsidRPr="00115F78">
        <w:rPr>
          <w:noProof/>
        </w:rPr>
        <w:t>(11)</w:t>
      </w:r>
      <w:r w:rsidRPr="00115F78">
        <w:rPr>
          <w:noProof/>
        </w:rPr>
        <w:tab/>
        <w:t>Europa musi chronić swoje interesy</w:t>
      </w:r>
      <w:r w:rsidR="00115F78" w:rsidRPr="00115F78">
        <w:rPr>
          <w:noProof/>
        </w:rPr>
        <w:t xml:space="preserve"> w</w:t>
      </w:r>
      <w:r w:rsidR="00115F78">
        <w:rPr>
          <w:noProof/>
        </w:rPr>
        <w:t> </w:t>
      </w:r>
      <w:r w:rsidR="00115F78" w:rsidRPr="00115F78">
        <w:rPr>
          <w:noProof/>
        </w:rPr>
        <w:t>zak</w:t>
      </w:r>
      <w:r w:rsidRPr="00115F78">
        <w:rPr>
          <w:noProof/>
        </w:rPr>
        <w:t>resie bezpieczeństwa wobec dostawców, którzy mogą stanowić stałe zagrożenie dla bezpieczeństwa ze względu na potencjalną ingerencję ze strony państw trzecich oraz ich praktyki</w:t>
      </w:r>
      <w:r w:rsidR="00115F78" w:rsidRPr="00115F78">
        <w:rPr>
          <w:noProof/>
        </w:rPr>
        <w:t xml:space="preserve"> w</w:t>
      </w:r>
      <w:r w:rsidR="00115F78">
        <w:rPr>
          <w:noProof/>
        </w:rPr>
        <w:t> </w:t>
      </w:r>
      <w:r w:rsidR="00115F78" w:rsidRPr="00115F78">
        <w:rPr>
          <w:noProof/>
        </w:rPr>
        <w:t>zak</w:t>
      </w:r>
      <w:r w:rsidRPr="00115F78">
        <w:rPr>
          <w:noProof/>
        </w:rPr>
        <w:t>resie cyberbezpieczeństwa. Konieczne jest zatem ograniczenie ryzyka utrzymującej się zależności od dostawców wysokiego ryzyka na rynku wewnętrznym, ponieważ mogą oni mieć potencjalnie poważny negatywny wpływ na bezpieczeństwo użytkowników, przedsiębiorstw</w:t>
      </w:r>
      <w:r w:rsidR="00115F78" w:rsidRPr="00115F78">
        <w:rPr>
          <w:noProof/>
        </w:rPr>
        <w:t xml:space="preserve"> i</w:t>
      </w:r>
      <w:r w:rsidR="00115F78">
        <w:rPr>
          <w:noProof/>
        </w:rPr>
        <w:t> </w:t>
      </w:r>
      <w:r w:rsidR="00115F78" w:rsidRPr="00115F78">
        <w:rPr>
          <w:noProof/>
        </w:rPr>
        <w:t>org</w:t>
      </w:r>
      <w:r w:rsidRPr="00115F78">
        <w:rPr>
          <w:noProof/>
        </w:rPr>
        <w:t>anów publicznych</w:t>
      </w:r>
      <w:r w:rsidR="00115F78" w:rsidRPr="00115F78">
        <w:rPr>
          <w:noProof/>
        </w:rPr>
        <w:t xml:space="preserve"> w</w:t>
      </w:r>
      <w:r w:rsidR="00115F78">
        <w:rPr>
          <w:noProof/>
        </w:rPr>
        <w:t> </w:t>
      </w:r>
      <w:r w:rsidR="00115F78" w:rsidRPr="00115F78">
        <w:rPr>
          <w:noProof/>
        </w:rPr>
        <w:t>cał</w:t>
      </w:r>
      <w:r w:rsidRPr="00115F78">
        <w:rPr>
          <w:noProof/>
        </w:rPr>
        <w:t>ej UE</w:t>
      </w:r>
      <w:r w:rsidR="00115F78" w:rsidRPr="00115F78">
        <w:rPr>
          <w:noProof/>
        </w:rPr>
        <w:t xml:space="preserve"> i</w:t>
      </w:r>
      <w:r w:rsidR="00115F78">
        <w:rPr>
          <w:noProof/>
        </w:rPr>
        <w:t> </w:t>
      </w:r>
      <w:r w:rsidR="00115F78" w:rsidRPr="00115F78">
        <w:rPr>
          <w:noProof/>
        </w:rPr>
        <w:t>w</w:t>
      </w:r>
      <w:r w:rsidR="00115F78">
        <w:rPr>
          <w:noProof/>
        </w:rPr>
        <w:t> </w:t>
      </w:r>
      <w:r w:rsidR="00115F78" w:rsidRPr="00115F78">
        <w:rPr>
          <w:noProof/>
        </w:rPr>
        <w:t>odn</w:t>
      </w:r>
      <w:r w:rsidRPr="00115F78">
        <w:rPr>
          <w:noProof/>
        </w:rPr>
        <w:t>iesieniu do infrastruktury krytycznej UE pod względem integralności danych</w:t>
      </w:r>
      <w:r w:rsidR="00115F78" w:rsidRPr="00115F78">
        <w:rPr>
          <w:noProof/>
        </w:rPr>
        <w:t xml:space="preserve"> i</w:t>
      </w:r>
      <w:r w:rsidR="00115F78">
        <w:rPr>
          <w:noProof/>
        </w:rPr>
        <w:t> </w:t>
      </w:r>
      <w:r w:rsidR="00115F78" w:rsidRPr="00115F78">
        <w:rPr>
          <w:noProof/>
        </w:rPr>
        <w:t>usł</w:t>
      </w:r>
      <w:r w:rsidRPr="00115F78">
        <w:rPr>
          <w:noProof/>
        </w:rPr>
        <w:t>ug oraz dostępności usług. Wyłączenie takie powinno opierać się na proporcjonalnej ocenie ryzyka</w:t>
      </w:r>
      <w:r w:rsidR="00115F78" w:rsidRPr="00115F78">
        <w:rPr>
          <w:noProof/>
        </w:rPr>
        <w:t xml:space="preserve"> i</w:t>
      </w:r>
      <w:r w:rsidR="00115F78">
        <w:rPr>
          <w:noProof/>
        </w:rPr>
        <w:t> </w:t>
      </w:r>
      <w:r w:rsidR="00115F78" w:rsidRPr="00115F78">
        <w:rPr>
          <w:noProof/>
        </w:rPr>
        <w:t>odp</w:t>
      </w:r>
      <w:r w:rsidRPr="00115F78">
        <w:rPr>
          <w:noProof/>
        </w:rPr>
        <w:t>owiednich środkach ograniczających ryzyko, jak określono</w:t>
      </w:r>
      <w:r w:rsidR="00115F78" w:rsidRPr="00115F78">
        <w:rPr>
          <w:noProof/>
        </w:rPr>
        <w:t xml:space="preserve"> w</w:t>
      </w:r>
      <w:r w:rsidR="00115F78">
        <w:rPr>
          <w:noProof/>
        </w:rPr>
        <w:t> </w:t>
      </w:r>
      <w:r w:rsidR="00115F78" w:rsidRPr="00115F78">
        <w:rPr>
          <w:noProof/>
        </w:rPr>
        <w:t>pol</w:t>
      </w:r>
      <w:r w:rsidRPr="00115F78">
        <w:rPr>
          <w:noProof/>
        </w:rPr>
        <w:t>itykach</w:t>
      </w:r>
      <w:r w:rsidR="00115F78" w:rsidRPr="00115F78">
        <w:rPr>
          <w:noProof/>
        </w:rPr>
        <w:t xml:space="preserve"> i</w:t>
      </w:r>
      <w:r w:rsidR="00115F78">
        <w:rPr>
          <w:noProof/>
        </w:rPr>
        <w:t> </w:t>
      </w:r>
      <w:r w:rsidR="00115F78" w:rsidRPr="00115F78">
        <w:rPr>
          <w:noProof/>
        </w:rPr>
        <w:t>prz</w:t>
      </w:r>
      <w:r w:rsidRPr="00115F78">
        <w:rPr>
          <w:noProof/>
        </w:rPr>
        <w:t>episach Unii.</w:t>
      </w:r>
    </w:p>
    <w:p w14:paraId="36DC56FF" w14:textId="77FD67D2" w:rsidR="00286E0D" w:rsidRPr="00115F78" w:rsidRDefault="003347AC" w:rsidP="003347AC">
      <w:pPr>
        <w:pStyle w:val="ManualConsidrant"/>
        <w:rPr>
          <w:rFonts w:eastAsia="Arial Unicode MS"/>
          <w:noProof/>
          <w:szCs w:val="24"/>
        </w:rPr>
      </w:pPr>
      <w:r w:rsidRPr="00115F78">
        <w:rPr>
          <w:noProof/>
        </w:rPr>
        <w:t>(12)</w:t>
      </w:r>
      <w:r w:rsidRPr="00115F78">
        <w:rPr>
          <w:noProof/>
        </w:rPr>
        <w:tab/>
        <w:t>Ze względu na fakt, że wyzwania</w:t>
      </w:r>
      <w:r w:rsidR="00115F78" w:rsidRPr="00115F78">
        <w:rPr>
          <w:noProof/>
        </w:rPr>
        <w:t xml:space="preserve"> w</w:t>
      </w:r>
      <w:r w:rsidR="00115F78">
        <w:rPr>
          <w:noProof/>
        </w:rPr>
        <w:t> </w:t>
      </w:r>
      <w:r w:rsidR="00115F78" w:rsidRPr="00115F78">
        <w:rPr>
          <w:noProof/>
        </w:rPr>
        <w:t>obs</w:t>
      </w:r>
      <w:r w:rsidRPr="00115F78">
        <w:rPr>
          <w:noProof/>
        </w:rPr>
        <w:t>zarze zarządzania granicami</w:t>
      </w:r>
      <w:r w:rsidR="00115F78" w:rsidRPr="00115F78">
        <w:rPr>
          <w:noProof/>
        </w:rPr>
        <w:t xml:space="preserve"> i</w:t>
      </w:r>
      <w:r w:rsidR="00115F78">
        <w:rPr>
          <w:noProof/>
        </w:rPr>
        <w:t> </w:t>
      </w:r>
      <w:r w:rsidR="00115F78" w:rsidRPr="00115F78">
        <w:rPr>
          <w:noProof/>
        </w:rPr>
        <w:t>pol</w:t>
      </w:r>
      <w:r w:rsidRPr="00115F78">
        <w:rPr>
          <w:noProof/>
        </w:rPr>
        <w:t>ityki wizowej stale się zmieniają, konieczne jest dostosowanie alokacji unijnego wsparcia do zmian priorytetów zarządzania granicami zewnętrznymi</w:t>
      </w:r>
      <w:r w:rsidR="00115F78" w:rsidRPr="00115F78">
        <w:rPr>
          <w:noProof/>
        </w:rPr>
        <w:t xml:space="preserve"> i</w:t>
      </w:r>
      <w:r w:rsidR="00115F78">
        <w:rPr>
          <w:noProof/>
        </w:rPr>
        <w:t> </w:t>
      </w:r>
      <w:r w:rsidR="00115F78" w:rsidRPr="00115F78">
        <w:rPr>
          <w:noProof/>
        </w:rPr>
        <w:t>pol</w:t>
      </w:r>
      <w:r w:rsidRPr="00115F78">
        <w:rPr>
          <w:noProof/>
        </w:rPr>
        <w:t>ityki wizowej,</w:t>
      </w:r>
      <w:r w:rsidR="00115F78" w:rsidRPr="00115F78">
        <w:rPr>
          <w:noProof/>
        </w:rPr>
        <w:t xml:space="preserve"> w</w:t>
      </w:r>
      <w:r w:rsidR="00115F78">
        <w:rPr>
          <w:noProof/>
        </w:rPr>
        <w:t> </w:t>
      </w:r>
      <w:r w:rsidR="00115F78" w:rsidRPr="00115F78">
        <w:rPr>
          <w:noProof/>
        </w:rPr>
        <w:t>tym</w:t>
      </w:r>
      <w:r w:rsidRPr="00115F78">
        <w:rPr>
          <w:noProof/>
        </w:rPr>
        <w:t xml:space="preserve"> zmian wynikających ze zwiększonej presji na granicy,</w:t>
      </w:r>
      <w:r w:rsidR="00115F78" w:rsidRPr="00115F78">
        <w:rPr>
          <w:noProof/>
        </w:rPr>
        <w:t xml:space="preserve"> a</w:t>
      </w:r>
      <w:r w:rsidR="00115F78">
        <w:rPr>
          <w:noProof/>
        </w:rPr>
        <w:t> </w:t>
      </w:r>
      <w:r w:rsidR="00115F78" w:rsidRPr="00115F78">
        <w:rPr>
          <w:noProof/>
        </w:rPr>
        <w:t>tak</w:t>
      </w:r>
      <w:r w:rsidRPr="00115F78">
        <w:rPr>
          <w:noProof/>
        </w:rPr>
        <w:t>że ukierunkowanie finansowania na priorytety mające największą unijną wartość dodaną. Aby reagować na pilne potrzeby</w:t>
      </w:r>
      <w:r w:rsidR="00115F78" w:rsidRPr="00115F78">
        <w:rPr>
          <w:noProof/>
        </w:rPr>
        <w:t xml:space="preserve"> i</w:t>
      </w:r>
      <w:r w:rsidR="00115F78">
        <w:rPr>
          <w:noProof/>
        </w:rPr>
        <w:t> </w:t>
      </w:r>
      <w:r w:rsidR="00115F78" w:rsidRPr="00115F78">
        <w:rPr>
          <w:noProof/>
        </w:rPr>
        <w:t>zmi</w:t>
      </w:r>
      <w:r w:rsidRPr="00115F78">
        <w:rPr>
          <w:noProof/>
        </w:rPr>
        <w:t>any</w:t>
      </w:r>
      <w:r w:rsidR="00115F78" w:rsidRPr="00115F78">
        <w:rPr>
          <w:noProof/>
        </w:rPr>
        <w:t xml:space="preserve"> w</w:t>
      </w:r>
      <w:r w:rsidR="00115F78">
        <w:rPr>
          <w:noProof/>
        </w:rPr>
        <w:t> </w:t>
      </w:r>
      <w:r w:rsidR="00115F78" w:rsidRPr="00115F78">
        <w:rPr>
          <w:noProof/>
        </w:rPr>
        <w:t>pol</w:t>
      </w:r>
      <w:r w:rsidRPr="00115F78">
        <w:rPr>
          <w:noProof/>
        </w:rPr>
        <w:t>ityce</w:t>
      </w:r>
      <w:r w:rsidR="00115F78" w:rsidRPr="00115F78">
        <w:rPr>
          <w:noProof/>
        </w:rPr>
        <w:t xml:space="preserve"> i</w:t>
      </w:r>
      <w:r w:rsidR="00115F78">
        <w:rPr>
          <w:noProof/>
        </w:rPr>
        <w:t> </w:t>
      </w:r>
      <w:r w:rsidR="00115F78" w:rsidRPr="00115F78">
        <w:rPr>
          <w:noProof/>
        </w:rPr>
        <w:t>pri</w:t>
      </w:r>
      <w:r w:rsidRPr="00115F78">
        <w:rPr>
          <w:noProof/>
        </w:rPr>
        <w:t>orytetach Unii oraz ukierunkować finansowanie na działania</w:t>
      </w:r>
      <w:r w:rsidR="00115F78" w:rsidRPr="00115F78">
        <w:rPr>
          <w:noProof/>
        </w:rPr>
        <w:t xml:space="preserve"> o</w:t>
      </w:r>
      <w:r w:rsidR="00115F78">
        <w:rPr>
          <w:noProof/>
        </w:rPr>
        <w:t> </w:t>
      </w:r>
      <w:r w:rsidR="00115F78" w:rsidRPr="00115F78">
        <w:rPr>
          <w:noProof/>
        </w:rPr>
        <w:t>wys</w:t>
      </w:r>
      <w:r w:rsidRPr="00115F78">
        <w:rPr>
          <w:noProof/>
        </w:rPr>
        <w:t>okiej unijnej wartości dodanej, część unijnego wsparcia powinna być wdrażana</w:t>
      </w:r>
      <w:r w:rsidR="00115F78" w:rsidRPr="00115F78">
        <w:rPr>
          <w:noProof/>
        </w:rPr>
        <w:t xml:space="preserve"> w</w:t>
      </w:r>
      <w:r w:rsidR="00115F78">
        <w:rPr>
          <w:noProof/>
        </w:rPr>
        <w:t> </w:t>
      </w:r>
      <w:r w:rsidR="00115F78" w:rsidRPr="00115F78">
        <w:rPr>
          <w:noProof/>
        </w:rPr>
        <w:t>ram</w:t>
      </w:r>
      <w:r w:rsidRPr="00115F78">
        <w:rPr>
          <w:noProof/>
        </w:rPr>
        <w:t>ach zarządzania bezpośredniego, dzielonego</w:t>
      </w:r>
      <w:r w:rsidR="00115F78" w:rsidRPr="00115F78">
        <w:rPr>
          <w:noProof/>
        </w:rPr>
        <w:t xml:space="preserve"> i</w:t>
      </w:r>
      <w:r w:rsidR="00115F78">
        <w:rPr>
          <w:noProof/>
        </w:rPr>
        <w:t> </w:t>
      </w:r>
      <w:r w:rsidR="00115F78" w:rsidRPr="00115F78">
        <w:rPr>
          <w:noProof/>
        </w:rPr>
        <w:t>poś</w:t>
      </w:r>
      <w:r w:rsidRPr="00115F78">
        <w:rPr>
          <w:noProof/>
        </w:rPr>
        <w:t>redniego za pośrednictwem Instrumentu UE ustanowionego rozporządzeniem (UE) [...] ustanawiającym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 Instrument UE zapewnia elastyczność</w:t>
      </w:r>
      <w:r w:rsidR="00115F78" w:rsidRPr="00115F78">
        <w:rPr>
          <w:noProof/>
        </w:rPr>
        <w:t xml:space="preserve"> w</w:t>
      </w:r>
      <w:r w:rsidR="00115F78">
        <w:rPr>
          <w:noProof/>
        </w:rPr>
        <w:t> </w:t>
      </w:r>
      <w:r w:rsidR="00115F78" w:rsidRPr="00115F78">
        <w:rPr>
          <w:noProof/>
        </w:rPr>
        <w:t>zar</w:t>
      </w:r>
      <w:r w:rsidRPr="00115F78">
        <w:rPr>
          <w:noProof/>
        </w:rPr>
        <w:t>ządzaniu unijnym wsparciem,</w:t>
      </w:r>
      <w:r w:rsidR="00115F78" w:rsidRPr="00115F78">
        <w:rPr>
          <w:noProof/>
        </w:rPr>
        <w:t xml:space="preserve"> a</w:t>
      </w:r>
      <w:r w:rsidR="00115F78">
        <w:rPr>
          <w:noProof/>
        </w:rPr>
        <w:t> </w:t>
      </w:r>
      <w:r w:rsidR="00115F78" w:rsidRPr="00115F78">
        <w:rPr>
          <w:noProof/>
        </w:rPr>
        <w:t>w</w:t>
      </w:r>
      <w:r w:rsidR="00115F78">
        <w:rPr>
          <w:noProof/>
        </w:rPr>
        <w:t> </w:t>
      </w:r>
      <w:r w:rsidR="00115F78" w:rsidRPr="00115F78">
        <w:rPr>
          <w:noProof/>
        </w:rPr>
        <w:t>prz</w:t>
      </w:r>
      <w:r w:rsidRPr="00115F78">
        <w:rPr>
          <w:noProof/>
        </w:rPr>
        <w:t>ypadku zarządzania dzielonego powinien być wdrażany za pośrednictwem planów partnerstwa krajowego</w:t>
      </w:r>
      <w:r w:rsidR="00115F78" w:rsidRPr="00115F78">
        <w:rPr>
          <w:noProof/>
        </w:rPr>
        <w:t xml:space="preserve"> i</w:t>
      </w:r>
      <w:r w:rsidR="00115F78">
        <w:rPr>
          <w:noProof/>
        </w:rPr>
        <w:t> </w:t>
      </w:r>
      <w:r w:rsidR="00115F78" w:rsidRPr="00115F78">
        <w:rPr>
          <w:noProof/>
        </w:rPr>
        <w:t>reg</w:t>
      </w:r>
      <w:r w:rsidRPr="00115F78">
        <w:rPr>
          <w:noProof/>
        </w:rPr>
        <w:t>ionalnego państw członkowskich.</w:t>
      </w:r>
    </w:p>
    <w:p w14:paraId="3E024F13" w14:textId="0ED10AE3" w:rsidR="00286E0D" w:rsidRPr="00115F78" w:rsidRDefault="003347AC" w:rsidP="003347AC">
      <w:pPr>
        <w:pStyle w:val="ManualConsidrant"/>
        <w:rPr>
          <w:rFonts w:eastAsia="Arial Unicode MS"/>
          <w:noProof/>
          <w:szCs w:val="24"/>
        </w:rPr>
      </w:pPr>
      <w:r w:rsidRPr="00115F78">
        <w:rPr>
          <w:noProof/>
        </w:rPr>
        <w:t>(13)</w:t>
      </w:r>
      <w:r w:rsidRPr="00115F78">
        <w:rPr>
          <w:noProof/>
        </w:rPr>
        <w:tab/>
        <w:t>Komisja</w:t>
      </w:r>
      <w:r w:rsidR="00115F78" w:rsidRPr="00115F78">
        <w:rPr>
          <w:noProof/>
        </w:rPr>
        <w:t xml:space="preserve"> i</w:t>
      </w:r>
      <w:r w:rsidR="00115F78">
        <w:rPr>
          <w:noProof/>
        </w:rPr>
        <w:t> </w:t>
      </w:r>
      <w:r w:rsidR="00115F78" w:rsidRPr="00115F78">
        <w:rPr>
          <w:noProof/>
        </w:rPr>
        <w:t>pań</w:t>
      </w:r>
      <w:r w:rsidRPr="00115F78">
        <w:rPr>
          <w:noProof/>
        </w:rPr>
        <w:t>stwa członkowskie powinny zapewnić, aby wiedza</w:t>
      </w:r>
      <w:r w:rsidR="00115F78" w:rsidRPr="00115F78">
        <w:rPr>
          <w:noProof/>
        </w:rPr>
        <w:t xml:space="preserve"> i</w:t>
      </w:r>
      <w:r w:rsidR="00115F78">
        <w:rPr>
          <w:noProof/>
        </w:rPr>
        <w:t> </w:t>
      </w:r>
      <w:r w:rsidR="00115F78" w:rsidRPr="00115F78">
        <w:rPr>
          <w:noProof/>
        </w:rPr>
        <w:t>doś</w:t>
      </w:r>
      <w:r w:rsidRPr="00115F78">
        <w:rPr>
          <w:noProof/>
        </w:rPr>
        <w:t>wiadczenie odpowiednich organów</w:t>
      </w:r>
      <w:r w:rsidR="00115F78" w:rsidRPr="00115F78">
        <w:rPr>
          <w:noProof/>
        </w:rPr>
        <w:t xml:space="preserve"> i</w:t>
      </w:r>
      <w:r w:rsidR="00115F78">
        <w:rPr>
          <w:noProof/>
        </w:rPr>
        <w:t> </w:t>
      </w:r>
      <w:r w:rsidR="00115F78" w:rsidRPr="00115F78">
        <w:rPr>
          <w:noProof/>
        </w:rPr>
        <w:t>jed</w:t>
      </w:r>
      <w:r w:rsidRPr="00115F78">
        <w:rPr>
          <w:noProof/>
        </w:rPr>
        <w:t>nostek organizacyjnych Unii były uwzględniane przy wdrażaniu środków lub reagowaniu na wyzwania</w:t>
      </w:r>
      <w:r w:rsidR="00115F78" w:rsidRPr="00115F78">
        <w:rPr>
          <w:noProof/>
        </w:rPr>
        <w:t xml:space="preserve"> w</w:t>
      </w:r>
      <w:r w:rsidR="00115F78">
        <w:rPr>
          <w:noProof/>
        </w:rPr>
        <w:t> </w:t>
      </w:r>
      <w:r w:rsidR="00115F78" w:rsidRPr="00115F78">
        <w:rPr>
          <w:noProof/>
        </w:rPr>
        <w:t>zak</w:t>
      </w:r>
      <w:r w:rsidRPr="00115F78">
        <w:rPr>
          <w:noProof/>
        </w:rPr>
        <w:t>resie zarządzania migracjami, kontroli granicznej, zarządzania granicami oraz bezpieczeństwa wewnętrznego</w:t>
      </w:r>
      <w:r w:rsidR="00115F78" w:rsidRPr="00115F78">
        <w:rPr>
          <w:noProof/>
        </w:rPr>
        <w:t>. W</w:t>
      </w:r>
      <w:r w:rsidR="00115F78">
        <w:rPr>
          <w:noProof/>
        </w:rPr>
        <w:t> </w:t>
      </w:r>
      <w:r w:rsidR="00115F78" w:rsidRPr="00115F78">
        <w:rPr>
          <w:noProof/>
        </w:rPr>
        <w:t>sto</w:t>
      </w:r>
      <w:r w:rsidRPr="00115F78">
        <w:rPr>
          <w:noProof/>
        </w:rPr>
        <w:t>sownych przypadkach Komisja powinna mieć również możliwość angażowania odpowiednich organów</w:t>
      </w:r>
      <w:r w:rsidR="00115F78" w:rsidRPr="00115F78">
        <w:rPr>
          <w:noProof/>
        </w:rPr>
        <w:t xml:space="preserve"> i</w:t>
      </w:r>
      <w:r w:rsidR="00115F78">
        <w:rPr>
          <w:noProof/>
        </w:rPr>
        <w:t> </w:t>
      </w:r>
      <w:r w:rsidR="00115F78" w:rsidRPr="00115F78">
        <w:rPr>
          <w:noProof/>
        </w:rPr>
        <w:t>jed</w:t>
      </w:r>
      <w:r w:rsidRPr="00115F78">
        <w:rPr>
          <w:noProof/>
        </w:rPr>
        <w:t>nostek organizacyjnych Unii</w:t>
      </w:r>
      <w:r w:rsidR="00115F78" w:rsidRPr="00115F78">
        <w:rPr>
          <w:noProof/>
        </w:rPr>
        <w:t xml:space="preserve"> w</w:t>
      </w:r>
      <w:r w:rsidR="00115F78">
        <w:rPr>
          <w:noProof/>
        </w:rPr>
        <w:t> </w:t>
      </w:r>
      <w:r w:rsidR="00115F78" w:rsidRPr="00115F78">
        <w:rPr>
          <w:noProof/>
        </w:rPr>
        <w:t>dzi</w:t>
      </w:r>
      <w:r w:rsidRPr="00115F78">
        <w:rPr>
          <w:noProof/>
        </w:rPr>
        <w:t>ałania mające na celu zapewnienie zgodności środków otrzymujących unijne wsparcie</w:t>
      </w:r>
      <w:r w:rsidR="00115F78" w:rsidRPr="00115F78">
        <w:rPr>
          <w:noProof/>
        </w:rPr>
        <w:t xml:space="preserve"> z</w:t>
      </w:r>
      <w:r w:rsidR="00115F78">
        <w:rPr>
          <w:noProof/>
        </w:rPr>
        <w:t> </w:t>
      </w:r>
      <w:r w:rsidR="00115F78" w:rsidRPr="00115F78">
        <w:rPr>
          <w:noProof/>
        </w:rPr>
        <w:t>odp</w:t>
      </w:r>
      <w:r w:rsidRPr="00115F78">
        <w:rPr>
          <w:noProof/>
        </w:rPr>
        <w:t>owiednim dorobkiem prawnym Unii</w:t>
      </w:r>
      <w:r w:rsidR="00115F78" w:rsidRPr="00115F78">
        <w:rPr>
          <w:noProof/>
        </w:rPr>
        <w:t xml:space="preserve"> i</w:t>
      </w:r>
      <w:r w:rsidR="00115F78">
        <w:rPr>
          <w:noProof/>
        </w:rPr>
        <w:t> </w:t>
      </w:r>
      <w:r w:rsidR="00115F78" w:rsidRPr="00115F78">
        <w:rPr>
          <w:noProof/>
        </w:rPr>
        <w:t>uzg</w:t>
      </w:r>
      <w:r w:rsidRPr="00115F78">
        <w:rPr>
          <w:noProof/>
        </w:rPr>
        <w:t>odnionymi priorytetami Unii.</w:t>
      </w:r>
    </w:p>
    <w:p w14:paraId="79A06EF4" w14:textId="2D1962FF" w:rsidR="00286E0D" w:rsidRPr="00115F78" w:rsidRDefault="003347AC" w:rsidP="003347AC">
      <w:pPr>
        <w:pStyle w:val="ManualConsidrant"/>
        <w:rPr>
          <w:noProof/>
        </w:rPr>
      </w:pPr>
      <w:r w:rsidRPr="00115F78">
        <w:rPr>
          <w:noProof/>
        </w:rPr>
        <w:t>(14)</w:t>
      </w:r>
      <w:r w:rsidRPr="00115F78">
        <w:rPr>
          <w:noProof/>
        </w:rPr>
        <w:tab/>
        <w:t>Unijne wsparcie powinno być przeznaczane na środki związane</w:t>
      </w:r>
      <w:r w:rsidR="00115F78" w:rsidRPr="00115F78">
        <w:rPr>
          <w:noProof/>
        </w:rPr>
        <w:t xml:space="preserve"> z</w:t>
      </w:r>
      <w:r w:rsidR="00115F78">
        <w:rPr>
          <w:noProof/>
        </w:rPr>
        <w:t> </w:t>
      </w:r>
      <w:r w:rsidR="00115F78" w:rsidRPr="00115F78">
        <w:rPr>
          <w:noProof/>
        </w:rPr>
        <w:t>kon</w:t>
      </w:r>
      <w:r w:rsidRPr="00115F78">
        <w:rPr>
          <w:noProof/>
        </w:rPr>
        <w:t>trolą granic zewnętrznych na terytorium państw stosujących dorobek Schengen jako element wdrażania europejskiego zintegrowanego zarządzania granicami, co wzmacnia ogólne funkcjonowanie strefy Schengen. Aby określić charakter oraz zasady udziału we wsparciu unijnym państw stowarzyszonych</w:t>
      </w:r>
      <w:r w:rsidR="00115F78" w:rsidRPr="00115F78">
        <w:rPr>
          <w:noProof/>
        </w:rPr>
        <w:t xml:space="preserve"> w</w:t>
      </w:r>
      <w:r w:rsidR="00115F78">
        <w:rPr>
          <w:noProof/>
        </w:rPr>
        <w:t> </w:t>
      </w:r>
      <w:r w:rsidR="00115F78" w:rsidRPr="00115F78">
        <w:rPr>
          <w:noProof/>
        </w:rPr>
        <w:t>zak</w:t>
      </w:r>
      <w:r w:rsidRPr="00115F78">
        <w:rPr>
          <w:noProof/>
        </w:rPr>
        <w:t>resie wprowadzania</w:t>
      </w:r>
      <w:r w:rsidR="00115F78" w:rsidRPr="00115F78">
        <w:rPr>
          <w:noProof/>
        </w:rPr>
        <w:t xml:space="preserve"> w</w:t>
      </w:r>
      <w:r w:rsidR="00115F78">
        <w:rPr>
          <w:noProof/>
        </w:rPr>
        <w:t> </w:t>
      </w:r>
      <w:r w:rsidR="00115F78" w:rsidRPr="00115F78">
        <w:rPr>
          <w:noProof/>
        </w:rPr>
        <w:t>życ</w:t>
      </w:r>
      <w:r w:rsidRPr="00115F78">
        <w:rPr>
          <w:noProof/>
        </w:rPr>
        <w:t>ie, stosowania</w:t>
      </w:r>
      <w:r w:rsidR="00115F78" w:rsidRPr="00115F78">
        <w:rPr>
          <w:noProof/>
        </w:rPr>
        <w:t xml:space="preserve"> i</w:t>
      </w:r>
      <w:r w:rsidR="00115F78">
        <w:rPr>
          <w:noProof/>
        </w:rPr>
        <w:t> </w:t>
      </w:r>
      <w:r w:rsidR="00115F78" w:rsidRPr="00115F78">
        <w:rPr>
          <w:noProof/>
        </w:rPr>
        <w:t>roz</w:t>
      </w:r>
      <w:r w:rsidRPr="00115F78">
        <w:rPr>
          <w:noProof/>
        </w:rPr>
        <w:t>woju dorobku Schengen, należy dokonać dalszych ustaleń między Unią</w:t>
      </w:r>
      <w:r w:rsidR="00115F78" w:rsidRPr="00115F78">
        <w:rPr>
          <w:noProof/>
        </w:rPr>
        <w:t xml:space="preserve"> a</w:t>
      </w:r>
      <w:r w:rsidR="00115F78">
        <w:rPr>
          <w:noProof/>
        </w:rPr>
        <w:t> </w:t>
      </w:r>
      <w:r w:rsidR="00115F78" w:rsidRPr="00115F78">
        <w:rPr>
          <w:noProof/>
        </w:rPr>
        <w:t>tym</w:t>
      </w:r>
      <w:r w:rsidRPr="00115F78">
        <w:rPr>
          <w:noProof/>
        </w:rPr>
        <w:t>i państwami na podstawie odpowiednich postanowień stosownych umów</w:t>
      </w:r>
      <w:r w:rsidR="00115F78" w:rsidRPr="00115F78">
        <w:rPr>
          <w:noProof/>
        </w:rPr>
        <w:t xml:space="preserve"> o</w:t>
      </w:r>
      <w:r w:rsidR="00115F78">
        <w:rPr>
          <w:noProof/>
        </w:rPr>
        <w:t> </w:t>
      </w:r>
      <w:r w:rsidR="00115F78" w:rsidRPr="00115F78">
        <w:rPr>
          <w:noProof/>
        </w:rPr>
        <w:t>ucz</w:t>
      </w:r>
      <w:r w:rsidRPr="00115F78">
        <w:rPr>
          <w:noProof/>
        </w:rPr>
        <w:t>estnictwie między tymi państwami</w:t>
      </w:r>
      <w:r w:rsidR="00115F78" w:rsidRPr="00115F78">
        <w:rPr>
          <w:noProof/>
        </w:rPr>
        <w:t xml:space="preserve"> a</w:t>
      </w:r>
      <w:r w:rsidR="00115F78">
        <w:rPr>
          <w:noProof/>
        </w:rPr>
        <w:t> </w:t>
      </w:r>
      <w:r w:rsidR="00115F78" w:rsidRPr="00115F78">
        <w:rPr>
          <w:noProof/>
        </w:rPr>
        <w:t>Uni</w:t>
      </w:r>
      <w:r w:rsidRPr="00115F78">
        <w:rPr>
          <w:noProof/>
        </w:rPr>
        <w:t xml:space="preserve">ą. </w:t>
      </w:r>
    </w:p>
    <w:p w14:paraId="1ACD8BCA" w14:textId="51E261F7" w:rsidR="00286E0D" w:rsidRPr="00115F78" w:rsidRDefault="003347AC" w:rsidP="003347AC">
      <w:pPr>
        <w:pStyle w:val="ManualConsidrant"/>
        <w:rPr>
          <w:noProof/>
        </w:rPr>
      </w:pPr>
      <w:r w:rsidRPr="00115F78">
        <w:rPr>
          <w:noProof/>
        </w:rPr>
        <w:t>(15)</w:t>
      </w:r>
      <w:r w:rsidRPr="00115F78">
        <w:rPr>
          <w:noProof/>
        </w:rPr>
        <w:tab/>
        <w:t>Unijne wsparcie powinno nadal przyczyniać się do wdrażania</w:t>
      </w:r>
      <w:r w:rsidR="00115F78" w:rsidRPr="00115F78">
        <w:rPr>
          <w:noProof/>
        </w:rPr>
        <w:t xml:space="preserve"> i</w:t>
      </w:r>
      <w:r w:rsidR="00115F78">
        <w:rPr>
          <w:noProof/>
        </w:rPr>
        <w:t> </w:t>
      </w:r>
      <w:r w:rsidR="00115F78" w:rsidRPr="00115F78">
        <w:rPr>
          <w:noProof/>
        </w:rPr>
        <w:t>roz</w:t>
      </w:r>
      <w:r w:rsidRPr="00115F78">
        <w:rPr>
          <w:noProof/>
        </w:rPr>
        <w:t>woju strefy Schengen oraz zarządzania nią, aby promować obszar bez kontroli na granicach wewnętrznych. Wsparcie to powinno być nadal przeznaczane na środki związane</w:t>
      </w:r>
      <w:r w:rsidR="00115F78" w:rsidRPr="00115F78">
        <w:rPr>
          <w:noProof/>
        </w:rPr>
        <w:t xml:space="preserve"> z</w:t>
      </w:r>
      <w:r w:rsidR="00115F78">
        <w:rPr>
          <w:noProof/>
        </w:rPr>
        <w:t> </w:t>
      </w:r>
      <w:r w:rsidR="00115F78" w:rsidRPr="00115F78">
        <w:rPr>
          <w:noProof/>
        </w:rPr>
        <w:t>kon</w:t>
      </w:r>
      <w:r w:rsidRPr="00115F78">
        <w:rPr>
          <w:noProof/>
        </w:rPr>
        <w:t>trolą granic zewnętrznych na terytorium państw stosujących dorobek Schengen jako element wdrażania europejskiego zintegrowanego zarządzania granicami, co wzmacnia ogólne funkcjonowanie strefy Schengen.</w:t>
      </w:r>
    </w:p>
    <w:p w14:paraId="5A7895AE" w14:textId="7DFCBAB2" w:rsidR="00286E0D" w:rsidRPr="00115F78" w:rsidRDefault="003347AC" w:rsidP="003347AC">
      <w:pPr>
        <w:pStyle w:val="ManualConsidrant"/>
        <w:rPr>
          <w:noProof/>
        </w:rPr>
      </w:pPr>
      <w:r w:rsidRPr="00115F78">
        <w:rPr>
          <w:noProof/>
        </w:rPr>
        <w:t>(16)</w:t>
      </w:r>
      <w:r w:rsidRPr="00115F78">
        <w:rPr>
          <w:noProof/>
        </w:rPr>
        <w:tab/>
        <w:t>Unijne wsparcie powinno przyczynić się do modernizacji</w:t>
      </w:r>
      <w:r w:rsidR="00115F78" w:rsidRPr="00115F78">
        <w:rPr>
          <w:noProof/>
        </w:rPr>
        <w:t xml:space="preserve"> i</w:t>
      </w:r>
      <w:r w:rsidR="00115F78">
        <w:rPr>
          <w:noProof/>
        </w:rPr>
        <w:t> </w:t>
      </w:r>
      <w:r w:rsidR="00115F78" w:rsidRPr="00115F78">
        <w:rPr>
          <w:noProof/>
        </w:rPr>
        <w:t>pop</w:t>
      </w:r>
      <w:r w:rsidRPr="00115F78">
        <w:rPr>
          <w:noProof/>
        </w:rPr>
        <w:t>rawy skuteczności rozpatrywania wniosków wizowych pod względem wykrywania</w:t>
      </w:r>
      <w:r w:rsidR="00115F78" w:rsidRPr="00115F78">
        <w:rPr>
          <w:noProof/>
        </w:rPr>
        <w:t xml:space="preserve"> i</w:t>
      </w:r>
      <w:r w:rsidR="00115F78">
        <w:rPr>
          <w:noProof/>
        </w:rPr>
        <w:t> </w:t>
      </w:r>
      <w:r w:rsidR="00115F78" w:rsidRPr="00115F78">
        <w:rPr>
          <w:noProof/>
        </w:rPr>
        <w:t>oce</w:t>
      </w:r>
      <w:r w:rsidRPr="00115F78">
        <w:rPr>
          <w:noProof/>
        </w:rPr>
        <w:t>ny ryzyka związanego</w:t>
      </w:r>
      <w:r w:rsidR="00115F78" w:rsidRPr="00115F78">
        <w:rPr>
          <w:noProof/>
        </w:rPr>
        <w:t xml:space="preserve"> z</w:t>
      </w:r>
      <w:r w:rsidR="00115F78">
        <w:rPr>
          <w:noProof/>
        </w:rPr>
        <w:t> </w:t>
      </w:r>
      <w:r w:rsidR="00115F78" w:rsidRPr="00115F78">
        <w:rPr>
          <w:noProof/>
        </w:rPr>
        <w:t>bez</w:t>
      </w:r>
      <w:r w:rsidRPr="00115F78">
        <w:rPr>
          <w:noProof/>
        </w:rPr>
        <w:t>pieczeństwem</w:t>
      </w:r>
      <w:r w:rsidR="00115F78" w:rsidRPr="00115F78">
        <w:rPr>
          <w:noProof/>
        </w:rPr>
        <w:t xml:space="preserve"> i</w:t>
      </w:r>
      <w:r w:rsidR="00115F78">
        <w:rPr>
          <w:noProof/>
        </w:rPr>
        <w:t> </w:t>
      </w:r>
      <w:r w:rsidR="00115F78" w:rsidRPr="00115F78">
        <w:rPr>
          <w:noProof/>
        </w:rPr>
        <w:t>mig</w:t>
      </w:r>
      <w:r w:rsidRPr="00115F78">
        <w:rPr>
          <w:noProof/>
        </w:rPr>
        <w:t>racją nieuregulowaną, zapewniając skuteczne wdrażanie kodeksu wizowego</w:t>
      </w:r>
      <w:r w:rsidR="00115F78" w:rsidRPr="00115F78">
        <w:rPr>
          <w:noProof/>
        </w:rPr>
        <w:t>. W</w:t>
      </w:r>
      <w:r w:rsidR="00115F78">
        <w:rPr>
          <w:noProof/>
        </w:rPr>
        <w:t> </w:t>
      </w:r>
      <w:r w:rsidR="00115F78" w:rsidRPr="00115F78">
        <w:rPr>
          <w:noProof/>
        </w:rPr>
        <w:t>szc</w:t>
      </w:r>
      <w:r w:rsidRPr="00115F78">
        <w:rPr>
          <w:noProof/>
        </w:rPr>
        <w:t>zególności unijne wsparcie powinno przyczynić się do cyfryzacji rozpatrywania wniosków wizowych</w:t>
      </w:r>
      <w:r w:rsidR="00115F78" w:rsidRPr="00115F78">
        <w:rPr>
          <w:noProof/>
        </w:rPr>
        <w:t xml:space="preserve"> w</w:t>
      </w:r>
      <w:r w:rsidR="00115F78">
        <w:rPr>
          <w:noProof/>
        </w:rPr>
        <w:t> </w:t>
      </w:r>
      <w:r w:rsidR="00115F78" w:rsidRPr="00115F78">
        <w:rPr>
          <w:noProof/>
        </w:rPr>
        <w:t>cel</w:t>
      </w:r>
      <w:r w:rsidRPr="00115F78">
        <w:rPr>
          <w:noProof/>
        </w:rPr>
        <w:t>u ustanowienia szybkich, bezpiecznych</w:t>
      </w:r>
      <w:r w:rsidR="00115F78" w:rsidRPr="00115F78">
        <w:rPr>
          <w:noProof/>
        </w:rPr>
        <w:t xml:space="preserve"> i</w:t>
      </w:r>
      <w:r w:rsidR="00115F78">
        <w:rPr>
          <w:noProof/>
        </w:rPr>
        <w:t> </w:t>
      </w:r>
      <w:r w:rsidR="00115F78" w:rsidRPr="00115F78">
        <w:rPr>
          <w:noProof/>
        </w:rPr>
        <w:t>prz</w:t>
      </w:r>
      <w:r w:rsidRPr="00115F78">
        <w:rPr>
          <w:noProof/>
        </w:rPr>
        <w:t>yjaznych użytkownikowi procedur wizowych –</w:t>
      </w:r>
      <w:r w:rsidR="00115F78" w:rsidRPr="00115F78">
        <w:rPr>
          <w:noProof/>
        </w:rPr>
        <w:t xml:space="preserve"> z</w:t>
      </w:r>
      <w:r w:rsidR="00115F78">
        <w:rPr>
          <w:noProof/>
        </w:rPr>
        <w:t> </w:t>
      </w:r>
      <w:r w:rsidR="00115F78" w:rsidRPr="00115F78">
        <w:rPr>
          <w:noProof/>
        </w:rPr>
        <w:t>kor</w:t>
      </w:r>
      <w:r w:rsidRPr="00115F78">
        <w:rPr>
          <w:noProof/>
        </w:rPr>
        <w:t>zyścią zarówno dla osób ubiegających się</w:t>
      </w:r>
      <w:r w:rsidR="00115F78" w:rsidRPr="00115F78">
        <w:rPr>
          <w:noProof/>
        </w:rPr>
        <w:t xml:space="preserve"> o</w:t>
      </w:r>
      <w:r w:rsidR="00115F78">
        <w:rPr>
          <w:noProof/>
        </w:rPr>
        <w:t> </w:t>
      </w:r>
      <w:r w:rsidR="00115F78" w:rsidRPr="00115F78">
        <w:rPr>
          <w:noProof/>
        </w:rPr>
        <w:t>wiz</w:t>
      </w:r>
      <w:r w:rsidRPr="00115F78">
        <w:rPr>
          <w:noProof/>
        </w:rPr>
        <w:t>ę, jak</w:t>
      </w:r>
      <w:r w:rsidR="00115F78" w:rsidRPr="00115F78">
        <w:rPr>
          <w:noProof/>
        </w:rPr>
        <w:t xml:space="preserve"> i</w:t>
      </w:r>
      <w:r w:rsidR="00115F78">
        <w:rPr>
          <w:noProof/>
        </w:rPr>
        <w:t> </w:t>
      </w:r>
      <w:r w:rsidR="00115F78" w:rsidRPr="00115F78">
        <w:rPr>
          <w:noProof/>
        </w:rPr>
        <w:t>dla</w:t>
      </w:r>
      <w:r w:rsidRPr="00115F78">
        <w:rPr>
          <w:noProof/>
        </w:rPr>
        <w:t xml:space="preserve"> konsulatów. Unijne wsparcie powinno również służyć poprawie usług świadczonych na rzecz osób ubiegających się</w:t>
      </w:r>
      <w:r w:rsidR="00115F78" w:rsidRPr="00115F78">
        <w:rPr>
          <w:noProof/>
        </w:rPr>
        <w:t xml:space="preserve"> o</w:t>
      </w:r>
      <w:r w:rsidR="00115F78">
        <w:rPr>
          <w:noProof/>
        </w:rPr>
        <w:t> </w:t>
      </w:r>
      <w:r w:rsidR="00115F78" w:rsidRPr="00115F78">
        <w:rPr>
          <w:noProof/>
        </w:rPr>
        <w:t>wiz</w:t>
      </w:r>
      <w:r w:rsidRPr="00115F78">
        <w:rPr>
          <w:noProof/>
        </w:rPr>
        <w:t>ę,</w:t>
      </w:r>
      <w:r w:rsidR="00115F78" w:rsidRPr="00115F78">
        <w:rPr>
          <w:noProof/>
        </w:rPr>
        <w:t xml:space="preserve"> w</w:t>
      </w:r>
      <w:r w:rsidR="00115F78">
        <w:rPr>
          <w:noProof/>
        </w:rPr>
        <w:t> </w:t>
      </w:r>
      <w:r w:rsidR="00115F78" w:rsidRPr="00115F78">
        <w:rPr>
          <w:noProof/>
        </w:rPr>
        <w:t>tym</w:t>
      </w:r>
      <w:r w:rsidRPr="00115F78">
        <w:rPr>
          <w:noProof/>
        </w:rPr>
        <w:t xml:space="preserve"> poprzez lepszy dostęp do usług konsularnych na świecie.</w:t>
      </w:r>
    </w:p>
    <w:p w14:paraId="5F13111F" w14:textId="75A5F9A4" w:rsidR="00286E0D" w:rsidRPr="00115F78" w:rsidRDefault="003347AC" w:rsidP="003347AC">
      <w:pPr>
        <w:pStyle w:val="ManualConsidrant"/>
        <w:rPr>
          <w:noProof/>
        </w:rPr>
      </w:pPr>
      <w:bookmarkStart w:id="14" w:name="_Hlk201962914"/>
      <w:r w:rsidRPr="00115F78">
        <w:rPr>
          <w:noProof/>
        </w:rPr>
        <w:t>(17)</w:t>
      </w:r>
      <w:r w:rsidRPr="00115F78">
        <w:rPr>
          <w:noProof/>
        </w:rPr>
        <w:tab/>
        <w:t>Państwa członkowskie mogą opierać się na zasadzie partnerstwa przy wdrażaniu unijnego wsparcia, aby zapewnić ciągłość podejścia</w:t>
      </w:r>
      <w:r w:rsidR="00115F78" w:rsidRPr="00115F78">
        <w:rPr>
          <w:noProof/>
        </w:rPr>
        <w:t xml:space="preserve"> w</w:t>
      </w:r>
      <w:r w:rsidR="00115F78">
        <w:rPr>
          <w:noProof/>
        </w:rPr>
        <w:t> </w:t>
      </w:r>
      <w:r w:rsidR="00115F78" w:rsidRPr="00115F78">
        <w:rPr>
          <w:noProof/>
        </w:rPr>
        <w:t>zar</w:t>
      </w:r>
      <w:r w:rsidRPr="00115F78">
        <w:rPr>
          <w:noProof/>
        </w:rPr>
        <w:t>ządzaniu.</w:t>
      </w:r>
      <w:bookmarkEnd w:id="14"/>
    </w:p>
    <w:p w14:paraId="7984B517" w14:textId="381773FA" w:rsidR="00286E0D" w:rsidRPr="00115F78" w:rsidRDefault="003347AC" w:rsidP="003347AC">
      <w:pPr>
        <w:pStyle w:val="ManualConsidrant"/>
        <w:rPr>
          <w:noProof/>
        </w:rPr>
      </w:pPr>
      <w:r w:rsidRPr="00115F78">
        <w:rPr>
          <w:noProof/>
        </w:rPr>
        <w:t>(18)</w:t>
      </w:r>
      <w:r w:rsidRPr="00115F78">
        <w:rPr>
          <w:noProof/>
        </w:rPr>
        <w:tab/>
        <w:t>Zgodnie</w:t>
      </w:r>
      <w:r w:rsidR="00115F78" w:rsidRPr="00115F78">
        <w:rPr>
          <w:noProof/>
        </w:rPr>
        <w:t xml:space="preserve"> z</w:t>
      </w:r>
      <w:r w:rsidR="00115F78">
        <w:rPr>
          <w:noProof/>
        </w:rPr>
        <w:t> </w:t>
      </w:r>
      <w:r w:rsidR="00115F78" w:rsidRPr="00115F78">
        <w:rPr>
          <w:noProof/>
        </w:rPr>
        <w:t>art</w:t>
      </w:r>
      <w:r w:rsidRPr="00115F78">
        <w:rPr>
          <w:noProof/>
        </w:rPr>
        <w:t>.</w:t>
      </w:r>
      <w:r w:rsidR="00115F78" w:rsidRPr="00115F78">
        <w:rPr>
          <w:noProof/>
        </w:rPr>
        <w:t> </w:t>
      </w:r>
      <w:r w:rsidRPr="00115F78">
        <w:rPr>
          <w:noProof/>
        </w:rPr>
        <w:t>86 rozporządzenia Parlamentu Europejskiego</w:t>
      </w:r>
      <w:r w:rsidR="00115F78" w:rsidRPr="00115F78">
        <w:rPr>
          <w:noProof/>
        </w:rPr>
        <w:t xml:space="preserve"> i</w:t>
      </w:r>
      <w:r w:rsidR="00115F78">
        <w:rPr>
          <w:noProof/>
        </w:rPr>
        <w:t> </w:t>
      </w:r>
      <w:r w:rsidR="00115F78" w:rsidRPr="00115F78">
        <w:rPr>
          <w:noProof/>
        </w:rPr>
        <w:t>Rad</w:t>
      </w:r>
      <w:r w:rsidRPr="00115F78">
        <w:rPr>
          <w:noProof/>
        </w:rPr>
        <w:t>y (UE) 2018/1240</w:t>
      </w:r>
      <w:r w:rsidRPr="00115F78">
        <w:rPr>
          <w:rStyle w:val="FootnoteReference"/>
          <w:noProof/>
          <w:szCs w:val="24"/>
        </w:rPr>
        <w:footnoteReference w:id="11"/>
      </w:r>
      <w:r w:rsidRPr="00115F78">
        <w:rPr>
          <w:noProof/>
        </w:rPr>
        <w:t xml:space="preserve"> koszty operacyjne europejskiego systemu informacji</w:t>
      </w:r>
      <w:r w:rsidR="00115F78" w:rsidRPr="00115F78">
        <w:rPr>
          <w:noProof/>
        </w:rPr>
        <w:t xml:space="preserve"> o</w:t>
      </w:r>
      <w:r w:rsidR="00115F78">
        <w:rPr>
          <w:noProof/>
        </w:rPr>
        <w:t> </w:t>
      </w:r>
      <w:r w:rsidR="00115F78" w:rsidRPr="00115F78">
        <w:rPr>
          <w:noProof/>
        </w:rPr>
        <w:t>pod</w:t>
      </w:r>
      <w:r w:rsidRPr="00115F78">
        <w:rPr>
          <w:noProof/>
        </w:rPr>
        <w:t>róży oraz zezwoleń na podróż (ETIAS) powinny być pokrywane</w:t>
      </w:r>
      <w:r w:rsidR="00115F78" w:rsidRPr="00115F78">
        <w:rPr>
          <w:noProof/>
        </w:rPr>
        <w:t xml:space="preserve"> z</w:t>
      </w:r>
      <w:r w:rsidR="00115F78">
        <w:rPr>
          <w:noProof/>
        </w:rPr>
        <w:t> </w:t>
      </w:r>
      <w:r w:rsidR="00115F78" w:rsidRPr="00115F78">
        <w:rPr>
          <w:noProof/>
        </w:rPr>
        <w:t>doc</w:t>
      </w:r>
      <w:r w:rsidRPr="00115F78">
        <w:rPr>
          <w:noProof/>
        </w:rPr>
        <w:t>hodów generowanych przez opłaty za zezwolenie na podróż</w:t>
      </w:r>
      <w:r w:rsidR="00115F78" w:rsidRPr="00115F78">
        <w:rPr>
          <w:noProof/>
        </w:rPr>
        <w:t>. W</w:t>
      </w:r>
      <w:r w:rsidR="00115F78">
        <w:rPr>
          <w:noProof/>
        </w:rPr>
        <w:t> </w:t>
      </w:r>
      <w:r w:rsidR="00115F78" w:rsidRPr="00115F78">
        <w:rPr>
          <w:noProof/>
        </w:rPr>
        <w:t>nin</w:t>
      </w:r>
      <w:r w:rsidRPr="00115F78">
        <w:rPr>
          <w:noProof/>
        </w:rPr>
        <w:t>iejszym rozporządzeniu należy określić zasady udostępniania państwom członkowskim przypadającej im części opłat ETIAS na pokrycie ich odpowiednich kosztów operacyjnych,</w:t>
      </w:r>
      <w:r w:rsidR="00115F78" w:rsidRPr="00115F78">
        <w:rPr>
          <w:noProof/>
        </w:rPr>
        <w:t xml:space="preserve"> w</w:t>
      </w:r>
      <w:r w:rsidR="00115F78">
        <w:rPr>
          <w:noProof/>
        </w:rPr>
        <w:t> </w:t>
      </w:r>
      <w:bookmarkStart w:id="15" w:name="_Hlk202881236"/>
      <w:r w:rsidR="00115F78" w:rsidRPr="00115F78">
        <w:rPr>
          <w:noProof/>
        </w:rPr>
        <w:t>tym</w:t>
      </w:r>
      <w:r w:rsidRPr="00115F78">
        <w:rPr>
          <w:noProof/>
        </w:rPr>
        <w:t xml:space="preserve"> warunki</w:t>
      </w:r>
      <w:r w:rsidR="00115F78" w:rsidRPr="00115F78">
        <w:rPr>
          <w:noProof/>
        </w:rPr>
        <w:t xml:space="preserve"> w</w:t>
      </w:r>
      <w:r w:rsidR="00115F78">
        <w:rPr>
          <w:noProof/>
        </w:rPr>
        <w:t> </w:t>
      </w:r>
      <w:r w:rsidR="00115F78" w:rsidRPr="00115F78">
        <w:rPr>
          <w:noProof/>
        </w:rPr>
        <w:t>prz</w:t>
      </w:r>
      <w:r w:rsidRPr="00115F78">
        <w:rPr>
          <w:noProof/>
        </w:rPr>
        <w:t>ypadku, gdy ich całkowite koszty operacyjne</w:t>
      </w:r>
      <w:r w:rsidR="00115F78" w:rsidRPr="00115F78">
        <w:rPr>
          <w:noProof/>
        </w:rPr>
        <w:t xml:space="preserve"> w</w:t>
      </w:r>
      <w:r w:rsidR="00115F78">
        <w:rPr>
          <w:noProof/>
        </w:rPr>
        <w:t> </w:t>
      </w:r>
      <w:r w:rsidR="00115F78" w:rsidRPr="00115F78">
        <w:rPr>
          <w:noProof/>
        </w:rPr>
        <w:t>dan</w:t>
      </w:r>
      <w:r w:rsidRPr="00115F78">
        <w:rPr>
          <w:noProof/>
        </w:rPr>
        <w:t>ym roku przekraczają dostępne dochody ETIAS</w:t>
      </w:r>
      <w:bookmarkEnd w:id="15"/>
      <w:r w:rsidRPr="00115F78">
        <w:rPr>
          <w:noProof/>
        </w:rPr>
        <w:t xml:space="preserve">. </w:t>
      </w:r>
    </w:p>
    <w:p w14:paraId="73242398" w14:textId="589B3289" w:rsidR="00286E0D" w:rsidRPr="00115F78" w:rsidRDefault="003347AC" w:rsidP="003347AC">
      <w:pPr>
        <w:pStyle w:val="ManualConsidrant"/>
        <w:rPr>
          <w:noProof/>
        </w:rPr>
      </w:pPr>
      <w:r w:rsidRPr="00115F78">
        <w:rPr>
          <w:noProof/>
        </w:rPr>
        <w:t>(19)</w:t>
      </w:r>
      <w:r w:rsidRPr="00115F78">
        <w:rPr>
          <w:noProof/>
        </w:rPr>
        <w:tab/>
        <w:t>Biorąc pod uwagę, że państwa członkowskie znajdujące się pod presją migracyjną powinny mieć możliwość polegania na wsparciu unijnym,</w:t>
      </w:r>
      <w:r w:rsidR="00115F78" w:rsidRPr="00115F78">
        <w:rPr>
          <w:noProof/>
        </w:rPr>
        <w:t xml:space="preserve"> w</w:t>
      </w:r>
      <w:r w:rsidR="00115F78">
        <w:rPr>
          <w:noProof/>
        </w:rPr>
        <w:t> </w:t>
      </w:r>
      <w:r w:rsidR="00115F78" w:rsidRPr="00115F78">
        <w:rPr>
          <w:noProof/>
        </w:rPr>
        <w:t>nin</w:t>
      </w:r>
      <w:r w:rsidRPr="00115F78">
        <w:rPr>
          <w:noProof/>
        </w:rPr>
        <w:t>iejszym rozporządzeniu należy określić zasady udostępniania państwom członkowskim będącym beneficjentami odpowiedniej części wkładów finansowych ujętych</w:t>
      </w:r>
      <w:r w:rsidR="00115F78" w:rsidRPr="00115F78">
        <w:rPr>
          <w:noProof/>
        </w:rPr>
        <w:t xml:space="preserve"> w</w:t>
      </w:r>
      <w:r w:rsidR="00115F78">
        <w:rPr>
          <w:noProof/>
        </w:rPr>
        <w:t> </w:t>
      </w:r>
      <w:r w:rsidR="00115F78" w:rsidRPr="00115F78">
        <w:rPr>
          <w:noProof/>
        </w:rPr>
        <w:t>roc</w:t>
      </w:r>
      <w:r w:rsidRPr="00115F78">
        <w:rPr>
          <w:noProof/>
        </w:rPr>
        <w:t>znej puli solidarnościowej ustanowionej rozporządzeniem (UE) 2024/1351</w:t>
      </w:r>
      <w:r w:rsidRPr="00115F78">
        <w:rPr>
          <w:rStyle w:val="FootnoteReference"/>
          <w:rFonts w:eastAsia="Arial Unicode MS"/>
          <w:noProof/>
          <w:szCs w:val="24"/>
          <w:lang w:eastAsia="en-IE"/>
        </w:rPr>
        <w:footnoteReference w:id="12"/>
      </w:r>
      <w:r w:rsidRPr="00115F78">
        <w:rPr>
          <w:noProof/>
        </w:rPr>
        <w:t>.</w:t>
      </w:r>
    </w:p>
    <w:p w14:paraId="4C768251" w14:textId="0C961B26" w:rsidR="006866F6" w:rsidRPr="00115F78" w:rsidRDefault="003347AC" w:rsidP="003347AC">
      <w:pPr>
        <w:pStyle w:val="ManualConsidrant"/>
        <w:rPr>
          <w:noProof/>
        </w:rPr>
      </w:pPr>
      <w:bookmarkStart w:id="16" w:name="_Hlk202881260"/>
      <w:r w:rsidRPr="00115F78">
        <w:rPr>
          <w:noProof/>
        </w:rPr>
        <w:t>(20)</w:t>
      </w:r>
      <w:r w:rsidRPr="00115F78">
        <w:rPr>
          <w:noProof/>
        </w:rPr>
        <w:tab/>
        <w:t>Wszystkie działania otrzymujące unijne wsparcie na podstawie niniejszego rozporządzenia powinny być realizowane zgodnie</w:t>
      </w:r>
      <w:r w:rsidR="00115F78" w:rsidRPr="00115F78">
        <w:rPr>
          <w:noProof/>
        </w:rPr>
        <w:t xml:space="preserve"> z</w:t>
      </w:r>
      <w:r w:rsidR="00115F78">
        <w:rPr>
          <w:noProof/>
        </w:rPr>
        <w:t> </w:t>
      </w:r>
      <w:r w:rsidR="00115F78" w:rsidRPr="00115F78">
        <w:rPr>
          <w:noProof/>
        </w:rPr>
        <w:t>pra</w:t>
      </w:r>
      <w:r w:rsidRPr="00115F78">
        <w:rPr>
          <w:noProof/>
        </w:rPr>
        <w:t>wami</w:t>
      </w:r>
      <w:r w:rsidR="00115F78" w:rsidRPr="00115F78">
        <w:rPr>
          <w:noProof/>
        </w:rPr>
        <w:t xml:space="preserve"> i</w:t>
      </w:r>
      <w:r w:rsidR="00115F78">
        <w:rPr>
          <w:noProof/>
        </w:rPr>
        <w:t> </w:t>
      </w:r>
      <w:r w:rsidR="00115F78" w:rsidRPr="00115F78">
        <w:rPr>
          <w:noProof/>
        </w:rPr>
        <w:t>zas</w:t>
      </w:r>
      <w:r w:rsidRPr="00115F78">
        <w:rPr>
          <w:noProof/>
        </w:rPr>
        <w:t>adami zapisanymi</w:t>
      </w:r>
      <w:r w:rsidR="00115F78" w:rsidRPr="00115F78">
        <w:rPr>
          <w:noProof/>
        </w:rPr>
        <w:t xml:space="preserve"> w</w:t>
      </w:r>
      <w:r w:rsidR="00115F78">
        <w:rPr>
          <w:noProof/>
        </w:rPr>
        <w:t> </w:t>
      </w:r>
      <w:r w:rsidR="00115F78" w:rsidRPr="00115F78">
        <w:rPr>
          <w:noProof/>
        </w:rPr>
        <w:t>dor</w:t>
      </w:r>
      <w:r w:rsidRPr="00115F78">
        <w:rPr>
          <w:noProof/>
        </w:rPr>
        <w:t>obku prawnym Unii oraz</w:t>
      </w:r>
      <w:r w:rsidR="00115F78" w:rsidRPr="00115F78">
        <w:rPr>
          <w:noProof/>
        </w:rPr>
        <w:t xml:space="preserve"> w</w:t>
      </w:r>
      <w:r w:rsidR="00115F78">
        <w:rPr>
          <w:noProof/>
        </w:rPr>
        <w:t> </w:t>
      </w:r>
      <w:r w:rsidR="00115F78" w:rsidRPr="00115F78">
        <w:rPr>
          <w:noProof/>
        </w:rPr>
        <w:t>Kar</w:t>
      </w:r>
      <w:r w:rsidRPr="00115F78">
        <w:rPr>
          <w:noProof/>
        </w:rPr>
        <w:t>cie praw podstawowych Unii Europejskiej oraz powinny być zgodne</w:t>
      </w:r>
      <w:r w:rsidR="00115F78" w:rsidRPr="00115F78">
        <w:rPr>
          <w:noProof/>
        </w:rPr>
        <w:t xml:space="preserve"> z</w:t>
      </w:r>
      <w:r w:rsidR="00115F78">
        <w:rPr>
          <w:noProof/>
        </w:rPr>
        <w:t> </w:t>
      </w:r>
      <w:r w:rsidR="00115F78" w:rsidRPr="00115F78">
        <w:rPr>
          <w:noProof/>
        </w:rPr>
        <w:t>mię</w:t>
      </w:r>
      <w:r w:rsidRPr="00115F78">
        <w:rPr>
          <w:noProof/>
        </w:rPr>
        <w:t>dzynarodowymi zobowiązaniami Unii</w:t>
      </w:r>
      <w:r w:rsidR="00115F78" w:rsidRPr="00115F78">
        <w:rPr>
          <w:noProof/>
        </w:rPr>
        <w:t xml:space="preserve"> i</w:t>
      </w:r>
      <w:r w:rsidR="00115F78">
        <w:rPr>
          <w:noProof/>
        </w:rPr>
        <w:t> </w:t>
      </w:r>
      <w:r w:rsidR="00115F78" w:rsidRPr="00115F78">
        <w:rPr>
          <w:noProof/>
        </w:rPr>
        <w:t>pań</w:t>
      </w:r>
      <w:r w:rsidRPr="00115F78">
        <w:rPr>
          <w:noProof/>
        </w:rPr>
        <w:t>stw członkowskich wynikającymi</w:t>
      </w:r>
      <w:r w:rsidR="00115F78" w:rsidRPr="00115F78">
        <w:rPr>
          <w:noProof/>
        </w:rPr>
        <w:t xml:space="preserve"> z</w:t>
      </w:r>
      <w:r w:rsidR="00115F78">
        <w:rPr>
          <w:noProof/>
        </w:rPr>
        <w:t> </w:t>
      </w:r>
      <w:r w:rsidR="00115F78" w:rsidRPr="00115F78">
        <w:rPr>
          <w:noProof/>
        </w:rPr>
        <w:t>ins</w:t>
      </w:r>
      <w:r w:rsidRPr="00115F78">
        <w:rPr>
          <w:noProof/>
        </w:rPr>
        <w:t>trumentów międzynarodowych, których są stronami.</w:t>
      </w:r>
    </w:p>
    <w:bookmarkEnd w:id="16"/>
    <w:p w14:paraId="79724041" w14:textId="65C48D3D" w:rsidR="00286E0D" w:rsidRPr="00115F78" w:rsidRDefault="003347AC" w:rsidP="003347AC">
      <w:pPr>
        <w:pStyle w:val="ManualConsidrant"/>
        <w:rPr>
          <w:noProof/>
        </w:rPr>
      </w:pPr>
      <w:r w:rsidRPr="00115F78">
        <w:rPr>
          <w:noProof/>
        </w:rPr>
        <w:t>(21)</w:t>
      </w:r>
      <w:r w:rsidRPr="00115F78">
        <w:rPr>
          <w:noProof/>
        </w:rPr>
        <w:tab/>
        <w:t>Zgodnie</w:t>
      </w:r>
      <w:r w:rsidR="00115F78" w:rsidRPr="00115F78">
        <w:rPr>
          <w:noProof/>
        </w:rPr>
        <w:t xml:space="preserve"> z</w:t>
      </w:r>
      <w:r w:rsidR="00115F78">
        <w:rPr>
          <w:noProof/>
        </w:rPr>
        <w:t> </w:t>
      </w:r>
      <w:r w:rsidR="00115F78" w:rsidRPr="00115F78">
        <w:rPr>
          <w:noProof/>
        </w:rPr>
        <w:t>Pro</w:t>
      </w:r>
      <w:r w:rsidRPr="00115F78">
        <w:rPr>
          <w:noProof/>
        </w:rPr>
        <w:t>tokołem nr</w:t>
      </w:r>
      <w:r w:rsidR="00115F78" w:rsidRPr="00115F78">
        <w:rPr>
          <w:noProof/>
        </w:rPr>
        <w:t> </w:t>
      </w:r>
      <w:r w:rsidRPr="00115F78">
        <w:rPr>
          <w:noProof/>
        </w:rPr>
        <w:t>5 do Aktu przystąpienia</w:t>
      </w:r>
      <w:r w:rsidR="00115F78" w:rsidRPr="00115F78">
        <w:rPr>
          <w:noProof/>
        </w:rPr>
        <w:t xml:space="preserve"> z</w:t>
      </w:r>
      <w:r w:rsidR="00115F78">
        <w:rPr>
          <w:noProof/>
        </w:rPr>
        <w:t> </w:t>
      </w:r>
      <w:r w:rsidR="00115F78" w:rsidRPr="00115F78">
        <w:rPr>
          <w:noProof/>
        </w:rPr>
        <w:t>2</w:t>
      </w:r>
      <w:r w:rsidRPr="00115F78">
        <w:rPr>
          <w:noProof/>
        </w:rPr>
        <w:t>003</w:t>
      </w:r>
      <w:r w:rsidR="00115F78" w:rsidRPr="00115F78">
        <w:rPr>
          <w:noProof/>
        </w:rPr>
        <w:t> </w:t>
      </w:r>
      <w:r w:rsidRPr="00115F78">
        <w:rPr>
          <w:noProof/>
        </w:rPr>
        <w:t>r.</w:t>
      </w:r>
      <w:r w:rsidR="00115F78" w:rsidRPr="00115F78">
        <w:rPr>
          <w:noProof/>
        </w:rPr>
        <w:t xml:space="preserve"> w</w:t>
      </w:r>
      <w:r w:rsidR="00115F78">
        <w:rPr>
          <w:noProof/>
        </w:rPr>
        <w:t> </w:t>
      </w:r>
      <w:r w:rsidR="00115F78" w:rsidRPr="00115F78">
        <w:rPr>
          <w:noProof/>
        </w:rPr>
        <w:t>spr</w:t>
      </w:r>
      <w:r w:rsidRPr="00115F78">
        <w:rPr>
          <w:noProof/>
        </w:rPr>
        <w:t>awie tranzytu osób drogą lądową między Obwodem Kaliningradzkim</w:t>
      </w:r>
      <w:r w:rsidR="00115F78" w:rsidRPr="00115F78">
        <w:rPr>
          <w:noProof/>
        </w:rPr>
        <w:t xml:space="preserve"> i</w:t>
      </w:r>
      <w:r w:rsidR="00115F78">
        <w:rPr>
          <w:noProof/>
        </w:rPr>
        <w:t> </w:t>
      </w:r>
      <w:r w:rsidR="00115F78" w:rsidRPr="00115F78">
        <w:rPr>
          <w:noProof/>
        </w:rPr>
        <w:t>inn</w:t>
      </w:r>
      <w:r w:rsidRPr="00115F78">
        <w:rPr>
          <w:noProof/>
        </w:rPr>
        <w:t>ymi częściami Federacji Rosyjskiej</w:t>
      </w:r>
      <w:r w:rsidRPr="00115F78">
        <w:rPr>
          <w:rStyle w:val="FootnoteReference"/>
          <w:noProof/>
          <w:szCs w:val="24"/>
        </w:rPr>
        <w:footnoteReference w:id="13"/>
      </w:r>
      <w:r w:rsidRPr="00115F78">
        <w:rPr>
          <w:noProof/>
        </w:rPr>
        <w:t xml:space="preserve"> Unia wspiera Litwę</w:t>
      </w:r>
      <w:r w:rsidR="00115F78" w:rsidRPr="00115F78">
        <w:rPr>
          <w:noProof/>
        </w:rPr>
        <w:t xml:space="preserve"> w</w:t>
      </w:r>
      <w:r w:rsidR="00115F78">
        <w:rPr>
          <w:noProof/>
        </w:rPr>
        <w:t> </w:t>
      </w:r>
      <w:r w:rsidR="00115F78" w:rsidRPr="00115F78">
        <w:rPr>
          <w:noProof/>
        </w:rPr>
        <w:t>zar</w:t>
      </w:r>
      <w:r w:rsidRPr="00115F78">
        <w:rPr>
          <w:noProof/>
        </w:rPr>
        <w:t>ządzaniu tranzytem osób między obwodem królewieckim</w:t>
      </w:r>
      <w:r w:rsidR="00115F78" w:rsidRPr="00115F78">
        <w:rPr>
          <w:noProof/>
        </w:rPr>
        <w:t xml:space="preserve"> a</w:t>
      </w:r>
      <w:r w:rsidR="00115F78">
        <w:rPr>
          <w:noProof/>
        </w:rPr>
        <w:t> </w:t>
      </w:r>
      <w:r w:rsidR="00115F78" w:rsidRPr="00115F78">
        <w:rPr>
          <w:noProof/>
        </w:rPr>
        <w:t>inn</w:t>
      </w:r>
      <w:r w:rsidRPr="00115F78">
        <w:rPr>
          <w:noProof/>
        </w:rPr>
        <w:t>ymi częściami Federacji Rosyjskiej,</w:t>
      </w:r>
      <w:r w:rsidR="00115F78" w:rsidRPr="00115F78">
        <w:rPr>
          <w:noProof/>
        </w:rPr>
        <w:t xml:space="preserve"> a</w:t>
      </w:r>
      <w:r w:rsidR="00115F78">
        <w:rPr>
          <w:noProof/>
        </w:rPr>
        <w:t> </w:t>
      </w:r>
      <w:r w:rsidR="00115F78" w:rsidRPr="00115F78">
        <w:rPr>
          <w:noProof/>
        </w:rPr>
        <w:t>w</w:t>
      </w:r>
      <w:r w:rsidR="00115F78">
        <w:rPr>
          <w:noProof/>
        </w:rPr>
        <w:t> </w:t>
      </w:r>
      <w:r w:rsidR="00115F78" w:rsidRPr="00115F78">
        <w:rPr>
          <w:noProof/>
        </w:rPr>
        <w:t>szc</w:t>
      </w:r>
      <w:r w:rsidRPr="00115F78">
        <w:rPr>
          <w:noProof/>
        </w:rPr>
        <w:t>zególności ponosi wszelkie dodatkowe koszty związane</w:t>
      </w:r>
      <w:r w:rsidR="00115F78" w:rsidRPr="00115F78">
        <w:rPr>
          <w:noProof/>
        </w:rPr>
        <w:t xml:space="preserve"> z</w:t>
      </w:r>
      <w:r w:rsidR="00115F78">
        <w:rPr>
          <w:noProof/>
        </w:rPr>
        <w:t> </w:t>
      </w:r>
      <w:r w:rsidR="00115F78" w:rsidRPr="00115F78">
        <w:rPr>
          <w:noProof/>
        </w:rPr>
        <w:t>wdr</w:t>
      </w:r>
      <w:r w:rsidRPr="00115F78">
        <w:rPr>
          <w:noProof/>
        </w:rPr>
        <w:t>ażaniem szczególnych przepisów unijnego dorobku przewidujących taki tranzyt</w:t>
      </w:r>
      <w:r w:rsidR="00115F78" w:rsidRPr="00115F78">
        <w:rPr>
          <w:noProof/>
        </w:rPr>
        <w:t>. W</w:t>
      </w:r>
      <w:r w:rsidR="00115F78">
        <w:rPr>
          <w:noProof/>
        </w:rPr>
        <w:t> </w:t>
      </w:r>
      <w:r w:rsidR="00115F78" w:rsidRPr="00115F78">
        <w:rPr>
          <w:noProof/>
        </w:rPr>
        <w:t>zwi</w:t>
      </w:r>
      <w:r w:rsidRPr="00115F78">
        <w:rPr>
          <w:noProof/>
        </w:rPr>
        <w:t>ązku</w:t>
      </w:r>
      <w:r w:rsidR="00115F78" w:rsidRPr="00115F78">
        <w:rPr>
          <w:noProof/>
        </w:rPr>
        <w:t xml:space="preserve"> z</w:t>
      </w:r>
      <w:r w:rsidR="00115F78">
        <w:rPr>
          <w:noProof/>
        </w:rPr>
        <w:t> </w:t>
      </w:r>
      <w:r w:rsidR="00115F78" w:rsidRPr="00115F78">
        <w:rPr>
          <w:noProof/>
        </w:rPr>
        <w:t>tym w</w:t>
      </w:r>
      <w:r w:rsidR="00115F78">
        <w:rPr>
          <w:noProof/>
        </w:rPr>
        <w:t> </w:t>
      </w:r>
      <w:r w:rsidR="00115F78" w:rsidRPr="00115F78">
        <w:rPr>
          <w:noProof/>
        </w:rPr>
        <w:t>nin</w:t>
      </w:r>
      <w:r w:rsidRPr="00115F78">
        <w:rPr>
          <w:noProof/>
        </w:rPr>
        <w:t>iejszym rozporządzeniu należy określić zasady wsparcia finansowego dla specjalnego programu tranzytowego określonego</w:t>
      </w:r>
      <w:r w:rsidR="00115F78" w:rsidRPr="00115F78">
        <w:rPr>
          <w:noProof/>
        </w:rPr>
        <w:t xml:space="preserve"> w</w:t>
      </w:r>
      <w:r w:rsidR="00115F78">
        <w:rPr>
          <w:noProof/>
        </w:rPr>
        <w:t> </w:t>
      </w:r>
      <w:r w:rsidR="00115F78" w:rsidRPr="00115F78">
        <w:rPr>
          <w:noProof/>
        </w:rPr>
        <w:t>roz</w:t>
      </w:r>
      <w:r w:rsidRPr="00115F78">
        <w:rPr>
          <w:noProof/>
        </w:rPr>
        <w:t>porządzeniu Rady (WE) nr</w:t>
      </w:r>
      <w:r w:rsidR="00115F78" w:rsidRPr="00115F78">
        <w:rPr>
          <w:noProof/>
        </w:rPr>
        <w:t> </w:t>
      </w:r>
      <w:r w:rsidRPr="00115F78">
        <w:rPr>
          <w:noProof/>
        </w:rPr>
        <w:t>693/2003</w:t>
      </w:r>
      <w:r w:rsidRPr="00115F78">
        <w:rPr>
          <w:rStyle w:val="FootnoteReference"/>
          <w:noProof/>
          <w:szCs w:val="24"/>
        </w:rPr>
        <w:footnoteReference w:id="14"/>
      </w:r>
      <w:r w:rsidRPr="00115F78">
        <w:rPr>
          <w:noProof/>
        </w:rPr>
        <w:t>.</w:t>
      </w:r>
    </w:p>
    <w:p w14:paraId="2F17EDDB" w14:textId="7E684884" w:rsidR="00286E0D" w:rsidRPr="00115F78" w:rsidRDefault="003347AC" w:rsidP="003347AC">
      <w:pPr>
        <w:pStyle w:val="ManualConsidrant"/>
        <w:rPr>
          <w:noProof/>
        </w:rPr>
      </w:pPr>
      <w:r w:rsidRPr="00115F78">
        <w:rPr>
          <w:noProof/>
        </w:rPr>
        <w:t>(22)</w:t>
      </w:r>
      <w:r w:rsidRPr="00115F78">
        <w:rPr>
          <w:noProof/>
        </w:rPr>
        <w:tab/>
        <w:t>W odniesieniu do Islandii</w:t>
      </w:r>
      <w:r w:rsidR="00115F78" w:rsidRPr="00115F78">
        <w:rPr>
          <w:noProof/>
        </w:rPr>
        <w:t xml:space="preserve"> i</w:t>
      </w:r>
      <w:r w:rsidR="00115F78">
        <w:rPr>
          <w:noProof/>
        </w:rPr>
        <w:t> </w:t>
      </w:r>
      <w:r w:rsidR="00115F78" w:rsidRPr="00115F78">
        <w:rPr>
          <w:noProof/>
        </w:rPr>
        <w:t>Nor</w:t>
      </w:r>
      <w:r w:rsidRPr="00115F78">
        <w:rPr>
          <w:noProof/>
        </w:rPr>
        <w:t>wegii niniejsze rozporządzenie stanowi rozwinięcie przepisów dorobku Schengen</w:t>
      </w:r>
      <w:r w:rsidR="00115F78" w:rsidRPr="00115F78">
        <w:rPr>
          <w:noProof/>
        </w:rPr>
        <w:t xml:space="preserve"> w</w:t>
      </w:r>
      <w:r w:rsidR="00115F78">
        <w:rPr>
          <w:noProof/>
        </w:rPr>
        <w:t> </w:t>
      </w:r>
      <w:r w:rsidR="00115F78" w:rsidRPr="00115F78">
        <w:rPr>
          <w:noProof/>
        </w:rPr>
        <w:t>roz</w:t>
      </w:r>
      <w:r w:rsidRPr="00115F78">
        <w:rPr>
          <w:noProof/>
        </w:rPr>
        <w:t>umieniu Umowy zawartej przez Radę Unii Europejskiej</w:t>
      </w:r>
      <w:r w:rsidR="00115F78" w:rsidRPr="00115F78">
        <w:rPr>
          <w:noProof/>
        </w:rPr>
        <w:t xml:space="preserve"> i</w:t>
      </w:r>
      <w:r w:rsidR="00115F78">
        <w:rPr>
          <w:noProof/>
        </w:rPr>
        <w:t> </w:t>
      </w:r>
      <w:r w:rsidR="00115F78" w:rsidRPr="00115F78">
        <w:rPr>
          <w:noProof/>
        </w:rPr>
        <w:t>Rep</w:t>
      </w:r>
      <w:r w:rsidRPr="00115F78">
        <w:rPr>
          <w:noProof/>
        </w:rPr>
        <w:t>ublikę Islandii oraz Królestwo Norwegii dotyczącej włączenia tych dwóch państw we wprowadzanie</w:t>
      </w:r>
      <w:r w:rsidR="00115F78" w:rsidRPr="00115F78">
        <w:rPr>
          <w:noProof/>
        </w:rPr>
        <w:t xml:space="preserve"> w</w:t>
      </w:r>
      <w:r w:rsidR="00115F78">
        <w:rPr>
          <w:noProof/>
        </w:rPr>
        <w:t> </w:t>
      </w:r>
      <w:r w:rsidR="00115F78" w:rsidRPr="00115F78">
        <w:rPr>
          <w:noProof/>
        </w:rPr>
        <w:t>życ</w:t>
      </w:r>
      <w:r w:rsidRPr="00115F78">
        <w:rPr>
          <w:noProof/>
        </w:rPr>
        <w:t>ie, stosowanie</w:t>
      </w:r>
      <w:r w:rsidR="00115F78" w:rsidRPr="00115F78">
        <w:rPr>
          <w:noProof/>
        </w:rPr>
        <w:t xml:space="preserve"> i</w:t>
      </w:r>
      <w:r w:rsidR="00115F78">
        <w:rPr>
          <w:noProof/>
        </w:rPr>
        <w:t> </w:t>
      </w:r>
      <w:r w:rsidR="00115F78" w:rsidRPr="00115F78">
        <w:rPr>
          <w:noProof/>
        </w:rPr>
        <w:t>roz</w:t>
      </w:r>
      <w:r w:rsidRPr="00115F78">
        <w:rPr>
          <w:noProof/>
        </w:rPr>
        <w:t>wój dorobku Schengen</w:t>
      </w:r>
      <w:r w:rsidRPr="00115F78">
        <w:rPr>
          <w:rStyle w:val="FootnoteReference"/>
          <w:noProof/>
          <w:szCs w:val="24"/>
        </w:rPr>
        <w:footnoteReference w:id="15"/>
      </w:r>
      <w:r w:rsidRPr="00115F78">
        <w:rPr>
          <w:noProof/>
        </w:rPr>
        <w:t>, które wchodzą</w:t>
      </w:r>
      <w:r w:rsidR="00115F78" w:rsidRPr="00115F78">
        <w:rPr>
          <w:noProof/>
        </w:rPr>
        <w:t xml:space="preserve"> w</w:t>
      </w:r>
      <w:r w:rsidR="00115F78">
        <w:rPr>
          <w:noProof/>
        </w:rPr>
        <w:t> </w:t>
      </w:r>
      <w:r w:rsidR="00115F78" w:rsidRPr="00115F78">
        <w:rPr>
          <w:noProof/>
        </w:rPr>
        <w:t>zak</w:t>
      </w:r>
      <w:r w:rsidRPr="00115F78">
        <w:rPr>
          <w:noProof/>
        </w:rPr>
        <w:t>res obszaru,</w:t>
      </w:r>
      <w:r w:rsidR="00115F78" w:rsidRPr="00115F78">
        <w:rPr>
          <w:noProof/>
        </w:rPr>
        <w:t xml:space="preserve"> o</w:t>
      </w:r>
      <w:r w:rsidR="00115F78">
        <w:rPr>
          <w:noProof/>
        </w:rPr>
        <w:t> </w:t>
      </w:r>
      <w:r w:rsidR="00115F78" w:rsidRPr="00115F78">
        <w:rPr>
          <w:noProof/>
        </w:rPr>
        <w:t>któ</w:t>
      </w:r>
      <w:r w:rsidRPr="00115F78">
        <w:rPr>
          <w:noProof/>
        </w:rPr>
        <w:t>rym mowa</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1 lit. A i B decyzji Rady 1999/437/WE</w:t>
      </w:r>
      <w:r w:rsidRPr="00115F78">
        <w:rPr>
          <w:rStyle w:val="FootnoteReference"/>
          <w:noProof/>
          <w:szCs w:val="24"/>
        </w:rPr>
        <w:footnoteReference w:id="16"/>
      </w:r>
      <w:r w:rsidRPr="00115F78">
        <w:rPr>
          <w:noProof/>
        </w:rPr>
        <w:t>.</w:t>
      </w:r>
    </w:p>
    <w:p w14:paraId="440CC84B" w14:textId="6EEEB793" w:rsidR="00286E0D" w:rsidRPr="00115F78" w:rsidRDefault="003347AC" w:rsidP="003347AC">
      <w:pPr>
        <w:pStyle w:val="ManualConsidrant"/>
        <w:rPr>
          <w:noProof/>
        </w:rPr>
      </w:pPr>
      <w:r w:rsidRPr="00115F78">
        <w:rPr>
          <w:noProof/>
        </w:rPr>
        <w:t>(23)</w:t>
      </w:r>
      <w:r w:rsidRPr="00115F78">
        <w:rPr>
          <w:noProof/>
        </w:rPr>
        <w:tab/>
        <w:t>W odniesieniu do Szwajcarii niniejsze rozporządzenie stanowi rozwinięcie przepisów dorobku Schengen</w:t>
      </w:r>
      <w:r w:rsidR="00115F78" w:rsidRPr="00115F78">
        <w:rPr>
          <w:noProof/>
        </w:rPr>
        <w:t xml:space="preserve"> w</w:t>
      </w:r>
      <w:r w:rsidR="00115F78">
        <w:rPr>
          <w:noProof/>
        </w:rPr>
        <w:t> </w:t>
      </w:r>
      <w:r w:rsidR="00115F78" w:rsidRPr="00115F78">
        <w:rPr>
          <w:noProof/>
        </w:rPr>
        <w:t>roz</w:t>
      </w:r>
      <w:r w:rsidRPr="00115F78">
        <w:rPr>
          <w:noProof/>
        </w:rPr>
        <w:t>umieniu Umowy między Unią Europejską, Wspólnotą Europejską</w:t>
      </w:r>
      <w:r w:rsidR="00115F78" w:rsidRPr="00115F78">
        <w:rPr>
          <w:noProof/>
        </w:rPr>
        <w:t xml:space="preserve"> a</w:t>
      </w:r>
      <w:r w:rsidR="00115F78">
        <w:rPr>
          <w:noProof/>
        </w:rPr>
        <w:t> </w:t>
      </w:r>
      <w:r w:rsidR="00115F78" w:rsidRPr="00115F78">
        <w:rPr>
          <w:noProof/>
        </w:rPr>
        <w:t>Kon</w:t>
      </w:r>
      <w:r w:rsidRPr="00115F78">
        <w:rPr>
          <w:noProof/>
        </w:rPr>
        <w:t>federacją Szwajcarską</w:t>
      </w:r>
      <w:r w:rsidR="00115F78" w:rsidRPr="00115F78">
        <w:rPr>
          <w:noProof/>
        </w:rPr>
        <w:t xml:space="preserve"> w</w:t>
      </w:r>
      <w:r w:rsidR="00115F78">
        <w:rPr>
          <w:noProof/>
        </w:rPr>
        <w:t> </w:t>
      </w:r>
      <w:r w:rsidR="00115F78" w:rsidRPr="00115F78">
        <w:rPr>
          <w:noProof/>
        </w:rPr>
        <w:t>spr</w:t>
      </w:r>
      <w:r w:rsidRPr="00115F78">
        <w:rPr>
          <w:noProof/>
        </w:rPr>
        <w:t>awie włączenia Konfederacji Szwajcarskiej we wprowadzanie</w:t>
      </w:r>
      <w:r w:rsidR="00115F78" w:rsidRPr="00115F78">
        <w:rPr>
          <w:noProof/>
        </w:rPr>
        <w:t xml:space="preserve"> w</w:t>
      </w:r>
      <w:r w:rsidR="00115F78">
        <w:rPr>
          <w:noProof/>
        </w:rPr>
        <w:t> </w:t>
      </w:r>
      <w:r w:rsidR="00115F78" w:rsidRPr="00115F78">
        <w:rPr>
          <w:noProof/>
        </w:rPr>
        <w:t>życ</w:t>
      </w:r>
      <w:r w:rsidRPr="00115F78">
        <w:rPr>
          <w:noProof/>
        </w:rPr>
        <w:t>ie, stosowanie</w:t>
      </w:r>
      <w:r w:rsidR="00115F78" w:rsidRPr="00115F78">
        <w:rPr>
          <w:noProof/>
        </w:rPr>
        <w:t xml:space="preserve"> i</w:t>
      </w:r>
      <w:r w:rsidR="00115F78">
        <w:rPr>
          <w:noProof/>
        </w:rPr>
        <w:t> </w:t>
      </w:r>
      <w:r w:rsidR="00115F78" w:rsidRPr="00115F78">
        <w:rPr>
          <w:noProof/>
        </w:rPr>
        <w:t>roz</w:t>
      </w:r>
      <w:r w:rsidRPr="00115F78">
        <w:rPr>
          <w:noProof/>
        </w:rPr>
        <w:t>wój dorobku Schengen</w:t>
      </w:r>
      <w:r w:rsidRPr="00115F78">
        <w:rPr>
          <w:rStyle w:val="FootnoteReference"/>
          <w:noProof/>
          <w:szCs w:val="24"/>
        </w:rPr>
        <w:footnoteReference w:id="17"/>
      </w:r>
      <w:r w:rsidRPr="00115F78">
        <w:rPr>
          <w:noProof/>
        </w:rPr>
        <w:t>, które wchodzą</w:t>
      </w:r>
      <w:r w:rsidR="00115F78" w:rsidRPr="00115F78">
        <w:rPr>
          <w:noProof/>
        </w:rPr>
        <w:t xml:space="preserve"> w</w:t>
      </w:r>
      <w:r w:rsidR="00115F78">
        <w:rPr>
          <w:noProof/>
        </w:rPr>
        <w:t> </w:t>
      </w:r>
      <w:r w:rsidR="00115F78" w:rsidRPr="00115F78">
        <w:rPr>
          <w:noProof/>
        </w:rPr>
        <w:t>zak</w:t>
      </w:r>
      <w:r w:rsidRPr="00115F78">
        <w:rPr>
          <w:noProof/>
        </w:rPr>
        <w:t>res obszaru,</w:t>
      </w:r>
      <w:r w:rsidR="00115F78" w:rsidRPr="00115F78">
        <w:rPr>
          <w:noProof/>
        </w:rPr>
        <w:t xml:space="preserve"> o</w:t>
      </w:r>
      <w:r w:rsidR="00115F78">
        <w:rPr>
          <w:noProof/>
        </w:rPr>
        <w:t> </w:t>
      </w:r>
      <w:r w:rsidR="00115F78" w:rsidRPr="00115F78">
        <w:rPr>
          <w:noProof/>
        </w:rPr>
        <w:t>któ</w:t>
      </w:r>
      <w:r w:rsidRPr="00115F78">
        <w:rPr>
          <w:noProof/>
        </w:rPr>
        <w:t>rym mowa</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1 lit. A i B decyzji Rady 1999/437/WE</w:t>
      </w:r>
      <w:r w:rsidR="00115F78" w:rsidRPr="00115F78">
        <w:rPr>
          <w:noProof/>
        </w:rPr>
        <w:t xml:space="preserve"> w</w:t>
      </w:r>
      <w:r w:rsidR="00115F78">
        <w:rPr>
          <w:noProof/>
        </w:rPr>
        <w:t> </w:t>
      </w:r>
      <w:r w:rsidR="00115F78" w:rsidRPr="00115F78">
        <w:rPr>
          <w:noProof/>
        </w:rPr>
        <w:t>zwi</w:t>
      </w:r>
      <w:r w:rsidRPr="00115F78">
        <w:rPr>
          <w:noProof/>
        </w:rPr>
        <w:t>ązku</w:t>
      </w:r>
      <w:r w:rsidR="00115F78" w:rsidRPr="00115F78">
        <w:rPr>
          <w:noProof/>
        </w:rPr>
        <w:t xml:space="preserve"> z</w:t>
      </w:r>
      <w:r w:rsidR="00115F78">
        <w:rPr>
          <w:noProof/>
        </w:rPr>
        <w:t> </w:t>
      </w:r>
      <w:r w:rsidR="00115F78" w:rsidRPr="00115F78">
        <w:rPr>
          <w:noProof/>
        </w:rPr>
        <w:t>art</w:t>
      </w:r>
      <w:r w:rsidRPr="00115F78">
        <w:rPr>
          <w:noProof/>
        </w:rPr>
        <w:t>.</w:t>
      </w:r>
      <w:r w:rsidR="00115F78" w:rsidRPr="00115F78">
        <w:rPr>
          <w:noProof/>
        </w:rPr>
        <w:t> </w:t>
      </w:r>
      <w:r w:rsidRPr="00115F78">
        <w:rPr>
          <w:noProof/>
        </w:rPr>
        <w:t>3 decyzji Rady 2008/146/WE</w:t>
      </w:r>
      <w:r w:rsidRPr="00115F78">
        <w:rPr>
          <w:rStyle w:val="FootnoteReference"/>
          <w:noProof/>
          <w:szCs w:val="24"/>
        </w:rPr>
        <w:footnoteReference w:id="18"/>
      </w:r>
      <w:r w:rsidRPr="00115F78">
        <w:rPr>
          <w:noProof/>
        </w:rPr>
        <w:t>.</w:t>
      </w:r>
    </w:p>
    <w:p w14:paraId="396CC801" w14:textId="2237E7FD" w:rsidR="00286E0D" w:rsidRPr="00115F78" w:rsidRDefault="003347AC" w:rsidP="003347AC">
      <w:pPr>
        <w:pStyle w:val="ManualConsidrant"/>
        <w:rPr>
          <w:noProof/>
        </w:rPr>
      </w:pPr>
      <w:r w:rsidRPr="00115F78">
        <w:rPr>
          <w:noProof/>
        </w:rPr>
        <w:t>(24)</w:t>
      </w:r>
      <w:r w:rsidRPr="00115F78">
        <w:rPr>
          <w:noProof/>
        </w:rPr>
        <w:tab/>
        <w:t>W odniesieniu do Liechtensteinu niniejsze rozporządzenie stanowi rozwinięcie przepisów dorobku Schengen</w:t>
      </w:r>
      <w:r w:rsidR="00115F78" w:rsidRPr="00115F78">
        <w:rPr>
          <w:noProof/>
        </w:rPr>
        <w:t xml:space="preserve"> w</w:t>
      </w:r>
      <w:r w:rsidR="00115F78">
        <w:rPr>
          <w:noProof/>
        </w:rPr>
        <w:t> </w:t>
      </w:r>
      <w:r w:rsidR="00115F78" w:rsidRPr="00115F78">
        <w:rPr>
          <w:noProof/>
        </w:rPr>
        <w:t>roz</w:t>
      </w:r>
      <w:r w:rsidRPr="00115F78">
        <w:rPr>
          <w:noProof/>
        </w:rPr>
        <w:t>umieniu Protokołu między Unią Europejską, Wspólnotą Europejską, Konfederacją Szwajcarską</w:t>
      </w:r>
      <w:r w:rsidR="00115F78" w:rsidRPr="00115F78">
        <w:rPr>
          <w:noProof/>
        </w:rPr>
        <w:t xml:space="preserve"> i</w:t>
      </w:r>
      <w:r w:rsidR="00115F78">
        <w:rPr>
          <w:noProof/>
        </w:rPr>
        <w:t> </w:t>
      </w:r>
      <w:r w:rsidR="00115F78" w:rsidRPr="00115F78">
        <w:rPr>
          <w:noProof/>
        </w:rPr>
        <w:t>Ksi</w:t>
      </w:r>
      <w:r w:rsidRPr="00115F78">
        <w:rPr>
          <w:noProof/>
        </w:rPr>
        <w:t>ęstwem Liechtensteinu</w:t>
      </w:r>
      <w:r w:rsidR="00115F78" w:rsidRPr="00115F78">
        <w:rPr>
          <w:noProof/>
        </w:rPr>
        <w:t xml:space="preserve"> w</w:t>
      </w:r>
      <w:r w:rsidR="00115F78">
        <w:rPr>
          <w:noProof/>
        </w:rPr>
        <w:t> </w:t>
      </w:r>
      <w:r w:rsidR="00115F78" w:rsidRPr="00115F78">
        <w:rPr>
          <w:noProof/>
        </w:rPr>
        <w:t>spr</w:t>
      </w:r>
      <w:r w:rsidRPr="00115F78">
        <w:rPr>
          <w:noProof/>
        </w:rPr>
        <w:t>awie przystąpienia Księstwa Liechtensteinu do Umowy między Unią Europejską, Wspólnotą Europejską</w:t>
      </w:r>
      <w:r w:rsidR="00115F78" w:rsidRPr="00115F78">
        <w:rPr>
          <w:noProof/>
        </w:rPr>
        <w:t xml:space="preserve"> i</w:t>
      </w:r>
      <w:r w:rsidR="00115F78">
        <w:rPr>
          <w:noProof/>
        </w:rPr>
        <w:t> </w:t>
      </w:r>
      <w:r w:rsidR="00115F78" w:rsidRPr="00115F78">
        <w:rPr>
          <w:noProof/>
        </w:rPr>
        <w:t>Kon</w:t>
      </w:r>
      <w:r w:rsidRPr="00115F78">
        <w:rPr>
          <w:noProof/>
        </w:rPr>
        <w:t>federacją Szwajcarską dotyczącej włączenia Konfederacji Szwajcarskiej we wprowadzanie</w:t>
      </w:r>
      <w:r w:rsidR="00115F78" w:rsidRPr="00115F78">
        <w:rPr>
          <w:noProof/>
        </w:rPr>
        <w:t xml:space="preserve"> w</w:t>
      </w:r>
      <w:r w:rsidR="00115F78">
        <w:rPr>
          <w:noProof/>
        </w:rPr>
        <w:t> </w:t>
      </w:r>
      <w:r w:rsidR="00115F78" w:rsidRPr="00115F78">
        <w:rPr>
          <w:noProof/>
        </w:rPr>
        <w:t>życ</w:t>
      </w:r>
      <w:r w:rsidRPr="00115F78">
        <w:rPr>
          <w:noProof/>
        </w:rPr>
        <w:t>ie, stosowanie</w:t>
      </w:r>
      <w:r w:rsidR="00115F78" w:rsidRPr="00115F78">
        <w:rPr>
          <w:noProof/>
        </w:rPr>
        <w:t xml:space="preserve"> i</w:t>
      </w:r>
      <w:r w:rsidR="00115F78">
        <w:rPr>
          <w:noProof/>
        </w:rPr>
        <w:t> </w:t>
      </w:r>
      <w:r w:rsidR="00115F78" w:rsidRPr="00115F78">
        <w:rPr>
          <w:noProof/>
        </w:rPr>
        <w:t>roz</w:t>
      </w:r>
      <w:r w:rsidRPr="00115F78">
        <w:rPr>
          <w:noProof/>
        </w:rPr>
        <w:t>wój dorobku Schengen</w:t>
      </w:r>
      <w:r w:rsidRPr="00115F78">
        <w:rPr>
          <w:rStyle w:val="FootnoteReference"/>
          <w:noProof/>
          <w:szCs w:val="24"/>
        </w:rPr>
        <w:footnoteReference w:id="19"/>
      </w:r>
      <w:r w:rsidRPr="00115F78">
        <w:rPr>
          <w:noProof/>
        </w:rPr>
        <w:t>, które wchodzą</w:t>
      </w:r>
      <w:r w:rsidR="00115F78" w:rsidRPr="00115F78">
        <w:rPr>
          <w:noProof/>
        </w:rPr>
        <w:t xml:space="preserve"> w</w:t>
      </w:r>
      <w:r w:rsidR="00115F78">
        <w:rPr>
          <w:noProof/>
        </w:rPr>
        <w:t> </w:t>
      </w:r>
      <w:r w:rsidR="00115F78" w:rsidRPr="00115F78">
        <w:rPr>
          <w:noProof/>
        </w:rPr>
        <w:t>zak</w:t>
      </w:r>
      <w:r w:rsidRPr="00115F78">
        <w:rPr>
          <w:noProof/>
        </w:rPr>
        <w:t>res obszarów,</w:t>
      </w:r>
      <w:r w:rsidR="00115F78" w:rsidRPr="00115F78">
        <w:rPr>
          <w:noProof/>
        </w:rPr>
        <w:t xml:space="preserve"> o</w:t>
      </w:r>
      <w:r w:rsidR="00115F78">
        <w:rPr>
          <w:noProof/>
        </w:rPr>
        <w:t> </w:t>
      </w:r>
      <w:r w:rsidR="00115F78" w:rsidRPr="00115F78">
        <w:rPr>
          <w:noProof/>
        </w:rPr>
        <w:t>któ</w:t>
      </w:r>
      <w:r w:rsidRPr="00115F78">
        <w:rPr>
          <w:noProof/>
        </w:rPr>
        <w:t>rych mowa</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1 lit. A i B decyzji Rady 1999/437/WE</w:t>
      </w:r>
      <w:r w:rsidR="00115F78" w:rsidRPr="00115F78">
        <w:rPr>
          <w:noProof/>
        </w:rPr>
        <w:t xml:space="preserve"> w</w:t>
      </w:r>
      <w:r w:rsidR="00115F78">
        <w:rPr>
          <w:noProof/>
        </w:rPr>
        <w:t> </w:t>
      </w:r>
      <w:r w:rsidR="00115F78" w:rsidRPr="00115F78">
        <w:rPr>
          <w:noProof/>
        </w:rPr>
        <w:t>zwi</w:t>
      </w:r>
      <w:r w:rsidRPr="00115F78">
        <w:rPr>
          <w:noProof/>
        </w:rPr>
        <w:t>ązku</w:t>
      </w:r>
      <w:r w:rsidR="00115F78" w:rsidRPr="00115F78">
        <w:rPr>
          <w:noProof/>
        </w:rPr>
        <w:t xml:space="preserve"> z</w:t>
      </w:r>
      <w:r w:rsidR="00115F78">
        <w:rPr>
          <w:noProof/>
        </w:rPr>
        <w:t> </w:t>
      </w:r>
      <w:r w:rsidR="00115F78" w:rsidRPr="00115F78">
        <w:rPr>
          <w:noProof/>
        </w:rPr>
        <w:t>art</w:t>
      </w:r>
      <w:r w:rsidRPr="00115F78">
        <w:rPr>
          <w:noProof/>
        </w:rPr>
        <w:t>.</w:t>
      </w:r>
      <w:r w:rsidR="00115F78" w:rsidRPr="00115F78">
        <w:rPr>
          <w:noProof/>
        </w:rPr>
        <w:t> </w:t>
      </w:r>
      <w:r w:rsidRPr="00115F78">
        <w:rPr>
          <w:noProof/>
        </w:rPr>
        <w:t>3 decyzji Rady 2011/350/UE</w:t>
      </w:r>
      <w:r w:rsidRPr="00115F78">
        <w:rPr>
          <w:rStyle w:val="FootnoteReference"/>
          <w:noProof/>
          <w:szCs w:val="24"/>
        </w:rPr>
        <w:footnoteReference w:id="20"/>
      </w:r>
      <w:r w:rsidRPr="00115F78">
        <w:rPr>
          <w:noProof/>
        </w:rPr>
        <w:t>.</w:t>
      </w:r>
    </w:p>
    <w:p w14:paraId="1D419147" w14:textId="7D0BC1F5" w:rsidR="00806AC4" w:rsidRPr="00115F78" w:rsidRDefault="003347AC" w:rsidP="003347AC">
      <w:pPr>
        <w:pStyle w:val="ManualConsidrant"/>
        <w:rPr>
          <w:noProof/>
        </w:rPr>
      </w:pPr>
      <w:r w:rsidRPr="00115F78">
        <w:rPr>
          <w:noProof/>
        </w:rPr>
        <w:t>(25)</w:t>
      </w:r>
      <w:r w:rsidRPr="00115F78">
        <w:rPr>
          <w:noProof/>
        </w:rPr>
        <w:tab/>
        <w:t>Zgodnie</w:t>
      </w:r>
      <w:r w:rsidR="00115F78" w:rsidRPr="00115F78">
        <w:rPr>
          <w:noProof/>
        </w:rPr>
        <w:t xml:space="preserve"> z</w:t>
      </w:r>
      <w:r w:rsidR="00115F78">
        <w:rPr>
          <w:noProof/>
        </w:rPr>
        <w:t> </w:t>
      </w:r>
      <w:r w:rsidR="00115F78" w:rsidRPr="00115F78">
        <w:rPr>
          <w:noProof/>
        </w:rPr>
        <w:t>art</w:t>
      </w:r>
      <w:r w:rsidRPr="00115F78">
        <w:rPr>
          <w:noProof/>
        </w:rPr>
        <w:t>. 1</w:t>
      </w:r>
      <w:r w:rsidR="00115F78" w:rsidRPr="00115F78">
        <w:rPr>
          <w:noProof/>
        </w:rPr>
        <w:t xml:space="preserve"> i</w:t>
      </w:r>
      <w:r w:rsidR="00115F78">
        <w:rPr>
          <w:noProof/>
        </w:rPr>
        <w:t> </w:t>
      </w:r>
      <w:r w:rsidR="00115F78" w:rsidRPr="00115F78">
        <w:rPr>
          <w:noProof/>
        </w:rPr>
        <w:t>2</w:t>
      </w:r>
      <w:r w:rsidRPr="00115F78">
        <w:rPr>
          <w:noProof/>
        </w:rPr>
        <w:t xml:space="preserve"> Protokołu nr 22</w:t>
      </w:r>
      <w:r w:rsidR="00115F78" w:rsidRPr="00115F78">
        <w:rPr>
          <w:noProof/>
        </w:rPr>
        <w:t xml:space="preserve"> w</w:t>
      </w:r>
      <w:r w:rsidR="00115F78">
        <w:rPr>
          <w:noProof/>
        </w:rPr>
        <w:t> </w:t>
      </w:r>
      <w:r w:rsidR="00115F78" w:rsidRPr="00115F78">
        <w:rPr>
          <w:noProof/>
        </w:rPr>
        <w:t>spr</w:t>
      </w:r>
      <w:r w:rsidRPr="00115F78">
        <w:rPr>
          <w:noProof/>
        </w:rPr>
        <w:t>awie stanowiska Danii, załączonego do TUE i TFUE, Dania nie uczestniczy</w:t>
      </w:r>
      <w:r w:rsidR="00115F78" w:rsidRPr="00115F78">
        <w:rPr>
          <w:noProof/>
        </w:rPr>
        <w:t xml:space="preserve"> w</w:t>
      </w:r>
      <w:r w:rsidR="00115F78">
        <w:rPr>
          <w:noProof/>
        </w:rPr>
        <w:t> </w:t>
      </w:r>
      <w:r w:rsidR="00115F78" w:rsidRPr="00115F78">
        <w:rPr>
          <w:noProof/>
        </w:rPr>
        <w:t>prz</w:t>
      </w:r>
      <w:r w:rsidRPr="00115F78">
        <w:rPr>
          <w:noProof/>
        </w:rPr>
        <w:t>yjęciu niniejszego rozporządzenia</w:t>
      </w:r>
      <w:r w:rsidR="00115F78" w:rsidRPr="00115F78">
        <w:rPr>
          <w:noProof/>
        </w:rPr>
        <w:t xml:space="preserve"> i</w:t>
      </w:r>
      <w:r w:rsidR="00115F78">
        <w:rPr>
          <w:noProof/>
        </w:rPr>
        <w:t> </w:t>
      </w:r>
      <w:r w:rsidR="00115F78" w:rsidRPr="00115F78">
        <w:rPr>
          <w:noProof/>
        </w:rPr>
        <w:t>nie</w:t>
      </w:r>
      <w:r w:rsidRPr="00115F78">
        <w:rPr>
          <w:noProof/>
        </w:rPr>
        <w:t xml:space="preserve"> jest nim związana ani go nie stosuje. Ponieważ niniejsze rozporządzenie stanowi rozwinięcie przepisów dorobku Schengen, zgodnie</w:t>
      </w:r>
      <w:r w:rsidR="00115F78" w:rsidRPr="00115F78">
        <w:rPr>
          <w:noProof/>
        </w:rPr>
        <w:t xml:space="preserve"> z</w:t>
      </w:r>
      <w:r w:rsidR="00115F78">
        <w:rPr>
          <w:noProof/>
        </w:rPr>
        <w:t> </w:t>
      </w:r>
      <w:r w:rsidR="00115F78" w:rsidRPr="00115F78">
        <w:rPr>
          <w:noProof/>
        </w:rPr>
        <w:t>art</w:t>
      </w:r>
      <w:r w:rsidRPr="00115F78">
        <w:rPr>
          <w:noProof/>
        </w:rPr>
        <w:t>.</w:t>
      </w:r>
      <w:r w:rsidR="00115F78" w:rsidRPr="00115F78">
        <w:rPr>
          <w:noProof/>
        </w:rPr>
        <w:t> </w:t>
      </w:r>
      <w:r w:rsidRPr="00115F78">
        <w:rPr>
          <w:noProof/>
        </w:rPr>
        <w:t>4 tego protokołu Dania –</w:t>
      </w:r>
      <w:r w:rsidR="00115F78" w:rsidRPr="00115F78">
        <w:rPr>
          <w:noProof/>
        </w:rPr>
        <w:t xml:space="preserve"> w</w:t>
      </w:r>
      <w:r w:rsidR="00115F78">
        <w:rPr>
          <w:noProof/>
        </w:rPr>
        <w:t> </w:t>
      </w:r>
      <w:r w:rsidR="00115F78" w:rsidRPr="00115F78">
        <w:rPr>
          <w:noProof/>
        </w:rPr>
        <w:t>ter</w:t>
      </w:r>
      <w:r w:rsidRPr="00115F78">
        <w:rPr>
          <w:noProof/>
        </w:rPr>
        <w:t>minie sześciu miesięcy po przyjęciu przez Radę niniejszego rozporządzenia – powinna podjąć decyzję, czy dokona transpozycji tego rozporządzenia do swego prawa krajowego.</w:t>
      </w:r>
    </w:p>
    <w:p w14:paraId="776F0C22" w14:textId="34C7927D" w:rsidR="00286E0D" w:rsidRPr="00115F78" w:rsidRDefault="003347AC" w:rsidP="003347AC">
      <w:pPr>
        <w:pStyle w:val="ManualConsidrant"/>
        <w:rPr>
          <w:noProof/>
        </w:rPr>
      </w:pPr>
      <w:r w:rsidRPr="00115F78">
        <w:rPr>
          <w:noProof/>
        </w:rPr>
        <w:t>(26)</w:t>
      </w:r>
      <w:r w:rsidRPr="00115F78">
        <w:rPr>
          <w:noProof/>
        </w:rPr>
        <w:tab/>
        <w:t>Niniejsze rozporządzenie stanowi rozwinięcie przepisów dorobku Schengen, które nie mają zastosowania do Irlandii zgodnie</w:t>
      </w:r>
      <w:r w:rsidR="00115F78" w:rsidRPr="00115F78">
        <w:rPr>
          <w:noProof/>
        </w:rPr>
        <w:t xml:space="preserve"> z</w:t>
      </w:r>
      <w:r w:rsidR="00115F78">
        <w:rPr>
          <w:noProof/>
        </w:rPr>
        <w:t> </w:t>
      </w:r>
      <w:r w:rsidR="00115F78" w:rsidRPr="00115F78">
        <w:rPr>
          <w:noProof/>
        </w:rPr>
        <w:t>dec</w:t>
      </w:r>
      <w:r w:rsidRPr="00115F78">
        <w:rPr>
          <w:noProof/>
        </w:rPr>
        <w:t>yzją Rady 2002/192/WE</w:t>
      </w:r>
      <w:r w:rsidRPr="00115F78">
        <w:rPr>
          <w:rStyle w:val="FootnoteReference"/>
          <w:noProof/>
          <w:szCs w:val="24"/>
        </w:rPr>
        <w:footnoteReference w:id="21"/>
      </w:r>
      <w:r w:rsidRPr="00115F78">
        <w:rPr>
          <w:noProof/>
        </w:rPr>
        <w:t>. Irlandia nie uczestniczy</w:t>
      </w:r>
      <w:r w:rsidR="00115F78" w:rsidRPr="00115F78">
        <w:rPr>
          <w:noProof/>
        </w:rPr>
        <w:t xml:space="preserve"> w</w:t>
      </w:r>
      <w:r w:rsidR="00115F78">
        <w:rPr>
          <w:noProof/>
        </w:rPr>
        <w:t> </w:t>
      </w:r>
      <w:r w:rsidR="00115F78" w:rsidRPr="00115F78">
        <w:rPr>
          <w:noProof/>
        </w:rPr>
        <w:t>zwi</w:t>
      </w:r>
      <w:r w:rsidRPr="00115F78">
        <w:rPr>
          <w:noProof/>
        </w:rPr>
        <w:t>ązku</w:t>
      </w:r>
      <w:r w:rsidR="00115F78" w:rsidRPr="00115F78">
        <w:rPr>
          <w:noProof/>
        </w:rPr>
        <w:t xml:space="preserve"> z</w:t>
      </w:r>
      <w:r w:rsidR="00115F78">
        <w:rPr>
          <w:noProof/>
        </w:rPr>
        <w:t> </w:t>
      </w:r>
      <w:r w:rsidR="00115F78" w:rsidRPr="00115F78">
        <w:rPr>
          <w:noProof/>
        </w:rPr>
        <w:t>tym w</w:t>
      </w:r>
      <w:r w:rsidR="00115F78">
        <w:rPr>
          <w:noProof/>
        </w:rPr>
        <w:t> </w:t>
      </w:r>
      <w:r w:rsidR="00115F78" w:rsidRPr="00115F78">
        <w:rPr>
          <w:noProof/>
        </w:rPr>
        <w:t>jeg</w:t>
      </w:r>
      <w:r w:rsidRPr="00115F78">
        <w:rPr>
          <w:noProof/>
        </w:rPr>
        <w:t>o przyjęciu</w:t>
      </w:r>
      <w:r w:rsidR="00115F78" w:rsidRPr="00115F78">
        <w:rPr>
          <w:noProof/>
        </w:rPr>
        <w:t xml:space="preserve"> i</w:t>
      </w:r>
      <w:r w:rsidR="00115F78">
        <w:rPr>
          <w:noProof/>
        </w:rPr>
        <w:t> </w:t>
      </w:r>
      <w:r w:rsidR="00115F78" w:rsidRPr="00115F78">
        <w:rPr>
          <w:noProof/>
        </w:rPr>
        <w:t>nie</w:t>
      </w:r>
      <w:r w:rsidRPr="00115F78">
        <w:rPr>
          <w:noProof/>
        </w:rPr>
        <w:t xml:space="preserve"> jest nim związana ani go nie stosuje,</w:t>
      </w:r>
    </w:p>
    <w:p w14:paraId="7A316F28" w14:textId="77777777" w:rsidR="00286E0D" w:rsidRPr="00115F78" w:rsidRDefault="00286E0D" w:rsidP="00286E0D">
      <w:pPr>
        <w:pStyle w:val="Formuledadoption"/>
        <w:rPr>
          <w:noProof/>
        </w:rPr>
      </w:pPr>
      <w:r w:rsidRPr="00115F78">
        <w:rPr>
          <w:noProof/>
        </w:rPr>
        <w:t>PRZYJMUJĄ NINIEJSZE ROZPORZĄDZENIE:</w:t>
      </w:r>
    </w:p>
    <w:p w14:paraId="558246A5" w14:textId="77777777" w:rsidR="00286E0D" w:rsidRPr="00115F78" w:rsidRDefault="00286E0D" w:rsidP="00286E0D">
      <w:pPr>
        <w:pStyle w:val="Titrearticle"/>
        <w:rPr>
          <w:noProof/>
        </w:rPr>
      </w:pPr>
      <w:r w:rsidRPr="00115F78">
        <w:rPr>
          <w:noProof/>
        </w:rPr>
        <w:t>Artykuł 1</w:t>
      </w:r>
    </w:p>
    <w:p w14:paraId="01DCFE30" w14:textId="77777777" w:rsidR="00286E0D" w:rsidRPr="00115F78" w:rsidRDefault="00286E0D" w:rsidP="00286E0D">
      <w:pPr>
        <w:pStyle w:val="Titrearticle"/>
        <w:rPr>
          <w:b/>
          <w:bCs/>
          <w:noProof/>
        </w:rPr>
      </w:pPr>
      <w:r w:rsidRPr="00115F78">
        <w:rPr>
          <w:b/>
          <w:noProof/>
        </w:rPr>
        <w:t>Przedmiot</w:t>
      </w:r>
    </w:p>
    <w:p w14:paraId="16102D8A" w14:textId="4BEC205D" w:rsidR="00B9223C" w:rsidRPr="00115F78" w:rsidRDefault="00B9223C" w:rsidP="00B9223C">
      <w:pPr>
        <w:rPr>
          <w:noProof/>
          <w:szCs w:val="24"/>
        </w:rPr>
      </w:pPr>
      <w:r w:rsidRPr="00115F78">
        <w:rPr>
          <w:noProof/>
        </w:rPr>
        <w:t>Niniejsze rozporządzenie określa cele</w:t>
      </w:r>
      <w:r w:rsidR="00115F78" w:rsidRPr="00115F78">
        <w:rPr>
          <w:noProof/>
        </w:rPr>
        <w:t xml:space="preserve"> i</w:t>
      </w:r>
      <w:r w:rsidR="00115F78">
        <w:rPr>
          <w:noProof/>
        </w:rPr>
        <w:t> </w:t>
      </w:r>
      <w:r w:rsidR="00115F78" w:rsidRPr="00115F78">
        <w:rPr>
          <w:noProof/>
        </w:rPr>
        <w:t>fin</w:t>
      </w:r>
      <w:r w:rsidRPr="00115F78">
        <w:rPr>
          <w:noProof/>
        </w:rPr>
        <w:t>ansowanie unijnego wsparcia na rzecz europejskiego zintegrowanego zarządzania granicami</w:t>
      </w:r>
      <w:r w:rsidR="00115F78" w:rsidRPr="00115F78">
        <w:rPr>
          <w:noProof/>
        </w:rPr>
        <w:t xml:space="preserve"> i</w:t>
      </w:r>
      <w:r w:rsidR="00115F78">
        <w:rPr>
          <w:noProof/>
        </w:rPr>
        <w:t> </w:t>
      </w:r>
      <w:r w:rsidR="00115F78" w:rsidRPr="00115F78">
        <w:rPr>
          <w:noProof/>
        </w:rPr>
        <w:t>uni</w:t>
      </w:r>
      <w:r w:rsidRPr="00115F78">
        <w:rPr>
          <w:noProof/>
        </w:rPr>
        <w:t>jnej polityki wizowej na okres od</w:t>
      </w:r>
      <w:r w:rsidR="00115F78" w:rsidRPr="00115F78">
        <w:rPr>
          <w:noProof/>
        </w:rPr>
        <w:t> </w:t>
      </w:r>
      <w:r w:rsidRPr="00115F78">
        <w:rPr>
          <w:noProof/>
        </w:rPr>
        <w:t>1 stycznia 2028</w:t>
      </w:r>
      <w:r w:rsidR="00115F78" w:rsidRPr="00115F78">
        <w:rPr>
          <w:noProof/>
        </w:rPr>
        <w:t> </w:t>
      </w:r>
      <w:r w:rsidRPr="00115F78">
        <w:rPr>
          <w:noProof/>
        </w:rPr>
        <w:t>r. do</w:t>
      </w:r>
      <w:r w:rsidR="00115F78" w:rsidRPr="00115F78">
        <w:rPr>
          <w:noProof/>
        </w:rPr>
        <w:t> </w:t>
      </w:r>
      <w:r w:rsidRPr="00115F78">
        <w:rPr>
          <w:noProof/>
        </w:rPr>
        <w:t>31 grudnia 2034</w:t>
      </w:r>
      <w:r w:rsidR="00115F78" w:rsidRPr="00115F78">
        <w:rPr>
          <w:noProof/>
        </w:rPr>
        <w:t> </w:t>
      </w:r>
      <w:r w:rsidRPr="00115F78">
        <w:rPr>
          <w:noProof/>
        </w:rPr>
        <w:t>r. Unijne wsparcie przyczynia się do funkcjonowania strefy Schengen, skutecznego zarządzania granicami zewnętrznymi oraz skutecznej polityki wizowej,</w:t>
      </w:r>
      <w:r w:rsidR="00115F78" w:rsidRPr="00115F78">
        <w:rPr>
          <w:noProof/>
        </w:rPr>
        <w:t xml:space="preserve"> w</w:t>
      </w:r>
      <w:r w:rsidR="00115F78">
        <w:rPr>
          <w:noProof/>
        </w:rPr>
        <w:t> </w:t>
      </w:r>
      <w:r w:rsidR="00115F78" w:rsidRPr="00115F78">
        <w:rPr>
          <w:noProof/>
        </w:rPr>
        <w:t>tym</w:t>
      </w:r>
      <w:r w:rsidRPr="00115F78">
        <w:rPr>
          <w:noProof/>
        </w:rPr>
        <w:t xml:space="preserve"> przez zapewnienie wsparcia dla wdrażania, wzmacniania</w:t>
      </w:r>
      <w:r w:rsidR="00115F78" w:rsidRPr="00115F78">
        <w:rPr>
          <w:noProof/>
        </w:rPr>
        <w:t xml:space="preserve"> i</w:t>
      </w:r>
      <w:r w:rsidR="00115F78">
        <w:rPr>
          <w:noProof/>
        </w:rPr>
        <w:t> </w:t>
      </w:r>
      <w:r w:rsidR="00115F78" w:rsidRPr="00115F78">
        <w:rPr>
          <w:noProof/>
        </w:rPr>
        <w:t>roz</w:t>
      </w:r>
      <w:r w:rsidRPr="00115F78">
        <w:rPr>
          <w:noProof/>
        </w:rPr>
        <w:t>woju odpowiednich elementów paktu</w:t>
      </w:r>
      <w:r w:rsidR="00115F78" w:rsidRPr="00115F78">
        <w:rPr>
          <w:noProof/>
        </w:rPr>
        <w:t xml:space="preserve"> o</w:t>
      </w:r>
      <w:r w:rsidR="00115F78">
        <w:rPr>
          <w:noProof/>
        </w:rPr>
        <w:t> </w:t>
      </w:r>
      <w:r w:rsidR="00115F78" w:rsidRPr="00115F78">
        <w:rPr>
          <w:noProof/>
        </w:rPr>
        <w:t>mig</w:t>
      </w:r>
      <w:r w:rsidRPr="00115F78">
        <w:rPr>
          <w:noProof/>
        </w:rPr>
        <w:t>racji</w:t>
      </w:r>
      <w:r w:rsidR="00115F78" w:rsidRPr="00115F78">
        <w:rPr>
          <w:noProof/>
        </w:rPr>
        <w:t xml:space="preserve"> i</w:t>
      </w:r>
      <w:r w:rsidR="00115F78">
        <w:rPr>
          <w:noProof/>
        </w:rPr>
        <w:t> </w:t>
      </w:r>
      <w:r w:rsidR="00115F78" w:rsidRPr="00115F78">
        <w:rPr>
          <w:noProof/>
        </w:rPr>
        <w:t>azy</w:t>
      </w:r>
      <w:r w:rsidRPr="00115F78">
        <w:rPr>
          <w:noProof/>
        </w:rPr>
        <w:t>lu, jak również do wysokiego poziomu bezpieczeństwa wewnętrznego</w:t>
      </w:r>
      <w:r w:rsidR="00115F78" w:rsidRPr="00115F78">
        <w:rPr>
          <w:noProof/>
        </w:rPr>
        <w:t xml:space="preserve"> w</w:t>
      </w:r>
      <w:r w:rsidR="00115F78">
        <w:rPr>
          <w:noProof/>
        </w:rPr>
        <w:t> </w:t>
      </w:r>
      <w:r w:rsidR="00115F78" w:rsidRPr="00115F78">
        <w:rPr>
          <w:noProof/>
        </w:rPr>
        <w:t>Uni</w:t>
      </w:r>
      <w:r w:rsidRPr="00115F78">
        <w:rPr>
          <w:noProof/>
        </w:rPr>
        <w:t xml:space="preserve">i, utrzymując brak jakiejkolwiek kontroli osób przy przekraczaniu granic wewnętrznych. </w:t>
      </w:r>
    </w:p>
    <w:p w14:paraId="05AFC029" w14:textId="064B554D" w:rsidR="00286E0D" w:rsidRPr="00115F78" w:rsidRDefault="00286E0D" w:rsidP="00A257BB">
      <w:pPr>
        <w:rPr>
          <w:noProof/>
          <w:szCs w:val="24"/>
        </w:rPr>
      </w:pPr>
      <w:r w:rsidRPr="00115F78">
        <w:rPr>
          <w:noProof/>
        </w:rPr>
        <w:t xml:space="preserve">Unijne wsparcie udzielane jest na podstawie </w:t>
      </w:r>
      <w:r w:rsidRPr="00115F78">
        <w:rPr>
          <w:noProof/>
          <w:color w:val="000000" w:themeColor="text1"/>
        </w:rPr>
        <w:t>przepisów horyzontalnych Europejskiego Funduszu Spójności Gospodarczej, Społecznej</w:t>
      </w:r>
      <w:r w:rsidR="00115F78" w:rsidRPr="00115F78">
        <w:rPr>
          <w:noProof/>
          <w:color w:val="000000" w:themeColor="text1"/>
        </w:rPr>
        <w:t xml:space="preserve"> i</w:t>
      </w:r>
      <w:r w:rsidR="00115F78">
        <w:rPr>
          <w:noProof/>
          <w:color w:val="000000" w:themeColor="text1"/>
        </w:rPr>
        <w:t> </w:t>
      </w:r>
      <w:r w:rsidR="00115F78" w:rsidRPr="00115F78">
        <w:rPr>
          <w:noProof/>
          <w:color w:val="000000" w:themeColor="text1"/>
        </w:rPr>
        <w:t>Ter</w:t>
      </w:r>
      <w:r w:rsidRPr="00115F78">
        <w:rPr>
          <w:noProof/>
          <w:color w:val="000000" w:themeColor="text1"/>
        </w:rPr>
        <w:t>ytorialnej, Rolnictwa</w:t>
      </w:r>
      <w:r w:rsidR="00115F78" w:rsidRPr="00115F78">
        <w:rPr>
          <w:noProof/>
          <w:color w:val="000000" w:themeColor="text1"/>
        </w:rPr>
        <w:t xml:space="preserve"> i</w:t>
      </w:r>
      <w:r w:rsidR="00115F78">
        <w:rPr>
          <w:noProof/>
          <w:color w:val="000000" w:themeColor="text1"/>
        </w:rPr>
        <w:t> </w:t>
      </w:r>
      <w:r w:rsidR="00115F78" w:rsidRPr="00115F78">
        <w:rPr>
          <w:noProof/>
          <w:color w:val="000000" w:themeColor="text1"/>
        </w:rPr>
        <w:t>Obs</w:t>
      </w:r>
      <w:r w:rsidRPr="00115F78">
        <w:rPr>
          <w:noProof/>
          <w:color w:val="000000" w:themeColor="text1"/>
        </w:rPr>
        <w:t>zarów Wiejskich, Rybołówstwa</w:t>
      </w:r>
      <w:r w:rsidR="00115F78" w:rsidRPr="00115F78">
        <w:rPr>
          <w:noProof/>
          <w:color w:val="000000" w:themeColor="text1"/>
        </w:rPr>
        <w:t xml:space="preserve"> i</w:t>
      </w:r>
      <w:r w:rsidR="00115F78">
        <w:rPr>
          <w:noProof/>
          <w:color w:val="000000" w:themeColor="text1"/>
        </w:rPr>
        <w:t> </w:t>
      </w:r>
      <w:r w:rsidR="00115F78" w:rsidRPr="00115F78">
        <w:rPr>
          <w:noProof/>
          <w:color w:val="000000" w:themeColor="text1"/>
        </w:rPr>
        <w:t>Pol</w:t>
      </w:r>
      <w:r w:rsidRPr="00115F78">
        <w:rPr>
          <w:noProof/>
          <w:color w:val="000000" w:themeColor="text1"/>
        </w:rPr>
        <w:t>ityki Morskiej, Dobrobytu</w:t>
      </w:r>
      <w:r w:rsidR="00115F78" w:rsidRPr="00115F78">
        <w:rPr>
          <w:noProof/>
          <w:color w:val="000000" w:themeColor="text1"/>
        </w:rPr>
        <w:t xml:space="preserve"> i</w:t>
      </w:r>
      <w:r w:rsidR="00115F78">
        <w:rPr>
          <w:noProof/>
          <w:color w:val="000000" w:themeColor="text1"/>
        </w:rPr>
        <w:t> </w:t>
      </w:r>
      <w:r w:rsidR="00115F78" w:rsidRPr="00115F78">
        <w:rPr>
          <w:noProof/>
          <w:color w:val="000000" w:themeColor="text1"/>
        </w:rPr>
        <w:t>Bez</w:t>
      </w:r>
      <w:r w:rsidRPr="00115F78">
        <w:rPr>
          <w:noProof/>
          <w:color w:val="000000" w:themeColor="text1"/>
        </w:rPr>
        <w:t>pieczeństwa ustanowionego rozporządzeniem (UE) [...]</w:t>
      </w:r>
      <w:r w:rsidRPr="00115F78">
        <w:rPr>
          <w:noProof/>
        </w:rPr>
        <w:t>.</w:t>
      </w:r>
    </w:p>
    <w:p w14:paraId="426B91C7" w14:textId="77777777" w:rsidR="00286E0D" w:rsidRPr="00115F78" w:rsidRDefault="00286E0D" w:rsidP="00286E0D">
      <w:pPr>
        <w:pStyle w:val="Titrearticle"/>
        <w:rPr>
          <w:noProof/>
        </w:rPr>
      </w:pPr>
      <w:r w:rsidRPr="00115F78">
        <w:rPr>
          <w:noProof/>
        </w:rPr>
        <w:t>Artykuł 2</w:t>
      </w:r>
    </w:p>
    <w:p w14:paraId="33C45191" w14:textId="77777777" w:rsidR="00286E0D" w:rsidRPr="00115F78" w:rsidRDefault="00286E0D" w:rsidP="00286E0D">
      <w:pPr>
        <w:pStyle w:val="Titrearticle"/>
        <w:rPr>
          <w:b/>
          <w:bCs/>
          <w:noProof/>
        </w:rPr>
      </w:pPr>
      <w:r w:rsidRPr="00115F78">
        <w:rPr>
          <w:b/>
          <w:noProof/>
        </w:rPr>
        <w:t>Definicje</w:t>
      </w:r>
    </w:p>
    <w:p w14:paraId="0D79EC17" w14:textId="77777777" w:rsidR="00286E0D" w:rsidRPr="00115F78" w:rsidRDefault="00286E0D" w:rsidP="00286E0D">
      <w:pPr>
        <w:rPr>
          <w:noProof/>
          <w:color w:val="000000"/>
          <w:szCs w:val="24"/>
        </w:rPr>
      </w:pPr>
      <w:r w:rsidRPr="00115F78">
        <w:rPr>
          <w:noProof/>
          <w:color w:val="000000"/>
        </w:rPr>
        <w:t>Do celów niniejszego rozporządzenia stosuje się następujące definicje:</w:t>
      </w:r>
    </w:p>
    <w:p w14:paraId="1962DB9D" w14:textId="5E6A4834" w:rsidR="00286E0D" w:rsidRPr="00115F78" w:rsidRDefault="003347AC" w:rsidP="003347AC">
      <w:pPr>
        <w:pStyle w:val="Point0"/>
        <w:rPr>
          <w:noProof/>
        </w:rPr>
      </w:pPr>
      <w:r w:rsidRPr="00115F78">
        <w:rPr>
          <w:noProof/>
        </w:rPr>
        <w:t>1)</w:t>
      </w:r>
      <w:r w:rsidRPr="00115F78">
        <w:rPr>
          <w:noProof/>
        </w:rPr>
        <w:tab/>
        <w:t>„przejście graniczne” oznacza przejście graniczne zdefiniowane</w:t>
      </w:r>
      <w:r w:rsidR="00115F78" w:rsidRPr="00115F78">
        <w:rPr>
          <w:noProof/>
        </w:rPr>
        <w:t xml:space="preserve"> w</w:t>
      </w:r>
      <w:r w:rsidR="00115F78">
        <w:rPr>
          <w:noProof/>
        </w:rPr>
        <w:t> </w:t>
      </w:r>
      <w:r w:rsidR="00115F78" w:rsidRPr="00115F78">
        <w:rPr>
          <w:noProof/>
        </w:rPr>
        <w:t>art</w:t>
      </w:r>
      <w:r w:rsidRPr="00115F78">
        <w:rPr>
          <w:noProof/>
        </w:rPr>
        <w:t>. 2 pkt 8 rozporządzenia (UE) 2016/399</w:t>
      </w:r>
      <w:r w:rsidRPr="00115F78">
        <w:rPr>
          <w:rStyle w:val="FootnoteReference"/>
          <w:noProof/>
          <w:szCs w:val="24"/>
        </w:rPr>
        <w:footnoteReference w:id="22"/>
      </w:r>
      <w:r w:rsidRPr="00115F78">
        <w:rPr>
          <w:noProof/>
        </w:rPr>
        <w:t>;</w:t>
      </w:r>
    </w:p>
    <w:p w14:paraId="008FE4CA" w14:textId="69422F66" w:rsidR="00286E0D" w:rsidRPr="00115F78" w:rsidRDefault="003347AC" w:rsidP="003347AC">
      <w:pPr>
        <w:pStyle w:val="Point0"/>
        <w:rPr>
          <w:noProof/>
        </w:rPr>
      </w:pPr>
      <w:r w:rsidRPr="00115F78">
        <w:rPr>
          <w:noProof/>
        </w:rPr>
        <w:t>2)</w:t>
      </w:r>
      <w:r w:rsidRPr="00115F78">
        <w:rPr>
          <w:noProof/>
        </w:rPr>
        <w:tab/>
        <w:t>„europejskie zintegrowane zarządzanie granicami” oznacza europejskie zintegrowane zarządzanie granicami,</w:t>
      </w:r>
      <w:r w:rsidR="00115F78" w:rsidRPr="00115F78">
        <w:rPr>
          <w:noProof/>
        </w:rPr>
        <w:t xml:space="preserve"> o</w:t>
      </w:r>
      <w:r w:rsidR="00115F78">
        <w:rPr>
          <w:noProof/>
        </w:rPr>
        <w:t> </w:t>
      </w:r>
      <w:r w:rsidR="00115F78" w:rsidRPr="00115F78">
        <w:rPr>
          <w:noProof/>
        </w:rPr>
        <w:t>któ</w:t>
      </w:r>
      <w:r w:rsidRPr="00115F78">
        <w:rPr>
          <w:noProof/>
        </w:rPr>
        <w:t>rym mowa</w:t>
      </w:r>
      <w:r w:rsidR="00115F78" w:rsidRPr="00115F78">
        <w:rPr>
          <w:noProof/>
        </w:rPr>
        <w:t xml:space="preserve"> w</w:t>
      </w:r>
      <w:r w:rsidR="00115F78">
        <w:rPr>
          <w:noProof/>
        </w:rPr>
        <w:t> </w:t>
      </w:r>
      <w:r w:rsidR="00115F78" w:rsidRPr="00115F78">
        <w:rPr>
          <w:noProof/>
        </w:rPr>
        <w:t>art</w:t>
      </w:r>
      <w:r w:rsidRPr="00115F78">
        <w:rPr>
          <w:noProof/>
        </w:rPr>
        <w:t>. 3 rozporządzenia (UE) 2019/1896</w:t>
      </w:r>
      <w:r w:rsidRPr="00115F78">
        <w:rPr>
          <w:rStyle w:val="FootnoteReference"/>
          <w:noProof/>
          <w:szCs w:val="24"/>
        </w:rPr>
        <w:footnoteReference w:id="23"/>
      </w:r>
      <w:r w:rsidRPr="00115F78">
        <w:rPr>
          <w:noProof/>
        </w:rPr>
        <w:t>;</w:t>
      </w:r>
    </w:p>
    <w:p w14:paraId="2B48C930" w14:textId="7F8A886C" w:rsidR="00286E0D" w:rsidRPr="00115F78" w:rsidRDefault="003347AC" w:rsidP="003347AC">
      <w:pPr>
        <w:pStyle w:val="Point0"/>
        <w:rPr>
          <w:noProof/>
        </w:rPr>
      </w:pPr>
      <w:r w:rsidRPr="00115F78">
        <w:rPr>
          <w:noProof/>
        </w:rPr>
        <w:t>3)</w:t>
      </w:r>
      <w:r w:rsidRPr="00115F78">
        <w:rPr>
          <w:noProof/>
        </w:rPr>
        <w:tab/>
        <w:t>„granice zewnętrzne” oznaczają granice zewnętrzne zgodnie</w:t>
      </w:r>
      <w:r w:rsidR="00115F78" w:rsidRPr="00115F78">
        <w:rPr>
          <w:noProof/>
        </w:rPr>
        <w:t xml:space="preserve"> z</w:t>
      </w:r>
      <w:r w:rsidR="00115F78">
        <w:rPr>
          <w:noProof/>
        </w:rPr>
        <w:t> </w:t>
      </w:r>
      <w:r w:rsidR="00115F78" w:rsidRPr="00115F78">
        <w:rPr>
          <w:noProof/>
        </w:rPr>
        <w:t>def</w:t>
      </w:r>
      <w:r w:rsidRPr="00115F78">
        <w:rPr>
          <w:noProof/>
        </w:rPr>
        <w:t>inicją</w:t>
      </w:r>
      <w:r w:rsidR="00115F78" w:rsidRPr="00115F78">
        <w:rPr>
          <w:noProof/>
        </w:rPr>
        <w:t xml:space="preserve"> w</w:t>
      </w:r>
      <w:r w:rsidR="00115F78">
        <w:rPr>
          <w:noProof/>
        </w:rPr>
        <w:t> </w:t>
      </w:r>
      <w:r w:rsidR="00115F78" w:rsidRPr="00115F78">
        <w:rPr>
          <w:noProof/>
        </w:rPr>
        <w:t>art</w:t>
      </w:r>
      <w:r w:rsidRPr="00115F78">
        <w:rPr>
          <w:noProof/>
        </w:rPr>
        <w:t>. 2 pkt</w:t>
      </w:r>
      <w:r w:rsidR="00115F78" w:rsidRPr="00115F78">
        <w:rPr>
          <w:noProof/>
        </w:rPr>
        <w:t> </w:t>
      </w:r>
      <w:r w:rsidRPr="00115F78">
        <w:rPr>
          <w:noProof/>
        </w:rPr>
        <w:t>2 rozporządzenia (UE) 2016/399</w:t>
      </w:r>
      <w:r w:rsidRPr="00115F78">
        <w:rPr>
          <w:rStyle w:val="FootnoteReference"/>
          <w:noProof/>
          <w:szCs w:val="24"/>
        </w:rPr>
        <w:footnoteReference w:id="24"/>
      </w:r>
      <w:r w:rsidRPr="00115F78">
        <w:rPr>
          <w:noProof/>
        </w:rPr>
        <w:t xml:space="preserve"> oraz granice wewnętrzne, na których nie zniesiono jeszcze kontroli;</w:t>
      </w:r>
    </w:p>
    <w:p w14:paraId="225B0BEF" w14:textId="6A5BD9FC" w:rsidR="00286E0D" w:rsidRPr="00115F78" w:rsidRDefault="003347AC" w:rsidP="003347AC">
      <w:pPr>
        <w:pStyle w:val="Point0"/>
        <w:rPr>
          <w:noProof/>
        </w:rPr>
      </w:pPr>
      <w:r w:rsidRPr="00115F78">
        <w:rPr>
          <w:noProof/>
        </w:rPr>
        <w:t>4)</w:t>
      </w:r>
      <w:r w:rsidRPr="00115F78">
        <w:rPr>
          <w:noProof/>
        </w:rPr>
        <w:tab/>
        <w:t>„odcinek granicy zewnętrznej” oznacza odcinek granicy zewnętrznej zgodnie</w:t>
      </w:r>
      <w:r w:rsidR="00115F78" w:rsidRPr="00115F78">
        <w:rPr>
          <w:noProof/>
        </w:rPr>
        <w:t xml:space="preserve"> z</w:t>
      </w:r>
      <w:r w:rsidR="00115F78">
        <w:rPr>
          <w:noProof/>
        </w:rPr>
        <w:t> </w:t>
      </w:r>
      <w:r w:rsidR="00115F78" w:rsidRPr="00115F78">
        <w:rPr>
          <w:noProof/>
        </w:rPr>
        <w:t>def</w:t>
      </w:r>
      <w:r w:rsidRPr="00115F78">
        <w:rPr>
          <w:noProof/>
        </w:rPr>
        <w:t>inicją</w:t>
      </w:r>
      <w:r w:rsidR="00115F78" w:rsidRPr="00115F78">
        <w:rPr>
          <w:noProof/>
        </w:rPr>
        <w:t xml:space="preserve"> w</w:t>
      </w:r>
      <w:r w:rsidR="00115F78">
        <w:rPr>
          <w:noProof/>
        </w:rPr>
        <w:t> </w:t>
      </w:r>
      <w:r w:rsidR="00115F78" w:rsidRPr="00115F78">
        <w:rPr>
          <w:noProof/>
        </w:rPr>
        <w:t>art</w:t>
      </w:r>
      <w:r w:rsidRPr="00115F78">
        <w:rPr>
          <w:noProof/>
        </w:rPr>
        <w:t>. 2 pkt</w:t>
      </w:r>
      <w:r w:rsidR="00115F78" w:rsidRPr="00115F78">
        <w:rPr>
          <w:noProof/>
        </w:rPr>
        <w:t> </w:t>
      </w:r>
      <w:r w:rsidRPr="00115F78">
        <w:rPr>
          <w:noProof/>
        </w:rPr>
        <w:t>11 rozporządzenia (UE) 2019/1896</w:t>
      </w:r>
      <w:r w:rsidRPr="00115F78">
        <w:rPr>
          <w:rStyle w:val="FootnoteReference"/>
          <w:noProof/>
          <w:szCs w:val="24"/>
        </w:rPr>
        <w:footnoteReference w:id="25"/>
      </w:r>
      <w:r w:rsidRPr="00115F78">
        <w:rPr>
          <w:noProof/>
        </w:rPr>
        <w:t>;</w:t>
      </w:r>
    </w:p>
    <w:p w14:paraId="19E59878" w14:textId="1371C2DC" w:rsidR="00286E0D" w:rsidRPr="00115F78" w:rsidRDefault="003347AC" w:rsidP="003347AC">
      <w:pPr>
        <w:pStyle w:val="Point0"/>
        <w:rPr>
          <w:noProof/>
        </w:rPr>
      </w:pPr>
      <w:r w:rsidRPr="00115F78">
        <w:rPr>
          <w:noProof/>
        </w:rPr>
        <w:t>5)</w:t>
      </w:r>
      <w:r w:rsidRPr="00115F78">
        <w:rPr>
          <w:noProof/>
        </w:rPr>
        <w:tab/>
        <w:t>„granice wewnętrzne, na których nie zniesiono jeszcze kontroli” oznaczają:</w:t>
      </w:r>
    </w:p>
    <w:p w14:paraId="1816FE1D" w14:textId="63B59745" w:rsidR="00286E0D" w:rsidRPr="00115F78" w:rsidRDefault="003347AC" w:rsidP="003347AC">
      <w:pPr>
        <w:pStyle w:val="Point1"/>
        <w:rPr>
          <w:noProof/>
        </w:rPr>
      </w:pPr>
      <w:r w:rsidRPr="00115F78">
        <w:rPr>
          <w:noProof/>
        </w:rPr>
        <w:t>a)</w:t>
      </w:r>
      <w:r w:rsidRPr="00115F78">
        <w:rPr>
          <w:noProof/>
        </w:rPr>
        <w:tab/>
        <w:t>wspólną granicę między państwem członkowskim</w:t>
      </w:r>
      <w:r w:rsidR="00115F78" w:rsidRPr="00115F78">
        <w:rPr>
          <w:noProof/>
        </w:rPr>
        <w:t xml:space="preserve"> w</w:t>
      </w:r>
      <w:r w:rsidR="00115F78">
        <w:rPr>
          <w:noProof/>
        </w:rPr>
        <w:t> </w:t>
      </w:r>
      <w:r w:rsidR="00115F78" w:rsidRPr="00115F78">
        <w:rPr>
          <w:noProof/>
        </w:rPr>
        <w:t>peł</w:t>
      </w:r>
      <w:r w:rsidRPr="00115F78">
        <w:rPr>
          <w:noProof/>
        </w:rPr>
        <w:t>ni wdrażającym dorobek Schengen</w:t>
      </w:r>
      <w:r w:rsidR="00115F78" w:rsidRPr="00115F78">
        <w:rPr>
          <w:noProof/>
        </w:rPr>
        <w:t xml:space="preserve"> a</w:t>
      </w:r>
      <w:r w:rsidR="00115F78">
        <w:rPr>
          <w:noProof/>
        </w:rPr>
        <w:t> </w:t>
      </w:r>
      <w:r w:rsidR="00115F78" w:rsidRPr="00115F78">
        <w:rPr>
          <w:noProof/>
        </w:rPr>
        <w:t>pań</w:t>
      </w:r>
      <w:r w:rsidRPr="00115F78">
        <w:rPr>
          <w:noProof/>
        </w:rPr>
        <w:t>stwem członkowskim, które jest zobowiązane, zgodnie ze swoim aktem przystąpienia, do pełnego stosowania dorobku Schengen, ale</w:t>
      </w:r>
      <w:r w:rsidR="00115F78" w:rsidRPr="00115F78">
        <w:rPr>
          <w:noProof/>
        </w:rPr>
        <w:t xml:space="preserve"> w</w:t>
      </w:r>
      <w:r w:rsidR="00115F78">
        <w:rPr>
          <w:noProof/>
        </w:rPr>
        <w:t> </w:t>
      </w:r>
      <w:r w:rsidR="00115F78" w:rsidRPr="00115F78">
        <w:rPr>
          <w:noProof/>
        </w:rPr>
        <w:t>odn</w:t>
      </w:r>
      <w:r w:rsidRPr="00115F78">
        <w:rPr>
          <w:noProof/>
        </w:rPr>
        <w:t>iesieniu do którego odpowiednia decyzja Rady upoważniająca je do pełnego stosowania tego dorobku nie weszła jeszcze</w:t>
      </w:r>
      <w:r w:rsidR="00115F78" w:rsidRPr="00115F78">
        <w:rPr>
          <w:noProof/>
        </w:rPr>
        <w:t xml:space="preserve"> w</w:t>
      </w:r>
      <w:r w:rsidR="00115F78">
        <w:rPr>
          <w:noProof/>
        </w:rPr>
        <w:t> </w:t>
      </w:r>
      <w:r w:rsidR="00115F78" w:rsidRPr="00115F78">
        <w:rPr>
          <w:noProof/>
        </w:rPr>
        <w:t>życ</w:t>
      </w:r>
      <w:r w:rsidRPr="00115F78">
        <w:rPr>
          <w:noProof/>
        </w:rPr>
        <w:t>ie;</w:t>
      </w:r>
    </w:p>
    <w:p w14:paraId="451F5771" w14:textId="5CD78BCF" w:rsidR="00286E0D" w:rsidRPr="00115F78" w:rsidRDefault="003347AC" w:rsidP="003347AC">
      <w:pPr>
        <w:pStyle w:val="Point1"/>
        <w:rPr>
          <w:noProof/>
        </w:rPr>
      </w:pPr>
      <w:r w:rsidRPr="00115F78">
        <w:rPr>
          <w:noProof/>
        </w:rPr>
        <w:t>b)</w:t>
      </w:r>
      <w:r w:rsidRPr="00115F78">
        <w:rPr>
          <w:noProof/>
        </w:rPr>
        <w:tab/>
        <w:t>wspólną granicę między dwoma państwami członkowskimi zobowiązanymi do pełnego stosowania dorobku Schengen zgodnie</w:t>
      </w:r>
      <w:r w:rsidR="00115F78" w:rsidRPr="00115F78">
        <w:rPr>
          <w:noProof/>
        </w:rPr>
        <w:t xml:space="preserve"> z</w:t>
      </w:r>
      <w:r w:rsidR="00115F78">
        <w:rPr>
          <w:noProof/>
        </w:rPr>
        <w:t> </w:t>
      </w:r>
      <w:r w:rsidR="00115F78" w:rsidRPr="00115F78">
        <w:rPr>
          <w:noProof/>
        </w:rPr>
        <w:t>ich</w:t>
      </w:r>
      <w:r w:rsidRPr="00115F78">
        <w:rPr>
          <w:noProof/>
        </w:rPr>
        <w:t xml:space="preserve"> właściwymi Aktami przystąpienia, ale</w:t>
      </w:r>
      <w:r w:rsidR="00115F78" w:rsidRPr="00115F78">
        <w:rPr>
          <w:noProof/>
        </w:rPr>
        <w:t xml:space="preserve"> w</w:t>
      </w:r>
      <w:r w:rsidR="00115F78">
        <w:rPr>
          <w:noProof/>
        </w:rPr>
        <w:t> </w:t>
      </w:r>
      <w:r w:rsidR="00115F78" w:rsidRPr="00115F78">
        <w:rPr>
          <w:noProof/>
        </w:rPr>
        <w:t>sto</w:t>
      </w:r>
      <w:r w:rsidRPr="00115F78">
        <w:rPr>
          <w:noProof/>
        </w:rPr>
        <w:t>sunku do których odpowiednia decyzja Rady upoważniająca te państwa do pełnego stosowania tego dorobku nie weszła jeszcze</w:t>
      </w:r>
      <w:r w:rsidR="00115F78" w:rsidRPr="00115F78">
        <w:rPr>
          <w:noProof/>
        </w:rPr>
        <w:t xml:space="preserve"> w</w:t>
      </w:r>
      <w:r w:rsidR="00115F78">
        <w:rPr>
          <w:noProof/>
        </w:rPr>
        <w:t> </w:t>
      </w:r>
      <w:r w:rsidR="00115F78" w:rsidRPr="00115F78">
        <w:rPr>
          <w:noProof/>
        </w:rPr>
        <w:t>życ</w:t>
      </w:r>
      <w:r w:rsidRPr="00115F78">
        <w:rPr>
          <w:noProof/>
        </w:rPr>
        <w:t>ie.</w:t>
      </w:r>
    </w:p>
    <w:p w14:paraId="5E6A7562" w14:textId="1F33C159" w:rsidR="00286E0D" w:rsidRPr="00115F78" w:rsidRDefault="003347AC" w:rsidP="003347AC">
      <w:pPr>
        <w:pStyle w:val="Point0"/>
        <w:rPr>
          <w:noProof/>
        </w:rPr>
      </w:pPr>
      <w:r w:rsidRPr="00115F78">
        <w:rPr>
          <w:noProof/>
        </w:rPr>
        <w:t>6)</w:t>
      </w:r>
      <w:r w:rsidRPr="00115F78">
        <w:rPr>
          <w:noProof/>
        </w:rPr>
        <w:tab/>
        <w:t>„państwo członkowskie będące beneficjentem” oznacza państwo członkowskie będące beneficjentem zdefiniowane</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2 pkt</w:t>
      </w:r>
      <w:r w:rsidR="00115F78" w:rsidRPr="00115F78">
        <w:rPr>
          <w:noProof/>
        </w:rPr>
        <w:t> </w:t>
      </w:r>
      <w:r w:rsidRPr="00115F78">
        <w:rPr>
          <w:noProof/>
        </w:rPr>
        <w:t>19 rozporządzenia (UE) 2024/1351;</w:t>
      </w:r>
    </w:p>
    <w:p w14:paraId="35262557" w14:textId="543BC5AE" w:rsidR="00F0474E" w:rsidRPr="00115F78" w:rsidRDefault="003347AC" w:rsidP="003347AC">
      <w:pPr>
        <w:pStyle w:val="Point0"/>
        <w:rPr>
          <w:noProof/>
        </w:rPr>
      </w:pPr>
      <w:r w:rsidRPr="00115F78">
        <w:rPr>
          <w:noProof/>
        </w:rPr>
        <w:t>7)</w:t>
      </w:r>
      <w:r w:rsidRPr="00115F78">
        <w:rPr>
          <w:noProof/>
        </w:rPr>
        <w:tab/>
        <w:t>„państwo członkowskie wnoszące wkład” oznacza państwo członkowskie wnoszące wkład zdefiniowane</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2 pkt</w:t>
      </w:r>
      <w:r w:rsidR="00115F78" w:rsidRPr="00115F78">
        <w:rPr>
          <w:noProof/>
        </w:rPr>
        <w:t> </w:t>
      </w:r>
      <w:r w:rsidRPr="00115F78">
        <w:rPr>
          <w:noProof/>
        </w:rPr>
        <w:t>20 rozporządzenia (UE) 2024/1351;</w:t>
      </w:r>
    </w:p>
    <w:p w14:paraId="1373544C" w14:textId="37009E17" w:rsidR="00286E0D" w:rsidRPr="00115F78" w:rsidRDefault="003347AC" w:rsidP="003347AC">
      <w:pPr>
        <w:pStyle w:val="Point0"/>
        <w:rPr>
          <w:noProof/>
        </w:rPr>
      </w:pPr>
      <w:r w:rsidRPr="00115F78">
        <w:rPr>
          <w:noProof/>
        </w:rPr>
        <w:t>8)</w:t>
      </w:r>
      <w:r w:rsidRPr="00115F78">
        <w:rPr>
          <w:noProof/>
        </w:rPr>
        <w:tab/>
        <w:t>„wkłady finansowe” oznaczają wkłady finansowe zgodnie</w:t>
      </w:r>
      <w:r w:rsidR="00115F78" w:rsidRPr="00115F78">
        <w:rPr>
          <w:noProof/>
        </w:rPr>
        <w:t xml:space="preserve"> z</w:t>
      </w:r>
      <w:r w:rsidR="00115F78">
        <w:rPr>
          <w:noProof/>
        </w:rPr>
        <w:t> </w:t>
      </w:r>
      <w:r w:rsidR="00115F78" w:rsidRPr="00115F78">
        <w:rPr>
          <w:noProof/>
        </w:rPr>
        <w:t>art</w:t>
      </w:r>
      <w:r w:rsidRPr="00115F78">
        <w:rPr>
          <w:noProof/>
        </w:rPr>
        <w:t>.</w:t>
      </w:r>
      <w:r w:rsidR="00115F78" w:rsidRPr="00115F78">
        <w:rPr>
          <w:noProof/>
        </w:rPr>
        <w:t> </w:t>
      </w:r>
      <w:r w:rsidRPr="00115F78">
        <w:rPr>
          <w:noProof/>
        </w:rPr>
        <w:t>56 ust.</w:t>
      </w:r>
      <w:r w:rsidR="00115F78" w:rsidRPr="00115F78">
        <w:rPr>
          <w:noProof/>
        </w:rPr>
        <w:t> </w:t>
      </w:r>
      <w:r w:rsidRPr="00115F78">
        <w:rPr>
          <w:noProof/>
        </w:rPr>
        <w:t>2 lit.</w:t>
      </w:r>
      <w:r w:rsidR="00115F78" w:rsidRPr="00115F78">
        <w:rPr>
          <w:noProof/>
        </w:rPr>
        <w:t> </w:t>
      </w:r>
      <w:r w:rsidRPr="00115F78">
        <w:rPr>
          <w:noProof/>
        </w:rPr>
        <w:t xml:space="preserve">b) rozporządzenia (UE) 2024/1351. </w:t>
      </w:r>
    </w:p>
    <w:p w14:paraId="4A75AB58" w14:textId="77777777" w:rsidR="00286E0D" w:rsidRPr="00115F78" w:rsidRDefault="00286E0D" w:rsidP="00286E0D">
      <w:pPr>
        <w:pStyle w:val="Titrearticle"/>
        <w:rPr>
          <w:noProof/>
        </w:rPr>
      </w:pPr>
      <w:r w:rsidRPr="00115F78">
        <w:rPr>
          <w:noProof/>
        </w:rPr>
        <w:t>Artykuł 3</w:t>
      </w:r>
    </w:p>
    <w:p w14:paraId="1F3B309A" w14:textId="7C13FCD5" w:rsidR="00286E0D" w:rsidRPr="00115F78" w:rsidRDefault="00286E0D" w:rsidP="00286E0D">
      <w:pPr>
        <w:pStyle w:val="Titrearticle"/>
        <w:rPr>
          <w:b/>
          <w:bCs/>
          <w:noProof/>
        </w:rPr>
      </w:pPr>
      <w:bookmarkStart w:id="17" w:name="_Hlk202174420"/>
      <w:r w:rsidRPr="00115F78">
        <w:rPr>
          <w:b/>
          <w:noProof/>
        </w:rPr>
        <w:t>Cele unijnego wsparcia na rzecz strefy Schengen, europejskiego zintegrowanego zarządzania granicami zewnętrznymi</w:t>
      </w:r>
      <w:r w:rsidR="00115F78" w:rsidRPr="00115F78">
        <w:rPr>
          <w:b/>
          <w:noProof/>
        </w:rPr>
        <w:t xml:space="preserve"> i</w:t>
      </w:r>
      <w:r w:rsidR="00115F78">
        <w:rPr>
          <w:b/>
          <w:noProof/>
        </w:rPr>
        <w:t> </w:t>
      </w:r>
      <w:r w:rsidR="00115F78" w:rsidRPr="00115F78">
        <w:rPr>
          <w:b/>
          <w:noProof/>
        </w:rPr>
        <w:t>wsp</w:t>
      </w:r>
      <w:r w:rsidRPr="00115F78">
        <w:rPr>
          <w:b/>
          <w:noProof/>
        </w:rPr>
        <w:t>ólnej polityki wizowej</w:t>
      </w:r>
    </w:p>
    <w:bookmarkEnd w:id="17"/>
    <w:p w14:paraId="3CC4516C" w14:textId="372C5E6B" w:rsidR="00286E0D" w:rsidRPr="00115F78" w:rsidRDefault="003347AC" w:rsidP="003347AC">
      <w:pPr>
        <w:pStyle w:val="ManualNumPar1"/>
        <w:rPr>
          <w:noProof/>
        </w:rPr>
      </w:pPr>
      <w:r w:rsidRPr="00115F78">
        <w:rPr>
          <w:noProof/>
        </w:rPr>
        <w:t>1.</w:t>
      </w:r>
      <w:r w:rsidRPr="00115F78">
        <w:rPr>
          <w:noProof/>
        </w:rPr>
        <w:tab/>
        <w:t>Aby zapewnić zdecydowane</w:t>
      </w:r>
      <w:r w:rsidR="00115F78" w:rsidRPr="00115F78">
        <w:rPr>
          <w:noProof/>
        </w:rPr>
        <w:t xml:space="preserve"> i</w:t>
      </w:r>
      <w:r w:rsidR="00115F78">
        <w:rPr>
          <w:noProof/>
        </w:rPr>
        <w:t> </w:t>
      </w:r>
      <w:r w:rsidR="00115F78" w:rsidRPr="00115F78">
        <w:rPr>
          <w:noProof/>
        </w:rPr>
        <w:t>sku</w:t>
      </w:r>
      <w:r w:rsidRPr="00115F78">
        <w:rPr>
          <w:noProof/>
        </w:rPr>
        <w:t>teczne europejskie zintegrowane zarządzanie granicami zewnętrznymi, dobrze funkcjonującą strefę Schengen</w:t>
      </w:r>
      <w:r w:rsidR="00115F78" w:rsidRPr="00115F78">
        <w:rPr>
          <w:noProof/>
        </w:rPr>
        <w:t xml:space="preserve"> i</w:t>
      </w:r>
      <w:r w:rsidR="00115F78">
        <w:rPr>
          <w:noProof/>
        </w:rPr>
        <w:t> </w:t>
      </w:r>
      <w:r w:rsidR="00115F78" w:rsidRPr="00115F78">
        <w:rPr>
          <w:noProof/>
        </w:rPr>
        <w:t>sku</w:t>
      </w:r>
      <w:r w:rsidRPr="00115F78">
        <w:rPr>
          <w:noProof/>
        </w:rPr>
        <w:t>teczną politykę wizową, unijne wsparcie przyczynia się do osiągnięcia każdego</w:t>
      </w:r>
      <w:r w:rsidR="00115F78" w:rsidRPr="00115F78">
        <w:rPr>
          <w:noProof/>
        </w:rPr>
        <w:t xml:space="preserve"> z</w:t>
      </w:r>
      <w:r w:rsidR="00115F78">
        <w:rPr>
          <w:noProof/>
        </w:rPr>
        <w:t> </w:t>
      </w:r>
      <w:r w:rsidR="00115F78" w:rsidRPr="00115F78">
        <w:rPr>
          <w:noProof/>
        </w:rPr>
        <w:t>nas</w:t>
      </w:r>
      <w:r w:rsidRPr="00115F78">
        <w:rPr>
          <w:noProof/>
        </w:rPr>
        <w:t>tępujących celów:</w:t>
      </w:r>
    </w:p>
    <w:p w14:paraId="52746F08" w14:textId="23584DE8" w:rsidR="0058101A" w:rsidRPr="00115F78" w:rsidRDefault="003347AC" w:rsidP="003347AC">
      <w:pPr>
        <w:pStyle w:val="Point1"/>
        <w:rPr>
          <w:rFonts w:eastAsiaTheme="minorEastAsia" w:cstheme="majorHAnsi"/>
          <w:noProof/>
          <w:szCs w:val="20"/>
        </w:rPr>
      </w:pPr>
      <w:r w:rsidRPr="00115F78">
        <w:rPr>
          <w:noProof/>
        </w:rPr>
        <w:t>a)</w:t>
      </w:r>
      <w:r w:rsidRPr="00115F78">
        <w:rPr>
          <w:noProof/>
        </w:rPr>
        <w:tab/>
        <w:t>wspieranie skutecznego wdrażania, stosowania</w:t>
      </w:r>
      <w:r w:rsidR="00115F78" w:rsidRPr="00115F78">
        <w:rPr>
          <w:noProof/>
        </w:rPr>
        <w:t xml:space="preserve"> i</w:t>
      </w:r>
      <w:r w:rsidR="00115F78">
        <w:rPr>
          <w:noProof/>
        </w:rPr>
        <w:t> </w:t>
      </w:r>
      <w:r w:rsidR="00115F78" w:rsidRPr="00115F78">
        <w:rPr>
          <w:noProof/>
        </w:rPr>
        <w:t>roz</w:t>
      </w:r>
      <w:r w:rsidRPr="00115F78">
        <w:rPr>
          <w:noProof/>
        </w:rPr>
        <w:t>woju ram Schengen oraz wzmacnianie zarządzania strefą Schengen bez granic wewnętrznych, jej integralności</w:t>
      </w:r>
      <w:r w:rsidR="00115F78" w:rsidRPr="00115F78">
        <w:rPr>
          <w:noProof/>
        </w:rPr>
        <w:t xml:space="preserve"> i</w:t>
      </w:r>
      <w:r w:rsidR="00115F78">
        <w:rPr>
          <w:noProof/>
        </w:rPr>
        <w:t> </w:t>
      </w:r>
      <w:r w:rsidR="00115F78" w:rsidRPr="00115F78">
        <w:rPr>
          <w:noProof/>
        </w:rPr>
        <w:t>bez</w:t>
      </w:r>
      <w:r w:rsidRPr="00115F78">
        <w:rPr>
          <w:noProof/>
        </w:rPr>
        <w:t>pieczeństwa;</w:t>
      </w:r>
    </w:p>
    <w:p w14:paraId="57D454BB" w14:textId="3318F2C8" w:rsidR="00286E0D" w:rsidRPr="00115F78" w:rsidRDefault="003347AC" w:rsidP="003347AC">
      <w:pPr>
        <w:pStyle w:val="Point1"/>
        <w:rPr>
          <w:rStyle w:val="Instructions"/>
          <w:rFonts w:eastAsiaTheme="minorEastAsia"/>
          <w:i w:val="0"/>
          <w:iCs w:val="0"/>
          <w:noProof/>
          <w:color w:val="auto"/>
        </w:rPr>
      </w:pPr>
      <w:r w:rsidRPr="00115F78">
        <w:rPr>
          <w:rStyle w:val="Instructions"/>
          <w:rFonts w:eastAsiaTheme="minorHAnsi"/>
          <w:noProof/>
        </w:rPr>
        <w:t>b)</w:t>
      </w:r>
      <w:r w:rsidRPr="00115F78">
        <w:rPr>
          <w:noProof/>
        </w:rPr>
        <w:tab/>
        <w:t>wspieranie skutecznego europejskiego zintegrowanego zarządzania granicami zewnętrznymi, wdrażanego przez Europejską Straż Graniczną</w:t>
      </w:r>
      <w:r w:rsidR="00115F78" w:rsidRPr="00115F78">
        <w:rPr>
          <w:noProof/>
        </w:rPr>
        <w:t xml:space="preserve"> i</w:t>
      </w:r>
      <w:r w:rsidR="00115F78">
        <w:rPr>
          <w:noProof/>
        </w:rPr>
        <w:t> </w:t>
      </w:r>
      <w:r w:rsidR="00115F78" w:rsidRPr="00115F78">
        <w:rPr>
          <w:noProof/>
        </w:rPr>
        <w:t>Prz</w:t>
      </w:r>
      <w:r w:rsidRPr="00115F78">
        <w:rPr>
          <w:noProof/>
        </w:rPr>
        <w:t>ybrzeżną</w:t>
      </w:r>
      <w:r w:rsidR="00115F78" w:rsidRPr="00115F78">
        <w:rPr>
          <w:noProof/>
        </w:rPr>
        <w:t xml:space="preserve"> w</w:t>
      </w:r>
      <w:r w:rsidR="00115F78">
        <w:rPr>
          <w:noProof/>
        </w:rPr>
        <w:t> </w:t>
      </w:r>
      <w:r w:rsidR="00115F78" w:rsidRPr="00115F78">
        <w:rPr>
          <w:noProof/>
        </w:rPr>
        <w:t>ram</w:t>
      </w:r>
      <w:r w:rsidRPr="00115F78">
        <w:rPr>
          <w:noProof/>
        </w:rPr>
        <w:t>ach wspólnej odpowiedzialności Europejskiej Agencji Straży Granicznej</w:t>
      </w:r>
      <w:r w:rsidR="00115F78" w:rsidRPr="00115F78">
        <w:rPr>
          <w:noProof/>
        </w:rPr>
        <w:t xml:space="preserve"> i</w:t>
      </w:r>
      <w:r w:rsidR="00115F78">
        <w:rPr>
          <w:noProof/>
        </w:rPr>
        <w:t> </w:t>
      </w:r>
      <w:r w:rsidR="00115F78" w:rsidRPr="00115F78">
        <w:rPr>
          <w:noProof/>
        </w:rPr>
        <w:t>Prz</w:t>
      </w:r>
      <w:r w:rsidRPr="00115F78">
        <w:rPr>
          <w:noProof/>
        </w:rPr>
        <w:t>ybrzeżnej oraz organów krajowych odpowiedzialnych za zarządzanie granicami,</w:t>
      </w:r>
      <w:r w:rsidR="00115F78" w:rsidRPr="00115F78">
        <w:rPr>
          <w:noProof/>
        </w:rPr>
        <w:t xml:space="preserve"> w</w:t>
      </w:r>
      <w:r w:rsidR="00115F78">
        <w:rPr>
          <w:noProof/>
        </w:rPr>
        <w:t> </w:t>
      </w:r>
      <w:r w:rsidR="00115F78" w:rsidRPr="00115F78">
        <w:rPr>
          <w:noProof/>
        </w:rPr>
        <w:t>tym</w:t>
      </w:r>
      <w:r w:rsidRPr="00115F78">
        <w:rPr>
          <w:noProof/>
        </w:rPr>
        <w:t xml:space="preserve"> za pomocą innowacyjnych metod</w:t>
      </w:r>
      <w:r w:rsidR="00115F78" w:rsidRPr="00115F78">
        <w:rPr>
          <w:noProof/>
        </w:rPr>
        <w:t xml:space="preserve"> i</w:t>
      </w:r>
      <w:r w:rsidR="00115F78">
        <w:rPr>
          <w:noProof/>
        </w:rPr>
        <w:t> </w:t>
      </w:r>
      <w:r w:rsidR="00115F78" w:rsidRPr="00115F78">
        <w:rPr>
          <w:noProof/>
        </w:rPr>
        <w:t>now</w:t>
      </w:r>
      <w:r w:rsidRPr="00115F78">
        <w:rPr>
          <w:noProof/>
        </w:rPr>
        <w:t>ych technologii, aby ułatwić legalne przekraczanie granic, zapobiegać imigracji nieuregulowanej, przestępczości transgranicznej oraz instrumentalizacji migracji nieuregulowanej</w:t>
      </w:r>
      <w:r w:rsidR="00115F78" w:rsidRPr="00115F78">
        <w:rPr>
          <w:noProof/>
        </w:rPr>
        <w:t xml:space="preserve"> i</w:t>
      </w:r>
      <w:r w:rsidR="00115F78">
        <w:rPr>
          <w:noProof/>
        </w:rPr>
        <w:t> </w:t>
      </w:r>
      <w:r w:rsidR="00115F78" w:rsidRPr="00115F78">
        <w:rPr>
          <w:noProof/>
        </w:rPr>
        <w:t>prz</w:t>
      </w:r>
      <w:r w:rsidRPr="00115F78">
        <w:rPr>
          <w:noProof/>
        </w:rPr>
        <w:t>ekształcaniu jej</w:t>
      </w:r>
      <w:r w:rsidR="00115F78" w:rsidRPr="00115F78">
        <w:rPr>
          <w:noProof/>
        </w:rPr>
        <w:t xml:space="preserve"> w</w:t>
      </w:r>
      <w:r w:rsidR="00115F78">
        <w:rPr>
          <w:noProof/>
        </w:rPr>
        <w:t> </w:t>
      </w:r>
      <w:r w:rsidR="00115F78" w:rsidRPr="00115F78">
        <w:rPr>
          <w:noProof/>
        </w:rPr>
        <w:t>bro</w:t>
      </w:r>
      <w:r w:rsidRPr="00115F78">
        <w:rPr>
          <w:noProof/>
        </w:rPr>
        <w:t>ń oraz wykrywać je, aby przyczynić się do realizacji skutecznych powrotów;</w:t>
      </w:r>
    </w:p>
    <w:p w14:paraId="07C36713" w14:textId="50654715" w:rsidR="00286E0D" w:rsidRPr="00115F78" w:rsidRDefault="003347AC" w:rsidP="003347AC">
      <w:pPr>
        <w:pStyle w:val="Point1"/>
        <w:rPr>
          <w:rFonts w:eastAsiaTheme="minorEastAsia" w:cstheme="majorHAnsi"/>
          <w:noProof/>
          <w:szCs w:val="20"/>
        </w:rPr>
      </w:pPr>
      <w:r w:rsidRPr="00115F78">
        <w:rPr>
          <w:noProof/>
        </w:rPr>
        <w:t>c)</w:t>
      </w:r>
      <w:r w:rsidRPr="00115F78">
        <w:rPr>
          <w:noProof/>
        </w:rPr>
        <w:tab/>
        <w:t>wspieranie wspólnej polityki wizowej, aby zapewnić zharmonizowane podejście do terminowego wydawania wiz</w:t>
      </w:r>
      <w:r w:rsidR="00115F78" w:rsidRPr="00115F78">
        <w:rPr>
          <w:noProof/>
        </w:rPr>
        <w:t xml:space="preserve"> i</w:t>
      </w:r>
      <w:r w:rsidR="00115F78">
        <w:rPr>
          <w:noProof/>
        </w:rPr>
        <w:t> </w:t>
      </w:r>
      <w:r w:rsidR="00115F78" w:rsidRPr="00115F78">
        <w:rPr>
          <w:noProof/>
        </w:rPr>
        <w:t>uła</w:t>
      </w:r>
      <w:r w:rsidRPr="00115F78">
        <w:rPr>
          <w:noProof/>
        </w:rPr>
        <w:t>twić legalne podróżowanie, przy jednoczesnym zapobieganiu ryzyku migracyjnemu</w:t>
      </w:r>
      <w:r w:rsidR="00115F78" w:rsidRPr="00115F78">
        <w:rPr>
          <w:noProof/>
        </w:rPr>
        <w:t xml:space="preserve"> i</w:t>
      </w:r>
      <w:r w:rsidR="00115F78">
        <w:rPr>
          <w:noProof/>
        </w:rPr>
        <w:t> </w:t>
      </w:r>
      <w:r w:rsidR="00115F78" w:rsidRPr="00115F78">
        <w:rPr>
          <w:noProof/>
        </w:rPr>
        <w:t>ryz</w:t>
      </w:r>
      <w:r w:rsidRPr="00115F78">
        <w:rPr>
          <w:noProof/>
        </w:rPr>
        <w:t>yku dla bezpieczeństwa oraz przyczynianiu się do bezpieczeństwa</w:t>
      </w:r>
      <w:r w:rsidR="00115F78" w:rsidRPr="00115F78">
        <w:rPr>
          <w:noProof/>
        </w:rPr>
        <w:t xml:space="preserve"> i</w:t>
      </w:r>
      <w:r w:rsidR="00115F78">
        <w:rPr>
          <w:noProof/>
        </w:rPr>
        <w:t> </w:t>
      </w:r>
      <w:r w:rsidR="00115F78" w:rsidRPr="00115F78">
        <w:rPr>
          <w:noProof/>
        </w:rPr>
        <w:t>pra</w:t>
      </w:r>
      <w:r w:rsidRPr="00115F78">
        <w:rPr>
          <w:noProof/>
        </w:rPr>
        <w:t>widłowego funkcjonowania strefy Schengen.</w:t>
      </w:r>
    </w:p>
    <w:p w14:paraId="6E55EEE9" w14:textId="6B252B86" w:rsidR="00286E0D" w:rsidRPr="00115F78" w:rsidRDefault="00286E0D" w:rsidP="00A257BB">
      <w:pPr>
        <w:ind w:left="720"/>
        <w:rPr>
          <w:noProof/>
          <w:szCs w:val="24"/>
        </w:rPr>
      </w:pPr>
      <w:bookmarkStart w:id="18" w:name="_Hlk201962005"/>
      <w:r w:rsidRPr="00115F78">
        <w:rPr>
          <w:noProof/>
        </w:rPr>
        <w:t>Unijne wsparcie jest</w:t>
      </w:r>
      <w:bookmarkEnd w:id="18"/>
      <w:r w:rsidRPr="00115F78">
        <w:rPr>
          <w:noProof/>
        </w:rPr>
        <w:t xml:space="preserve"> wdrażane</w:t>
      </w:r>
      <w:r w:rsidR="00115F78" w:rsidRPr="00115F78">
        <w:rPr>
          <w:noProof/>
        </w:rPr>
        <w:t xml:space="preserve"> w</w:t>
      </w:r>
      <w:r w:rsidR="00115F78">
        <w:rPr>
          <w:noProof/>
        </w:rPr>
        <w:t> </w:t>
      </w:r>
      <w:r w:rsidR="00115F78" w:rsidRPr="00115F78">
        <w:rPr>
          <w:noProof/>
        </w:rPr>
        <w:t>spo</w:t>
      </w:r>
      <w:r w:rsidRPr="00115F78">
        <w:rPr>
          <w:noProof/>
        </w:rPr>
        <w:t>sób</w:t>
      </w:r>
      <w:r w:rsidR="00115F78" w:rsidRPr="00115F78">
        <w:rPr>
          <w:noProof/>
        </w:rPr>
        <w:t xml:space="preserve"> w</w:t>
      </w:r>
      <w:r w:rsidR="00115F78">
        <w:rPr>
          <w:noProof/>
        </w:rPr>
        <w:t> </w:t>
      </w:r>
      <w:r w:rsidR="00115F78" w:rsidRPr="00115F78">
        <w:rPr>
          <w:noProof/>
        </w:rPr>
        <w:t>peł</w:t>
      </w:r>
      <w:r w:rsidRPr="00115F78">
        <w:rPr>
          <w:noProof/>
        </w:rPr>
        <w:t>ni zgodny</w:t>
      </w:r>
      <w:r w:rsidR="00115F78" w:rsidRPr="00115F78">
        <w:rPr>
          <w:noProof/>
        </w:rPr>
        <w:t xml:space="preserve"> z</w:t>
      </w:r>
      <w:r w:rsidR="00115F78">
        <w:rPr>
          <w:noProof/>
        </w:rPr>
        <w:t> </w:t>
      </w:r>
      <w:r w:rsidR="00115F78" w:rsidRPr="00115F78">
        <w:rPr>
          <w:noProof/>
        </w:rPr>
        <w:t>cel</w:t>
      </w:r>
      <w:r w:rsidRPr="00115F78">
        <w:rPr>
          <w:noProof/>
        </w:rPr>
        <w:t>ami określonymi</w:t>
      </w:r>
      <w:r w:rsidR="00115F78" w:rsidRPr="00115F78">
        <w:rPr>
          <w:noProof/>
        </w:rPr>
        <w:t xml:space="preserve"> w</w:t>
      </w:r>
      <w:r w:rsidR="00115F78">
        <w:rPr>
          <w:noProof/>
        </w:rPr>
        <w:t> </w:t>
      </w:r>
      <w:r w:rsidR="00115F78" w:rsidRPr="00115F78">
        <w:rPr>
          <w:noProof/>
        </w:rPr>
        <w:t>roz</w:t>
      </w:r>
      <w:r w:rsidRPr="00115F78">
        <w:rPr>
          <w:noProof/>
        </w:rPr>
        <w:t>porządzeniu (UE) [...] ustanawiającym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w:t>
      </w:r>
    </w:p>
    <w:p w14:paraId="71BB4485" w14:textId="6EB84DAB" w:rsidR="00286E0D" w:rsidRPr="00115F78" w:rsidRDefault="003347AC" w:rsidP="003347AC">
      <w:pPr>
        <w:pStyle w:val="ManualNumPar1"/>
        <w:rPr>
          <w:noProof/>
          <w:szCs w:val="24"/>
        </w:rPr>
      </w:pPr>
      <w:r w:rsidRPr="00115F78">
        <w:rPr>
          <w:noProof/>
        </w:rPr>
        <w:t>2.</w:t>
      </w:r>
      <w:r w:rsidRPr="00115F78">
        <w:rPr>
          <w:noProof/>
        </w:rPr>
        <w:tab/>
        <w:t>Unijne wsparcie jest wdrażane zgodnie</w:t>
      </w:r>
      <w:r w:rsidR="00115F78" w:rsidRPr="00115F78">
        <w:rPr>
          <w:noProof/>
        </w:rPr>
        <w:t xml:space="preserve"> z</w:t>
      </w:r>
      <w:r w:rsidR="00115F78">
        <w:rPr>
          <w:noProof/>
        </w:rPr>
        <w:t> </w:t>
      </w:r>
      <w:r w:rsidR="00115F78" w:rsidRPr="00115F78">
        <w:rPr>
          <w:noProof/>
        </w:rPr>
        <w:t>odp</w:t>
      </w:r>
      <w:r w:rsidRPr="00115F78">
        <w:rPr>
          <w:noProof/>
        </w:rPr>
        <w:t>owiednim dorobkiem prawnym Unii</w:t>
      </w:r>
      <w:r w:rsidR="00115F78" w:rsidRPr="00115F78">
        <w:rPr>
          <w:noProof/>
        </w:rPr>
        <w:t xml:space="preserve"> i</w:t>
      </w:r>
      <w:r w:rsidR="00115F78">
        <w:rPr>
          <w:noProof/>
        </w:rPr>
        <w:t> </w:t>
      </w:r>
      <w:r w:rsidR="00115F78" w:rsidRPr="00115F78">
        <w:rPr>
          <w:noProof/>
        </w:rPr>
        <w:t>zob</w:t>
      </w:r>
      <w:r w:rsidRPr="00115F78">
        <w:rPr>
          <w:noProof/>
        </w:rPr>
        <w:t>owiązaniami międzynarodowymi Unii</w:t>
      </w:r>
      <w:r w:rsidR="00115F78" w:rsidRPr="00115F78">
        <w:rPr>
          <w:noProof/>
        </w:rPr>
        <w:t xml:space="preserve"> i</w:t>
      </w:r>
      <w:r w:rsidR="00115F78">
        <w:rPr>
          <w:noProof/>
        </w:rPr>
        <w:t> </w:t>
      </w:r>
      <w:r w:rsidR="00115F78" w:rsidRPr="00115F78">
        <w:rPr>
          <w:noProof/>
        </w:rPr>
        <w:t>pań</w:t>
      </w:r>
      <w:r w:rsidRPr="00115F78">
        <w:rPr>
          <w:noProof/>
        </w:rPr>
        <w:t>stw członkowskich, wynikającymi</w:t>
      </w:r>
      <w:r w:rsidR="00115F78" w:rsidRPr="00115F78">
        <w:rPr>
          <w:noProof/>
        </w:rPr>
        <w:t xml:space="preserve"> z</w:t>
      </w:r>
      <w:r w:rsidR="00115F78">
        <w:rPr>
          <w:noProof/>
        </w:rPr>
        <w:t> </w:t>
      </w:r>
      <w:r w:rsidR="00115F78" w:rsidRPr="00115F78">
        <w:rPr>
          <w:noProof/>
        </w:rPr>
        <w:t>ins</w:t>
      </w:r>
      <w:r w:rsidRPr="00115F78">
        <w:rPr>
          <w:noProof/>
        </w:rPr>
        <w:t>trumentów międzynarodowych, których są stronami.</w:t>
      </w:r>
    </w:p>
    <w:p w14:paraId="3840A777" w14:textId="0C4D4EE8" w:rsidR="00286E0D" w:rsidRPr="00115F78" w:rsidRDefault="003347AC" w:rsidP="003347AC">
      <w:pPr>
        <w:pStyle w:val="ManualNumPar1"/>
        <w:rPr>
          <w:noProof/>
          <w:szCs w:val="24"/>
        </w:rPr>
      </w:pPr>
      <w:r w:rsidRPr="00115F78">
        <w:rPr>
          <w:noProof/>
        </w:rPr>
        <w:t>3.</w:t>
      </w:r>
      <w:r w:rsidRPr="00115F78">
        <w:rPr>
          <w:noProof/>
        </w:rPr>
        <w:tab/>
        <w:t>Państwa członkowskie zapewniają, aby priorytety ich planów partnerstwa krajowego</w:t>
      </w:r>
      <w:r w:rsidR="00115F78" w:rsidRPr="00115F78">
        <w:rPr>
          <w:noProof/>
        </w:rPr>
        <w:t xml:space="preserve"> i</w:t>
      </w:r>
      <w:r w:rsidR="00115F78">
        <w:rPr>
          <w:noProof/>
        </w:rPr>
        <w:t> </w:t>
      </w:r>
      <w:r w:rsidR="00115F78" w:rsidRPr="00115F78">
        <w:rPr>
          <w:noProof/>
        </w:rPr>
        <w:t>reg</w:t>
      </w:r>
      <w:r w:rsidRPr="00115F78">
        <w:rPr>
          <w:noProof/>
        </w:rPr>
        <w:t>ionalnego obejmowały działania służące osiągnięciu każdego</w:t>
      </w:r>
      <w:r w:rsidR="00115F78" w:rsidRPr="00115F78">
        <w:rPr>
          <w:noProof/>
        </w:rPr>
        <w:t xml:space="preserve"> z</w:t>
      </w:r>
      <w:r w:rsidR="00115F78">
        <w:rPr>
          <w:noProof/>
        </w:rPr>
        <w:t> </w:t>
      </w:r>
      <w:r w:rsidR="00115F78" w:rsidRPr="00115F78">
        <w:rPr>
          <w:noProof/>
        </w:rPr>
        <w:t>cel</w:t>
      </w:r>
      <w:r w:rsidRPr="00115F78">
        <w:rPr>
          <w:noProof/>
        </w:rPr>
        <w:t>ów wsparcia unijnego udzielanego na podstawie niniejszego rozporządzenia oraz aby podział zasobów między te cele był proporcjonalny do zidentyfikowanych wyzwań</w:t>
      </w:r>
      <w:r w:rsidR="00115F78" w:rsidRPr="00115F78">
        <w:rPr>
          <w:noProof/>
        </w:rPr>
        <w:t xml:space="preserve"> i</w:t>
      </w:r>
      <w:r w:rsidR="00115F78">
        <w:rPr>
          <w:noProof/>
        </w:rPr>
        <w:t> </w:t>
      </w:r>
      <w:r w:rsidR="00115F78" w:rsidRPr="00115F78">
        <w:rPr>
          <w:noProof/>
        </w:rPr>
        <w:t>pot</w:t>
      </w:r>
      <w:r w:rsidRPr="00115F78">
        <w:rPr>
          <w:noProof/>
        </w:rPr>
        <w:t>rzeb.</w:t>
      </w:r>
    </w:p>
    <w:p w14:paraId="23655188" w14:textId="77777777" w:rsidR="00286E0D" w:rsidRPr="00115F78" w:rsidRDefault="00286E0D" w:rsidP="00286E0D">
      <w:pPr>
        <w:pStyle w:val="Titrearticle"/>
        <w:rPr>
          <w:noProof/>
        </w:rPr>
      </w:pPr>
      <w:r w:rsidRPr="00115F78">
        <w:rPr>
          <w:noProof/>
        </w:rPr>
        <w:t>Artykuł 4</w:t>
      </w:r>
    </w:p>
    <w:p w14:paraId="00F584F5" w14:textId="77777777" w:rsidR="00286E0D" w:rsidRPr="00115F78" w:rsidRDefault="00286E0D" w:rsidP="00286E0D">
      <w:pPr>
        <w:pStyle w:val="Titrearticle"/>
        <w:rPr>
          <w:b/>
          <w:bCs/>
          <w:noProof/>
        </w:rPr>
      </w:pPr>
      <w:r w:rsidRPr="00115F78">
        <w:rPr>
          <w:b/>
          <w:noProof/>
        </w:rPr>
        <w:t>Finansowanie</w:t>
      </w:r>
    </w:p>
    <w:p w14:paraId="3C31D26E" w14:textId="37C48FDA" w:rsidR="005507F3" w:rsidRPr="00115F78" w:rsidRDefault="003347AC" w:rsidP="003347AC">
      <w:pPr>
        <w:pStyle w:val="ManualNumPar1"/>
        <w:rPr>
          <w:noProof/>
        </w:rPr>
      </w:pPr>
      <w:r w:rsidRPr="00115F78">
        <w:rPr>
          <w:noProof/>
        </w:rPr>
        <w:t>1.</w:t>
      </w:r>
      <w:r w:rsidRPr="00115F78">
        <w:rPr>
          <w:noProof/>
        </w:rPr>
        <w:tab/>
        <w:t>Orientacyjną pulę środków finansowych na realizację celów wyznaczonych</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3 na okres 2028–2034 określa się na poziomie 15 396 750 000 EUR</w:t>
      </w:r>
      <w:r w:rsidR="00115F78" w:rsidRPr="00115F78">
        <w:rPr>
          <w:noProof/>
        </w:rPr>
        <w:t xml:space="preserve"> w</w:t>
      </w:r>
      <w:r w:rsidR="00115F78">
        <w:rPr>
          <w:noProof/>
        </w:rPr>
        <w:t> </w:t>
      </w:r>
      <w:r w:rsidR="00115F78" w:rsidRPr="00115F78">
        <w:rPr>
          <w:noProof/>
        </w:rPr>
        <w:t>cen</w:t>
      </w:r>
      <w:r w:rsidRPr="00115F78">
        <w:rPr>
          <w:noProof/>
        </w:rPr>
        <w:t>ach bieżących. Środki te są wdrażane zgodnie</w:t>
      </w:r>
      <w:r w:rsidR="00115F78" w:rsidRPr="00115F78">
        <w:rPr>
          <w:noProof/>
        </w:rPr>
        <w:t xml:space="preserve"> z</w:t>
      </w:r>
      <w:r w:rsidR="00115F78">
        <w:rPr>
          <w:noProof/>
        </w:rPr>
        <w:t> </w:t>
      </w:r>
      <w:r w:rsidR="00115F78" w:rsidRPr="00115F78">
        <w:rPr>
          <w:noProof/>
        </w:rPr>
        <w:t>prz</w:t>
      </w:r>
      <w:r w:rsidRPr="00115F78">
        <w:rPr>
          <w:noProof/>
        </w:rPr>
        <w:t>episami horyzontalnymi odnoszącymi się do planów partnerstwa krajowego</w:t>
      </w:r>
      <w:r w:rsidR="00115F78" w:rsidRPr="00115F78">
        <w:rPr>
          <w:noProof/>
        </w:rPr>
        <w:t xml:space="preserve"> i</w:t>
      </w:r>
      <w:r w:rsidR="00115F78">
        <w:rPr>
          <w:noProof/>
        </w:rPr>
        <w:t> </w:t>
      </w:r>
      <w:r w:rsidR="00115F78" w:rsidRPr="00115F78">
        <w:rPr>
          <w:noProof/>
        </w:rPr>
        <w:t>reg</w:t>
      </w:r>
      <w:r w:rsidRPr="00115F78">
        <w:rPr>
          <w:noProof/>
        </w:rPr>
        <w:t>ionalnego</w:t>
      </w:r>
      <w:r w:rsidR="00115F78" w:rsidRPr="00115F78">
        <w:rPr>
          <w:noProof/>
        </w:rPr>
        <w:t xml:space="preserve"> i</w:t>
      </w:r>
      <w:r w:rsidR="00115F78">
        <w:rPr>
          <w:noProof/>
        </w:rPr>
        <w:t> </w:t>
      </w:r>
      <w:r w:rsidR="00115F78" w:rsidRPr="00115F78">
        <w:rPr>
          <w:noProof/>
        </w:rPr>
        <w:t>okr</w:t>
      </w:r>
      <w:r w:rsidRPr="00115F78">
        <w:rPr>
          <w:noProof/>
        </w:rPr>
        <w:t>eślonymi</w:t>
      </w:r>
      <w:r w:rsidR="00115F78" w:rsidRPr="00115F78">
        <w:rPr>
          <w:noProof/>
        </w:rPr>
        <w:t xml:space="preserve"> w</w:t>
      </w:r>
      <w:r w:rsidR="00115F78">
        <w:rPr>
          <w:noProof/>
        </w:rPr>
        <w:t> </w:t>
      </w:r>
      <w:r w:rsidR="00115F78" w:rsidRPr="00115F78">
        <w:rPr>
          <w:noProof/>
        </w:rPr>
        <w:t>roz</w:t>
      </w:r>
      <w:r w:rsidRPr="00115F78">
        <w:rPr>
          <w:noProof/>
        </w:rPr>
        <w:t>porządzeniu (UE) [...] ustanawiającym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 xml:space="preserve">pieczeństwa. </w:t>
      </w:r>
    </w:p>
    <w:p w14:paraId="73B43C2B" w14:textId="784AF5F1" w:rsidR="00623F90" w:rsidRPr="00115F78" w:rsidRDefault="003347AC" w:rsidP="003347AC">
      <w:pPr>
        <w:pStyle w:val="ManualNumPar1"/>
        <w:rPr>
          <w:noProof/>
        </w:rPr>
      </w:pPr>
      <w:r w:rsidRPr="00115F78">
        <w:rPr>
          <w:noProof/>
        </w:rPr>
        <w:t>2.</w:t>
      </w:r>
      <w:r w:rsidRPr="00115F78">
        <w:rPr>
          <w:noProof/>
        </w:rPr>
        <w:tab/>
        <w:t>Komisja przyjmie akt wykonawczy określający kwoty przypadające na każde państwo członkowskie przez zastosowanie metodyki alokacji określonej</w:t>
      </w:r>
      <w:r w:rsidR="00115F78" w:rsidRPr="00115F78">
        <w:rPr>
          <w:noProof/>
        </w:rPr>
        <w:t xml:space="preserve"> w</w:t>
      </w:r>
      <w:r w:rsidR="00115F78">
        <w:rPr>
          <w:noProof/>
        </w:rPr>
        <w:t> </w:t>
      </w:r>
      <w:r w:rsidR="00115F78" w:rsidRPr="00115F78">
        <w:rPr>
          <w:noProof/>
        </w:rPr>
        <w:t>sek</w:t>
      </w:r>
      <w:r w:rsidRPr="00115F78">
        <w:rPr>
          <w:noProof/>
        </w:rPr>
        <w:t>cji B załącznika I do rozporządzenia (UE) [...]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w:t>
      </w:r>
    </w:p>
    <w:p w14:paraId="5E629589" w14:textId="2501DC01" w:rsidR="005507F3" w:rsidRPr="00115F78" w:rsidRDefault="003347AC" w:rsidP="003347AC">
      <w:pPr>
        <w:pStyle w:val="ManualNumPar1"/>
        <w:rPr>
          <w:noProof/>
        </w:rPr>
      </w:pPr>
      <w:r w:rsidRPr="00115F78">
        <w:rPr>
          <w:noProof/>
        </w:rPr>
        <w:t>3.</w:t>
      </w:r>
      <w:r w:rsidRPr="00115F78">
        <w:rPr>
          <w:noProof/>
        </w:rPr>
        <w:tab/>
        <w:t>Ponadto środki budżetowe na cele określone</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3 niniejszego rozporządzenia, wykonywane za pośrednictwem Instrumentu UE na podstawie tytułu IV rozporządzenia (UE) [...]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 ustala się</w:t>
      </w:r>
      <w:r w:rsidR="00115F78" w:rsidRPr="00115F78">
        <w:rPr>
          <w:noProof/>
        </w:rPr>
        <w:t xml:space="preserve"> w</w:t>
      </w:r>
      <w:r w:rsidR="00115F78">
        <w:rPr>
          <w:noProof/>
        </w:rPr>
        <w:t> </w:t>
      </w:r>
      <w:r w:rsidR="00115F78" w:rsidRPr="00115F78">
        <w:rPr>
          <w:noProof/>
        </w:rPr>
        <w:t>ram</w:t>
      </w:r>
      <w:r w:rsidRPr="00115F78">
        <w:rPr>
          <w:noProof/>
        </w:rPr>
        <w:t>ach rocznej procedury budżetowej przewidzianej</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314 TFUE.</w:t>
      </w:r>
    </w:p>
    <w:p w14:paraId="070F7EDE" w14:textId="2651A8BB" w:rsidR="005507F3" w:rsidRPr="00115F78" w:rsidRDefault="003347AC" w:rsidP="003347AC">
      <w:pPr>
        <w:pStyle w:val="ManualNumPar1"/>
        <w:rPr>
          <w:noProof/>
        </w:rPr>
      </w:pPr>
      <w:r w:rsidRPr="00115F78">
        <w:rPr>
          <w:noProof/>
        </w:rPr>
        <w:t>4.</w:t>
      </w:r>
      <w:r w:rsidRPr="00115F78">
        <w:rPr>
          <w:noProof/>
        </w:rPr>
        <w:tab/>
      </w:r>
      <w:r w:rsidRPr="00115F78">
        <w:rPr>
          <w:rFonts w:asciiTheme="majorBidi" w:hAnsiTheme="majorBidi"/>
          <w:noProof/>
        </w:rPr>
        <w:t>Jeżeli</w:t>
      </w:r>
      <w:r w:rsidR="00115F78" w:rsidRPr="00115F78">
        <w:rPr>
          <w:rFonts w:asciiTheme="majorBidi" w:hAnsiTheme="majorBidi"/>
          <w:noProof/>
        </w:rPr>
        <w:t xml:space="preserve"> w</w:t>
      </w:r>
      <w:r w:rsidR="00115F78">
        <w:rPr>
          <w:rFonts w:asciiTheme="majorBidi" w:hAnsiTheme="majorBidi"/>
          <w:noProof/>
        </w:rPr>
        <w:t> </w:t>
      </w:r>
      <w:r w:rsidR="00115F78" w:rsidRPr="00115F78">
        <w:rPr>
          <w:rFonts w:asciiTheme="majorBidi" w:hAnsiTheme="majorBidi"/>
          <w:noProof/>
        </w:rPr>
        <w:t>odn</w:t>
      </w:r>
      <w:r w:rsidRPr="00115F78">
        <w:rPr>
          <w:rFonts w:asciiTheme="majorBidi" w:hAnsiTheme="majorBidi"/>
          <w:noProof/>
        </w:rPr>
        <w:t>iesieniu do środków dotyczących celów określonych</w:t>
      </w:r>
      <w:r w:rsidR="00115F78" w:rsidRPr="00115F78">
        <w:rPr>
          <w:rFonts w:asciiTheme="majorBidi" w:hAnsiTheme="majorBidi"/>
          <w:noProof/>
        </w:rPr>
        <w:t xml:space="preserve"> w</w:t>
      </w:r>
      <w:r w:rsidR="00115F78">
        <w:rPr>
          <w:rFonts w:asciiTheme="majorBidi" w:hAnsiTheme="majorBidi"/>
          <w:noProof/>
        </w:rPr>
        <w:t> </w:t>
      </w:r>
      <w:r w:rsidR="00115F78" w:rsidRPr="00115F78">
        <w:rPr>
          <w:rFonts w:asciiTheme="majorBidi" w:hAnsiTheme="majorBidi"/>
          <w:noProof/>
        </w:rPr>
        <w:t>art</w:t>
      </w:r>
      <w:r w:rsidRPr="00115F78">
        <w:rPr>
          <w:rFonts w:asciiTheme="majorBidi" w:hAnsiTheme="majorBidi"/>
          <w:noProof/>
        </w:rPr>
        <w:t>.</w:t>
      </w:r>
      <w:r w:rsidR="00115F78" w:rsidRPr="00115F78">
        <w:rPr>
          <w:rFonts w:asciiTheme="majorBidi" w:hAnsiTheme="majorBidi"/>
          <w:noProof/>
        </w:rPr>
        <w:t> </w:t>
      </w:r>
      <w:r w:rsidRPr="00115F78">
        <w:rPr>
          <w:rFonts w:asciiTheme="majorBidi" w:hAnsiTheme="majorBidi"/>
          <w:noProof/>
        </w:rPr>
        <w:t>3 niniejszego rozporządzenia</w:t>
      </w:r>
      <w:r w:rsidRPr="00115F78">
        <w:rPr>
          <w:noProof/>
        </w:rPr>
        <w:t xml:space="preserve"> Komisja stwierdzi, że środki te są zgodne</w:t>
      </w:r>
      <w:r w:rsidR="00115F78" w:rsidRPr="00115F78">
        <w:rPr>
          <w:noProof/>
        </w:rPr>
        <w:t xml:space="preserve"> z</w:t>
      </w:r>
      <w:r w:rsidR="00115F78">
        <w:rPr>
          <w:noProof/>
        </w:rPr>
        <w:t> </w:t>
      </w:r>
      <w:r w:rsidR="00115F78" w:rsidRPr="00115F78">
        <w:rPr>
          <w:noProof/>
        </w:rPr>
        <w:t>wym</w:t>
      </w:r>
      <w:r w:rsidRPr="00115F78">
        <w:rPr>
          <w:noProof/>
        </w:rPr>
        <w:t>ogami określonymi</w:t>
      </w:r>
      <w:r w:rsidR="00115F78" w:rsidRPr="00115F78">
        <w:rPr>
          <w:noProof/>
        </w:rPr>
        <w:t xml:space="preserve"> w</w:t>
      </w:r>
      <w:r w:rsidR="00115F78">
        <w:rPr>
          <w:noProof/>
        </w:rPr>
        <w:t> </w:t>
      </w:r>
      <w:r w:rsidR="00115F78" w:rsidRPr="00115F78">
        <w:rPr>
          <w:noProof/>
        </w:rPr>
        <w:t>nin</w:t>
      </w:r>
      <w:r w:rsidRPr="00115F78">
        <w:rPr>
          <w:noProof/>
        </w:rPr>
        <w:t>iejszym rozporządzeniu</w:t>
      </w:r>
      <w:r w:rsidR="00115F78" w:rsidRPr="00115F78">
        <w:rPr>
          <w:noProof/>
        </w:rPr>
        <w:t xml:space="preserve"> i</w:t>
      </w:r>
      <w:r w:rsidR="00115F78">
        <w:rPr>
          <w:noProof/>
        </w:rPr>
        <w:t> </w:t>
      </w:r>
      <w:r w:rsidR="00115F78" w:rsidRPr="00115F78">
        <w:rPr>
          <w:noProof/>
        </w:rPr>
        <w:t>w</w:t>
      </w:r>
      <w:r w:rsidR="00115F78">
        <w:rPr>
          <w:noProof/>
        </w:rPr>
        <w:t> </w:t>
      </w:r>
      <w:r w:rsidR="00115F78" w:rsidRPr="00115F78">
        <w:rPr>
          <w:noProof/>
        </w:rPr>
        <w:t>roz</w:t>
      </w:r>
      <w:r w:rsidRPr="00115F78">
        <w:rPr>
          <w:noProof/>
        </w:rPr>
        <w:t>porządzeniu (UE) [...] ustanawiającym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 oraz przedłoży wniosek</w:t>
      </w:r>
      <w:r w:rsidR="00115F78" w:rsidRPr="00115F78">
        <w:rPr>
          <w:noProof/>
        </w:rPr>
        <w:t xml:space="preserve"> w</w:t>
      </w:r>
      <w:r w:rsidR="00115F78">
        <w:rPr>
          <w:noProof/>
        </w:rPr>
        <w:t> </w:t>
      </w:r>
      <w:r w:rsidR="00115F78" w:rsidRPr="00115F78">
        <w:rPr>
          <w:noProof/>
        </w:rPr>
        <w:t>spr</w:t>
      </w:r>
      <w:r w:rsidRPr="00115F78">
        <w:rPr>
          <w:noProof/>
        </w:rPr>
        <w:t>awie decyzji wykonawczej Rady zatwierdzającej plan partnerstwa krajowego</w:t>
      </w:r>
      <w:r w:rsidR="00115F78" w:rsidRPr="00115F78">
        <w:rPr>
          <w:noProof/>
        </w:rPr>
        <w:t xml:space="preserve"> i</w:t>
      </w:r>
      <w:r w:rsidR="00115F78">
        <w:rPr>
          <w:noProof/>
        </w:rPr>
        <w:t> </w:t>
      </w:r>
      <w:r w:rsidR="00115F78" w:rsidRPr="00115F78">
        <w:rPr>
          <w:noProof/>
        </w:rPr>
        <w:t>reg</w:t>
      </w:r>
      <w:r w:rsidRPr="00115F78">
        <w:rPr>
          <w:noProof/>
        </w:rPr>
        <w:t>ionalnego danego państwa członkowskiego zgodnie</w:t>
      </w:r>
      <w:r w:rsidR="00115F78" w:rsidRPr="00115F78">
        <w:rPr>
          <w:noProof/>
        </w:rPr>
        <w:t xml:space="preserve"> z</w:t>
      </w:r>
      <w:r w:rsidR="00115F78">
        <w:rPr>
          <w:noProof/>
        </w:rPr>
        <w:t> </w:t>
      </w:r>
      <w:r w:rsidR="00115F78" w:rsidRPr="00115F78">
        <w:rPr>
          <w:noProof/>
        </w:rPr>
        <w:t>pro</w:t>
      </w:r>
      <w:r w:rsidRPr="00115F78">
        <w:rPr>
          <w:noProof/>
        </w:rPr>
        <w:t>cedurą określoną</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23 rozporządzenia (UE) [...]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 wówczas Komisja przedstawia wniosek dotyczący decyzji wykonawczej Rady</w:t>
      </w:r>
      <w:r w:rsidR="00115F78" w:rsidRPr="00115F78">
        <w:rPr>
          <w:noProof/>
        </w:rPr>
        <w:t xml:space="preserve"> w</w:t>
      </w:r>
      <w:r w:rsidR="00115F78">
        <w:rPr>
          <w:noProof/>
        </w:rPr>
        <w:t> </w:t>
      </w:r>
      <w:r w:rsidR="00115F78" w:rsidRPr="00115F78">
        <w:rPr>
          <w:noProof/>
        </w:rPr>
        <w:t>spr</w:t>
      </w:r>
      <w:r w:rsidRPr="00115F78">
        <w:rPr>
          <w:noProof/>
        </w:rPr>
        <w:t xml:space="preserve">awie zatwierdzenia tych środków. </w:t>
      </w:r>
    </w:p>
    <w:p w14:paraId="6930FE95" w14:textId="0AD14BB9" w:rsidR="005507F3" w:rsidRPr="00115F78" w:rsidRDefault="003347AC" w:rsidP="003347AC">
      <w:pPr>
        <w:pStyle w:val="ManualNumPar1"/>
        <w:rPr>
          <w:noProof/>
        </w:rPr>
      </w:pPr>
      <w:r w:rsidRPr="00115F78">
        <w:rPr>
          <w:noProof/>
        </w:rPr>
        <w:t>5.</w:t>
      </w:r>
      <w:r w:rsidRPr="00115F78">
        <w:rPr>
          <w:noProof/>
        </w:rPr>
        <w:tab/>
        <w:t>We wniosku dotyczącym decyzji wykonawczej Rady</w:t>
      </w:r>
      <w:r w:rsidR="00115F78" w:rsidRPr="00115F78">
        <w:rPr>
          <w:noProof/>
        </w:rPr>
        <w:t xml:space="preserve"> w</w:t>
      </w:r>
      <w:r w:rsidR="00115F78">
        <w:rPr>
          <w:noProof/>
        </w:rPr>
        <w:t> </w:t>
      </w:r>
      <w:r w:rsidR="00115F78" w:rsidRPr="00115F78">
        <w:rPr>
          <w:noProof/>
        </w:rPr>
        <w:t>spr</w:t>
      </w:r>
      <w:r w:rsidRPr="00115F78">
        <w:rPr>
          <w:noProof/>
        </w:rPr>
        <w:t>awie środków odnoszących się do celów określonych</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3 niniejszego rozporządzenia Komisja określa elementy,</w:t>
      </w:r>
      <w:r w:rsidR="00115F78" w:rsidRPr="00115F78">
        <w:rPr>
          <w:noProof/>
        </w:rPr>
        <w:t xml:space="preserve"> o</w:t>
      </w:r>
      <w:r w:rsidR="00115F78">
        <w:rPr>
          <w:noProof/>
        </w:rPr>
        <w:t> </w:t>
      </w:r>
      <w:r w:rsidR="00115F78" w:rsidRPr="00115F78">
        <w:rPr>
          <w:noProof/>
        </w:rPr>
        <w:t>któ</w:t>
      </w:r>
      <w:r w:rsidRPr="00115F78">
        <w:rPr>
          <w:noProof/>
        </w:rPr>
        <w:t>rych mowa</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23 ust.</w:t>
      </w:r>
      <w:r w:rsidR="00115F78" w:rsidRPr="00115F78">
        <w:rPr>
          <w:noProof/>
        </w:rPr>
        <w:t> </w:t>
      </w:r>
      <w:r w:rsidRPr="00115F78">
        <w:rPr>
          <w:noProof/>
        </w:rPr>
        <w:t>4 rozporządzenia (UE) [...]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w:t>
      </w:r>
      <w:r w:rsidR="00115F78" w:rsidRPr="00115F78">
        <w:rPr>
          <w:noProof/>
        </w:rPr>
        <w:t xml:space="preserve"> w</w:t>
      </w:r>
      <w:r w:rsidR="00115F78">
        <w:rPr>
          <w:noProof/>
        </w:rPr>
        <w:t> </w:t>
      </w:r>
      <w:r w:rsidR="00115F78" w:rsidRPr="00115F78">
        <w:rPr>
          <w:noProof/>
        </w:rPr>
        <w:t>odn</w:t>
      </w:r>
      <w:r w:rsidRPr="00115F78">
        <w:rPr>
          <w:noProof/>
        </w:rPr>
        <w:t>iesieniu do celów określonych</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3.</w:t>
      </w:r>
    </w:p>
    <w:p w14:paraId="1388C5B4" w14:textId="63A3E42B" w:rsidR="00596698" w:rsidRPr="00115F78" w:rsidRDefault="003347AC" w:rsidP="003347AC">
      <w:pPr>
        <w:pStyle w:val="ManualNumPar1"/>
        <w:rPr>
          <w:noProof/>
        </w:rPr>
      </w:pPr>
      <w:r w:rsidRPr="00115F78">
        <w:rPr>
          <w:noProof/>
        </w:rPr>
        <w:t>6.</w:t>
      </w:r>
      <w:r w:rsidRPr="00115F78">
        <w:rPr>
          <w:noProof/>
        </w:rPr>
        <w:tab/>
        <w:t>Rada przyjmuje decyzję wykonawczą,</w:t>
      </w:r>
      <w:r w:rsidR="00115F78" w:rsidRPr="00115F78">
        <w:rPr>
          <w:noProof/>
        </w:rPr>
        <w:t xml:space="preserve"> o</w:t>
      </w:r>
      <w:r w:rsidR="00115F78">
        <w:rPr>
          <w:noProof/>
        </w:rPr>
        <w:t> </w:t>
      </w:r>
      <w:r w:rsidR="00115F78" w:rsidRPr="00115F78">
        <w:rPr>
          <w:noProof/>
        </w:rPr>
        <w:t>któ</w:t>
      </w:r>
      <w:r w:rsidRPr="00115F78">
        <w:rPr>
          <w:noProof/>
        </w:rPr>
        <w:t>rej mowa</w:t>
      </w:r>
      <w:r w:rsidR="00115F78" w:rsidRPr="00115F78">
        <w:rPr>
          <w:noProof/>
        </w:rPr>
        <w:t xml:space="preserve"> w</w:t>
      </w:r>
      <w:r w:rsidR="00115F78">
        <w:rPr>
          <w:noProof/>
        </w:rPr>
        <w:t> </w:t>
      </w:r>
      <w:r w:rsidR="00115F78" w:rsidRPr="00115F78">
        <w:rPr>
          <w:noProof/>
        </w:rPr>
        <w:t>ust</w:t>
      </w:r>
      <w:r w:rsidRPr="00115F78">
        <w:rPr>
          <w:noProof/>
        </w:rPr>
        <w:t>.</w:t>
      </w:r>
      <w:r w:rsidR="00115F78" w:rsidRPr="00115F78">
        <w:rPr>
          <w:noProof/>
        </w:rPr>
        <w:t> </w:t>
      </w:r>
      <w:r w:rsidRPr="00115F78">
        <w:rPr>
          <w:noProof/>
        </w:rPr>
        <w:t>4, co do zasady</w:t>
      </w:r>
      <w:r w:rsidR="00115F78" w:rsidRPr="00115F78">
        <w:rPr>
          <w:noProof/>
        </w:rPr>
        <w:t xml:space="preserve"> w</w:t>
      </w:r>
      <w:r w:rsidR="00115F78">
        <w:rPr>
          <w:noProof/>
        </w:rPr>
        <w:t> </w:t>
      </w:r>
      <w:r w:rsidR="00115F78" w:rsidRPr="00115F78">
        <w:rPr>
          <w:noProof/>
        </w:rPr>
        <w:t>ter</w:t>
      </w:r>
      <w:r w:rsidRPr="00115F78">
        <w:rPr>
          <w:noProof/>
        </w:rPr>
        <w:t>minie czterech tygodni od przyjęcia wniosku Komisji, wraz</w:t>
      </w:r>
      <w:r w:rsidR="00115F78" w:rsidRPr="00115F78">
        <w:rPr>
          <w:noProof/>
        </w:rPr>
        <w:t xml:space="preserve"> z</w:t>
      </w:r>
      <w:r w:rsidR="00115F78">
        <w:rPr>
          <w:noProof/>
        </w:rPr>
        <w:t> </w:t>
      </w:r>
      <w:r w:rsidR="00115F78" w:rsidRPr="00115F78">
        <w:rPr>
          <w:noProof/>
        </w:rPr>
        <w:t>dec</w:t>
      </w:r>
      <w:r w:rsidRPr="00115F78">
        <w:rPr>
          <w:noProof/>
        </w:rPr>
        <w:t>yzjami wykonawczymi,</w:t>
      </w:r>
      <w:r w:rsidR="00115F78" w:rsidRPr="00115F78">
        <w:rPr>
          <w:noProof/>
        </w:rPr>
        <w:t xml:space="preserve"> o</w:t>
      </w:r>
      <w:r w:rsidR="00115F78">
        <w:rPr>
          <w:noProof/>
        </w:rPr>
        <w:t> </w:t>
      </w:r>
      <w:r w:rsidR="00115F78" w:rsidRPr="00115F78">
        <w:rPr>
          <w:noProof/>
        </w:rPr>
        <w:t>któ</w:t>
      </w:r>
      <w:r w:rsidRPr="00115F78">
        <w:rPr>
          <w:noProof/>
        </w:rPr>
        <w:t>rych mowa</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23 ust.</w:t>
      </w:r>
      <w:r w:rsidR="00115F78" w:rsidRPr="00115F78">
        <w:rPr>
          <w:noProof/>
        </w:rPr>
        <w:t> </w:t>
      </w:r>
      <w:r w:rsidRPr="00115F78">
        <w:rPr>
          <w:noProof/>
        </w:rPr>
        <w:t>1 rozporządzenia (UE) [...] [</w:t>
      </w:r>
      <w:r w:rsidRPr="00115F78">
        <w:rPr>
          <w:i/>
          <w:iCs/>
          <w:noProof/>
        </w:rPr>
        <w:t>Wniosek Komisji</w:t>
      </w:r>
      <w:r w:rsidR="00115F78" w:rsidRPr="00115F78">
        <w:rPr>
          <w:i/>
          <w:iCs/>
          <w:noProof/>
        </w:rPr>
        <w:t xml:space="preserve"> i</w:t>
      </w:r>
      <w:r w:rsidR="00115F78">
        <w:rPr>
          <w:i/>
          <w:iCs/>
          <w:noProof/>
        </w:rPr>
        <w:t> </w:t>
      </w:r>
      <w:r w:rsidR="00115F78" w:rsidRPr="00115F78">
        <w:rPr>
          <w:i/>
          <w:iCs/>
          <w:noProof/>
        </w:rPr>
        <w:t>dec</w:t>
      </w:r>
      <w:r w:rsidRPr="00115F78">
        <w:rPr>
          <w:i/>
          <w:iCs/>
          <w:noProof/>
        </w:rPr>
        <w:t>yzja wykonawcza Rady</w:t>
      </w:r>
      <w:r w:rsidRPr="00115F78">
        <w:rPr>
          <w:noProof/>
        </w:rPr>
        <w:t>]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w:t>
      </w:r>
    </w:p>
    <w:p w14:paraId="256B33DF" w14:textId="51435991" w:rsidR="00623F90" w:rsidRPr="00115F78" w:rsidRDefault="003347AC" w:rsidP="003347AC">
      <w:pPr>
        <w:pStyle w:val="ManualNumPar1"/>
        <w:rPr>
          <w:noProof/>
        </w:rPr>
      </w:pPr>
      <w:r w:rsidRPr="00115F78">
        <w:rPr>
          <w:noProof/>
        </w:rPr>
        <w:t>7.</w:t>
      </w:r>
      <w:r w:rsidRPr="00115F78">
        <w:rPr>
          <w:noProof/>
        </w:rPr>
        <w:tab/>
        <w:t>Zastosowanie ma art.</w:t>
      </w:r>
      <w:r w:rsidR="00115F78" w:rsidRPr="00115F78">
        <w:rPr>
          <w:noProof/>
        </w:rPr>
        <w:t> </w:t>
      </w:r>
      <w:r w:rsidRPr="00115F78">
        <w:rPr>
          <w:noProof/>
        </w:rPr>
        <w:t>24 rozporządzenia (UE) [...]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 dotyczący zmiany planów, pod warunkiem że wniosek Komisji</w:t>
      </w:r>
      <w:r w:rsidR="00115F78" w:rsidRPr="00115F78">
        <w:rPr>
          <w:noProof/>
        </w:rPr>
        <w:t xml:space="preserve"> i</w:t>
      </w:r>
      <w:r w:rsidR="00115F78">
        <w:rPr>
          <w:noProof/>
        </w:rPr>
        <w:t> </w:t>
      </w:r>
      <w:r w:rsidR="00115F78" w:rsidRPr="00115F78">
        <w:rPr>
          <w:noProof/>
        </w:rPr>
        <w:t>dec</w:t>
      </w:r>
      <w:r w:rsidRPr="00115F78">
        <w:rPr>
          <w:noProof/>
        </w:rPr>
        <w:t>yzja wykonawcza Rady zatwierdzająca zmiany elementów wymienionych</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23 ust.</w:t>
      </w:r>
      <w:r w:rsidR="00115F78" w:rsidRPr="00115F78">
        <w:rPr>
          <w:noProof/>
        </w:rPr>
        <w:t> </w:t>
      </w:r>
      <w:r w:rsidRPr="00115F78">
        <w:rPr>
          <w:noProof/>
        </w:rPr>
        <w:t>4 obejmują jedynie cele,</w:t>
      </w:r>
      <w:r w:rsidR="00115F78" w:rsidRPr="00115F78">
        <w:rPr>
          <w:noProof/>
        </w:rPr>
        <w:t xml:space="preserve"> o</w:t>
      </w:r>
      <w:r w:rsidR="00115F78">
        <w:rPr>
          <w:noProof/>
        </w:rPr>
        <w:t> </w:t>
      </w:r>
      <w:r w:rsidR="00115F78" w:rsidRPr="00115F78">
        <w:rPr>
          <w:noProof/>
        </w:rPr>
        <w:t>któ</w:t>
      </w:r>
      <w:r w:rsidRPr="00115F78">
        <w:rPr>
          <w:noProof/>
        </w:rPr>
        <w:t>rych mowa</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3 niniejszego rozporządzenia.</w:t>
      </w:r>
    </w:p>
    <w:p w14:paraId="51868DA9" w14:textId="77777777" w:rsidR="00596698" w:rsidRPr="00115F78" w:rsidRDefault="00596698" w:rsidP="00596698">
      <w:pPr>
        <w:pStyle w:val="Titrearticle"/>
        <w:rPr>
          <w:noProof/>
        </w:rPr>
      </w:pPr>
      <w:r w:rsidRPr="00115F78">
        <w:rPr>
          <w:noProof/>
        </w:rPr>
        <w:t xml:space="preserve">Artykuł 5 </w:t>
      </w:r>
    </w:p>
    <w:p w14:paraId="31F56137" w14:textId="0C1B5775" w:rsidR="00596698" w:rsidRPr="00115F78" w:rsidRDefault="00596698" w:rsidP="00596698">
      <w:pPr>
        <w:pStyle w:val="Titrearticle"/>
        <w:rPr>
          <w:noProof/>
          <w:szCs w:val="24"/>
        </w:rPr>
      </w:pPr>
      <w:r w:rsidRPr="00115F78">
        <w:rPr>
          <w:b/>
          <w:noProof/>
        </w:rPr>
        <w:t>Państwa stowarzyszone</w:t>
      </w:r>
      <w:r w:rsidR="00115F78" w:rsidRPr="00115F78">
        <w:rPr>
          <w:b/>
          <w:noProof/>
        </w:rPr>
        <w:t xml:space="preserve"> w</w:t>
      </w:r>
      <w:r w:rsidR="00115F78">
        <w:rPr>
          <w:b/>
          <w:noProof/>
        </w:rPr>
        <w:t> </w:t>
      </w:r>
      <w:r w:rsidR="00115F78" w:rsidRPr="00115F78">
        <w:rPr>
          <w:b/>
          <w:noProof/>
        </w:rPr>
        <w:t>ram</w:t>
      </w:r>
      <w:r w:rsidRPr="00115F78">
        <w:rPr>
          <w:b/>
          <w:noProof/>
        </w:rPr>
        <w:t>ach Schengen</w:t>
      </w:r>
    </w:p>
    <w:p w14:paraId="5F98EE1A" w14:textId="59DDDA00" w:rsidR="00286E0D" w:rsidRPr="00115F78" w:rsidRDefault="00596698" w:rsidP="00287E8A">
      <w:pPr>
        <w:pStyle w:val="Text1"/>
        <w:ind w:left="0"/>
        <w:rPr>
          <w:rStyle w:val="eop"/>
          <w:rFonts w:eastAsiaTheme="majorEastAsia"/>
          <w:noProof/>
        </w:rPr>
      </w:pPr>
      <w:r w:rsidRPr="00115F78">
        <w:rPr>
          <w:noProof/>
        </w:rPr>
        <w:t>Zgodnie</w:t>
      </w:r>
      <w:r w:rsidR="00115F78" w:rsidRPr="00115F78">
        <w:rPr>
          <w:noProof/>
        </w:rPr>
        <w:t xml:space="preserve"> z</w:t>
      </w:r>
      <w:r w:rsidR="00115F78">
        <w:rPr>
          <w:noProof/>
        </w:rPr>
        <w:t> </w:t>
      </w:r>
      <w:r w:rsidR="00115F78" w:rsidRPr="00115F78">
        <w:rPr>
          <w:noProof/>
        </w:rPr>
        <w:t>odp</w:t>
      </w:r>
      <w:r w:rsidRPr="00115F78">
        <w:rPr>
          <w:noProof/>
        </w:rPr>
        <w:t>owiednimi postanowieniami stosownych umów</w:t>
      </w:r>
      <w:r w:rsidR="00115F78" w:rsidRPr="00115F78">
        <w:rPr>
          <w:noProof/>
        </w:rPr>
        <w:t xml:space="preserve"> o</w:t>
      </w:r>
      <w:r w:rsidR="00115F78">
        <w:rPr>
          <w:noProof/>
        </w:rPr>
        <w:t> </w:t>
      </w:r>
      <w:r w:rsidR="00115F78" w:rsidRPr="00115F78">
        <w:rPr>
          <w:noProof/>
        </w:rPr>
        <w:t>ucz</w:t>
      </w:r>
      <w:r w:rsidRPr="00115F78">
        <w:rPr>
          <w:noProof/>
        </w:rPr>
        <w:t>estnictwie dokonuje się ustaleń</w:t>
      </w:r>
      <w:r w:rsidR="00115F78" w:rsidRPr="00115F78">
        <w:rPr>
          <w:noProof/>
        </w:rPr>
        <w:t xml:space="preserve"> w</w:t>
      </w:r>
      <w:r w:rsidR="00115F78">
        <w:rPr>
          <w:noProof/>
        </w:rPr>
        <w:t> </w:t>
      </w:r>
      <w:r w:rsidR="00115F78" w:rsidRPr="00115F78">
        <w:rPr>
          <w:noProof/>
        </w:rPr>
        <w:t>cel</w:t>
      </w:r>
      <w:r w:rsidRPr="00115F78">
        <w:rPr>
          <w:noProof/>
        </w:rPr>
        <w:t>u określenia charakteru</w:t>
      </w:r>
      <w:r w:rsidR="00115F78" w:rsidRPr="00115F78">
        <w:rPr>
          <w:noProof/>
        </w:rPr>
        <w:t xml:space="preserve"> i</w:t>
      </w:r>
      <w:r w:rsidR="00115F78">
        <w:rPr>
          <w:noProof/>
        </w:rPr>
        <w:t> </w:t>
      </w:r>
      <w:r w:rsidR="00115F78" w:rsidRPr="00115F78">
        <w:rPr>
          <w:noProof/>
        </w:rPr>
        <w:t>zas</w:t>
      </w:r>
      <w:r w:rsidRPr="00115F78">
        <w:rPr>
          <w:noProof/>
        </w:rPr>
        <w:t>ad udziału</w:t>
      </w:r>
      <w:r w:rsidR="00115F78" w:rsidRPr="00115F78">
        <w:rPr>
          <w:noProof/>
        </w:rPr>
        <w:t xml:space="preserve"> w</w:t>
      </w:r>
      <w:r w:rsidR="00115F78">
        <w:rPr>
          <w:noProof/>
        </w:rPr>
        <w:t> </w:t>
      </w:r>
      <w:r w:rsidR="00115F78" w:rsidRPr="00115F78">
        <w:rPr>
          <w:noProof/>
        </w:rPr>
        <w:t>uni</w:t>
      </w:r>
      <w:r w:rsidRPr="00115F78">
        <w:rPr>
          <w:noProof/>
        </w:rPr>
        <w:t>jnym wsparciu państw stowarzyszonych</w:t>
      </w:r>
      <w:r w:rsidR="00115F78" w:rsidRPr="00115F78">
        <w:rPr>
          <w:noProof/>
        </w:rPr>
        <w:t xml:space="preserve"> w</w:t>
      </w:r>
      <w:r w:rsidR="00115F78">
        <w:rPr>
          <w:noProof/>
        </w:rPr>
        <w:t> </w:t>
      </w:r>
      <w:r w:rsidR="00115F78" w:rsidRPr="00115F78">
        <w:rPr>
          <w:noProof/>
        </w:rPr>
        <w:t>zak</w:t>
      </w:r>
      <w:r w:rsidRPr="00115F78">
        <w:rPr>
          <w:noProof/>
        </w:rPr>
        <w:t>resie wprowadzania</w:t>
      </w:r>
      <w:r w:rsidR="00115F78" w:rsidRPr="00115F78">
        <w:rPr>
          <w:noProof/>
        </w:rPr>
        <w:t xml:space="preserve"> w</w:t>
      </w:r>
      <w:r w:rsidR="00115F78">
        <w:rPr>
          <w:noProof/>
        </w:rPr>
        <w:t> </w:t>
      </w:r>
      <w:r w:rsidR="00115F78" w:rsidRPr="00115F78">
        <w:rPr>
          <w:noProof/>
        </w:rPr>
        <w:t>życ</w:t>
      </w:r>
      <w:r w:rsidRPr="00115F78">
        <w:rPr>
          <w:noProof/>
        </w:rPr>
        <w:t>ie, stosowania</w:t>
      </w:r>
      <w:r w:rsidR="00115F78" w:rsidRPr="00115F78">
        <w:rPr>
          <w:noProof/>
        </w:rPr>
        <w:t xml:space="preserve"> i</w:t>
      </w:r>
      <w:r w:rsidR="00115F78">
        <w:rPr>
          <w:noProof/>
        </w:rPr>
        <w:t> </w:t>
      </w:r>
      <w:r w:rsidR="00115F78" w:rsidRPr="00115F78">
        <w:rPr>
          <w:noProof/>
        </w:rPr>
        <w:t>roz</w:t>
      </w:r>
      <w:r w:rsidRPr="00115F78">
        <w:rPr>
          <w:noProof/>
        </w:rPr>
        <w:t>woju dorobku Schengen. Jak najszybciej po powiadomieniu przez zainteresowane państwo</w:t>
      </w:r>
      <w:r w:rsidR="00115F78" w:rsidRPr="00115F78">
        <w:rPr>
          <w:noProof/>
        </w:rPr>
        <w:t xml:space="preserve"> o</w:t>
      </w:r>
      <w:r w:rsidR="00115F78">
        <w:rPr>
          <w:noProof/>
        </w:rPr>
        <w:t> </w:t>
      </w:r>
      <w:r w:rsidR="00115F78" w:rsidRPr="00115F78">
        <w:rPr>
          <w:noProof/>
        </w:rPr>
        <w:t>dec</w:t>
      </w:r>
      <w:r w:rsidRPr="00115F78">
        <w:rPr>
          <w:noProof/>
        </w:rPr>
        <w:t>yzji dotyczącej zatwierdzenia treści unijnego wsparcia</w:t>
      </w:r>
      <w:r w:rsidR="00115F78" w:rsidRPr="00115F78">
        <w:rPr>
          <w:noProof/>
        </w:rPr>
        <w:t xml:space="preserve"> i</w:t>
      </w:r>
      <w:r w:rsidR="00115F78">
        <w:rPr>
          <w:noProof/>
        </w:rPr>
        <w:t> </w:t>
      </w:r>
      <w:r w:rsidR="00115F78" w:rsidRPr="00115F78">
        <w:rPr>
          <w:noProof/>
        </w:rPr>
        <w:t>jeg</w:t>
      </w:r>
      <w:r w:rsidRPr="00115F78">
        <w:rPr>
          <w:noProof/>
        </w:rPr>
        <w:t>o wdrożenia do wewnętrznego porządku prawnego tego państwa, zgodnie</w:t>
      </w:r>
      <w:r w:rsidR="00115F78" w:rsidRPr="00115F78">
        <w:rPr>
          <w:noProof/>
        </w:rPr>
        <w:t xml:space="preserve"> z</w:t>
      </w:r>
      <w:r w:rsidR="00115F78">
        <w:rPr>
          <w:noProof/>
        </w:rPr>
        <w:t> </w:t>
      </w:r>
      <w:r w:rsidR="00115F78" w:rsidRPr="00115F78">
        <w:rPr>
          <w:noProof/>
        </w:rPr>
        <w:t>odp</w:t>
      </w:r>
      <w:r w:rsidRPr="00115F78">
        <w:rPr>
          <w:noProof/>
        </w:rPr>
        <w:t>owiednią umową</w:t>
      </w:r>
      <w:r w:rsidR="00115F78" w:rsidRPr="00115F78">
        <w:rPr>
          <w:noProof/>
        </w:rPr>
        <w:t xml:space="preserve"> o</w:t>
      </w:r>
      <w:r w:rsidR="00115F78">
        <w:rPr>
          <w:noProof/>
        </w:rPr>
        <w:t> </w:t>
      </w:r>
      <w:r w:rsidR="00115F78" w:rsidRPr="00115F78">
        <w:rPr>
          <w:noProof/>
        </w:rPr>
        <w:t>ucz</w:t>
      </w:r>
      <w:r w:rsidRPr="00115F78">
        <w:rPr>
          <w:noProof/>
        </w:rPr>
        <w:t>estnictwie, Komisja przedkłada Radzie zalecenie dotyczące podjęcia negocjacji dotyczących tych ustaleń na podstawie art. 218 ust. 3 TFUE. Po otrzymaniu zalecenia, Rada niezwłocznie podejmuje decyzję dotyczącą upoważnienia do podjęcia tych negocjacji. Wkłady finansowe tych państw dodaje się do zasobów ogólnych dostępnych</w:t>
      </w:r>
      <w:r w:rsidR="00115F78" w:rsidRPr="00115F78">
        <w:rPr>
          <w:noProof/>
        </w:rPr>
        <w:t xml:space="preserve"> z</w:t>
      </w:r>
      <w:r w:rsidR="00115F78">
        <w:rPr>
          <w:noProof/>
        </w:rPr>
        <w:t> </w:t>
      </w:r>
      <w:r w:rsidR="00115F78" w:rsidRPr="00115F78">
        <w:rPr>
          <w:noProof/>
        </w:rPr>
        <w:t>pul</w:t>
      </w:r>
      <w:r w:rsidRPr="00115F78">
        <w:rPr>
          <w:noProof/>
        </w:rPr>
        <w:t>i środków finansowych,</w:t>
      </w:r>
      <w:r w:rsidR="00115F78" w:rsidRPr="00115F78">
        <w:rPr>
          <w:noProof/>
        </w:rPr>
        <w:t xml:space="preserve"> o</w:t>
      </w:r>
      <w:r w:rsidR="00115F78">
        <w:rPr>
          <w:noProof/>
        </w:rPr>
        <w:t> </w:t>
      </w:r>
      <w:r w:rsidR="00115F78" w:rsidRPr="00115F78">
        <w:rPr>
          <w:noProof/>
        </w:rPr>
        <w:t>któ</w:t>
      </w:r>
      <w:r w:rsidRPr="00115F78">
        <w:rPr>
          <w:noProof/>
        </w:rPr>
        <w:t>rej mowa</w:t>
      </w:r>
      <w:r w:rsidR="00115F78" w:rsidRPr="00115F78">
        <w:rPr>
          <w:noProof/>
        </w:rPr>
        <w:t xml:space="preserve"> w</w:t>
      </w:r>
      <w:r w:rsidR="00115F78">
        <w:rPr>
          <w:noProof/>
        </w:rPr>
        <w:t> </w:t>
      </w:r>
      <w:r w:rsidR="00115F78" w:rsidRPr="00115F78">
        <w:rPr>
          <w:noProof/>
        </w:rPr>
        <w:t>art</w:t>
      </w:r>
      <w:r w:rsidRPr="00115F78">
        <w:rPr>
          <w:noProof/>
        </w:rPr>
        <w:t>. 4.</w:t>
      </w:r>
    </w:p>
    <w:p w14:paraId="08F346E5" w14:textId="15F26995" w:rsidR="00286E0D" w:rsidRPr="00115F78" w:rsidRDefault="00286E0D" w:rsidP="007D3199">
      <w:pPr>
        <w:pStyle w:val="Titrearticle"/>
        <w:rPr>
          <w:noProof/>
        </w:rPr>
      </w:pPr>
      <w:r w:rsidRPr="00115F78">
        <w:rPr>
          <w:noProof/>
        </w:rPr>
        <w:t>Artykuł 6</w:t>
      </w:r>
    </w:p>
    <w:p w14:paraId="77F384CC" w14:textId="77777777" w:rsidR="00286E0D" w:rsidRPr="00115F78" w:rsidRDefault="00286E0D" w:rsidP="00286E0D">
      <w:pPr>
        <w:pStyle w:val="Titrearticle"/>
        <w:rPr>
          <w:b/>
          <w:bCs/>
          <w:noProof/>
          <w:szCs w:val="24"/>
        </w:rPr>
      </w:pPr>
      <w:bookmarkStart w:id="19" w:name="_Hlk195020056"/>
      <w:r w:rsidRPr="00115F78">
        <w:rPr>
          <w:b/>
          <w:noProof/>
        </w:rPr>
        <w:t>Wsparcie na rzecz specjalnego programu tranzytowego</w:t>
      </w:r>
    </w:p>
    <w:p w14:paraId="543A7C7F" w14:textId="3BB00DC1" w:rsidR="00286E0D" w:rsidRPr="00115F78" w:rsidRDefault="003347AC" w:rsidP="003347AC">
      <w:pPr>
        <w:pStyle w:val="ManualNumPar1"/>
        <w:rPr>
          <w:noProof/>
        </w:rPr>
      </w:pPr>
      <w:r w:rsidRPr="00115F78">
        <w:rPr>
          <w:noProof/>
        </w:rPr>
        <w:t>1.</w:t>
      </w:r>
      <w:r w:rsidRPr="00115F78">
        <w:rPr>
          <w:noProof/>
        </w:rPr>
        <w:tab/>
        <w:t>Kwotę do</w:t>
      </w:r>
      <w:r w:rsidR="00115F78" w:rsidRPr="00115F78">
        <w:rPr>
          <w:noProof/>
        </w:rPr>
        <w:t> </w:t>
      </w:r>
      <w:r w:rsidRPr="00115F78">
        <w:rPr>
          <w:noProof/>
        </w:rPr>
        <w:t>450 000 000 EUR przydziela się na plan partnerstwa krajowego</w:t>
      </w:r>
      <w:r w:rsidR="00115F78" w:rsidRPr="00115F78">
        <w:rPr>
          <w:noProof/>
        </w:rPr>
        <w:t xml:space="preserve"> i</w:t>
      </w:r>
      <w:r w:rsidR="00115F78">
        <w:rPr>
          <w:noProof/>
        </w:rPr>
        <w:t> </w:t>
      </w:r>
      <w:r w:rsidR="00115F78" w:rsidRPr="00115F78">
        <w:rPr>
          <w:noProof/>
        </w:rPr>
        <w:t>reg</w:t>
      </w:r>
      <w:r w:rsidRPr="00115F78">
        <w:rPr>
          <w:noProof/>
        </w:rPr>
        <w:t>ionalnego Litwy zgodnie</w:t>
      </w:r>
      <w:r w:rsidR="00115F78" w:rsidRPr="00115F78">
        <w:rPr>
          <w:noProof/>
        </w:rPr>
        <w:t xml:space="preserve"> z</w:t>
      </w:r>
      <w:r w:rsidR="00115F78">
        <w:rPr>
          <w:noProof/>
        </w:rPr>
        <w:t> </w:t>
      </w:r>
      <w:r w:rsidR="00115F78" w:rsidRPr="00115F78">
        <w:rPr>
          <w:noProof/>
        </w:rPr>
        <w:t>roz</w:t>
      </w:r>
      <w:r w:rsidRPr="00115F78">
        <w:rPr>
          <w:noProof/>
        </w:rPr>
        <w:t>porządzeniem Rady (UE) [...] ustanawiającym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 aby zapewnić wsparcie</w:t>
      </w:r>
      <w:r w:rsidR="00115F78" w:rsidRPr="00115F78">
        <w:rPr>
          <w:noProof/>
        </w:rPr>
        <w:t xml:space="preserve"> w</w:t>
      </w:r>
      <w:r w:rsidR="00115F78">
        <w:rPr>
          <w:noProof/>
        </w:rPr>
        <w:t> </w:t>
      </w:r>
      <w:r w:rsidR="00115F78" w:rsidRPr="00115F78">
        <w:rPr>
          <w:noProof/>
        </w:rPr>
        <w:t>zwi</w:t>
      </w:r>
      <w:r w:rsidRPr="00115F78">
        <w:rPr>
          <w:noProof/>
        </w:rPr>
        <w:t>ązku</w:t>
      </w:r>
      <w:r w:rsidR="00115F78" w:rsidRPr="00115F78">
        <w:rPr>
          <w:noProof/>
        </w:rPr>
        <w:t xml:space="preserve"> z</w:t>
      </w:r>
      <w:r w:rsidR="00115F78">
        <w:rPr>
          <w:noProof/>
        </w:rPr>
        <w:t> </w:t>
      </w:r>
      <w:r w:rsidR="00115F78" w:rsidRPr="00115F78">
        <w:rPr>
          <w:noProof/>
        </w:rPr>
        <w:t>utr</w:t>
      </w:r>
      <w:r w:rsidRPr="00115F78">
        <w:rPr>
          <w:noProof/>
        </w:rPr>
        <w:t>aconymi dochodami ze względu na konieczność rozpatrywania wniosków</w:t>
      </w:r>
      <w:r w:rsidR="00115F78" w:rsidRPr="00115F78">
        <w:rPr>
          <w:noProof/>
        </w:rPr>
        <w:t xml:space="preserve"> o</w:t>
      </w:r>
      <w:r w:rsidR="00115F78">
        <w:rPr>
          <w:noProof/>
        </w:rPr>
        <w:t> </w:t>
      </w:r>
      <w:r w:rsidR="00115F78" w:rsidRPr="00115F78">
        <w:rPr>
          <w:noProof/>
        </w:rPr>
        <w:t>wiz</w:t>
      </w:r>
      <w:r w:rsidRPr="00115F78">
        <w:rPr>
          <w:noProof/>
        </w:rPr>
        <w:t>y krótkoterminowe oraz dodatkowymi kosztami wdrażania systemu uproszczonego dokumentu tranzytowego (FTD)</w:t>
      </w:r>
      <w:r w:rsidR="00115F78" w:rsidRPr="00115F78">
        <w:rPr>
          <w:noProof/>
        </w:rPr>
        <w:t xml:space="preserve"> i</w:t>
      </w:r>
      <w:r w:rsidR="00115F78">
        <w:rPr>
          <w:noProof/>
        </w:rPr>
        <w:t> </w:t>
      </w:r>
      <w:r w:rsidR="00115F78" w:rsidRPr="00115F78">
        <w:rPr>
          <w:noProof/>
        </w:rPr>
        <w:t>upr</w:t>
      </w:r>
      <w:r w:rsidRPr="00115F78">
        <w:rPr>
          <w:noProof/>
        </w:rPr>
        <w:t>oszczonego kolejowego dokumentu tranzytowego (FRTD) zgodnie</w:t>
      </w:r>
      <w:r w:rsidR="00115F78" w:rsidRPr="00115F78">
        <w:rPr>
          <w:noProof/>
        </w:rPr>
        <w:t xml:space="preserve"> z</w:t>
      </w:r>
      <w:r w:rsidR="00115F78">
        <w:rPr>
          <w:noProof/>
        </w:rPr>
        <w:t> </w:t>
      </w:r>
      <w:r w:rsidR="00115F78" w:rsidRPr="00115F78">
        <w:rPr>
          <w:noProof/>
        </w:rPr>
        <w:t>roz</w:t>
      </w:r>
      <w:r w:rsidRPr="00115F78">
        <w:rPr>
          <w:noProof/>
        </w:rPr>
        <w:t>porządzeniem Rady (WE) nr</w:t>
      </w:r>
      <w:r w:rsidR="00115F78" w:rsidRPr="00115F78">
        <w:rPr>
          <w:noProof/>
        </w:rPr>
        <w:t> </w:t>
      </w:r>
      <w:r w:rsidRPr="00115F78">
        <w:rPr>
          <w:noProof/>
        </w:rPr>
        <w:t>693/2003</w:t>
      </w:r>
      <w:r w:rsidR="00115F78" w:rsidRPr="00115F78">
        <w:rPr>
          <w:noProof/>
        </w:rPr>
        <w:t xml:space="preserve"> i</w:t>
      </w:r>
      <w:r w:rsidR="00115F78">
        <w:rPr>
          <w:noProof/>
        </w:rPr>
        <w:t> </w:t>
      </w:r>
      <w:r w:rsidR="00115F78" w:rsidRPr="00115F78">
        <w:rPr>
          <w:noProof/>
        </w:rPr>
        <w:t>roz</w:t>
      </w:r>
      <w:r w:rsidRPr="00115F78">
        <w:rPr>
          <w:noProof/>
        </w:rPr>
        <w:t>porządzeniem (WE) nr</w:t>
      </w:r>
      <w:r w:rsidR="00115F78" w:rsidRPr="00115F78">
        <w:rPr>
          <w:noProof/>
        </w:rPr>
        <w:t> </w:t>
      </w:r>
      <w:r w:rsidRPr="00115F78">
        <w:rPr>
          <w:noProof/>
        </w:rPr>
        <w:t>694/2003 zmienionym rozporządzeniem Parlamentu Europejskiego</w:t>
      </w:r>
      <w:r w:rsidR="00115F78" w:rsidRPr="00115F78">
        <w:rPr>
          <w:noProof/>
        </w:rPr>
        <w:t xml:space="preserve"> i</w:t>
      </w:r>
      <w:r w:rsidR="00115F78">
        <w:rPr>
          <w:noProof/>
        </w:rPr>
        <w:t> </w:t>
      </w:r>
      <w:r w:rsidR="00115F78" w:rsidRPr="00115F78">
        <w:rPr>
          <w:noProof/>
        </w:rPr>
        <w:t>Rad</w:t>
      </w:r>
      <w:r w:rsidRPr="00115F78">
        <w:rPr>
          <w:noProof/>
        </w:rPr>
        <w:t>y (UE) 2023/2667.</w:t>
      </w:r>
    </w:p>
    <w:p w14:paraId="62C6EDAD" w14:textId="0752A7BE" w:rsidR="00286E0D" w:rsidRPr="00115F78" w:rsidRDefault="003347AC" w:rsidP="003347AC">
      <w:pPr>
        <w:pStyle w:val="ManualNumPar1"/>
        <w:rPr>
          <w:noProof/>
        </w:rPr>
      </w:pPr>
      <w:r w:rsidRPr="00115F78">
        <w:rPr>
          <w:noProof/>
        </w:rPr>
        <w:t>2.</w:t>
      </w:r>
      <w:r w:rsidRPr="00115F78">
        <w:rPr>
          <w:noProof/>
        </w:rPr>
        <w:tab/>
        <w:t>Do celów ust.</w:t>
      </w:r>
      <w:r w:rsidR="00115F78" w:rsidRPr="00115F78">
        <w:rPr>
          <w:noProof/>
        </w:rPr>
        <w:t> </w:t>
      </w:r>
      <w:r w:rsidRPr="00115F78">
        <w:rPr>
          <w:noProof/>
        </w:rPr>
        <w:t>1 wsparcie</w:t>
      </w:r>
      <w:r w:rsidR="00115F78" w:rsidRPr="00115F78">
        <w:rPr>
          <w:noProof/>
        </w:rPr>
        <w:t xml:space="preserve"> z</w:t>
      </w:r>
      <w:r w:rsidR="00115F78">
        <w:rPr>
          <w:noProof/>
        </w:rPr>
        <w:t> </w:t>
      </w:r>
      <w:r w:rsidR="00115F78" w:rsidRPr="00115F78">
        <w:rPr>
          <w:noProof/>
        </w:rPr>
        <w:t>Uni</w:t>
      </w:r>
      <w:r w:rsidRPr="00115F78">
        <w:rPr>
          <w:noProof/>
        </w:rPr>
        <w:t>i</w:t>
      </w:r>
      <w:r w:rsidR="00115F78" w:rsidRPr="00115F78">
        <w:rPr>
          <w:noProof/>
        </w:rPr>
        <w:t xml:space="preserve"> w</w:t>
      </w:r>
      <w:r w:rsidR="00115F78">
        <w:rPr>
          <w:noProof/>
        </w:rPr>
        <w:t> </w:t>
      </w:r>
      <w:r w:rsidR="00115F78" w:rsidRPr="00115F78">
        <w:rPr>
          <w:noProof/>
        </w:rPr>
        <w:t>zwi</w:t>
      </w:r>
      <w:r w:rsidRPr="00115F78">
        <w:rPr>
          <w:noProof/>
        </w:rPr>
        <w:t>ązku</w:t>
      </w:r>
      <w:r w:rsidR="00115F78" w:rsidRPr="00115F78">
        <w:rPr>
          <w:noProof/>
        </w:rPr>
        <w:t xml:space="preserve"> z</w:t>
      </w:r>
      <w:r w:rsidR="00115F78">
        <w:rPr>
          <w:noProof/>
        </w:rPr>
        <w:t> </w:t>
      </w:r>
      <w:r w:rsidR="00115F78" w:rsidRPr="00115F78">
        <w:rPr>
          <w:noProof/>
        </w:rPr>
        <w:t>utr</w:t>
      </w:r>
      <w:r w:rsidRPr="00115F78">
        <w:rPr>
          <w:noProof/>
        </w:rPr>
        <w:t>aconymi dochodami opiera się na wydawaniu FTD i FRTD. Pułap wsparcia ustala się na</w:t>
      </w:r>
      <w:r w:rsidR="00115F78" w:rsidRPr="00115F78">
        <w:rPr>
          <w:noProof/>
        </w:rPr>
        <w:t> </w:t>
      </w:r>
      <w:r w:rsidRPr="00115F78">
        <w:rPr>
          <w:noProof/>
        </w:rPr>
        <w:t xml:space="preserve">100 000 000 EUR. </w:t>
      </w:r>
    </w:p>
    <w:p w14:paraId="0498E203" w14:textId="20BE6375" w:rsidR="00286E0D" w:rsidRPr="00115F78" w:rsidRDefault="003347AC" w:rsidP="003347AC">
      <w:pPr>
        <w:pStyle w:val="ManualNumPar1"/>
        <w:rPr>
          <w:noProof/>
        </w:rPr>
      </w:pPr>
      <w:r w:rsidRPr="00115F78">
        <w:rPr>
          <w:noProof/>
        </w:rPr>
        <w:t>3.</w:t>
      </w:r>
      <w:r w:rsidRPr="00115F78">
        <w:rPr>
          <w:noProof/>
        </w:rPr>
        <w:tab/>
        <w:t>Do celów ust.</w:t>
      </w:r>
      <w:r w:rsidR="00115F78" w:rsidRPr="00115F78">
        <w:rPr>
          <w:noProof/>
        </w:rPr>
        <w:t> </w:t>
      </w:r>
      <w:r w:rsidRPr="00115F78">
        <w:rPr>
          <w:noProof/>
        </w:rPr>
        <w:t>1 wsparcie</w:t>
      </w:r>
      <w:r w:rsidR="00115F78" w:rsidRPr="00115F78">
        <w:rPr>
          <w:noProof/>
        </w:rPr>
        <w:t xml:space="preserve"> z</w:t>
      </w:r>
      <w:r w:rsidR="00115F78">
        <w:rPr>
          <w:noProof/>
        </w:rPr>
        <w:t> </w:t>
      </w:r>
      <w:r w:rsidR="00115F78" w:rsidRPr="00115F78">
        <w:rPr>
          <w:noProof/>
        </w:rPr>
        <w:t>Uni</w:t>
      </w:r>
      <w:r w:rsidRPr="00115F78">
        <w:rPr>
          <w:noProof/>
        </w:rPr>
        <w:t>i pokrywa dodatkowe szacunkowe koszty wynikające bezpośrednio ze szczególnych wymogów związanych</w:t>
      </w:r>
      <w:r w:rsidR="00115F78" w:rsidRPr="00115F78">
        <w:rPr>
          <w:noProof/>
        </w:rPr>
        <w:t xml:space="preserve"> z</w:t>
      </w:r>
      <w:r w:rsidR="00115F78">
        <w:rPr>
          <w:noProof/>
        </w:rPr>
        <w:t> </w:t>
      </w:r>
      <w:r w:rsidR="00115F78" w:rsidRPr="00115F78">
        <w:rPr>
          <w:noProof/>
        </w:rPr>
        <w:t>wdr</w:t>
      </w:r>
      <w:r w:rsidRPr="00115F78">
        <w:rPr>
          <w:noProof/>
        </w:rPr>
        <w:t>ażaniem specjalnego programu tranzytowego</w:t>
      </w:r>
      <w:r w:rsidR="00115F78" w:rsidRPr="00115F78">
        <w:rPr>
          <w:noProof/>
        </w:rPr>
        <w:t xml:space="preserve"> i</w:t>
      </w:r>
      <w:r w:rsidR="00115F78">
        <w:rPr>
          <w:noProof/>
        </w:rPr>
        <w:t> </w:t>
      </w:r>
      <w:r w:rsidR="00115F78" w:rsidRPr="00115F78">
        <w:rPr>
          <w:noProof/>
        </w:rPr>
        <w:t>któ</w:t>
      </w:r>
      <w:r w:rsidRPr="00115F78">
        <w:rPr>
          <w:noProof/>
        </w:rPr>
        <w:t>re nie zostały wygenerowane</w:t>
      </w:r>
      <w:r w:rsidR="00115F78" w:rsidRPr="00115F78">
        <w:rPr>
          <w:noProof/>
        </w:rPr>
        <w:t xml:space="preserve"> w</w:t>
      </w:r>
      <w:r w:rsidR="00115F78">
        <w:rPr>
          <w:noProof/>
        </w:rPr>
        <w:t> </w:t>
      </w:r>
      <w:r w:rsidR="00115F78" w:rsidRPr="00115F78">
        <w:rPr>
          <w:noProof/>
        </w:rPr>
        <w:t>wyn</w:t>
      </w:r>
      <w:r w:rsidRPr="00115F78">
        <w:rPr>
          <w:noProof/>
        </w:rPr>
        <w:t>iku wydawania wiz na podstawie rozporządzenia Parlamentu Europejskiego</w:t>
      </w:r>
      <w:r w:rsidR="00115F78" w:rsidRPr="00115F78">
        <w:rPr>
          <w:noProof/>
        </w:rPr>
        <w:t xml:space="preserve"> i</w:t>
      </w:r>
      <w:r w:rsidR="00115F78">
        <w:rPr>
          <w:noProof/>
        </w:rPr>
        <w:t> </w:t>
      </w:r>
      <w:r w:rsidR="00115F78" w:rsidRPr="00115F78">
        <w:rPr>
          <w:noProof/>
        </w:rPr>
        <w:t>Rad</w:t>
      </w:r>
      <w:r w:rsidRPr="00115F78">
        <w:rPr>
          <w:noProof/>
        </w:rPr>
        <w:t>y (WE) nr</w:t>
      </w:r>
      <w:r w:rsidR="00115F78" w:rsidRPr="00115F78">
        <w:rPr>
          <w:noProof/>
        </w:rPr>
        <w:t> </w:t>
      </w:r>
      <w:r w:rsidRPr="00115F78">
        <w:rPr>
          <w:noProof/>
        </w:rPr>
        <w:t>810/2009 (</w:t>
      </w:r>
      <w:r w:rsidRPr="00115F78">
        <w:rPr>
          <w:rStyle w:val="FootnoteReference"/>
          <w:noProof/>
        </w:rPr>
        <w:footnoteReference w:id="26"/>
      </w:r>
      <w:r w:rsidRPr="00115F78">
        <w:rPr>
          <w:noProof/>
        </w:rPr>
        <w:t>).</w:t>
      </w:r>
    </w:p>
    <w:p w14:paraId="78235099" w14:textId="1C8ECE07" w:rsidR="00286E0D" w:rsidRPr="00115F78" w:rsidRDefault="00286E0D" w:rsidP="006B174B">
      <w:pPr>
        <w:ind w:left="850"/>
        <w:rPr>
          <w:noProof/>
          <w:color w:val="000000"/>
          <w:szCs w:val="24"/>
        </w:rPr>
      </w:pPr>
      <w:r w:rsidRPr="00115F78">
        <w:rPr>
          <w:noProof/>
          <w:color w:val="000000"/>
        </w:rPr>
        <w:t>Maksymalny wkład</w:t>
      </w:r>
      <w:r w:rsidR="00115F78" w:rsidRPr="00115F78">
        <w:rPr>
          <w:noProof/>
          <w:color w:val="000000"/>
        </w:rPr>
        <w:t xml:space="preserve"> z</w:t>
      </w:r>
      <w:r w:rsidR="00115F78">
        <w:rPr>
          <w:noProof/>
          <w:color w:val="000000"/>
        </w:rPr>
        <w:t> </w:t>
      </w:r>
      <w:r w:rsidR="00115F78" w:rsidRPr="00115F78">
        <w:rPr>
          <w:noProof/>
          <w:color w:val="000000"/>
        </w:rPr>
        <w:t>bud</w:t>
      </w:r>
      <w:r w:rsidRPr="00115F78">
        <w:rPr>
          <w:noProof/>
          <w:color w:val="000000"/>
        </w:rPr>
        <w:t>żetu Unii wynosi 100 % łącznych szacowanych kosztów. Pułap tego wsparcia ustala się na</w:t>
      </w:r>
      <w:r w:rsidR="00115F78" w:rsidRPr="00115F78">
        <w:rPr>
          <w:noProof/>
          <w:color w:val="000000"/>
        </w:rPr>
        <w:t> </w:t>
      </w:r>
      <w:r w:rsidRPr="00115F78">
        <w:rPr>
          <w:noProof/>
          <w:color w:val="000000"/>
        </w:rPr>
        <w:t>350 000 000 EUR.</w:t>
      </w:r>
    </w:p>
    <w:p w14:paraId="7DD7F0AB" w14:textId="2F56C33A" w:rsidR="00286E0D" w:rsidRPr="00115F78" w:rsidRDefault="00286E0D" w:rsidP="006B174B">
      <w:pPr>
        <w:ind w:left="346" w:firstLine="504"/>
        <w:rPr>
          <w:noProof/>
          <w:szCs w:val="24"/>
        </w:rPr>
      </w:pPr>
      <w:r w:rsidRPr="00115F78">
        <w:rPr>
          <w:noProof/>
          <w:color w:val="000000"/>
        </w:rPr>
        <w:t>Dodatkowe szacowane koszty obejmują</w:t>
      </w:r>
      <w:r w:rsidR="00115F78" w:rsidRPr="00115F78">
        <w:rPr>
          <w:noProof/>
          <w:color w:val="000000"/>
        </w:rPr>
        <w:t xml:space="preserve"> w</w:t>
      </w:r>
      <w:r w:rsidR="00115F78">
        <w:rPr>
          <w:noProof/>
          <w:color w:val="000000"/>
        </w:rPr>
        <w:t> </w:t>
      </w:r>
      <w:r w:rsidR="00115F78" w:rsidRPr="00115F78">
        <w:rPr>
          <w:noProof/>
          <w:color w:val="000000"/>
        </w:rPr>
        <w:t>szc</w:t>
      </w:r>
      <w:r w:rsidRPr="00115F78">
        <w:rPr>
          <w:noProof/>
          <w:color w:val="000000"/>
        </w:rPr>
        <w:t xml:space="preserve">zególności: </w:t>
      </w:r>
    </w:p>
    <w:p w14:paraId="6038D052" w14:textId="25642C9F" w:rsidR="00286E0D" w:rsidRPr="00115F78" w:rsidRDefault="00286E0D" w:rsidP="006A2F81">
      <w:pPr>
        <w:pStyle w:val="ListNumber"/>
        <w:numPr>
          <w:ilvl w:val="0"/>
          <w:numId w:val="17"/>
        </w:numPr>
        <w:ind w:left="1094" w:hanging="357"/>
        <w:rPr>
          <w:rFonts w:eastAsia="Aptos"/>
          <w:noProof/>
          <w:color w:val="000000"/>
          <w:kern w:val="2"/>
          <w:szCs w:val="24"/>
        </w:rPr>
      </w:pPr>
      <w:r w:rsidRPr="00115F78">
        <w:rPr>
          <w:noProof/>
        </w:rPr>
        <w:t>inwestycje</w:t>
      </w:r>
      <w:r w:rsidR="00115F78" w:rsidRPr="00115F78">
        <w:rPr>
          <w:noProof/>
        </w:rPr>
        <w:t xml:space="preserve"> w</w:t>
      </w:r>
      <w:r w:rsidR="00115F78">
        <w:rPr>
          <w:noProof/>
        </w:rPr>
        <w:t> </w:t>
      </w:r>
      <w:r w:rsidR="00115F78" w:rsidRPr="00115F78">
        <w:rPr>
          <w:noProof/>
        </w:rPr>
        <w:t>inf</w:t>
      </w:r>
      <w:r w:rsidRPr="00115F78">
        <w:rPr>
          <w:noProof/>
        </w:rPr>
        <w:t>rastrukturę, środki transportu, systemy ICT</w:t>
      </w:r>
      <w:r w:rsidR="00115F78" w:rsidRPr="00115F78">
        <w:rPr>
          <w:noProof/>
        </w:rPr>
        <w:t xml:space="preserve"> i</w:t>
      </w:r>
      <w:r w:rsidR="00115F78">
        <w:rPr>
          <w:noProof/>
        </w:rPr>
        <w:t> </w:t>
      </w:r>
      <w:r w:rsidR="00115F78" w:rsidRPr="00115F78">
        <w:rPr>
          <w:noProof/>
        </w:rPr>
        <w:t>wyp</w:t>
      </w:r>
      <w:r w:rsidRPr="00115F78">
        <w:rPr>
          <w:noProof/>
        </w:rPr>
        <w:t>osażenie wymagane do funkcjonowania specjalnego programu tranzytowego;</w:t>
      </w:r>
    </w:p>
    <w:p w14:paraId="7E9CD1E5" w14:textId="77777777" w:rsidR="00286E0D" w:rsidRPr="00115F78" w:rsidRDefault="00286E0D" w:rsidP="006A2F81">
      <w:pPr>
        <w:pStyle w:val="ListNumber"/>
        <w:numPr>
          <w:ilvl w:val="0"/>
          <w:numId w:val="17"/>
        </w:numPr>
        <w:ind w:left="1094" w:hanging="357"/>
        <w:rPr>
          <w:rFonts w:eastAsia="Aptos"/>
          <w:noProof/>
          <w:kern w:val="2"/>
          <w:szCs w:val="24"/>
        </w:rPr>
      </w:pPr>
      <w:r w:rsidRPr="00115F78">
        <w:rPr>
          <w:noProof/>
        </w:rPr>
        <w:t>szkolenia personelu odpowiedzialnego za realizację specjalnego programu tranzytowego;</w:t>
      </w:r>
    </w:p>
    <w:p w14:paraId="612D44E9" w14:textId="59CD04C7" w:rsidR="00286E0D" w:rsidRPr="00115F78" w:rsidRDefault="00286E0D" w:rsidP="006A2F81">
      <w:pPr>
        <w:pStyle w:val="ListNumber"/>
        <w:numPr>
          <w:ilvl w:val="0"/>
          <w:numId w:val="17"/>
        </w:numPr>
        <w:ind w:left="1094" w:hanging="357"/>
        <w:rPr>
          <w:rFonts w:eastAsia="Aptos"/>
          <w:noProof/>
          <w:kern w:val="2"/>
          <w:szCs w:val="24"/>
        </w:rPr>
      </w:pPr>
      <w:r w:rsidRPr="00115F78">
        <w:rPr>
          <w:noProof/>
        </w:rPr>
        <w:t>dodatkowe koszty operacyjne,</w:t>
      </w:r>
      <w:r w:rsidR="00115F78" w:rsidRPr="00115F78">
        <w:rPr>
          <w:noProof/>
        </w:rPr>
        <w:t xml:space="preserve"> w</w:t>
      </w:r>
      <w:r w:rsidR="00115F78">
        <w:rPr>
          <w:noProof/>
        </w:rPr>
        <w:t> </w:t>
      </w:r>
      <w:r w:rsidR="00115F78" w:rsidRPr="00115F78">
        <w:rPr>
          <w:noProof/>
        </w:rPr>
        <w:t>tym</w:t>
      </w:r>
      <w:r w:rsidRPr="00115F78">
        <w:rPr>
          <w:noProof/>
        </w:rPr>
        <w:t xml:space="preserve"> koszty personelu związane</w:t>
      </w:r>
      <w:r w:rsidR="00115F78" w:rsidRPr="00115F78">
        <w:rPr>
          <w:noProof/>
        </w:rPr>
        <w:t xml:space="preserve"> z</w:t>
      </w:r>
      <w:r w:rsidR="00115F78">
        <w:rPr>
          <w:noProof/>
        </w:rPr>
        <w:t> </w:t>
      </w:r>
      <w:r w:rsidR="00115F78" w:rsidRPr="00115F78">
        <w:rPr>
          <w:noProof/>
        </w:rPr>
        <w:t>rea</w:t>
      </w:r>
      <w:r w:rsidRPr="00115F78">
        <w:rPr>
          <w:noProof/>
        </w:rPr>
        <w:t xml:space="preserve">lizacją specjalnego programu tranzytowego. </w:t>
      </w:r>
    </w:p>
    <w:p w14:paraId="20B98F44" w14:textId="436D3A62" w:rsidR="00286E0D" w:rsidRPr="00115F78" w:rsidRDefault="003347AC" w:rsidP="003347AC">
      <w:pPr>
        <w:pStyle w:val="ManualNumPar1"/>
        <w:rPr>
          <w:noProof/>
        </w:rPr>
      </w:pPr>
      <w:r w:rsidRPr="00115F78">
        <w:rPr>
          <w:noProof/>
        </w:rPr>
        <w:t>4.</w:t>
      </w:r>
      <w:r w:rsidRPr="00115F78">
        <w:rPr>
          <w:noProof/>
        </w:rPr>
        <w:tab/>
        <w:t>Komisja</w:t>
      </w:r>
      <w:r w:rsidR="00115F78" w:rsidRPr="00115F78">
        <w:rPr>
          <w:noProof/>
        </w:rPr>
        <w:t xml:space="preserve"> i</w:t>
      </w:r>
      <w:r w:rsidR="00115F78">
        <w:rPr>
          <w:noProof/>
        </w:rPr>
        <w:t> </w:t>
      </w:r>
      <w:r w:rsidR="00115F78" w:rsidRPr="00115F78">
        <w:rPr>
          <w:noProof/>
        </w:rPr>
        <w:t>Lit</w:t>
      </w:r>
      <w:r w:rsidRPr="00115F78">
        <w:rPr>
          <w:noProof/>
        </w:rPr>
        <w:t>wa dokonują przeglądu stosowania niniejszego artykułu</w:t>
      </w:r>
      <w:r w:rsidR="00115F78" w:rsidRPr="00115F78">
        <w:rPr>
          <w:noProof/>
        </w:rPr>
        <w:t xml:space="preserve"> w</w:t>
      </w:r>
      <w:r w:rsidR="00115F78">
        <w:rPr>
          <w:noProof/>
        </w:rPr>
        <w:t> </w:t>
      </w:r>
      <w:r w:rsidR="00115F78" w:rsidRPr="00115F78">
        <w:rPr>
          <w:noProof/>
        </w:rPr>
        <w:t>prz</w:t>
      </w:r>
      <w:r w:rsidRPr="00115F78">
        <w:rPr>
          <w:noProof/>
        </w:rPr>
        <w:t>ypadku nieprzewidzianych okoliczności, które mają wpływ na istnienie lub funkcjonowanie specjalnego programu tranzytowego.</w:t>
      </w:r>
    </w:p>
    <w:p w14:paraId="09B9D768" w14:textId="1826170B" w:rsidR="00286E0D" w:rsidRPr="00115F78" w:rsidRDefault="003347AC" w:rsidP="003347AC">
      <w:pPr>
        <w:pStyle w:val="ManualNumPar1"/>
        <w:rPr>
          <w:noProof/>
        </w:rPr>
      </w:pPr>
      <w:r w:rsidRPr="00115F78">
        <w:rPr>
          <w:noProof/>
        </w:rPr>
        <w:t>5.</w:t>
      </w:r>
      <w:r w:rsidRPr="00115F78">
        <w:rPr>
          <w:noProof/>
        </w:rPr>
        <w:tab/>
        <w:t>Kwoty,</w:t>
      </w:r>
      <w:r w:rsidR="00115F78" w:rsidRPr="00115F78">
        <w:rPr>
          <w:noProof/>
        </w:rPr>
        <w:t xml:space="preserve"> o</w:t>
      </w:r>
      <w:r w:rsidR="00115F78">
        <w:rPr>
          <w:noProof/>
        </w:rPr>
        <w:t> </w:t>
      </w:r>
      <w:r w:rsidR="00115F78" w:rsidRPr="00115F78">
        <w:rPr>
          <w:noProof/>
        </w:rPr>
        <w:t>któ</w:t>
      </w:r>
      <w:r w:rsidRPr="00115F78">
        <w:rPr>
          <w:noProof/>
        </w:rPr>
        <w:t>rych mowa</w:t>
      </w:r>
      <w:r w:rsidR="00115F78" w:rsidRPr="00115F78">
        <w:rPr>
          <w:noProof/>
        </w:rPr>
        <w:t xml:space="preserve"> w</w:t>
      </w:r>
      <w:r w:rsidR="00115F78">
        <w:rPr>
          <w:noProof/>
        </w:rPr>
        <w:t> </w:t>
      </w:r>
      <w:r w:rsidR="00115F78" w:rsidRPr="00115F78">
        <w:rPr>
          <w:noProof/>
        </w:rPr>
        <w:t>ust</w:t>
      </w:r>
      <w:r w:rsidRPr="00115F78">
        <w:rPr>
          <w:noProof/>
        </w:rPr>
        <w:t>.</w:t>
      </w:r>
      <w:r w:rsidR="00115F78" w:rsidRPr="00115F78">
        <w:rPr>
          <w:noProof/>
        </w:rPr>
        <w:t> </w:t>
      </w:r>
      <w:r w:rsidRPr="00115F78">
        <w:rPr>
          <w:noProof/>
        </w:rPr>
        <w:t>2</w:t>
      </w:r>
      <w:r w:rsidR="00115F78" w:rsidRPr="00115F78">
        <w:rPr>
          <w:noProof/>
        </w:rPr>
        <w:t xml:space="preserve"> i</w:t>
      </w:r>
      <w:r w:rsidR="00115F78">
        <w:rPr>
          <w:noProof/>
        </w:rPr>
        <w:t> </w:t>
      </w:r>
      <w:r w:rsidR="00115F78" w:rsidRPr="00115F78">
        <w:rPr>
          <w:noProof/>
        </w:rPr>
        <w:t>3</w:t>
      </w:r>
      <w:r w:rsidRPr="00115F78">
        <w:rPr>
          <w:noProof/>
        </w:rPr>
        <w:t>, przydziela się na plan partnerstwa krajowego</w:t>
      </w:r>
      <w:r w:rsidR="00115F78" w:rsidRPr="00115F78">
        <w:rPr>
          <w:noProof/>
        </w:rPr>
        <w:t xml:space="preserve"> i</w:t>
      </w:r>
      <w:r w:rsidR="00115F78">
        <w:rPr>
          <w:noProof/>
        </w:rPr>
        <w:t> </w:t>
      </w:r>
      <w:r w:rsidR="00115F78" w:rsidRPr="00115F78">
        <w:rPr>
          <w:noProof/>
        </w:rPr>
        <w:t>reg</w:t>
      </w:r>
      <w:r w:rsidRPr="00115F78">
        <w:rPr>
          <w:noProof/>
        </w:rPr>
        <w:t>ionalnego Litwy. Kwot tych nie wykorzystuje się na inne środki przewidziane</w:t>
      </w:r>
      <w:r w:rsidR="00115F78" w:rsidRPr="00115F78">
        <w:rPr>
          <w:noProof/>
        </w:rPr>
        <w:t xml:space="preserve"> w</w:t>
      </w:r>
      <w:r w:rsidR="00115F78">
        <w:rPr>
          <w:noProof/>
        </w:rPr>
        <w:t> </w:t>
      </w:r>
      <w:r w:rsidR="00115F78" w:rsidRPr="00115F78">
        <w:rPr>
          <w:noProof/>
        </w:rPr>
        <w:t>pla</w:t>
      </w:r>
      <w:r w:rsidRPr="00115F78">
        <w:rPr>
          <w:noProof/>
        </w:rPr>
        <w:t>nie</w:t>
      </w:r>
      <w:r w:rsidR="00115F78" w:rsidRPr="00115F78">
        <w:rPr>
          <w:noProof/>
        </w:rPr>
        <w:t xml:space="preserve"> z</w:t>
      </w:r>
      <w:r w:rsidR="00115F78">
        <w:rPr>
          <w:noProof/>
        </w:rPr>
        <w:t> </w:t>
      </w:r>
      <w:r w:rsidR="00115F78" w:rsidRPr="00115F78">
        <w:rPr>
          <w:noProof/>
        </w:rPr>
        <w:t>wyj</w:t>
      </w:r>
      <w:r w:rsidRPr="00115F78">
        <w:rPr>
          <w:noProof/>
        </w:rPr>
        <w:t>ątkiem należycie uzasadnionych okoliczności, zatwierdzonych przez Komisję</w:t>
      </w:r>
      <w:r w:rsidR="00115F78" w:rsidRPr="00115F78">
        <w:rPr>
          <w:noProof/>
        </w:rPr>
        <w:t xml:space="preserve"> w</w:t>
      </w:r>
      <w:r w:rsidR="00115F78">
        <w:rPr>
          <w:noProof/>
        </w:rPr>
        <w:t> </w:t>
      </w:r>
      <w:r w:rsidR="00115F78" w:rsidRPr="00115F78">
        <w:rPr>
          <w:noProof/>
        </w:rPr>
        <w:t>dro</w:t>
      </w:r>
      <w:r w:rsidRPr="00115F78">
        <w:rPr>
          <w:noProof/>
        </w:rPr>
        <w:t>dze zmiany planu zgodnie</w:t>
      </w:r>
      <w:r w:rsidR="00115F78" w:rsidRPr="00115F78">
        <w:rPr>
          <w:noProof/>
        </w:rPr>
        <w:t xml:space="preserve"> z</w:t>
      </w:r>
      <w:r w:rsidR="00115F78">
        <w:rPr>
          <w:noProof/>
        </w:rPr>
        <w:t> </w:t>
      </w:r>
      <w:r w:rsidR="00115F78" w:rsidRPr="00115F78">
        <w:rPr>
          <w:noProof/>
        </w:rPr>
        <w:t>art</w:t>
      </w:r>
      <w:r w:rsidRPr="00115F78">
        <w:rPr>
          <w:noProof/>
        </w:rPr>
        <w:t>.</w:t>
      </w:r>
      <w:r w:rsidR="00115F78" w:rsidRPr="00115F78">
        <w:rPr>
          <w:noProof/>
        </w:rPr>
        <w:t> </w:t>
      </w:r>
      <w:r w:rsidRPr="00115F78">
        <w:rPr>
          <w:noProof/>
        </w:rPr>
        <w:t>24 rozporządzenia (UE) [...]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 xml:space="preserve">pieczeństwa. </w:t>
      </w:r>
    </w:p>
    <w:p w14:paraId="398970FF" w14:textId="50CA8151" w:rsidR="00286E0D" w:rsidRPr="00115F78" w:rsidRDefault="00286E0D" w:rsidP="0042042F">
      <w:pPr>
        <w:rPr>
          <w:noProof/>
        </w:rPr>
      </w:pPr>
      <w:r w:rsidRPr="00115F78">
        <w:rPr>
          <w:noProof/>
        </w:rPr>
        <w:t>Na uzasadniony wniosek Litwy kwota,</w:t>
      </w:r>
      <w:r w:rsidR="00115F78" w:rsidRPr="00115F78">
        <w:rPr>
          <w:noProof/>
        </w:rPr>
        <w:t xml:space="preserve"> o</w:t>
      </w:r>
      <w:r w:rsidR="00115F78">
        <w:rPr>
          <w:noProof/>
        </w:rPr>
        <w:t> </w:t>
      </w:r>
      <w:r w:rsidR="00115F78" w:rsidRPr="00115F78">
        <w:rPr>
          <w:noProof/>
        </w:rPr>
        <w:t>któ</w:t>
      </w:r>
      <w:r w:rsidRPr="00115F78">
        <w:rPr>
          <w:noProof/>
        </w:rPr>
        <w:t>rej mowa</w:t>
      </w:r>
      <w:r w:rsidR="00115F78" w:rsidRPr="00115F78">
        <w:rPr>
          <w:noProof/>
        </w:rPr>
        <w:t xml:space="preserve"> w</w:t>
      </w:r>
      <w:r w:rsidR="00115F78">
        <w:rPr>
          <w:noProof/>
        </w:rPr>
        <w:t> </w:t>
      </w:r>
      <w:r w:rsidR="00115F78" w:rsidRPr="00115F78">
        <w:rPr>
          <w:noProof/>
        </w:rPr>
        <w:t>ust</w:t>
      </w:r>
      <w:r w:rsidRPr="00115F78">
        <w:rPr>
          <w:noProof/>
        </w:rPr>
        <w:t>.</w:t>
      </w:r>
      <w:r w:rsidR="00115F78" w:rsidRPr="00115F78">
        <w:rPr>
          <w:noProof/>
        </w:rPr>
        <w:t> </w:t>
      </w:r>
      <w:r w:rsidRPr="00115F78">
        <w:rPr>
          <w:noProof/>
        </w:rPr>
        <w:t>3, może zostać poddana przeglądowi i,</w:t>
      </w:r>
      <w:r w:rsidR="00115F78" w:rsidRPr="00115F78">
        <w:rPr>
          <w:noProof/>
        </w:rPr>
        <w:t xml:space="preserve"> w</w:t>
      </w:r>
      <w:r w:rsidR="00115F78">
        <w:rPr>
          <w:noProof/>
        </w:rPr>
        <w:t> </w:t>
      </w:r>
      <w:r w:rsidR="00115F78" w:rsidRPr="00115F78">
        <w:rPr>
          <w:noProof/>
        </w:rPr>
        <w:t>sto</w:t>
      </w:r>
      <w:r w:rsidRPr="00115F78">
        <w:rPr>
          <w:noProof/>
        </w:rPr>
        <w:t>sownych przypadkach, dostosowana przed przyjęciem ostatniego programu prac zgodnie</w:t>
      </w:r>
      <w:r w:rsidR="00115F78" w:rsidRPr="00115F78">
        <w:rPr>
          <w:noProof/>
        </w:rPr>
        <w:t xml:space="preserve"> z</w:t>
      </w:r>
      <w:r w:rsidR="00115F78">
        <w:rPr>
          <w:noProof/>
        </w:rPr>
        <w:t> </w:t>
      </w:r>
      <w:r w:rsidR="00115F78" w:rsidRPr="00115F78">
        <w:rPr>
          <w:noProof/>
        </w:rPr>
        <w:t>art</w:t>
      </w:r>
      <w:r w:rsidRPr="00115F78">
        <w:rPr>
          <w:noProof/>
        </w:rPr>
        <w:t>.</w:t>
      </w:r>
      <w:r w:rsidR="00115F78" w:rsidRPr="00115F78">
        <w:rPr>
          <w:noProof/>
        </w:rPr>
        <w:t> </w:t>
      </w:r>
      <w:r w:rsidRPr="00115F78">
        <w:rPr>
          <w:noProof/>
        </w:rPr>
        <w:t>31 rozporządzenia (UE) [...]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 Wszelkie dodatkowe kwoty przydziela się na plan partnerstwa krajowego</w:t>
      </w:r>
      <w:r w:rsidR="00115F78" w:rsidRPr="00115F78">
        <w:rPr>
          <w:noProof/>
        </w:rPr>
        <w:t xml:space="preserve"> i</w:t>
      </w:r>
      <w:r w:rsidR="00115F78">
        <w:rPr>
          <w:noProof/>
        </w:rPr>
        <w:t> </w:t>
      </w:r>
      <w:r w:rsidR="00115F78" w:rsidRPr="00115F78">
        <w:rPr>
          <w:noProof/>
        </w:rPr>
        <w:t>reg</w:t>
      </w:r>
      <w:r w:rsidRPr="00115F78">
        <w:rPr>
          <w:noProof/>
        </w:rPr>
        <w:t>ionalnego Litwy zgodnie</w:t>
      </w:r>
      <w:r w:rsidR="00115F78" w:rsidRPr="00115F78">
        <w:rPr>
          <w:noProof/>
        </w:rPr>
        <w:t xml:space="preserve"> z</w:t>
      </w:r>
      <w:r w:rsidR="00115F78">
        <w:rPr>
          <w:noProof/>
        </w:rPr>
        <w:t> </w:t>
      </w:r>
      <w:r w:rsidR="00115F78" w:rsidRPr="00115F78">
        <w:rPr>
          <w:noProof/>
        </w:rPr>
        <w:t>art</w:t>
      </w:r>
      <w:r w:rsidRPr="00115F78">
        <w:rPr>
          <w:noProof/>
        </w:rPr>
        <w:t>.</w:t>
      </w:r>
      <w:r w:rsidR="00115F78" w:rsidRPr="00115F78">
        <w:rPr>
          <w:noProof/>
        </w:rPr>
        <w:t> </w:t>
      </w:r>
      <w:r w:rsidRPr="00115F78">
        <w:rPr>
          <w:noProof/>
        </w:rPr>
        <w:t>31 ust.</w:t>
      </w:r>
      <w:r w:rsidR="00115F78" w:rsidRPr="00115F78">
        <w:rPr>
          <w:noProof/>
        </w:rPr>
        <w:t> </w:t>
      </w:r>
      <w:r w:rsidRPr="00115F78">
        <w:rPr>
          <w:noProof/>
        </w:rPr>
        <w:t>7 rozporządzenia (UE) [...]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w:t>
      </w:r>
    </w:p>
    <w:bookmarkEnd w:id="19"/>
    <w:p w14:paraId="68C0B3A9" w14:textId="13E23B66" w:rsidR="00286E0D" w:rsidRPr="00115F78" w:rsidRDefault="00286E0D" w:rsidP="00286E0D">
      <w:pPr>
        <w:pStyle w:val="Titrearticle"/>
        <w:rPr>
          <w:noProof/>
        </w:rPr>
      </w:pPr>
      <w:r w:rsidRPr="00115F78">
        <w:rPr>
          <w:noProof/>
        </w:rPr>
        <w:t>Artykuł 7</w:t>
      </w:r>
    </w:p>
    <w:p w14:paraId="43B9501B" w14:textId="0B696C92" w:rsidR="00286E0D" w:rsidRPr="00115F78" w:rsidRDefault="00286E0D" w:rsidP="00286E0D">
      <w:pPr>
        <w:pStyle w:val="Titrearticle"/>
        <w:rPr>
          <w:b/>
          <w:bCs/>
          <w:noProof/>
        </w:rPr>
      </w:pPr>
      <w:r w:rsidRPr="00115F78">
        <w:rPr>
          <w:b/>
          <w:noProof/>
        </w:rPr>
        <w:t>Zasoby na pokrycie kosztów operacyjnych europejskiego systemu informacji</w:t>
      </w:r>
      <w:r w:rsidR="00115F78" w:rsidRPr="00115F78">
        <w:rPr>
          <w:b/>
          <w:noProof/>
        </w:rPr>
        <w:t xml:space="preserve"> o</w:t>
      </w:r>
      <w:r w:rsidR="00115F78">
        <w:rPr>
          <w:b/>
          <w:noProof/>
        </w:rPr>
        <w:t> </w:t>
      </w:r>
      <w:r w:rsidR="00115F78" w:rsidRPr="00115F78">
        <w:rPr>
          <w:b/>
          <w:noProof/>
        </w:rPr>
        <w:t>pod</w:t>
      </w:r>
      <w:r w:rsidRPr="00115F78">
        <w:rPr>
          <w:b/>
          <w:noProof/>
        </w:rPr>
        <w:t>róży oraz zezwoleń na podróż (ETIAS)</w:t>
      </w:r>
    </w:p>
    <w:p w14:paraId="3743035C" w14:textId="11337805" w:rsidR="00286E0D" w:rsidRPr="00115F78" w:rsidRDefault="003347AC" w:rsidP="003347AC">
      <w:pPr>
        <w:pStyle w:val="ManualNumPar1"/>
        <w:rPr>
          <w:noProof/>
        </w:rPr>
      </w:pPr>
      <w:r w:rsidRPr="00115F78">
        <w:rPr>
          <w:noProof/>
        </w:rPr>
        <w:t>1.</w:t>
      </w:r>
      <w:r w:rsidRPr="00115F78">
        <w:rPr>
          <w:noProof/>
        </w:rPr>
        <w:tab/>
        <w:t>Każde państwo członkowskie ustanawia skuteczny</w:t>
      </w:r>
      <w:r w:rsidR="00115F78" w:rsidRPr="00115F78">
        <w:rPr>
          <w:noProof/>
        </w:rPr>
        <w:t xml:space="preserve"> i</w:t>
      </w:r>
      <w:r w:rsidR="00115F78">
        <w:rPr>
          <w:noProof/>
        </w:rPr>
        <w:t> </w:t>
      </w:r>
      <w:r w:rsidR="00115F78" w:rsidRPr="00115F78">
        <w:rPr>
          <w:noProof/>
        </w:rPr>
        <w:t>wia</w:t>
      </w:r>
      <w:r w:rsidRPr="00115F78">
        <w:rPr>
          <w:noProof/>
        </w:rPr>
        <w:t>rygodny system zapewniający odpowiednią identyfikację</w:t>
      </w:r>
      <w:r w:rsidR="00115F78" w:rsidRPr="00115F78">
        <w:rPr>
          <w:noProof/>
        </w:rPr>
        <w:t xml:space="preserve"> i</w:t>
      </w:r>
      <w:r w:rsidR="00115F78">
        <w:rPr>
          <w:noProof/>
        </w:rPr>
        <w:t> </w:t>
      </w:r>
      <w:r w:rsidR="00115F78" w:rsidRPr="00115F78">
        <w:rPr>
          <w:noProof/>
        </w:rPr>
        <w:t>rej</w:t>
      </w:r>
      <w:r w:rsidRPr="00115F78">
        <w:rPr>
          <w:noProof/>
        </w:rPr>
        <w:t>estrację kosztów operacyjnych ponoszonych przez to państwo członkowskie zgodnie</w:t>
      </w:r>
      <w:r w:rsidR="00115F78" w:rsidRPr="00115F78">
        <w:rPr>
          <w:noProof/>
        </w:rPr>
        <w:t xml:space="preserve"> z</w:t>
      </w:r>
      <w:r w:rsidR="00115F78">
        <w:rPr>
          <w:noProof/>
        </w:rPr>
        <w:t> </w:t>
      </w:r>
      <w:r w:rsidR="00115F78" w:rsidRPr="00115F78">
        <w:rPr>
          <w:noProof/>
        </w:rPr>
        <w:t>art</w:t>
      </w:r>
      <w:r w:rsidRPr="00115F78">
        <w:rPr>
          <w:noProof/>
        </w:rPr>
        <w:t>.</w:t>
      </w:r>
      <w:r w:rsidR="00115F78" w:rsidRPr="00115F78">
        <w:rPr>
          <w:noProof/>
        </w:rPr>
        <w:t> </w:t>
      </w:r>
      <w:r w:rsidRPr="00115F78">
        <w:rPr>
          <w:noProof/>
        </w:rPr>
        <w:t>85 ust.</w:t>
      </w:r>
      <w:r w:rsidR="00115F78" w:rsidRPr="00115F78">
        <w:rPr>
          <w:noProof/>
        </w:rPr>
        <w:t> </w:t>
      </w:r>
      <w:r w:rsidRPr="00115F78">
        <w:rPr>
          <w:noProof/>
        </w:rPr>
        <w:t>2</w:t>
      </w:r>
      <w:r w:rsidR="00115F78" w:rsidRPr="00115F78">
        <w:rPr>
          <w:noProof/>
        </w:rPr>
        <w:t xml:space="preserve"> i</w:t>
      </w:r>
      <w:r w:rsidR="00115F78">
        <w:rPr>
          <w:noProof/>
        </w:rPr>
        <w:t> </w:t>
      </w:r>
      <w:r w:rsidR="00115F78" w:rsidRPr="00115F78">
        <w:rPr>
          <w:noProof/>
        </w:rPr>
        <w:t>3</w:t>
      </w:r>
      <w:r w:rsidRPr="00115F78">
        <w:rPr>
          <w:noProof/>
        </w:rPr>
        <w:t xml:space="preserve"> rozporządzenia (UE) 2018/1240. Do 31 stycznia każdego roku, a po raz pierwszy do</w:t>
      </w:r>
      <w:r w:rsidR="00115F78" w:rsidRPr="00115F78">
        <w:rPr>
          <w:noProof/>
        </w:rPr>
        <w:t> </w:t>
      </w:r>
      <w:r w:rsidRPr="00115F78">
        <w:rPr>
          <w:noProof/>
        </w:rPr>
        <w:t>31 stycznia 2029</w:t>
      </w:r>
      <w:r w:rsidR="00115F78" w:rsidRPr="00115F78">
        <w:rPr>
          <w:noProof/>
        </w:rPr>
        <w:t> </w:t>
      </w:r>
      <w:r w:rsidRPr="00115F78">
        <w:rPr>
          <w:noProof/>
        </w:rPr>
        <w:t>r., państwa członkowskie informują Komisję</w:t>
      </w:r>
      <w:r w:rsidR="00115F78" w:rsidRPr="00115F78">
        <w:rPr>
          <w:noProof/>
        </w:rPr>
        <w:t xml:space="preserve"> o</w:t>
      </w:r>
      <w:r w:rsidR="00115F78">
        <w:rPr>
          <w:noProof/>
        </w:rPr>
        <w:t> </w:t>
      </w:r>
      <w:r w:rsidR="00115F78" w:rsidRPr="00115F78">
        <w:rPr>
          <w:noProof/>
        </w:rPr>
        <w:t>cał</w:t>
      </w:r>
      <w:r w:rsidRPr="00115F78">
        <w:rPr>
          <w:noProof/>
        </w:rPr>
        <w:t>kowitych kosztach operacyjnych poniesionych</w:t>
      </w:r>
      <w:r w:rsidR="00115F78" w:rsidRPr="00115F78">
        <w:rPr>
          <w:noProof/>
        </w:rPr>
        <w:t xml:space="preserve"> w</w:t>
      </w:r>
      <w:r w:rsidR="00115F78">
        <w:rPr>
          <w:noProof/>
        </w:rPr>
        <w:t> </w:t>
      </w:r>
      <w:r w:rsidR="00115F78" w:rsidRPr="00115F78">
        <w:rPr>
          <w:noProof/>
        </w:rPr>
        <w:t>pop</w:t>
      </w:r>
      <w:r w:rsidRPr="00115F78">
        <w:rPr>
          <w:noProof/>
        </w:rPr>
        <w:t xml:space="preserve">rzednim roku. </w:t>
      </w:r>
    </w:p>
    <w:p w14:paraId="20E4BB50" w14:textId="0C50FFBE" w:rsidR="00F0474E" w:rsidRPr="00115F78" w:rsidRDefault="003347AC" w:rsidP="003347AC">
      <w:pPr>
        <w:pStyle w:val="ManualNumPar1"/>
        <w:rPr>
          <w:noProof/>
        </w:rPr>
      </w:pPr>
      <w:r w:rsidRPr="00115F78">
        <w:rPr>
          <w:noProof/>
        </w:rPr>
        <w:t>2.</w:t>
      </w:r>
      <w:r w:rsidRPr="00115F78">
        <w:rPr>
          <w:noProof/>
        </w:rPr>
        <w:tab/>
        <w:t>Na podstawie informacji przekazanych przez państwa członkowskie zgodnie</w:t>
      </w:r>
      <w:r w:rsidR="00115F78" w:rsidRPr="00115F78">
        <w:rPr>
          <w:noProof/>
        </w:rPr>
        <w:t xml:space="preserve"> z</w:t>
      </w:r>
      <w:r w:rsidR="00115F78">
        <w:rPr>
          <w:noProof/>
        </w:rPr>
        <w:t> </w:t>
      </w:r>
      <w:r w:rsidR="00115F78" w:rsidRPr="00115F78">
        <w:rPr>
          <w:noProof/>
        </w:rPr>
        <w:t>ust</w:t>
      </w:r>
      <w:r w:rsidRPr="00115F78">
        <w:rPr>
          <w:noProof/>
        </w:rPr>
        <w:t>.</w:t>
      </w:r>
      <w:r w:rsidR="00115F78" w:rsidRPr="00115F78">
        <w:rPr>
          <w:noProof/>
        </w:rPr>
        <w:t> </w:t>
      </w:r>
      <w:r w:rsidRPr="00115F78">
        <w:rPr>
          <w:noProof/>
        </w:rPr>
        <w:t>1 Komisja ustala kwotę dochodów uzyskanych</w:t>
      </w:r>
      <w:r w:rsidR="00115F78" w:rsidRPr="00115F78">
        <w:rPr>
          <w:noProof/>
        </w:rPr>
        <w:t xml:space="preserve"> z</w:t>
      </w:r>
      <w:r w:rsidR="00115F78">
        <w:rPr>
          <w:noProof/>
        </w:rPr>
        <w:t> </w:t>
      </w:r>
      <w:r w:rsidR="00115F78" w:rsidRPr="00115F78">
        <w:rPr>
          <w:noProof/>
        </w:rPr>
        <w:t>opł</w:t>
      </w:r>
      <w:r w:rsidRPr="00115F78">
        <w:rPr>
          <w:noProof/>
        </w:rPr>
        <w:t>at ETIAS, która ma być przeznaczona zgodnie</w:t>
      </w:r>
      <w:r w:rsidR="00115F78" w:rsidRPr="00115F78">
        <w:rPr>
          <w:noProof/>
        </w:rPr>
        <w:t xml:space="preserve"> z</w:t>
      </w:r>
      <w:r w:rsidR="00115F78">
        <w:rPr>
          <w:noProof/>
        </w:rPr>
        <w:t> </w:t>
      </w:r>
      <w:r w:rsidR="00115F78" w:rsidRPr="00115F78">
        <w:rPr>
          <w:noProof/>
        </w:rPr>
        <w:t>art</w:t>
      </w:r>
      <w:r w:rsidRPr="00115F78">
        <w:rPr>
          <w:noProof/>
        </w:rPr>
        <w:t>.</w:t>
      </w:r>
      <w:r w:rsidR="00115F78" w:rsidRPr="00115F78">
        <w:rPr>
          <w:noProof/>
        </w:rPr>
        <w:t> </w:t>
      </w:r>
      <w:r w:rsidRPr="00115F78">
        <w:rPr>
          <w:noProof/>
        </w:rPr>
        <w:t xml:space="preserve">86 zdanie drugie rozporządzenia (UE) 2018/1240 na pokrycie kosztów operacyjnych poniesionych przez państwa członkowskie. Komisja udostępnia każdemu państwu członkowskiemu odpowiednio przypadającą mu część tej kwoty. </w:t>
      </w:r>
    </w:p>
    <w:p w14:paraId="55C50CF3" w14:textId="7CEF9505" w:rsidR="00286E0D" w:rsidRPr="00115F78" w:rsidRDefault="003347AC" w:rsidP="003347AC">
      <w:pPr>
        <w:pStyle w:val="ManualNumPar1"/>
        <w:rPr>
          <w:noProof/>
        </w:rPr>
      </w:pPr>
      <w:r w:rsidRPr="00115F78">
        <w:rPr>
          <w:noProof/>
        </w:rPr>
        <w:t>3.</w:t>
      </w:r>
      <w:r w:rsidRPr="00115F78">
        <w:rPr>
          <w:noProof/>
        </w:rPr>
        <w:tab/>
        <w:t>Jeżeli kwota całkowitych kosztów operacyjnych zgłoszonych przez państwa członkowskie na podstawie ust.</w:t>
      </w:r>
      <w:r w:rsidR="00115F78" w:rsidRPr="00115F78">
        <w:rPr>
          <w:noProof/>
        </w:rPr>
        <w:t> </w:t>
      </w:r>
      <w:r w:rsidRPr="00115F78">
        <w:rPr>
          <w:noProof/>
        </w:rPr>
        <w:t>1 przekracza dostępne dochody ETIAS lub jeżeli kwota wydatków poniesionych na dostosowanie</w:t>
      </w:r>
      <w:r w:rsidR="00115F78" w:rsidRPr="00115F78">
        <w:rPr>
          <w:noProof/>
        </w:rPr>
        <w:t xml:space="preserve"> i</w:t>
      </w:r>
      <w:r w:rsidR="00115F78">
        <w:rPr>
          <w:noProof/>
        </w:rPr>
        <w:t> </w:t>
      </w:r>
      <w:r w:rsidR="00115F78" w:rsidRPr="00115F78">
        <w:rPr>
          <w:noProof/>
        </w:rPr>
        <w:t>aut</w:t>
      </w:r>
      <w:r w:rsidRPr="00115F78">
        <w:rPr>
          <w:noProof/>
        </w:rPr>
        <w:t>omatyzację odpraw granicznych</w:t>
      </w:r>
      <w:r w:rsidR="00115F78" w:rsidRPr="00115F78">
        <w:rPr>
          <w:noProof/>
        </w:rPr>
        <w:t xml:space="preserve"> w</w:t>
      </w:r>
      <w:r w:rsidR="00115F78">
        <w:rPr>
          <w:noProof/>
        </w:rPr>
        <w:t> </w:t>
      </w:r>
      <w:r w:rsidR="00115F78" w:rsidRPr="00115F78">
        <w:rPr>
          <w:noProof/>
        </w:rPr>
        <w:t>cel</w:t>
      </w:r>
      <w:r w:rsidRPr="00115F78">
        <w:rPr>
          <w:noProof/>
        </w:rPr>
        <w:t>u wdrożenia ETIAS przekracza limity określone</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85 ust.</w:t>
      </w:r>
      <w:r w:rsidR="00115F78" w:rsidRPr="00115F78">
        <w:rPr>
          <w:noProof/>
        </w:rPr>
        <w:t> </w:t>
      </w:r>
      <w:r w:rsidRPr="00115F78">
        <w:rPr>
          <w:noProof/>
        </w:rPr>
        <w:t>3 rozporządzenia (UE) 2018/1240, Komisja oblicza proporcjonalne zmniejszenie tych kwot.</w:t>
      </w:r>
    </w:p>
    <w:p w14:paraId="038E99C1" w14:textId="4008086D" w:rsidR="00DD664E" w:rsidRPr="00115F78" w:rsidRDefault="003347AC" w:rsidP="003347AC">
      <w:pPr>
        <w:pStyle w:val="ManualNumPar1"/>
        <w:rPr>
          <w:noProof/>
        </w:rPr>
      </w:pPr>
      <w:bookmarkStart w:id="20" w:name="_Hlk202881652"/>
      <w:r w:rsidRPr="00115F78">
        <w:rPr>
          <w:noProof/>
        </w:rPr>
        <w:t>4.</w:t>
      </w:r>
      <w:r w:rsidRPr="00115F78">
        <w:rPr>
          <w:noProof/>
        </w:rPr>
        <w:tab/>
        <w:t>Jeżeli całkowita kwota kosztów operacyjnych</w:t>
      </w:r>
      <w:r w:rsidR="00115F78" w:rsidRPr="00115F78">
        <w:rPr>
          <w:noProof/>
        </w:rPr>
        <w:t xml:space="preserve"> w</w:t>
      </w:r>
      <w:r w:rsidR="00115F78">
        <w:rPr>
          <w:noProof/>
        </w:rPr>
        <w:t> </w:t>
      </w:r>
      <w:r w:rsidR="00115F78" w:rsidRPr="00115F78">
        <w:rPr>
          <w:noProof/>
        </w:rPr>
        <w:t>dan</w:t>
      </w:r>
      <w:r w:rsidRPr="00115F78">
        <w:rPr>
          <w:noProof/>
        </w:rPr>
        <w:t>ym roku przekracza dostępne dochody ETIAS, Komisja udostępnia państwom członkowskim,</w:t>
      </w:r>
      <w:r w:rsidR="00115F78" w:rsidRPr="00115F78">
        <w:rPr>
          <w:noProof/>
        </w:rPr>
        <w:t xml:space="preserve"> z</w:t>
      </w:r>
      <w:r w:rsidR="00115F78">
        <w:rPr>
          <w:noProof/>
        </w:rPr>
        <w:t> </w:t>
      </w:r>
      <w:r w:rsidR="00115F78" w:rsidRPr="00115F78">
        <w:rPr>
          <w:noProof/>
        </w:rPr>
        <w:t>doc</w:t>
      </w:r>
      <w:r w:rsidRPr="00115F78">
        <w:rPr>
          <w:noProof/>
        </w:rPr>
        <w:t>hodów wygenerowanych przez ETIAS, proporcjonalnie pomniejszoną kwotę odpowiadającą ich całkowitym kosztom operacyjnym.</w:t>
      </w:r>
    </w:p>
    <w:bookmarkEnd w:id="20"/>
    <w:p w14:paraId="10AD3292" w14:textId="060D27B2" w:rsidR="00286E0D" w:rsidRPr="00115F78" w:rsidRDefault="00286E0D" w:rsidP="00286E0D">
      <w:pPr>
        <w:pStyle w:val="Titrearticle"/>
        <w:rPr>
          <w:noProof/>
          <w:szCs w:val="24"/>
        </w:rPr>
      </w:pPr>
      <w:r w:rsidRPr="00115F78">
        <w:rPr>
          <w:noProof/>
        </w:rPr>
        <w:t>Artykuł 8</w:t>
      </w:r>
    </w:p>
    <w:p w14:paraId="5F79BA04" w14:textId="77777777" w:rsidR="00286E0D" w:rsidRPr="00115F78" w:rsidRDefault="006866F6" w:rsidP="00286E0D">
      <w:pPr>
        <w:pStyle w:val="Titrearticle"/>
        <w:rPr>
          <w:noProof/>
          <w:szCs w:val="24"/>
        </w:rPr>
      </w:pPr>
      <w:r w:rsidRPr="00115F78">
        <w:rPr>
          <w:b/>
          <w:noProof/>
        </w:rPr>
        <w:t>Wkłady finansowe na roczną pulę solidarnościową</w:t>
      </w:r>
    </w:p>
    <w:p w14:paraId="0E0DC514" w14:textId="38142734" w:rsidR="00286E0D" w:rsidRPr="00115F78" w:rsidRDefault="006866F6" w:rsidP="00653241">
      <w:pPr>
        <w:rPr>
          <w:noProof/>
          <w:szCs w:val="24"/>
        </w:rPr>
      </w:pPr>
      <w:r w:rsidRPr="00115F78">
        <w:rPr>
          <w:noProof/>
        </w:rPr>
        <w:t>Komisja oblicza</w:t>
      </w:r>
      <w:r w:rsidR="00115F78" w:rsidRPr="00115F78">
        <w:rPr>
          <w:noProof/>
        </w:rPr>
        <w:t xml:space="preserve"> i</w:t>
      </w:r>
      <w:r w:rsidR="00115F78">
        <w:rPr>
          <w:noProof/>
        </w:rPr>
        <w:t> </w:t>
      </w:r>
      <w:r w:rsidR="00115F78" w:rsidRPr="00115F78">
        <w:rPr>
          <w:noProof/>
        </w:rPr>
        <w:t>udo</w:t>
      </w:r>
      <w:r w:rsidRPr="00115F78">
        <w:rPr>
          <w:noProof/>
        </w:rPr>
        <w:t>stępnia każdemu państwu członkowskiemu będącemu beneficjentem odpowiednią część wkładów finansowych przekazanych przez państwa członkowskie wnoszące wkład zgodnie</w:t>
      </w:r>
      <w:r w:rsidR="00115F78" w:rsidRPr="00115F78">
        <w:rPr>
          <w:noProof/>
        </w:rPr>
        <w:t xml:space="preserve"> z</w:t>
      </w:r>
      <w:r w:rsidR="00115F78">
        <w:rPr>
          <w:noProof/>
        </w:rPr>
        <w:t> </w:t>
      </w:r>
      <w:r w:rsidR="00115F78" w:rsidRPr="00115F78">
        <w:rPr>
          <w:noProof/>
        </w:rPr>
        <w:t>art</w:t>
      </w:r>
      <w:r w:rsidRPr="00115F78">
        <w:rPr>
          <w:noProof/>
        </w:rPr>
        <w:t>.</w:t>
      </w:r>
      <w:r w:rsidR="00115F78" w:rsidRPr="00115F78">
        <w:rPr>
          <w:noProof/>
        </w:rPr>
        <w:t> </w:t>
      </w:r>
      <w:r w:rsidRPr="00115F78">
        <w:rPr>
          <w:noProof/>
        </w:rPr>
        <w:t>64 ust.</w:t>
      </w:r>
      <w:r w:rsidR="00115F78" w:rsidRPr="00115F78">
        <w:rPr>
          <w:noProof/>
        </w:rPr>
        <w:t> </w:t>
      </w:r>
      <w:r w:rsidRPr="00115F78">
        <w:rPr>
          <w:noProof/>
        </w:rPr>
        <w:t>1 rozporządzenia (UE) 2024/1351 do celów realizacji działań określonych</w:t>
      </w:r>
      <w:r w:rsidR="00115F78" w:rsidRPr="00115F78">
        <w:rPr>
          <w:noProof/>
        </w:rPr>
        <w:t xml:space="preserve"> w</w:t>
      </w:r>
      <w:r w:rsidR="00115F78">
        <w:rPr>
          <w:noProof/>
        </w:rPr>
        <w:t> </w:t>
      </w:r>
      <w:r w:rsidR="00115F78" w:rsidRPr="00115F78">
        <w:rPr>
          <w:noProof/>
        </w:rPr>
        <w:t>art</w:t>
      </w:r>
      <w:r w:rsidRPr="00115F78">
        <w:rPr>
          <w:noProof/>
        </w:rPr>
        <w:t>.</w:t>
      </w:r>
      <w:r w:rsidR="00115F78" w:rsidRPr="00115F78">
        <w:rPr>
          <w:noProof/>
        </w:rPr>
        <w:t> </w:t>
      </w:r>
      <w:r w:rsidRPr="00115F78">
        <w:rPr>
          <w:noProof/>
        </w:rPr>
        <w:t>56 ust.</w:t>
      </w:r>
      <w:r w:rsidR="00115F78" w:rsidRPr="00115F78">
        <w:rPr>
          <w:noProof/>
        </w:rPr>
        <w:t> </w:t>
      </w:r>
      <w:r w:rsidRPr="00115F78">
        <w:rPr>
          <w:noProof/>
        </w:rPr>
        <w:t>2 lit.</w:t>
      </w:r>
      <w:r w:rsidR="00115F78" w:rsidRPr="00115F78">
        <w:rPr>
          <w:noProof/>
        </w:rPr>
        <w:t> </w:t>
      </w:r>
      <w:r w:rsidRPr="00115F78">
        <w:rPr>
          <w:noProof/>
        </w:rPr>
        <w:t>b) rozporządzenia (UE) 2024/1351.</w:t>
      </w:r>
    </w:p>
    <w:p w14:paraId="414E4803" w14:textId="2814B288" w:rsidR="00286E0D" w:rsidRPr="00115F78" w:rsidRDefault="00286E0D" w:rsidP="00286E0D">
      <w:pPr>
        <w:pStyle w:val="Titrearticle"/>
        <w:rPr>
          <w:noProof/>
        </w:rPr>
      </w:pPr>
      <w:r w:rsidRPr="00115F78">
        <w:rPr>
          <w:noProof/>
        </w:rPr>
        <w:t xml:space="preserve">Artykuł 9 </w:t>
      </w:r>
    </w:p>
    <w:p w14:paraId="732D7A52" w14:textId="77777777" w:rsidR="00286E0D" w:rsidRPr="00115F78" w:rsidRDefault="00286E0D" w:rsidP="00286E0D">
      <w:pPr>
        <w:pStyle w:val="Titrearticle"/>
        <w:rPr>
          <w:i w:val="0"/>
          <w:noProof/>
        </w:rPr>
      </w:pPr>
      <w:r w:rsidRPr="00115F78">
        <w:rPr>
          <w:b/>
          <w:noProof/>
        </w:rPr>
        <w:t>Przepisy przejściowe</w:t>
      </w:r>
    </w:p>
    <w:p w14:paraId="32BA96D3" w14:textId="6427F63E" w:rsidR="00286E0D" w:rsidRPr="00115F78" w:rsidRDefault="00631DBC" w:rsidP="00A257BB">
      <w:pPr>
        <w:rPr>
          <w:noProof/>
        </w:rPr>
      </w:pPr>
      <w:r w:rsidRPr="00115F78">
        <w:rPr>
          <w:noProof/>
        </w:rPr>
        <w:t>Niniejsze rozporządzenie nie ma wpływu na kontynuację ani modyfikację działań rozpoczętych na podstawie rozporządzenia (UE) 2021/1148, które nadal stosuje się do tych działań aż do ich zamknięcia.</w:t>
      </w:r>
    </w:p>
    <w:p w14:paraId="3B38DA05" w14:textId="09D4A97E" w:rsidR="00286E0D" w:rsidRPr="00115F78" w:rsidRDefault="00286E0D" w:rsidP="00286E0D">
      <w:pPr>
        <w:pStyle w:val="Titrearticle"/>
        <w:rPr>
          <w:noProof/>
        </w:rPr>
      </w:pPr>
      <w:r w:rsidRPr="00115F78">
        <w:rPr>
          <w:noProof/>
        </w:rPr>
        <w:t>Artykuł 10</w:t>
      </w:r>
    </w:p>
    <w:p w14:paraId="0F10C298" w14:textId="54CA6923" w:rsidR="00286E0D" w:rsidRPr="00115F78" w:rsidRDefault="00286E0D" w:rsidP="00286E0D">
      <w:pPr>
        <w:pStyle w:val="Titrearticle"/>
        <w:rPr>
          <w:b/>
          <w:bCs/>
          <w:noProof/>
        </w:rPr>
      </w:pPr>
      <w:r w:rsidRPr="00115F78">
        <w:rPr>
          <w:b/>
          <w:noProof/>
        </w:rPr>
        <w:t>Wejście</w:t>
      </w:r>
      <w:r w:rsidR="00115F78" w:rsidRPr="00115F78">
        <w:rPr>
          <w:b/>
          <w:noProof/>
        </w:rPr>
        <w:t xml:space="preserve"> w</w:t>
      </w:r>
      <w:r w:rsidR="00115F78">
        <w:rPr>
          <w:b/>
          <w:noProof/>
        </w:rPr>
        <w:t> </w:t>
      </w:r>
      <w:r w:rsidR="00115F78" w:rsidRPr="00115F78">
        <w:rPr>
          <w:b/>
          <w:noProof/>
        </w:rPr>
        <w:t>życ</w:t>
      </w:r>
      <w:r w:rsidRPr="00115F78">
        <w:rPr>
          <w:b/>
          <w:noProof/>
        </w:rPr>
        <w:t>ie</w:t>
      </w:r>
      <w:r w:rsidR="00115F78" w:rsidRPr="00115F78">
        <w:rPr>
          <w:b/>
          <w:noProof/>
        </w:rPr>
        <w:t xml:space="preserve"> i</w:t>
      </w:r>
      <w:r w:rsidR="00115F78">
        <w:rPr>
          <w:b/>
          <w:noProof/>
        </w:rPr>
        <w:t> </w:t>
      </w:r>
      <w:r w:rsidR="00115F78" w:rsidRPr="00115F78">
        <w:rPr>
          <w:b/>
          <w:noProof/>
        </w:rPr>
        <w:t>roz</w:t>
      </w:r>
      <w:r w:rsidRPr="00115F78">
        <w:rPr>
          <w:b/>
          <w:noProof/>
        </w:rPr>
        <w:t>poczęcie stosowania</w:t>
      </w:r>
    </w:p>
    <w:p w14:paraId="1105ED5B" w14:textId="3D4B7B09" w:rsidR="00286E0D" w:rsidRPr="00115F78" w:rsidRDefault="00286E0D" w:rsidP="00286E0D">
      <w:pPr>
        <w:rPr>
          <w:noProof/>
          <w:szCs w:val="24"/>
        </w:rPr>
      </w:pPr>
      <w:r w:rsidRPr="00115F78">
        <w:rPr>
          <w:noProof/>
        </w:rPr>
        <w:t>Niniejsze rozporządzenie wchodzi</w:t>
      </w:r>
      <w:r w:rsidR="00115F78" w:rsidRPr="00115F78">
        <w:rPr>
          <w:noProof/>
        </w:rPr>
        <w:t xml:space="preserve"> w</w:t>
      </w:r>
      <w:r w:rsidR="00115F78">
        <w:rPr>
          <w:noProof/>
        </w:rPr>
        <w:t> </w:t>
      </w:r>
      <w:r w:rsidR="00115F78" w:rsidRPr="00115F78">
        <w:rPr>
          <w:noProof/>
        </w:rPr>
        <w:t>życ</w:t>
      </w:r>
      <w:r w:rsidRPr="00115F78">
        <w:rPr>
          <w:noProof/>
        </w:rPr>
        <w:t>ie [dwudziestego] dnia po jego opublikowaniu</w:t>
      </w:r>
      <w:r w:rsidR="00115F78" w:rsidRPr="00115F78">
        <w:rPr>
          <w:noProof/>
        </w:rPr>
        <w:t xml:space="preserve"> w</w:t>
      </w:r>
      <w:r w:rsidR="00115F78">
        <w:rPr>
          <w:noProof/>
        </w:rPr>
        <w:t> </w:t>
      </w:r>
      <w:r w:rsidR="00115F78" w:rsidRPr="00115F78">
        <w:rPr>
          <w:i/>
          <w:noProof/>
        </w:rPr>
        <w:t>Dzi</w:t>
      </w:r>
      <w:r w:rsidRPr="00115F78">
        <w:rPr>
          <w:i/>
          <w:noProof/>
        </w:rPr>
        <w:t>enniku Urzędowym Unii Europejskiej</w:t>
      </w:r>
      <w:r w:rsidRPr="00115F78">
        <w:rPr>
          <w:noProof/>
        </w:rPr>
        <w:t>.</w:t>
      </w:r>
    </w:p>
    <w:p w14:paraId="2B6F6F03" w14:textId="074DF81E" w:rsidR="00286E0D" w:rsidRPr="00115F78" w:rsidRDefault="00286E0D" w:rsidP="00A257BB">
      <w:pPr>
        <w:rPr>
          <w:noProof/>
        </w:rPr>
      </w:pPr>
      <w:r w:rsidRPr="00115F78">
        <w:rPr>
          <w:noProof/>
        </w:rPr>
        <w:t>Niniejsze rozporządzenie stosuje się od daty rozpoczęcia stosowania rozporządzenia (UE) [...] ustanawiającego Europejski Fundusz Spójności Gospodarczej, Społecznej</w:t>
      </w:r>
      <w:r w:rsidR="00115F78" w:rsidRPr="00115F78">
        <w:rPr>
          <w:noProof/>
        </w:rPr>
        <w:t xml:space="preserve"> i</w:t>
      </w:r>
      <w:r w:rsidR="00115F78">
        <w:rPr>
          <w:noProof/>
        </w:rPr>
        <w:t> </w:t>
      </w:r>
      <w:r w:rsidR="00115F78" w:rsidRPr="00115F78">
        <w:rPr>
          <w:noProof/>
        </w:rPr>
        <w:t>Ter</w:t>
      </w:r>
      <w:r w:rsidRPr="00115F78">
        <w:rPr>
          <w:noProof/>
        </w:rPr>
        <w:t>ytorialnej, Rolnictwa</w:t>
      </w:r>
      <w:r w:rsidR="00115F78" w:rsidRPr="00115F78">
        <w:rPr>
          <w:noProof/>
        </w:rPr>
        <w:t xml:space="preserve"> i</w:t>
      </w:r>
      <w:r w:rsidR="00115F78">
        <w:rPr>
          <w:noProof/>
        </w:rPr>
        <w:t> </w:t>
      </w:r>
      <w:r w:rsidR="00115F78" w:rsidRPr="00115F78">
        <w:rPr>
          <w:noProof/>
        </w:rPr>
        <w:t>Obs</w:t>
      </w:r>
      <w:r w:rsidRPr="00115F78">
        <w:rPr>
          <w:noProof/>
        </w:rPr>
        <w:t>zarów Wiejskich, Rybołówstwa</w:t>
      </w:r>
      <w:r w:rsidR="00115F78" w:rsidRPr="00115F78">
        <w:rPr>
          <w:noProof/>
        </w:rPr>
        <w:t xml:space="preserve"> i</w:t>
      </w:r>
      <w:r w:rsidR="00115F78">
        <w:rPr>
          <w:noProof/>
        </w:rPr>
        <w:t> </w:t>
      </w:r>
      <w:r w:rsidR="00115F78" w:rsidRPr="00115F78">
        <w:rPr>
          <w:noProof/>
        </w:rPr>
        <w:t>Pol</w:t>
      </w:r>
      <w:r w:rsidRPr="00115F78">
        <w:rPr>
          <w:noProof/>
        </w:rPr>
        <w:t>ityki Morskiej, Dobrobytu</w:t>
      </w:r>
      <w:r w:rsidR="00115F78" w:rsidRPr="00115F78">
        <w:rPr>
          <w:noProof/>
        </w:rPr>
        <w:t xml:space="preserve"> i</w:t>
      </w:r>
      <w:r w:rsidR="00115F78">
        <w:rPr>
          <w:noProof/>
        </w:rPr>
        <w:t> </w:t>
      </w:r>
      <w:r w:rsidR="00115F78" w:rsidRPr="00115F78">
        <w:rPr>
          <w:noProof/>
        </w:rPr>
        <w:t>Bez</w:t>
      </w:r>
      <w:r w:rsidRPr="00115F78">
        <w:rPr>
          <w:noProof/>
        </w:rPr>
        <w:t>pieczeństwa na okres 2028–2034.</w:t>
      </w:r>
    </w:p>
    <w:p w14:paraId="6D028D58" w14:textId="7DD2A142" w:rsidR="00286E0D" w:rsidRPr="00115F78" w:rsidRDefault="00286E0D" w:rsidP="00286E0D">
      <w:pPr>
        <w:pStyle w:val="Applicationdirecte"/>
        <w:spacing w:before="120"/>
        <w:rPr>
          <w:noProof/>
          <w:szCs w:val="24"/>
        </w:rPr>
      </w:pPr>
      <w:r w:rsidRPr="00115F78">
        <w:rPr>
          <w:noProof/>
        </w:rPr>
        <w:t>Niniejsze rozporządzenie wiąże</w:t>
      </w:r>
      <w:r w:rsidR="00115F78" w:rsidRPr="00115F78">
        <w:rPr>
          <w:noProof/>
        </w:rPr>
        <w:t xml:space="preserve"> w</w:t>
      </w:r>
      <w:r w:rsidR="00115F78">
        <w:rPr>
          <w:noProof/>
        </w:rPr>
        <w:t> </w:t>
      </w:r>
      <w:r w:rsidR="00115F78" w:rsidRPr="00115F78">
        <w:rPr>
          <w:noProof/>
        </w:rPr>
        <w:t>cał</w:t>
      </w:r>
      <w:r w:rsidRPr="00115F78">
        <w:rPr>
          <w:noProof/>
        </w:rPr>
        <w:t>ości</w:t>
      </w:r>
      <w:r w:rsidR="00115F78" w:rsidRPr="00115F78">
        <w:rPr>
          <w:noProof/>
        </w:rPr>
        <w:t xml:space="preserve"> i</w:t>
      </w:r>
      <w:r w:rsidR="00115F78">
        <w:rPr>
          <w:noProof/>
        </w:rPr>
        <w:t> </w:t>
      </w:r>
      <w:r w:rsidR="00115F78" w:rsidRPr="00115F78">
        <w:rPr>
          <w:noProof/>
        </w:rPr>
        <w:t>jes</w:t>
      </w:r>
      <w:r w:rsidRPr="00115F78">
        <w:rPr>
          <w:noProof/>
        </w:rPr>
        <w:t>t bezpośrednio stosowane</w:t>
      </w:r>
      <w:r w:rsidR="00115F78" w:rsidRPr="00115F78">
        <w:rPr>
          <w:noProof/>
        </w:rPr>
        <w:t xml:space="preserve"> w</w:t>
      </w:r>
      <w:r w:rsidR="00115F78">
        <w:rPr>
          <w:noProof/>
        </w:rPr>
        <w:t> </w:t>
      </w:r>
      <w:r w:rsidR="00115F78" w:rsidRPr="00115F78">
        <w:rPr>
          <w:noProof/>
        </w:rPr>
        <w:t>pań</w:t>
      </w:r>
      <w:r w:rsidRPr="00115F78">
        <w:rPr>
          <w:noProof/>
        </w:rPr>
        <w:t>stwach członkowskich zgodnie</w:t>
      </w:r>
      <w:r w:rsidR="00115F78" w:rsidRPr="00115F78">
        <w:rPr>
          <w:noProof/>
        </w:rPr>
        <w:t xml:space="preserve"> z</w:t>
      </w:r>
      <w:r w:rsidR="00115F78">
        <w:rPr>
          <w:noProof/>
        </w:rPr>
        <w:t> </w:t>
      </w:r>
      <w:r w:rsidR="00115F78" w:rsidRPr="00115F78">
        <w:rPr>
          <w:noProof/>
        </w:rPr>
        <w:t>Tra</w:t>
      </w:r>
      <w:r w:rsidRPr="00115F78">
        <w:rPr>
          <w:noProof/>
        </w:rPr>
        <w:t>ktatami.</w:t>
      </w:r>
    </w:p>
    <w:p w14:paraId="15F55F35" w14:textId="0F73EC61" w:rsidR="00286E0D" w:rsidRPr="00115F78" w:rsidRDefault="00567BA0" w:rsidP="00C45B3C">
      <w:pPr>
        <w:pStyle w:val="Fait"/>
        <w:rPr>
          <w:noProof/>
        </w:rPr>
      </w:pPr>
      <w:r>
        <w:rPr>
          <w:noProof/>
        </w:rPr>
        <w:t>Sporządzono w Brukseli dnia  r.</w:t>
      </w:r>
    </w:p>
    <w:p w14:paraId="70CA1763" w14:textId="77777777" w:rsidR="00115F78" w:rsidRDefault="00115F78" w:rsidP="00C45B3C">
      <w:pPr>
        <w:pStyle w:val="Institutionquisigne"/>
        <w:rPr>
          <w:noProof/>
        </w:rPr>
      </w:pPr>
      <w:r>
        <w:rPr>
          <w:noProof/>
        </w:rPr>
        <w:t>W imieniu Parlamentu Europejskiego</w:t>
      </w:r>
      <w:r>
        <w:rPr>
          <w:noProof/>
        </w:rPr>
        <w:tab/>
        <w:t>W imieniu Rady</w:t>
      </w:r>
    </w:p>
    <w:p w14:paraId="20635673" w14:textId="13F026D4" w:rsidR="00363133" w:rsidRPr="00115F78" w:rsidRDefault="00115F78" w:rsidP="00363133">
      <w:pPr>
        <w:pStyle w:val="Personnequisigne"/>
        <w:rPr>
          <w:noProof/>
        </w:rPr>
      </w:pPr>
      <w:r>
        <w:rPr>
          <w:noProof/>
        </w:rPr>
        <w:t>Przewodnicząca</w:t>
      </w:r>
      <w:r>
        <w:rPr>
          <w:noProof/>
        </w:rPr>
        <w:tab/>
        <w:t>Przewodniczący</w:t>
      </w:r>
    </w:p>
    <w:sectPr w:rsidR="00363133" w:rsidRPr="00115F78" w:rsidSect="004B1D08">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Pr="00115F78" w:rsidRDefault="0045264C" w:rsidP="00286E0D">
      <w:pPr>
        <w:spacing w:before="0" w:after="0"/>
      </w:pPr>
      <w:r w:rsidRPr="00115F78">
        <w:separator/>
      </w:r>
    </w:p>
  </w:endnote>
  <w:endnote w:type="continuationSeparator" w:id="0">
    <w:p w14:paraId="08BEDAFF" w14:textId="77777777" w:rsidR="0045264C" w:rsidRPr="00115F78" w:rsidRDefault="0045264C" w:rsidP="00286E0D">
      <w:pPr>
        <w:spacing w:before="0" w:after="0"/>
      </w:pPr>
      <w:r w:rsidRPr="00115F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F77CC" w14:textId="1CB7E418" w:rsidR="004B1D08" w:rsidRPr="004B1D08" w:rsidRDefault="004B1D08" w:rsidP="004B1D08">
    <w:pPr>
      <w:pStyle w:val="Footer"/>
      <w:rPr>
        <w:rFonts w:ascii="Arial" w:hAnsi="Arial" w:cs="Arial"/>
        <w:b/>
        <w:sz w:val="48"/>
      </w:rPr>
    </w:pPr>
    <w:r w:rsidRPr="004B1D08">
      <w:rPr>
        <w:rFonts w:ascii="Arial" w:hAnsi="Arial" w:cs="Arial"/>
        <w:b/>
        <w:sz w:val="48"/>
      </w:rPr>
      <w:t>PL</w:t>
    </w:r>
    <w:r w:rsidRPr="004B1D08">
      <w:rPr>
        <w:rFonts w:ascii="Arial" w:hAnsi="Arial" w:cs="Arial"/>
        <w:b/>
        <w:sz w:val="48"/>
      </w:rPr>
      <w:tab/>
    </w:r>
    <w:r w:rsidRPr="004B1D08">
      <w:rPr>
        <w:rFonts w:ascii="Arial" w:hAnsi="Arial" w:cs="Arial"/>
        <w:b/>
        <w:sz w:val="48"/>
      </w:rPr>
      <w:tab/>
    </w:r>
    <w:r w:rsidRPr="004B1D08">
      <w:tab/>
    </w:r>
    <w:r w:rsidRPr="004B1D08">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8AFD" w14:textId="2C6F23DA" w:rsidR="004B1D08" w:rsidRPr="004B1D08" w:rsidRDefault="004B1D08" w:rsidP="004B1D08">
    <w:pPr>
      <w:pStyle w:val="Footer"/>
      <w:rPr>
        <w:rFonts w:ascii="Arial" w:hAnsi="Arial" w:cs="Arial"/>
        <w:b/>
        <w:sz w:val="48"/>
      </w:rPr>
    </w:pPr>
    <w:r w:rsidRPr="004B1D08">
      <w:rPr>
        <w:rFonts w:ascii="Arial" w:hAnsi="Arial" w:cs="Arial"/>
        <w:b/>
        <w:sz w:val="48"/>
      </w:rPr>
      <w:t>PL</w:t>
    </w:r>
    <w:r w:rsidRPr="004B1D08">
      <w:rPr>
        <w:rFonts w:ascii="Arial" w:hAnsi="Arial" w:cs="Arial"/>
        <w:b/>
        <w:sz w:val="48"/>
      </w:rPr>
      <w:tab/>
    </w:r>
    <w:r w:rsidRPr="004B1D08">
      <w:rPr>
        <w:rFonts w:ascii="Arial" w:hAnsi="Arial" w:cs="Arial"/>
        <w:b/>
        <w:sz w:val="48"/>
      </w:rPr>
      <w:tab/>
    </w:r>
    <w:r w:rsidRPr="004B1D08">
      <w:tab/>
    </w:r>
    <w:r w:rsidRPr="004B1D08">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10F00" w14:textId="77777777" w:rsidR="004B1D08" w:rsidRDefault="004B1D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62923" w14:textId="1792BB15" w:rsidR="004B1D08" w:rsidRPr="004B1D08" w:rsidRDefault="004B1D08" w:rsidP="004B1D08">
    <w:pPr>
      <w:pStyle w:val="Footer"/>
      <w:rPr>
        <w:rFonts w:ascii="Arial" w:hAnsi="Arial" w:cs="Arial"/>
        <w:b/>
        <w:sz w:val="48"/>
      </w:rPr>
    </w:pPr>
    <w:r w:rsidRPr="004B1D08">
      <w:rPr>
        <w:rFonts w:ascii="Arial" w:hAnsi="Arial" w:cs="Arial"/>
        <w:b/>
        <w:sz w:val="48"/>
      </w:rPr>
      <w:t>PL</w:t>
    </w:r>
    <w:r w:rsidRPr="004B1D08">
      <w:rPr>
        <w:rFonts w:ascii="Arial" w:hAnsi="Arial" w:cs="Arial"/>
        <w:b/>
        <w:sz w:val="48"/>
      </w:rPr>
      <w:tab/>
    </w:r>
    <w:r>
      <w:fldChar w:fldCharType="begin"/>
    </w:r>
    <w:r>
      <w:instrText xml:space="preserve"> PAGE  \* MERGEFORMAT </w:instrText>
    </w:r>
    <w:r>
      <w:fldChar w:fldCharType="separate"/>
    </w:r>
    <w:r w:rsidR="00C45B3C">
      <w:rPr>
        <w:noProof/>
      </w:rPr>
      <w:t>19</w:t>
    </w:r>
    <w:r>
      <w:fldChar w:fldCharType="end"/>
    </w:r>
    <w:r>
      <w:tab/>
    </w:r>
    <w:r w:rsidRPr="004B1D08">
      <w:tab/>
    </w:r>
    <w:r w:rsidRPr="004B1D08">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ED1C" w14:textId="77777777" w:rsidR="004B1D08" w:rsidRDefault="004B1D08" w:rsidP="004B1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Pr="00115F78" w:rsidRDefault="0045264C" w:rsidP="00286E0D">
      <w:pPr>
        <w:spacing w:before="0" w:after="0"/>
      </w:pPr>
      <w:r w:rsidRPr="00115F78">
        <w:separator/>
      </w:r>
    </w:p>
  </w:footnote>
  <w:footnote w:type="continuationSeparator" w:id="0">
    <w:p w14:paraId="24477736" w14:textId="77777777" w:rsidR="0045264C" w:rsidRPr="00115F78" w:rsidRDefault="0045264C" w:rsidP="00286E0D">
      <w:pPr>
        <w:spacing w:before="0" w:after="0"/>
      </w:pPr>
      <w:r w:rsidRPr="00115F78">
        <w:continuationSeparator/>
      </w:r>
    </w:p>
  </w:footnote>
  <w:footnote w:id="1">
    <w:p w14:paraId="70CC9307" w14:textId="1B6C2F68" w:rsidR="008C306E" w:rsidRPr="00115F78" w:rsidRDefault="008C306E" w:rsidP="008C306E">
      <w:pPr>
        <w:pStyle w:val="FootnoteText"/>
      </w:pPr>
      <w:r w:rsidRPr="00115F78">
        <w:rPr>
          <w:rStyle w:val="FootnoteReference"/>
        </w:rPr>
        <w:footnoteRef/>
      </w:r>
      <w:r w:rsidRPr="00115F78">
        <w:tab/>
        <w:t>Rozporządzenie Parlamentu Europejskiego</w:t>
      </w:r>
      <w:r w:rsidR="00115F78" w:rsidRPr="00115F78">
        <w:t xml:space="preserve"> i</w:t>
      </w:r>
      <w:r w:rsidR="00115F78">
        <w:t> </w:t>
      </w:r>
      <w:r w:rsidR="00115F78" w:rsidRPr="00115F78">
        <w:t>Rad</w:t>
      </w:r>
      <w:r w:rsidRPr="00115F78">
        <w:t>y</w:t>
      </w:r>
      <w:r w:rsidR="00115F78" w:rsidRPr="00115F78">
        <w:t xml:space="preserve"> z</w:t>
      </w:r>
      <w:r w:rsidR="00115F78">
        <w:t> </w:t>
      </w:r>
      <w:r w:rsidR="00115F78" w:rsidRPr="00115F78">
        <w:t>dni</w:t>
      </w:r>
      <w:r w:rsidRPr="00115F78">
        <w:t>a 14 maja 2024</w:t>
      </w:r>
      <w:r w:rsidR="00115F78" w:rsidRPr="00115F78">
        <w:t> </w:t>
      </w:r>
      <w:r w:rsidRPr="00115F78">
        <w:t>r.</w:t>
      </w:r>
      <w:r w:rsidR="00115F78" w:rsidRPr="00115F78">
        <w:t xml:space="preserve"> w</w:t>
      </w:r>
      <w:r w:rsidR="00115F78">
        <w:t> </w:t>
      </w:r>
      <w:r w:rsidR="00115F78" w:rsidRPr="00115F78">
        <w:t>spr</w:t>
      </w:r>
      <w:r w:rsidRPr="00115F78">
        <w:t>awie wprowadzenia kontroli przesiewowej obywateli państw trzecich na granicach zewnętrznych oraz zmiany rozporządzeń (WE) nr</w:t>
      </w:r>
      <w:r w:rsidR="00115F78" w:rsidRPr="00115F78">
        <w:t> </w:t>
      </w:r>
      <w:r w:rsidRPr="00115F78">
        <w:t>767/2008, (UE) 2017/2226, (UE) 2018/1240 i (UE) 2019/817, Dz.U. L, 2024/1356, 22.5.2024, ELI: </w:t>
      </w:r>
      <w:hyperlink r:id="rId1" w:tgtFrame="_blank" w:tooltip="Dostęp do dokumentu poprzez identyfikator URI w systemie ELI." w:history="1">
        <w:r w:rsidRPr="00115F78">
          <w:rPr>
            <w:rStyle w:val="Hyperlink"/>
          </w:rPr>
          <w:t>http://data.europa.eu/eli/reg/2024/1356/oj</w:t>
        </w:r>
      </w:hyperlink>
      <w:r w:rsidRPr="00115F78">
        <w:t>). </w:t>
      </w:r>
    </w:p>
  </w:footnote>
  <w:footnote w:id="2">
    <w:p w14:paraId="7331594B" w14:textId="71B277CD" w:rsidR="00EB6497" w:rsidRPr="00115F78" w:rsidRDefault="00EB6497" w:rsidP="00EB6497">
      <w:pPr>
        <w:pStyle w:val="FootnoteText"/>
      </w:pPr>
      <w:r w:rsidRPr="00115F78">
        <w:rPr>
          <w:rStyle w:val="FootnoteReference"/>
        </w:rPr>
        <w:footnoteRef/>
      </w:r>
      <w:r w:rsidRPr="00115F78">
        <w:tab/>
        <w:t>Rozporządzenie Parlamentu Europejskiego</w:t>
      </w:r>
      <w:r w:rsidR="00115F78" w:rsidRPr="00115F78">
        <w:t xml:space="preserve"> i</w:t>
      </w:r>
      <w:r w:rsidR="00115F78">
        <w:t> </w:t>
      </w:r>
      <w:r w:rsidR="00115F78" w:rsidRPr="00115F78">
        <w:t>Rad</w:t>
      </w:r>
      <w:r w:rsidRPr="00115F78">
        <w:t>y (UE) 2021/1148</w:t>
      </w:r>
      <w:r w:rsidR="00115F78" w:rsidRPr="00115F78">
        <w:t xml:space="preserve"> z</w:t>
      </w:r>
      <w:r w:rsidR="00115F78">
        <w:t> </w:t>
      </w:r>
      <w:r w:rsidR="00115F78" w:rsidRPr="00115F78">
        <w:t>dni</w:t>
      </w:r>
      <w:r w:rsidRPr="00115F78">
        <w:t>a 7 lipca 2021</w:t>
      </w:r>
      <w:r w:rsidR="00115F78" w:rsidRPr="00115F78">
        <w:t> </w:t>
      </w:r>
      <w:r w:rsidRPr="00115F78">
        <w:t>r. ustanawiające,</w:t>
      </w:r>
      <w:r w:rsidR="00115F78" w:rsidRPr="00115F78">
        <w:t xml:space="preserve"> w</w:t>
      </w:r>
      <w:r w:rsidR="00115F78">
        <w:t> </w:t>
      </w:r>
      <w:r w:rsidR="00115F78" w:rsidRPr="00115F78">
        <w:t>ram</w:t>
      </w:r>
      <w:r w:rsidRPr="00115F78">
        <w:t>ach Funduszu Zintegrowanego Zarządzania Granicami, Instrument Wsparcia Finansowego na rzecz Zarządzania Granicami</w:t>
      </w:r>
      <w:r w:rsidR="00115F78" w:rsidRPr="00115F78">
        <w:t xml:space="preserve"> i</w:t>
      </w:r>
      <w:r w:rsidR="00115F78">
        <w:t> </w:t>
      </w:r>
      <w:r w:rsidR="00115F78" w:rsidRPr="00115F78">
        <w:t>Pol</w:t>
      </w:r>
      <w:r w:rsidRPr="00115F78">
        <w:t xml:space="preserve">ityki Wizowej. </w:t>
      </w:r>
    </w:p>
  </w:footnote>
  <w:footnote w:id="3">
    <w:p w14:paraId="6343CBFD" w14:textId="5D6C2FDB" w:rsidR="00970B74" w:rsidRPr="00115F78" w:rsidRDefault="00653241" w:rsidP="00970B74">
      <w:pPr>
        <w:pStyle w:val="FootnoteText"/>
        <w:rPr>
          <w:b/>
          <w:bCs/>
        </w:rPr>
      </w:pPr>
      <w:r w:rsidRPr="00115F78">
        <w:rPr>
          <w:rStyle w:val="FootnoteReference"/>
        </w:rPr>
        <w:footnoteRef/>
      </w:r>
      <w:r w:rsidRPr="00115F78">
        <w:tab/>
        <w:t>Rozporządzenie Parlamentu Europejskiego</w:t>
      </w:r>
      <w:r w:rsidR="00115F78" w:rsidRPr="00115F78">
        <w:t xml:space="preserve"> i</w:t>
      </w:r>
      <w:r w:rsidR="00115F78">
        <w:t> </w:t>
      </w:r>
      <w:r w:rsidR="00115F78" w:rsidRPr="00115F78">
        <w:t>Rad</w:t>
      </w:r>
      <w:r w:rsidRPr="00115F78">
        <w:t>y (UE) 2024/1351</w:t>
      </w:r>
      <w:r w:rsidR="00115F78" w:rsidRPr="00115F78">
        <w:t xml:space="preserve"> z</w:t>
      </w:r>
      <w:r w:rsidR="00115F78">
        <w:t> </w:t>
      </w:r>
      <w:r w:rsidR="00115F78" w:rsidRPr="00115F78">
        <w:t>dni</w:t>
      </w:r>
      <w:r w:rsidRPr="00115F78">
        <w:t>a 14 maja 2024</w:t>
      </w:r>
      <w:r w:rsidR="00115F78" w:rsidRPr="00115F78">
        <w:t> </w:t>
      </w:r>
      <w:r w:rsidRPr="00115F78">
        <w:t>r.</w:t>
      </w:r>
      <w:r w:rsidR="00115F78" w:rsidRPr="00115F78">
        <w:t xml:space="preserve"> w</w:t>
      </w:r>
      <w:r w:rsidR="00115F78">
        <w:t> </w:t>
      </w:r>
      <w:r w:rsidR="00115F78" w:rsidRPr="00115F78">
        <w:t>spr</w:t>
      </w:r>
      <w:r w:rsidRPr="00115F78">
        <w:t>awie zarządzania azylem</w:t>
      </w:r>
      <w:r w:rsidR="00115F78" w:rsidRPr="00115F78">
        <w:t xml:space="preserve"> i</w:t>
      </w:r>
      <w:r w:rsidR="00115F78">
        <w:t> </w:t>
      </w:r>
      <w:r w:rsidR="00115F78" w:rsidRPr="00115F78">
        <w:t>mig</w:t>
      </w:r>
      <w:r w:rsidRPr="00115F78">
        <w:t>racją, zmiany rozporządzeń (UE) 2021/1147 i (UE) 2021/1060 oraz uchylenia rozporządzenia (UE) nr 604/2013, Dz.U. L, 2024/1351, 22.5.2024, ELI:</w:t>
      </w:r>
      <w:r w:rsidRPr="00115F78">
        <w:rPr>
          <w:b/>
        </w:rPr>
        <w:t xml:space="preserve"> </w:t>
      </w:r>
      <w:hyperlink r:id="rId2" w:tgtFrame="_blank" w:tooltip="Dostęp do dokumentu poprzez identyfikator URI w systemie ELI." w:history="1">
        <w:r w:rsidRPr="00115F78">
          <w:rPr>
            <w:rStyle w:val="Hyperlink"/>
            <w:b/>
          </w:rPr>
          <w:t>http://data.europa.eu/eli/reg/2024/1351/oj</w:t>
        </w:r>
      </w:hyperlink>
      <w:r w:rsidRPr="00115F78">
        <w:t>).</w:t>
      </w:r>
    </w:p>
    <w:p w14:paraId="473B85DC" w14:textId="3AF592A2" w:rsidR="00286E0D" w:rsidRPr="00115F78" w:rsidRDefault="00286E0D" w:rsidP="00D274F9">
      <w:pPr>
        <w:pStyle w:val="FootnoteText"/>
      </w:pPr>
    </w:p>
  </w:footnote>
  <w:footnote w:id="4">
    <w:p w14:paraId="518B2D40" w14:textId="35F1E5E5" w:rsidR="00286E0D" w:rsidRPr="00115F78" w:rsidRDefault="00286E0D" w:rsidP="00286E0D">
      <w:pPr>
        <w:pStyle w:val="FootnoteText"/>
      </w:pPr>
      <w:r w:rsidRPr="00115F78">
        <w:rPr>
          <w:rStyle w:val="FootnoteReference"/>
        </w:rPr>
        <w:footnoteRef/>
      </w:r>
      <w:r w:rsidRPr="00115F78">
        <w:tab/>
        <w:t>Dz.U. C […], […], s. […].</w:t>
      </w:r>
    </w:p>
  </w:footnote>
  <w:footnote w:id="5">
    <w:p w14:paraId="6353D267" w14:textId="18816DA1" w:rsidR="00286E0D" w:rsidRPr="00115F78" w:rsidRDefault="00286E0D" w:rsidP="00286E0D">
      <w:pPr>
        <w:pStyle w:val="FootnoteText"/>
      </w:pPr>
      <w:r w:rsidRPr="00115F78">
        <w:rPr>
          <w:rStyle w:val="FootnoteReference"/>
        </w:rPr>
        <w:footnoteRef/>
      </w:r>
      <w:r w:rsidRPr="00115F78">
        <w:tab/>
        <w:t>Stanowisko Parlamentu Europejskiego</w:t>
      </w:r>
      <w:r w:rsidR="00115F78" w:rsidRPr="00115F78">
        <w:t xml:space="preserve"> z</w:t>
      </w:r>
      <w:r w:rsidR="00115F78">
        <w:t> </w:t>
      </w:r>
      <w:r w:rsidR="00115F78" w:rsidRPr="00115F78">
        <w:t>dni</w:t>
      </w:r>
      <w:r w:rsidRPr="00115F78">
        <w:t>a [...] r.</w:t>
      </w:r>
      <w:r w:rsidR="00115F78" w:rsidRPr="00115F78">
        <w:t xml:space="preserve"> i</w:t>
      </w:r>
      <w:r w:rsidR="00115F78">
        <w:t> </w:t>
      </w:r>
      <w:r w:rsidR="00115F78" w:rsidRPr="00115F78">
        <w:t>sta</w:t>
      </w:r>
      <w:r w:rsidRPr="00115F78">
        <w:t>nowisko Rady</w:t>
      </w:r>
      <w:r w:rsidR="00115F78" w:rsidRPr="00115F78">
        <w:t xml:space="preserve"> z</w:t>
      </w:r>
      <w:r w:rsidR="00115F78">
        <w:t> </w:t>
      </w:r>
      <w:r w:rsidR="00115F78" w:rsidRPr="00115F78">
        <w:t>dni</w:t>
      </w:r>
      <w:r w:rsidRPr="00115F78">
        <w:t>a [...] r.</w:t>
      </w:r>
    </w:p>
  </w:footnote>
  <w:footnote w:id="6">
    <w:p w14:paraId="21BBB7AD" w14:textId="3DBA9AB2" w:rsidR="00286E0D" w:rsidRPr="00115F78" w:rsidRDefault="00286E0D" w:rsidP="00286E0D">
      <w:pPr>
        <w:pStyle w:val="FootnoteText"/>
      </w:pPr>
      <w:r w:rsidRPr="00115F78">
        <w:rPr>
          <w:rStyle w:val="FootnoteReference"/>
        </w:rPr>
        <w:footnoteRef/>
      </w:r>
      <w:r w:rsidRPr="00115F78">
        <w:tab/>
        <w:t>Rozporządzenie Parlamentu Europejskiego</w:t>
      </w:r>
      <w:r w:rsidR="00115F78" w:rsidRPr="00115F78">
        <w:t xml:space="preserve"> i</w:t>
      </w:r>
      <w:r w:rsidR="00115F78">
        <w:t> </w:t>
      </w:r>
      <w:r w:rsidR="00115F78" w:rsidRPr="00115F78">
        <w:t>Rad</w:t>
      </w:r>
      <w:r w:rsidRPr="00115F78">
        <w:t>y (UE) 2019/1896</w:t>
      </w:r>
      <w:r w:rsidR="00115F78" w:rsidRPr="00115F78">
        <w:t xml:space="preserve"> z</w:t>
      </w:r>
      <w:r w:rsidR="00115F78">
        <w:t> </w:t>
      </w:r>
      <w:r w:rsidR="00115F78" w:rsidRPr="00115F78">
        <w:t>dni</w:t>
      </w:r>
      <w:r w:rsidRPr="00115F78">
        <w:t>a 13 listopada 2019</w:t>
      </w:r>
      <w:r w:rsidR="00115F78" w:rsidRPr="00115F78">
        <w:t> </w:t>
      </w:r>
      <w:r w:rsidRPr="00115F78">
        <w:t>r.</w:t>
      </w:r>
      <w:r w:rsidR="00115F78" w:rsidRPr="00115F78">
        <w:t xml:space="preserve"> w</w:t>
      </w:r>
      <w:r w:rsidR="00115F78">
        <w:t> </w:t>
      </w:r>
      <w:r w:rsidR="00115F78" w:rsidRPr="00115F78">
        <w:t>spr</w:t>
      </w:r>
      <w:r w:rsidRPr="00115F78">
        <w:t>awie Europejskiej Straży Granicznej</w:t>
      </w:r>
      <w:r w:rsidR="00115F78" w:rsidRPr="00115F78">
        <w:t xml:space="preserve"> i</w:t>
      </w:r>
      <w:r w:rsidR="00115F78">
        <w:t> </w:t>
      </w:r>
      <w:r w:rsidR="00115F78" w:rsidRPr="00115F78">
        <w:t>Prz</w:t>
      </w:r>
      <w:r w:rsidRPr="00115F78">
        <w:t>ybrzeżnej oraz uchylenia rozporządzeń (UE) nr</w:t>
      </w:r>
      <w:r w:rsidR="00115F78" w:rsidRPr="00115F78">
        <w:t> </w:t>
      </w:r>
      <w:r w:rsidRPr="00115F78">
        <w:t>1052/2013 i (UE) 2016/1624 (Dz.U. L 295</w:t>
      </w:r>
      <w:r w:rsidR="00115F78" w:rsidRPr="00115F78">
        <w:t xml:space="preserve"> z</w:t>
      </w:r>
      <w:r w:rsidR="00115F78">
        <w:t> </w:t>
      </w:r>
      <w:r w:rsidR="00115F78" w:rsidRPr="00115F78">
        <w:t>1</w:t>
      </w:r>
      <w:r w:rsidRPr="00115F78">
        <w:t>4.11.2019, s. 1, ELI: http://data.europa.eu/eli/reg/2019/1896/oj).</w:t>
      </w:r>
    </w:p>
  </w:footnote>
  <w:footnote w:id="7">
    <w:p w14:paraId="4FBDEC8E" w14:textId="73914815" w:rsidR="00286E0D" w:rsidRPr="00115F78" w:rsidRDefault="00286E0D" w:rsidP="00286E0D">
      <w:pPr>
        <w:pStyle w:val="FootnoteText"/>
      </w:pPr>
      <w:r w:rsidRPr="00115F78">
        <w:rPr>
          <w:rStyle w:val="FootnoteReference"/>
        </w:rPr>
        <w:footnoteRef/>
      </w:r>
      <w:r w:rsidRPr="00115F78">
        <w:tab/>
        <w:t>Dz.U. L 144</w:t>
      </w:r>
      <w:r w:rsidR="00115F78" w:rsidRPr="00115F78">
        <w:t xml:space="preserve"> z</w:t>
      </w:r>
      <w:r w:rsidR="00115F78">
        <w:t> </w:t>
      </w:r>
      <w:r w:rsidR="00115F78" w:rsidRPr="00115F78">
        <w:t>6</w:t>
      </w:r>
      <w:r w:rsidRPr="00115F78">
        <w:t>.6.2007, s. 22.</w:t>
      </w:r>
    </w:p>
  </w:footnote>
  <w:footnote w:id="8">
    <w:p w14:paraId="4428EE6F" w14:textId="0BCF7836" w:rsidR="00286E0D" w:rsidRPr="00115F78" w:rsidRDefault="00286E0D" w:rsidP="00286E0D">
      <w:pPr>
        <w:pStyle w:val="FootnoteText"/>
      </w:pPr>
      <w:r w:rsidRPr="00115F78">
        <w:rPr>
          <w:rStyle w:val="FootnoteReference"/>
        </w:rPr>
        <w:footnoteRef/>
      </w:r>
      <w:r w:rsidRPr="00115F78">
        <w:tab/>
        <w:t>Rozporządzenie Parlamentu Europejskiego</w:t>
      </w:r>
      <w:r w:rsidR="00115F78" w:rsidRPr="00115F78">
        <w:t xml:space="preserve"> i</w:t>
      </w:r>
      <w:r w:rsidR="00115F78">
        <w:t> </w:t>
      </w:r>
      <w:r w:rsidR="00115F78" w:rsidRPr="00115F78">
        <w:t>Rad</w:t>
      </w:r>
      <w:r w:rsidRPr="00115F78">
        <w:t>y (UE) nr</w:t>
      </w:r>
      <w:r w:rsidR="00115F78" w:rsidRPr="00115F78">
        <w:t> </w:t>
      </w:r>
      <w:r w:rsidRPr="00115F78">
        <w:t>515/2014</w:t>
      </w:r>
      <w:r w:rsidR="00115F78" w:rsidRPr="00115F78">
        <w:t xml:space="preserve"> z</w:t>
      </w:r>
      <w:r w:rsidR="00115F78">
        <w:t> </w:t>
      </w:r>
      <w:r w:rsidR="00115F78" w:rsidRPr="00115F78">
        <w:t>dni</w:t>
      </w:r>
      <w:r w:rsidRPr="00115F78">
        <w:t>a 16 kwietnia 2014</w:t>
      </w:r>
      <w:r w:rsidR="00115F78" w:rsidRPr="00115F78">
        <w:t> </w:t>
      </w:r>
      <w:r w:rsidRPr="00115F78">
        <w:t>r. ustanawiające,</w:t>
      </w:r>
      <w:r w:rsidR="00115F78" w:rsidRPr="00115F78">
        <w:t xml:space="preserve"> w</w:t>
      </w:r>
      <w:r w:rsidR="00115F78">
        <w:t> </w:t>
      </w:r>
      <w:r w:rsidR="00115F78" w:rsidRPr="00115F78">
        <w:t>ram</w:t>
      </w:r>
      <w:r w:rsidRPr="00115F78">
        <w:t>ach Funduszu Bezpieczeństwa Wewnętrznego, instrument na rzecz wsparcia finansowego</w:t>
      </w:r>
      <w:r w:rsidR="00115F78" w:rsidRPr="00115F78">
        <w:t xml:space="preserve"> w</w:t>
      </w:r>
      <w:r w:rsidR="00115F78">
        <w:t> </w:t>
      </w:r>
      <w:r w:rsidR="00115F78" w:rsidRPr="00115F78">
        <w:t>zak</w:t>
      </w:r>
      <w:r w:rsidRPr="00115F78">
        <w:t>resie granic zewnętrznych</w:t>
      </w:r>
      <w:r w:rsidR="00115F78" w:rsidRPr="00115F78">
        <w:t xml:space="preserve"> i</w:t>
      </w:r>
      <w:r w:rsidR="00115F78">
        <w:t> </w:t>
      </w:r>
      <w:r w:rsidR="00115F78" w:rsidRPr="00115F78">
        <w:t>wiz</w:t>
      </w:r>
      <w:r w:rsidRPr="00115F78">
        <w:t xml:space="preserve"> oraz uchylające decyzję nr</w:t>
      </w:r>
      <w:r w:rsidR="00115F78" w:rsidRPr="00115F78">
        <w:t> </w:t>
      </w:r>
      <w:r w:rsidRPr="00115F78">
        <w:t>574/2007/WE, (Dz.U. L 150</w:t>
      </w:r>
      <w:r w:rsidR="00115F78" w:rsidRPr="00115F78">
        <w:t xml:space="preserve"> z</w:t>
      </w:r>
      <w:r w:rsidR="00115F78">
        <w:t> </w:t>
      </w:r>
      <w:r w:rsidR="00115F78" w:rsidRPr="00115F78">
        <w:t>2</w:t>
      </w:r>
      <w:r w:rsidRPr="00115F78">
        <w:t xml:space="preserve">0.5.2014, s. 143, ELI: </w:t>
      </w:r>
      <w:hyperlink r:id="rId3" w:history="1">
        <w:r w:rsidRPr="00115F78">
          <w:rPr>
            <w:rStyle w:val="Hyperlink"/>
          </w:rPr>
          <w:t>http://data.europa.eu/eli/reg/2014/515/oj</w:t>
        </w:r>
      </w:hyperlink>
      <w:r w:rsidRPr="00115F78">
        <w:t>).</w:t>
      </w:r>
    </w:p>
  </w:footnote>
  <w:footnote w:id="9">
    <w:p w14:paraId="714FF2E9" w14:textId="792A115F" w:rsidR="00286E0D" w:rsidRPr="00115F78" w:rsidRDefault="00286E0D" w:rsidP="00286E0D">
      <w:pPr>
        <w:pStyle w:val="FootnoteText"/>
      </w:pPr>
      <w:r w:rsidRPr="00115F78">
        <w:rPr>
          <w:rStyle w:val="FootnoteReference"/>
        </w:rPr>
        <w:footnoteRef/>
      </w:r>
      <w:r w:rsidR="0022628D" w:rsidRPr="00115F78">
        <w:tab/>
      </w:r>
      <w:r w:rsidRPr="00115F78">
        <w:t>Rozporządzenie Parlamentu Europejskiego</w:t>
      </w:r>
      <w:r w:rsidR="00115F78" w:rsidRPr="00115F78">
        <w:t xml:space="preserve"> i</w:t>
      </w:r>
      <w:r w:rsidR="00115F78">
        <w:t> </w:t>
      </w:r>
      <w:r w:rsidR="00115F78" w:rsidRPr="00115F78">
        <w:t>Rad</w:t>
      </w:r>
      <w:r w:rsidRPr="00115F78">
        <w:t>y (UE) 2021/1148</w:t>
      </w:r>
      <w:r w:rsidR="00115F78" w:rsidRPr="00115F78">
        <w:t xml:space="preserve"> z</w:t>
      </w:r>
      <w:r w:rsidR="00115F78">
        <w:t> </w:t>
      </w:r>
      <w:r w:rsidR="00115F78" w:rsidRPr="00115F78">
        <w:t>dni</w:t>
      </w:r>
      <w:r w:rsidRPr="00115F78">
        <w:t>a 7 lipca 2021 r. ustanawiające,</w:t>
      </w:r>
      <w:r w:rsidR="00115F78" w:rsidRPr="00115F78">
        <w:t xml:space="preserve"> w</w:t>
      </w:r>
      <w:r w:rsidR="00115F78">
        <w:t> </w:t>
      </w:r>
      <w:r w:rsidR="00115F78" w:rsidRPr="00115F78">
        <w:t>ram</w:t>
      </w:r>
      <w:r w:rsidRPr="00115F78">
        <w:t>ach Funduszu Zintegrowanego Zarządzania Granicami, Instrument Wsparcia Finansowego na rzecz Zarządzania Granicami</w:t>
      </w:r>
      <w:r w:rsidR="00115F78" w:rsidRPr="00115F78">
        <w:t xml:space="preserve"> i</w:t>
      </w:r>
      <w:r w:rsidR="00115F78">
        <w:t> </w:t>
      </w:r>
      <w:r w:rsidR="00115F78" w:rsidRPr="00115F78">
        <w:t>Pol</w:t>
      </w:r>
      <w:r w:rsidRPr="00115F78">
        <w:t>ityki Wizowej, (Dz.U. L 251</w:t>
      </w:r>
      <w:r w:rsidR="00115F78" w:rsidRPr="00115F78">
        <w:t xml:space="preserve"> z</w:t>
      </w:r>
      <w:r w:rsidR="00115F78">
        <w:t> </w:t>
      </w:r>
      <w:r w:rsidR="00115F78" w:rsidRPr="00115F78">
        <w:t>1</w:t>
      </w:r>
      <w:r w:rsidRPr="00115F78">
        <w:t xml:space="preserve">5.7.2021, s. 48, ELI: </w:t>
      </w:r>
      <w:hyperlink r:id="rId4" w:history="1">
        <w:r w:rsidRPr="00115F78">
          <w:rPr>
            <w:rStyle w:val="Hyperlink"/>
          </w:rPr>
          <w:t>http://data.europa.eu/eli/reg/2021/1148/oj</w:t>
        </w:r>
      </w:hyperlink>
      <w:r w:rsidRPr="00115F78">
        <w:t>).</w:t>
      </w:r>
    </w:p>
  </w:footnote>
  <w:footnote w:id="10">
    <w:p w14:paraId="2326C5A3" w14:textId="405511EE" w:rsidR="00BA3EDB" w:rsidRPr="00115F78" w:rsidRDefault="00BA3EDB" w:rsidP="00BA3EDB">
      <w:pPr>
        <w:pStyle w:val="FootnoteText"/>
      </w:pPr>
      <w:r w:rsidRPr="00115F78">
        <w:rPr>
          <w:rStyle w:val="FootnoteReference"/>
        </w:rPr>
        <w:footnoteRef/>
      </w:r>
      <w:r w:rsidRPr="00115F78">
        <w:tab/>
        <w:t>Komunikat Komisji do Parlamentu Europejskiego</w:t>
      </w:r>
      <w:r w:rsidR="00115F78" w:rsidRPr="00115F78">
        <w:t xml:space="preserve"> i</w:t>
      </w:r>
      <w:r w:rsidR="00115F78">
        <w:t> </w:t>
      </w:r>
      <w:r w:rsidR="00115F78" w:rsidRPr="00115F78">
        <w:t>Rad</w:t>
      </w:r>
      <w:r w:rsidRPr="00115F78">
        <w:t>y</w:t>
      </w:r>
      <w:r w:rsidR="00115F78" w:rsidRPr="00115F78">
        <w:t xml:space="preserve"> w</w:t>
      </w:r>
      <w:r w:rsidR="00115F78">
        <w:t> </w:t>
      </w:r>
      <w:r w:rsidR="00115F78" w:rsidRPr="00115F78">
        <w:t>spr</w:t>
      </w:r>
      <w:r w:rsidRPr="00115F78">
        <w:t>awie przeciwdziałania zagrożeniom hybrydowym wynikającym</w:t>
      </w:r>
      <w:r w:rsidR="00115F78" w:rsidRPr="00115F78">
        <w:t xml:space="preserve"> z</w:t>
      </w:r>
      <w:r w:rsidR="00115F78">
        <w:t> </w:t>
      </w:r>
      <w:r w:rsidR="00115F78" w:rsidRPr="00115F78">
        <w:t>wyk</w:t>
      </w:r>
      <w:r w:rsidRPr="00115F78">
        <w:t>orzystywania migracji jako broni</w:t>
      </w:r>
      <w:r w:rsidR="00115F78" w:rsidRPr="00115F78">
        <w:t xml:space="preserve"> i</w:t>
      </w:r>
      <w:r w:rsidR="00115F78">
        <w:t> </w:t>
      </w:r>
      <w:r w:rsidR="00115F78" w:rsidRPr="00115F78">
        <w:t>w</w:t>
      </w:r>
      <w:r w:rsidR="00115F78">
        <w:t> </w:t>
      </w:r>
      <w:r w:rsidR="00115F78" w:rsidRPr="00115F78">
        <w:t>spr</w:t>
      </w:r>
      <w:r w:rsidRPr="00115F78">
        <w:t>awie zwiększania bezpieczeństwa na granicach zewnętrznych UE (COM(2024) 570 final</w:t>
      </w:r>
      <w:r w:rsidR="00115F78" w:rsidRPr="00115F78">
        <w:t xml:space="preserve"> z</w:t>
      </w:r>
      <w:r w:rsidR="00115F78">
        <w:t> </w:t>
      </w:r>
      <w:r w:rsidR="00115F78" w:rsidRPr="00115F78">
        <w:t>1</w:t>
      </w:r>
      <w:r w:rsidRPr="00115F78">
        <w:t>1.12.2024).</w:t>
      </w:r>
    </w:p>
  </w:footnote>
  <w:footnote w:id="11">
    <w:p w14:paraId="2178D4C2" w14:textId="1B3D6DEE" w:rsidR="00286E0D" w:rsidRPr="00115F78" w:rsidRDefault="00286E0D" w:rsidP="00286E0D">
      <w:pPr>
        <w:pStyle w:val="FootnoteText"/>
      </w:pPr>
      <w:r w:rsidRPr="00115F78">
        <w:rPr>
          <w:rStyle w:val="FootnoteReference"/>
        </w:rPr>
        <w:footnoteRef/>
      </w:r>
      <w:r w:rsidRPr="00115F78">
        <w:tab/>
        <w:t>Rozporządzenie Parlamentu Europejskiego</w:t>
      </w:r>
      <w:r w:rsidR="00115F78" w:rsidRPr="00115F78">
        <w:t xml:space="preserve"> i</w:t>
      </w:r>
      <w:r w:rsidR="00115F78">
        <w:t> </w:t>
      </w:r>
      <w:r w:rsidR="00115F78" w:rsidRPr="00115F78">
        <w:t>Rad</w:t>
      </w:r>
      <w:r w:rsidRPr="00115F78">
        <w:t>y (UE) 2018/1240</w:t>
      </w:r>
      <w:r w:rsidR="00115F78" w:rsidRPr="00115F78">
        <w:t xml:space="preserve"> z</w:t>
      </w:r>
      <w:r w:rsidR="00115F78">
        <w:t> </w:t>
      </w:r>
      <w:r w:rsidR="00115F78" w:rsidRPr="00115F78">
        <w:t>dni</w:t>
      </w:r>
      <w:r w:rsidRPr="00115F78">
        <w:t>a 12 września 2018</w:t>
      </w:r>
      <w:r w:rsidR="00115F78" w:rsidRPr="00115F78">
        <w:t> </w:t>
      </w:r>
      <w:r w:rsidRPr="00115F78">
        <w:t>r. ustanawiające europejski system informacji</w:t>
      </w:r>
      <w:r w:rsidR="00115F78" w:rsidRPr="00115F78">
        <w:t xml:space="preserve"> o</w:t>
      </w:r>
      <w:r w:rsidR="00115F78">
        <w:t> </w:t>
      </w:r>
      <w:r w:rsidR="00115F78" w:rsidRPr="00115F78">
        <w:t>pod</w:t>
      </w:r>
      <w:r w:rsidRPr="00115F78">
        <w:t>róży oraz zezwoleń na podróż (ETIAS)</w:t>
      </w:r>
      <w:r w:rsidR="00115F78" w:rsidRPr="00115F78">
        <w:t xml:space="preserve"> i</w:t>
      </w:r>
      <w:r w:rsidR="00115F78">
        <w:t> </w:t>
      </w:r>
      <w:r w:rsidR="00115F78" w:rsidRPr="00115F78">
        <w:t>zmi</w:t>
      </w:r>
      <w:r w:rsidRPr="00115F78">
        <w:t>eniające rozporządzenia (UE) nr</w:t>
      </w:r>
      <w:r w:rsidR="00115F78" w:rsidRPr="00115F78">
        <w:t> </w:t>
      </w:r>
      <w:r w:rsidRPr="00115F78">
        <w:t>1077/2011, (UE) nr</w:t>
      </w:r>
      <w:r w:rsidR="00115F78" w:rsidRPr="00115F78">
        <w:t> </w:t>
      </w:r>
      <w:r w:rsidRPr="00115F78">
        <w:t>515/2014, (UE) 2016/399, (UE) 2016/1624 i (UE) 2017/2226, (Dz.U. L 236</w:t>
      </w:r>
      <w:r w:rsidR="00115F78" w:rsidRPr="00115F78">
        <w:t xml:space="preserve"> z</w:t>
      </w:r>
      <w:r w:rsidR="00115F78">
        <w:t> </w:t>
      </w:r>
      <w:r w:rsidR="00115F78" w:rsidRPr="00115F78">
        <w:t>1</w:t>
      </w:r>
      <w:r w:rsidRPr="00115F78">
        <w:t xml:space="preserve">9.9.2018, s. 1, ELI: </w:t>
      </w:r>
      <w:hyperlink r:id="rId5" w:history="1">
        <w:r w:rsidRPr="00115F78">
          <w:rPr>
            <w:rStyle w:val="Hyperlink"/>
          </w:rPr>
          <w:t>http://data.europa.eu/eli/reg/2018/1240/oj</w:t>
        </w:r>
      </w:hyperlink>
      <w:r w:rsidRPr="00115F78">
        <w:t>).</w:t>
      </w:r>
    </w:p>
  </w:footnote>
  <w:footnote w:id="12">
    <w:p w14:paraId="3386E873" w14:textId="06DA616A" w:rsidR="00286E0D" w:rsidRPr="00115F78" w:rsidRDefault="00286E0D" w:rsidP="00286E0D">
      <w:pPr>
        <w:pStyle w:val="FootnoteText"/>
      </w:pPr>
      <w:r w:rsidRPr="00115F78">
        <w:rPr>
          <w:rStyle w:val="FootnoteReference"/>
        </w:rPr>
        <w:footnoteRef/>
      </w:r>
      <w:r w:rsidRPr="00115F78">
        <w:tab/>
        <w:t>Rozporządzenie Parlamentu Europejskiego</w:t>
      </w:r>
      <w:r w:rsidR="00115F78" w:rsidRPr="00115F78">
        <w:t xml:space="preserve"> i</w:t>
      </w:r>
      <w:r w:rsidR="00115F78">
        <w:t> </w:t>
      </w:r>
      <w:r w:rsidR="00115F78" w:rsidRPr="00115F78">
        <w:t>Rad</w:t>
      </w:r>
      <w:r w:rsidRPr="00115F78">
        <w:t>y (UE) 2024/1351</w:t>
      </w:r>
      <w:r w:rsidR="00115F78" w:rsidRPr="00115F78">
        <w:t xml:space="preserve"> z</w:t>
      </w:r>
      <w:r w:rsidR="00115F78">
        <w:t> </w:t>
      </w:r>
      <w:r w:rsidR="00115F78" w:rsidRPr="00115F78">
        <w:t>dni</w:t>
      </w:r>
      <w:r w:rsidRPr="00115F78">
        <w:t>a 14 maja 2024</w:t>
      </w:r>
      <w:r w:rsidR="00115F78" w:rsidRPr="00115F78">
        <w:t> </w:t>
      </w:r>
      <w:r w:rsidRPr="00115F78">
        <w:t>r.</w:t>
      </w:r>
      <w:r w:rsidR="00115F78" w:rsidRPr="00115F78">
        <w:t xml:space="preserve"> w</w:t>
      </w:r>
      <w:r w:rsidR="00115F78">
        <w:t> </w:t>
      </w:r>
      <w:r w:rsidR="00115F78" w:rsidRPr="00115F78">
        <w:t>spr</w:t>
      </w:r>
      <w:r w:rsidRPr="00115F78">
        <w:t>awie zarządzania azylem</w:t>
      </w:r>
      <w:r w:rsidR="00115F78" w:rsidRPr="00115F78">
        <w:t xml:space="preserve"> i</w:t>
      </w:r>
      <w:r w:rsidR="00115F78">
        <w:t> </w:t>
      </w:r>
      <w:r w:rsidR="00115F78" w:rsidRPr="00115F78">
        <w:t>mig</w:t>
      </w:r>
      <w:r w:rsidRPr="00115F78">
        <w:t xml:space="preserve">racją, zmiany rozporządzeń (UE) 2021/1147 i (UE) 2021/1060 oraz uchylenia rozporządzenia (UE) nr 604/2013, Dz.U. L, 2024/1351, 22.5.2024, ELI: </w:t>
      </w:r>
      <w:hyperlink r:id="rId6" w:history="1">
        <w:r w:rsidRPr="00115F78">
          <w:rPr>
            <w:rStyle w:val="Hyperlink"/>
          </w:rPr>
          <w:t>http://data.europa.eu/eli/reg/2024/1351/oj</w:t>
        </w:r>
      </w:hyperlink>
      <w:r w:rsidRPr="00115F78">
        <w:t>).</w:t>
      </w:r>
    </w:p>
  </w:footnote>
  <w:footnote w:id="13">
    <w:p w14:paraId="599052AD" w14:textId="1FCF82AA" w:rsidR="00286E0D" w:rsidRPr="00115F78" w:rsidRDefault="00286E0D" w:rsidP="00286E0D">
      <w:pPr>
        <w:pStyle w:val="FootnoteText"/>
      </w:pPr>
      <w:r w:rsidRPr="00115F78">
        <w:rPr>
          <w:rStyle w:val="FootnoteReference"/>
        </w:rPr>
        <w:footnoteRef/>
      </w:r>
      <w:r w:rsidRPr="00115F78">
        <w:tab/>
        <w:t>Akt dotyczący warunków przystąpienia Republiki Czeskiej, Republiki Estońskiej, Republiki Cypryjskiej, Republiki Łotewskiej, Republiki Litewskiej, Republiki Węgierskiej, Republiki Malty, Rzeczpospolitej Polskiej, Republiki Słowenii</w:t>
      </w:r>
      <w:r w:rsidR="00115F78" w:rsidRPr="00115F78">
        <w:t xml:space="preserve"> i</w:t>
      </w:r>
      <w:r w:rsidR="00115F78">
        <w:t> </w:t>
      </w:r>
      <w:r w:rsidR="00115F78" w:rsidRPr="00115F78">
        <w:t>Rep</w:t>
      </w:r>
      <w:r w:rsidRPr="00115F78">
        <w:t>ubliki Słowacji oraz dostosowań</w:t>
      </w:r>
      <w:r w:rsidR="00115F78" w:rsidRPr="00115F78">
        <w:t xml:space="preserve"> w</w:t>
      </w:r>
      <w:r w:rsidR="00115F78">
        <w:t> </w:t>
      </w:r>
      <w:r w:rsidR="00115F78" w:rsidRPr="00115F78">
        <w:t>Tra</w:t>
      </w:r>
      <w:r w:rsidRPr="00115F78">
        <w:t>ktatach stanowiących podstawę Unii Europejskiej (Dz.U. L 236</w:t>
      </w:r>
      <w:r w:rsidR="00115F78" w:rsidRPr="00115F78">
        <w:t xml:space="preserve"> z</w:t>
      </w:r>
      <w:r w:rsidR="00115F78">
        <w:t> </w:t>
      </w:r>
      <w:r w:rsidR="00115F78" w:rsidRPr="00115F78">
        <w:t>2</w:t>
      </w:r>
      <w:r w:rsidRPr="00115F78">
        <w:t>3.9.2003, s. 955, ELI: http://data.europa.eu/eli/treaty/acc_2003/act_1/pro_10/sign).</w:t>
      </w:r>
    </w:p>
  </w:footnote>
  <w:footnote w:id="14">
    <w:p w14:paraId="10C09AF4" w14:textId="0181CDA9" w:rsidR="00286E0D" w:rsidRPr="00115F78" w:rsidRDefault="00286E0D" w:rsidP="00286E0D">
      <w:pPr>
        <w:pStyle w:val="FootnoteText"/>
      </w:pPr>
      <w:r w:rsidRPr="00115F78">
        <w:rPr>
          <w:rStyle w:val="FootnoteReference"/>
        </w:rPr>
        <w:footnoteRef/>
      </w:r>
      <w:r w:rsidRPr="00115F78">
        <w:tab/>
        <w:t>Rozporządzenie Rady (WE) nr</w:t>
      </w:r>
      <w:r w:rsidR="00115F78" w:rsidRPr="00115F78">
        <w:t> </w:t>
      </w:r>
      <w:r w:rsidRPr="00115F78">
        <w:t>693/2003</w:t>
      </w:r>
      <w:r w:rsidR="00115F78" w:rsidRPr="00115F78">
        <w:t xml:space="preserve"> z</w:t>
      </w:r>
      <w:r w:rsidR="00115F78">
        <w:t> </w:t>
      </w:r>
      <w:r w:rsidR="00115F78" w:rsidRPr="00115F78">
        <w:t>dni</w:t>
      </w:r>
      <w:r w:rsidRPr="00115F78">
        <w:t>a 14 kwietnia 2003</w:t>
      </w:r>
      <w:r w:rsidR="00115F78" w:rsidRPr="00115F78">
        <w:t> </w:t>
      </w:r>
      <w:r w:rsidRPr="00115F78">
        <w:t>r. ustanawiające ściśle określony uproszczony dokument tranzytowy (FTD), uproszczony kolejowy dokument tranzytowy (FRTD) oraz zmieniające Wspólne instrukcje konsularne</w:t>
      </w:r>
      <w:r w:rsidR="00115F78" w:rsidRPr="00115F78">
        <w:t xml:space="preserve"> i</w:t>
      </w:r>
      <w:r w:rsidR="00115F78">
        <w:t> </w:t>
      </w:r>
      <w:r w:rsidR="00115F78" w:rsidRPr="00115F78">
        <w:t>Wsp</w:t>
      </w:r>
      <w:r w:rsidRPr="00115F78">
        <w:t>ólny podręcznik, (Dz.U. L 99</w:t>
      </w:r>
      <w:r w:rsidR="00115F78" w:rsidRPr="00115F78">
        <w:t xml:space="preserve"> z</w:t>
      </w:r>
      <w:r w:rsidR="00115F78">
        <w:t> </w:t>
      </w:r>
      <w:r w:rsidR="00115F78" w:rsidRPr="00115F78">
        <w:t>1</w:t>
      </w:r>
      <w:r w:rsidRPr="00115F78">
        <w:t xml:space="preserve">7.4.2003, s. 8, ELI: </w:t>
      </w:r>
      <w:hyperlink r:id="rId7" w:history="1">
        <w:r w:rsidRPr="00115F78">
          <w:rPr>
            <w:rStyle w:val="Hyperlink"/>
          </w:rPr>
          <w:t>http://data.europa.eu/eli/reg/2003/693/oj</w:t>
        </w:r>
      </w:hyperlink>
      <w:r w:rsidRPr="00115F78">
        <w:t>).</w:t>
      </w:r>
    </w:p>
  </w:footnote>
  <w:footnote w:id="15">
    <w:p w14:paraId="48054FE4" w14:textId="3A0AE5F7" w:rsidR="00286E0D" w:rsidRPr="00115F78" w:rsidRDefault="00286E0D" w:rsidP="00286E0D">
      <w:pPr>
        <w:pStyle w:val="FootnoteText"/>
      </w:pPr>
      <w:r w:rsidRPr="00115F78">
        <w:rPr>
          <w:rStyle w:val="FootnoteReference"/>
        </w:rPr>
        <w:footnoteRef/>
      </w:r>
      <w:r w:rsidRPr="00115F78">
        <w:tab/>
        <w:t>Dz.U. L 176</w:t>
      </w:r>
      <w:r w:rsidR="00115F78" w:rsidRPr="00115F78">
        <w:t xml:space="preserve"> z</w:t>
      </w:r>
      <w:r w:rsidR="00115F78">
        <w:t> </w:t>
      </w:r>
      <w:r w:rsidR="00115F78" w:rsidRPr="00115F78">
        <w:t>1</w:t>
      </w:r>
      <w:r w:rsidRPr="00115F78">
        <w:t>0.7.1999, s. 36.</w:t>
      </w:r>
    </w:p>
  </w:footnote>
  <w:footnote w:id="16">
    <w:p w14:paraId="0ED6C216" w14:textId="397D106B" w:rsidR="00286E0D" w:rsidRPr="00115F78" w:rsidRDefault="00286E0D" w:rsidP="00286E0D">
      <w:pPr>
        <w:pStyle w:val="FootnoteText"/>
      </w:pPr>
      <w:r w:rsidRPr="00115F78">
        <w:rPr>
          <w:rStyle w:val="FootnoteReference"/>
        </w:rPr>
        <w:footnoteRef/>
      </w:r>
      <w:r w:rsidRPr="00115F78">
        <w:tab/>
        <w:t>Decyzja Rady 1999/437/WE</w:t>
      </w:r>
      <w:r w:rsidR="00115F78" w:rsidRPr="00115F78">
        <w:t xml:space="preserve"> z</w:t>
      </w:r>
      <w:r w:rsidR="00115F78">
        <w:t> </w:t>
      </w:r>
      <w:r w:rsidR="00115F78" w:rsidRPr="00115F78">
        <w:t>dni</w:t>
      </w:r>
      <w:r w:rsidRPr="00115F78">
        <w:t>a 17 maja 1999</w:t>
      </w:r>
      <w:r w:rsidR="00115F78" w:rsidRPr="00115F78">
        <w:t> </w:t>
      </w:r>
      <w:r w:rsidRPr="00115F78">
        <w:t>r.</w:t>
      </w:r>
      <w:r w:rsidR="00115F78" w:rsidRPr="00115F78">
        <w:t xml:space="preserve"> w</w:t>
      </w:r>
      <w:r w:rsidR="00115F78">
        <w:t> </w:t>
      </w:r>
      <w:r w:rsidR="00115F78" w:rsidRPr="00115F78">
        <w:t>spr</w:t>
      </w:r>
      <w:r w:rsidRPr="00115F78">
        <w:t>awie niektórych warunków stosowania Układu zawartego przez Radę Unii Europejskiej</w:t>
      </w:r>
      <w:r w:rsidR="00115F78" w:rsidRPr="00115F78">
        <w:t xml:space="preserve"> i</w:t>
      </w:r>
      <w:r w:rsidR="00115F78">
        <w:t> </w:t>
      </w:r>
      <w:r w:rsidR="00115F78" w:rsidRPr="00115F78">
        <w:t>Rep</w:t>
      </w:r>
      <w:r w:rsidRPr="00115F78">
        <w:t>ublikę Islandii oraz Królestwo Norwegii dotyczącego włączenia tych dwóch państw we wprowadzanie</w:t>
      </w:r>
      <w:r w:rsidR="00115F78" w:rsidRPr="00115F78">
        <w:t xml:space="preserve"> w</w:t>
      </w:r>
      <w:r w:rsidR="00115F78">
        <w:t> </w:t>
      </w:r>
      <w:r w:rsidR="00115F78" w:rsidRPr="00115F78">
        <w:t>życ</w:t>
      </w:r>
      <w:r w:rsidRPr="00115F78">
        <w:t>ie, stosowanie</w:t>
      </w:r>
      <w:r w:rsidR="00115F78" w:rsidRPr="00115F78">
        <w:t xml:space="preserve"> i</w:t>
      </w:r>
      <w:r w:rsidR="00115F78">
        <w:t> </w:t>
      </w:r>
      <w:r w:rsidR="00115F78" w:rsidRPr="00115F78">
        <w:t>roz</w:t>
      </w:r>
      <w:r w:rsidRPr="00115F78">
        <w:t>wój dorobku Schengen (Dz.U. L 176</w:t>
      </w:r>
      <w:r w:rsidR="00115F78" w:rsidRPr="00115F78">
        <w:t xml:space="preserve"> z</w:t>
      </w:r>
      <w:r w:rsidR="00115F78">
        <w:t> </w:t>
      </w:r>
      <w:r w:rsidR="00115F78" w:rsidRPr="00115F78">
        <w:t>1</w:t>
      </w:r>
      <w:r w:rsidRPr="00115F78">
        <w:t xml:space="preserve">0.7.1999, s. 31, ELI: </w:t>
      </w:r>
      <w:hyperlink r:id="rId8" w:history="1">
        <w:r w:rsidRPr="00115F78">
          <w:rPr>
            <w:rStyle w:val="Hyperlink"/>
          </w:rPr>
          <w:t>http://data.europa.eu/eli/dec/1999/437/oj</w:t>
        </w:r>
      </w:hyperlink>
      <w:r w:rsidRPr="00115F78">
        <w:t>).</w:t>
      </w:r>
    </w:p>
  </w:footnote>
  <w:footnote w:id="17">
    <w:p w14:paraId="5FE07AD1" w14:textId="0B721DBE" w:rsidR="00286E0D" w:rsidRPr="00115F78" w:rsidRDefault="00286E0D" w:rsidP="00286E0D">
      <w:pPr>
        <w:pStyle w:val="FootnoteText"/>
      </w:pPr>
      <w:r w:rsidRPr="00115F78">
        <w:rPr>
          <w:rStyle w:val="FootnoteReference"/>
        </w:rPr>
        <w:footnoteRef/>
      </w:r>
      <w:r w:rsidRPr="00115F78">
        <w:tab/>
        <w:t>Dz.U. L 53</w:t>
      </w:r>
      <w:r w:rsidR="00115F78" w:rsidRPr="00115F78">
        <w:t xml:space="preserve"> z</w:t>
      </w:r>
      <w:r w:rsidR="00115F78">
        <w:t> </w:t>
      </w:r>
      <w:r w:rsidR="00115F78" w:rsidRPr="00115F78">
        <w:t>2</w:t>
      </w:r>
      <w:r w:rsidRPr="00115F78">
        <w:t>7.2.2008, s. 52.</w:t>
      </w:r>
    </w:p>
  </w:footnote>
  <w:footnote w:id="18">
    <w:p w14:paraId="41D47FF0" w14:textId="2044E4ED" w:rsidR="00286E0D" w:rsidRPr="00115F78" w:rsidRDefault="00286E0D" w:rsidP="00286E0D">
      <w:pPr>
        <w:pStyle w:val="FootnoteText"/>
      </w:pPr>
      <w:r w:rsidRPr="00115F78">
        <w:rPr>
          <w:rStyle w:val="FootnoteReference"/>
        </w:rPr>
        <w:footnoteRef/>
      </w:r>
      <w:r w:rsidRPr="00115F78">
        <w:tab/>
        <w:t>Decyzja Rady 2008/146/WE</w:t>
      </w:r>
      <w:r w:rsidR="00115F78" w:rsidRPr="00115F78">
        <w:t xml:space="preserve"> z</w:t>
      </w:r>
      <w:r w:rsidR="00115F78">
        <w:t> </w:t>
      </w:r>
      <w:r w:rsidR="00115F78" w:rsidRPr="00115F78">
        <w:t>dni</w:t>
      </w:r>
      <w:r w:rsidRPr="00115F78">
        <w:t>a 28 stycznia 2008</w:t>
      </w:r>
      <w:r w:rsidR="00115F78" w:rsidRPr="00115F78">
        <w:t> </w:t>
      </w:r>
      <w:r w:rsidRPr="00115F78">
        <w:t>r.</w:t>
      </w:r>
      <w:r w:rsidR="00115F78" w:rsidRPr="00115F78">
        <w:t xml:space="preserve"> w</w:t>
      </w:r>
      <w:r w:rsidR="00115F78">
        <w:t> </w:t>
      </w:r>
      <w:r w:rsidR="00115F78" w:rsidRPr="00115F78">
        <w:t>spr</w:t>
      </w:r>
      <w:r w:rsidRPr="00115F78">
        <w:t>awie zawarcia</w:t>
      </w:r>
      <w:r w:rsidR="00115F78" w:rsidRPr="00115F78">
        <w:t xml:space="preserve"> w</w:t>
      </w:r>
      <w:r w:rsidR="00115F78">
        <w:t> </w:t>
      </w:r>
      <w:r w:rsidR="00115F78" w:rsidRPr="00115F78">
        <w:t>imi</w:t>
      </w:r>
      <w:r w:rsidRPr="00115F78">
        <w:t>eniu Wspólnoty Europejskiej Umowy między Unią Europejską, Wspólnotą Europejską</w:t>
      </w:r>
      <w:r w:rsidR="00115F78" w:rsidRPr="00115F78">
        <w:t xml:space="preserve"> i</w:t>
      </w:r>
      <w:r w:rsidR="00115F78">
        <w:t> </w:t>
      </w:r>
      <w:r w:rsidR="00115F78" w:rsidRPr="00115F78">
        <w:t>Kon</w:t>
      </w:r>
      <w:r w:rsidRPr="00115F78">
        <w:t>federacją Szwajcarską dotyczącej włączenia tego państwa we wprowadzanie</w:t>
      </w:r>
      <w:r w:rsidR="00115F78" w:rsidRPr="00115F78">
        <w:t xml:space="preserve"> w</w:t>
      </w:r>
      <w:r w:rsidR="00115F78">
        <w:t> </w:t>
      </w:r>
      <w:r w:rsidR="00115F78" w:rsidRPr="00115F78">
        <w:t>życ</w:t>
      </w:r>
      <w:r w:rsidRPr="00115F78">
        <w:t>ie, stosowanie</w:t>
      </w:r>
      <w:r w:rsidR="00115F78" w:rsidRPr="00115F78">
        <w:t xml:space="preserve"> i</w:t>
      </w:r>
      <w:r w:rsidR="00115F78">
        <w:t> </w:t>
      </w:r>
      <w:r w:rsidR="00115F78" w:rsidRPr="00115F78">
        <w:t>roz</w:t>
      </w:r>
      <w:r w:rsidRPr="00115F78">
        <w:t>wój dorobku Schengen (Dz.U. L 53</w:t>
      </w:r>
      <w:r w:rsidR="00115F78" w:rsidRPr="00115F78">
        <w:t xml:space="preserve"> z</w:t>
      </w:r>
      <w:r w:rsidR="00115F78">
        <w:t> </w:t>
      </w:r>
      <w:r w:rsidR="00115F78" w:rsidRPr="00115F78">
        <w:t>2</w:t>
      </w:r>
      <w:r w:rsidRPr="00115F78">
        <w:t xml:space="preserve">7.2.2008, s. 1, ELI: </w:t>
      </w:r>
      <w:hyperlink r:id="rId9" w:history="1">
        <w:r w:rsidRPr="00115F78">
          <w:rPr>
            <w:rStyle w:val="Hyperlink"/>
          </w:rPr>
          <w:t>http://data.europa.eu/eli/dec/2008/146/oj</w:t>
        </w:r>
      </w:hyperlink>
      <w:r w:rsidRPr="00115F78">
        <w:t>).</w:t>
      </w:r>
    </w:p>
  </w:footnote>
  <w:footnote w:id="19">
    <w:p w14:paraId="103CF621" w14:textId="26CDB6B3" w:rsidR="00286E0D" w:rsidRPr="00115F78" w:rsidRDefault="00286E0D" w:rsidP="00286E0D">
      <w:pPr>
        <w:pStyle w:val="FootnoteText"/>
      </w:pPr>
      <w:r w:rsidRPr="00115F78">
        <w:rPr>
          <w:rStyle w:val="FootnoteReference"/>
        </w:rPr>
        <w:footnoteRef/>
      </w:r>
      <w:r w:rsidRPr="00115F78">
        <w:tab/>
        <w:t>Dz.U. L 160</w:t>
      </w:r>
      <w:r w:rsidR="00115F78" w:rsidRPr="00115F78">
        <w:t xml:space="preserve"> z</w:t>
      </w:r>
      <w:r w:rsidR="00115F78">
        <w:t> </w:t>
      </w:r>
      <w:r w:rsidR="00115F78" w:rsidRPr="00115F78">
        <w:t>1</w:t>
      </w:r>
      <w:r w:rsidRPr="00115F78">
        <w:t>8.6.2011, s. 21, ELI: http://data.europa.eu/eli/prot/2011/350/oj.</w:t>
      </w:r>
    </w:p>
  </w:footnote>
  <w:footnote w:id="20">
    <w:p w14:paraId="0DBAFE99" w14:textId="7997B688" w:rsidR="00286E0D" w:rsidRPr="00115F78" w:rsidRDefault="00286E0D" w:rsidP="00286E0D">
      <w:pPr>
        <w:pStyle w:val="FootnoteText"/>
      </w:pPr>
      <w:r w:rsidRPr="00115F78">
        <w:rPr>
          <w:rStyle w:val="FootnoteReference"/>
        </w:rPr>
        <w:footnoteRef/>
      </w:r>
      <w:r w:rsidRPr="00115F78">
        <w:tab/>
        <w:t>Decyzja Rady 2011/350/UE</w:t>
      </w:r>
      <w:r w:rsidR="00115F78" w:rsidRPr="00115F78">
        <w:t xml:space="preserve"> z</w:t>
      </w:r>
      <w:r w:rsidR="00115F78">
        <w:t> </w:t>
      </w:r>
      <w:r w:rsidR="00115F78" w:rsidRPr="00115F78">
        <w:t>dni</w:t>
      </w:r>
      <w:r w:rsidRPr="00115F78">
        <w:t>a 7 marca 2011</w:t>
      </w:r>
      <w:r w:rsidR="00115F78" w:rsidRPr="00115F78">
        <w:t> </w:t>
      </w:r>
      <w:r w:rsidRPr="00115F78">
        <w:t>r.</w:t>
      </w:r>
      <w:r w:rsidR="00115F78" w:rsidRPr="00115F78">
        <w:t xml:space="preserve"> w</w:t>
      </w:r>
      <w:r w:rsidR="00115F78">
        <w:t> </w:t>
      </w:r>
      <w:r w:rsidR="00115F78" w:rsidRPr="00115F78">
        <w:t>spr</w:t>
      </w:r>
      <w:r w:rsidRPr="00115F78">
        <w:t>awie zawarcia</w:t>
      </w:r>
      <w:r w:rsidR="00115F78" w:rsidRPr="00115F78">
        <w:t xml:space="preserve"> w</w:t>
      </w:r>
      <w:r w:rsidR="00115F78">
        <w:t> </w:t>
      </w:r>
      <w:r w:rsidR="00115F78" w:rsidRPr="00115F78">
        <w:t>imi</w:t>
      </w:r>
      <w:r w:rsidRPr="00115F78">
        <w:t>eniu Unii Europejskiej Protokołu między Unią Europejską, Wspólnotą Europejską, Konfederacją Szwajcarską</w:t>
      </w:r>
      <w:r w:rsidR="00115F78" w:rsidRPr="00115F78">
        <w:t xml:space="preserve"> i</w:t>
      </w:r>
      <w:r w:rsidR="00115F78">
        <w:t> </w:t>
      </w:r>
      <w:r w:rsidR="00115F78" w:rsidRPr="00115F78">
        <w:t>Ksi</w:t>
      </w:r>
      <w:r w:rsidRPr="00115F78">
        <w:t>ęstwem Liechtensteinu</w:t>
      </w:r>
      <w:r w:rsidR="00115F78" w:rsidRPr="00115F78">
        <w:t xml:space="preserve"> w</w:t>
      </w:r>
      <w:r w:rsidR="00115F78">
        <w:t> </w:t>
      </w:r>
      <w:r w:rsidR="00115F78" w:rsidRPr="00115F78">
        <w:t>spr</w:t>
      </w:r>
      <w:r w:rsidRPr="00115F78">
        <w:t>awie przystąpienia Księstwa Liechtensteinu do Umowy między Unią Europejską, Wspólnotą Europejską</w:t>
      </w:r>
      <w:r w:rsidR="00115F78" w:rsidRPr="00115F78">
        <w:t xml:space="preserve"> i</w:t>
      </w:r>
      <w:r w:rsidR="00115F78">
        <w:t> </w:t>
      </w:r>
      <w:r w:rsidR="00115F78" w:rsidRPr="00115F78">
        <w:t>Kon</w:t>
      </w:r>
      <w:r w:rsidRPr="00115F78">
        <w:t>federacją Szwajcarską dotyczącej włączenia Konfederacji Szwajcarskiej we wprowadzanie</w:t>
      </w:r>
      <w:r w:rsidR="00115F78" w:rsidRPr="00115F78">
        <w:t xml:space="preserve"> w</w:t>
      </w:r>
      <w:r w:rsidR="00115F78">
        <w:t> </w:t>
      </w:r>
      <w:r w:rsidR="00115F78" w:rsidRPr="00115F78">
        <w:t>życ</w:t>
      </w:r>
      <w:r w:rsidRPr="00115F78">
        <w:t>ie, stosowanie</w:t>
      </w:r>
      <w:r w:rsidR="00115F78" w:rsidRPr="00115F78">
        <w:t xml:space="preserve"> i</w:t>
      </w:r>
      <w:r w:rsidR="00115F78">
        <w:t> </w:t>
      </w:r>
      <w:r w:rsidR="00115F78" w:rsidRPr="00115F78">
        <w:t>roz</w:t>
      </w:r>
      <w:r w:rsidRPr="00115F78">
        <w:t>wój dorobku Schengen, odnoszącego się do zniesienia kontroli na granicach wewnętrznych i do przemieszczania się osób (Dz.U. L 160</w:t>
      </w:r>
      <w:r w:rsidR="00115F78" w:rsidRPr="00115F78">
        <w:t xml:space="preserve"> z</w:t>
      </w:r>
      <w:r w:rsidR="00115F78">
        <w:t> </w:t>
      </w:r>
      <w:r w:rsidR="00115F78" w:rsidRPr="00115F78">
        <w:t>1</w:t>
      </w:r>
      <w:r w:rsidRPr="00115F78">
        <w:t xml:space="preserve">8.6.2011, s. 19, ELI: </w:t>
      </w:r>
      <w:hyperlink r:id="rId10" w:history="1">
        <w:r w:rsidRPr="00115F78">
          <w:rPr>
            <w:rStyle w:val="Hyperlink"/>
          </w:rPr>
          <w:t>http://data.europa.eu/eli/dec/2011/350/oj</w:t>
        </w:r>
      </w:hyperlink>
      <w:r w:rsidRPr="00115F78">
        <w:t>).</w:t>
      </w:r>
    </w:p>
  </w:footnote>
  <w:footnote w:id="21">
    <w:p w14:paraId="59C5E64F" w14:textId="331F39F6" w:rsidR="00286E0D" w:rsidRPr="00115F78" w:rsidRDefault="00286E0D" w:rsidP="00286E0D">
      <w:pPr>
        <w:pStyle w:val="FootnoteText"/>
      </w:pPr>
      <w:r w:rsidRPr="00115F78">
        <w:rPr>
          <w:rStyle w:val="FootnoteReference"/>
        </w:rPr>
        <w:footnoteRef/>
      </w:r>
      <w:r w:rsidRPr="00115F78">
        <w:tab/>
        <w:t>Decyzja Rady 2002/192/WE</w:t>
      </w:r>
      <w:r w:rsidR="00115F78" w:rsidRPr="00115F78">
        <w:t xml:space="preserve"> z</w:t>
      </w:r>
      <w:r w:rsidR="00115F78">
        <w:t> </w:t>
      </w:r>
      <w:r w:rsidR="00115F78" w:rsidRPr="00115F78">
        <w:t>dni</w:t>
      </w:r>
      <w:r w:rsidRPr="00115F78">
        <w:t>a 28 lutego 2002</w:t>
      </w:r>
      <w:r w:rsidR="00115F78" w:rsidRPr="00115F78">
        <w:t> </w:t>
      </w:r>
      <w:r w:rsidRPr="00115F78">
        <w:t>r. dotycząca wniosku Irlandii</w:t>
      </w:r>
      <w:r w:rsidR="00115F78" w:rsidRPr="00115F78">
        <w:t xml:space="preserve"> o</w:t>
      </w:r>
      <w:r w:rsidR="00115F78">
        <w:t> </w:t>
      </w:r>
      <w:r w:rsidR="00115F78" w:rsidRPr="00115F78">
        <w:t>zas</w:t>
      </w:r>
      <w:r w:rsidRPr="00115F78">
        <w:t>tosowanie wobec niej niektórych przepisów dorobku Schengen (Dz.U. L 64</w:t>
      </w:r>
      <w:r w:rsidR="00115F78" w:rsidRPr="00115F78">
        <w:t xml:space="preserve"> z</w:t>
      </w:r>
      <w:r w:rsidR="00115F78">
        <w:t> </w:t>
      </w:r>
      <w:r w:rsidR="00115F78" w:rsidRPr="00115F78">
        <w:t>7</w:t>
      </w:r>
      <w:r w:rsidRPr="00115F78">
        <w:t>.3.2002, s. 20, ELI: https://eur-lex.europa.eu/eli/dec/2002/192/oj).</w:t>
      </w:r>
    </w:p>
  </w:footnote>
  <w:footnote w:id="22">
    <w:p w14:paraId="18213D6B" w14:textId="1B81464A" w:rsidR="00286E0D" w:rsidRPr="00115F78" w:rsidRDefault="00286E0D" w:rsidP="00286E0D">
      <w:pPr>
        <w:pStyle w:val="FootnoteText"/>
      </w:pPr>
      <w:r w:rsidRPr="00115F78">
        <w:rPr>
          <w:rStyle w:val="FootnoteReference"/>
        </w:rPr>
        <w:footnoteRef/>
      </w:r>
      <w:r w:rsidRPr="00115F78">
        <w:tab/>
        <w:t>Rozporządzenie Parlamentu Europejskiego</w:t>
      </w:r>
      <w:r w:rsidR="00115F78" w:rsidRPr="00115F78">
        <w:t xml:space="preserve"> i</w:t>
      </w:r>
      <w:r w:rsidR="00115F78">
        <w:t> </w:t>
      </w:r>
      <w:r w:rsidR="00115F78" w:rsidRPr="00115F78">
        <w:t>Rad</w:t>
      </w:r>
      <w:r w:rsidRPr="00115F78">
        <w:t>y (UE) 2016/399</w:t>
      </w:r>
      <w:r w:rsidR="00115F78" w:rsidRPr="00115F78">
        <w:t xml:space="preserve"> z</w:t>
      </w:r>
      <w:r w:rsidR="00115F78">
        <w:t> </w:t>
      </w:r>
      <w:r w:rsidR="00115F78" w:rsidRPr="00115F78">
        <w:t>dni</w:t>
      </w:r>
      <w:r w:rsidRPr="00115F78">
        <w:t>a 9 marca 2016</w:t>
      </w:r>
      <w:r w:rsidR="00115F78" w:rsidRPr="00115F78">
        <w:t> </w:t>
      </w:r>
      <w:r w:rsidRPr="00115F78">
        <w:t>r.</w:t>
      </w:r>
      <w:r w:rsidR="00115F78" w:rsidRPr="00115F78">
        <w:t xml:space="preserve"> w</w:t>
      </w:r>
      <w:r w:rsidR="00115F78">
        <w:t> </w:t>
      </w:r>
      <w:r w:rsidR="00115F78" w:rsidRPr="00115F78">
        <w:t>spr</w:t>
      </w:r>
      <w:r w:rsidRPr="00115F78">
        <w:t>awie unijnego kodeksu zasad regulujących przepływ osób przez granice (kodeks graniczny Schengen) (tekst jednolity), (Dz.U. L 77</w:t>
      </w:r>
      <w:r w:rsidR="00115F78" w:rsidRPr="00115F78">
        <w:t xml:space="preserve"> z</w:t>
      </w:r>
      <w:r w:rsidR="00115F78">
        <w:t> </w:t>
      </w:r>
      <w:r w:rsidR="00115F78" w:rsidRPr="00115F78">
        <w:t>2</w:t>
      </w:r>
      <w:r w:rsidRPr="00115F78">
        <w:t>3.3.2016, s. 1, ELI: https://eur-lex.europa.eu/eli/reg/2016/399/oj).</w:t>
      </w:r>
    </w:p>
  </w:footnote>
  <w:footnote w:id="23">
    <w:p w14:paraId="4E3DE7BE" w14:textId="21439DD9" w:rsidR="00286E0D" w:rsidRPr="00115F78" w:rsidRDefault="00286E0D" w:rsidP="00286E0D">
      <w:pPr>
        <w:pStyle w:val="FootnoteText"/>
      </w:pPr>
      <w:r w:rsidRPr="00115F78">
        <w:rPr>
          <w:rStyle w:val="FootnoteReference"/>
        </w:rPr>
        <w:footnoteRef/>
      </w:r>
      <w:r w:rsidRPr="00115F78">
        <w:tab/>
        <w:t>Rozporządzenie Parlamentu Europejskiego</w:t>
      </w:r>
      <w:r w:rsidR="00115F78" w:rsidRPr="00115F78">
        <w:t xml:space="preserve"> i</w:t>
      </w:r>
      <w:r w:rsidR="00115F78">
        <w:t> </w:t>
      </w:r>
      <w:r w:rsidR="00115F78" w:rsidRPr="00115F78">
        <w:t>Rad</w:t>
      </w:r>
      <w:r w:rsidRPr="00115F78">
        <w:t>y (UE) 2019/1896</w:t>
      </w:r>
      <w:r w:rsidR="00115F78" w:rsidRPr="00115F78">
        <w:t xml:space="preserve"> z</w:t>
      </w:r>
      <w:r w:rsidR="00115F78">
        <w:t> </w:t>
      </w:r>
      <w:r w:rsidR="00115F78" w:rsidRPr="00115F78">
        <w:t>dni</w:t>
      </w:r>
      <w:r w:rsidRPr="00115F78">
        <w:t>a 13 listopada 2019</w:t>
      </w:r>
      <w:r w:rsidR="00115F78" w:rsidRPr="00115F78">
        <w:t> </w:t>
      </w:r>
      <w:r w:rsidRPr="00115F78">
        <w:t>r.</w:t>
      </w:r>
      <w:r w:rsidR="00115F78" w:rsidRPr="00115F78">
        <w:t xml:space="preserve"> w</w:t>
      </w:r>
      <w:r w:rsidR="00115F78">
        <w:t> </w:t>
      </w:r>
      <w:r w:rsidR="00115F78" w:rsidRPr="00115F78">
        <w:t>spr</w:t>
      </w:r>
      <w:r w:rsidRPr="00115F78">
        <w:t>awie Europejskiej Straży Granicznej</w:t>
      </w:r>
      <w:r w:rsidR="00115F78" w:rsidRPr="00115F78">
        <w:t xml:space="preserve"> i</w:t>
      </w:r>
      <w:r w:rsidR="00115F78">
        <w:t> </w:t>
      </w:r>
      <w:r w:rsidR="00115F78" w:rsidRPr="00115F78">
        <w:t>Prz</w:t>
      </w:r>
      <w:r w:rsidRPr="00115F78">
        <w:t>ybrzeżnej oraz uchylenia rozporządzeń (UE) nr</w:t>
      </w:r>
      <w:r w:rsidR="00115F78" w:rsidRPr="00115F78">
        <w:t> </w:t>
      </w:r>
      <w:r w:rsidRPr="00115F78">
        <w:t>1052/2013 i (UE) 2016/1624 (Dz.U. L 295</w:t>
      </w:r>
      <w:r w:rsidR="00115F78" w:rsidRPr="00115F78">
        <w:t xml:space="preserve"> z</w:t>
      </w:r>
      <w:r w:rsidR="00115F78">
        <w:t> </w:t>
      </w:r>
      <w:r w:rsidR="00115F78" w:rsidRPr="00115F78">
        <w:t>1</w:t>
      </w:r>
      <w:r w:rsidRPr="00115F78">
        <w:t>4.11.2019, s. 1).</w:t>
      </w:r>
    </w:p>
  </w:footnote>
  <w:footnote w:id="24">
    <w:p w14:paraId="37F054DE" w14:textId="6C602ED9" w:rsidR="00286E0D" w:rsidRPr="00115F78" w:rsidRDefault="00286E0D" w:rsidP="00286E0D">
      <w:pPr>
        <w:pStyle w:val="FootnoteText"/>
      </w:pPr>
      <w:r w:rsidRPr="00115F78">
        <w:rPr>
          <w:rStyle w:val="FootnoteReference"/>
        </w:rPr>
        <w:footnoteRef/>
      </w:r>
      <w:r w:rsidRPr="00115F78">
        <w:tab/>
        <w:t>Rozporządzenie Parlamentu Europejskiego</w:t>
      </w:r>
      <w:r w:rsidR="00115F78" w:rsidRPr="00115F78">
        <w:t xml:space="preserve"> i</w:t>
      </w:r>
      <w:r w:rsidR="00115F78">
        <w:t> </w:t>
      </w:r>
      <w:r w:rsidR="00115F78" w:rsidRPr="00115F78">
        <w:t>Rad</w:t>
      </w:r>
      <w:r w:rsidRPr="00115F78">
        <w:t>y (UE) 2016/399</w:t>
      </w:r>
      <w:r w:rsidR="00115F78" w:rsidRPr="00115F78">
        <w:t xml:space="preserve"> z</w:t>
      </w:r>
      <w:r w:rsidR="00115F78">
        <w:t> </w:t>
      </w:r>
      <w:r w:rsidR="00115F78" w:rsidRPr="00115F78">
        <w:t>dni</w:t>
      </w:r>
      <w:r w:rsidRPr="00115F78">
        <w:t>a 9 marca 2016</w:t>
      </w:r>
      <w:r w:rsidR="00115F78" w:rsidRPr="00115F78">
        <w:t> </w:t>
      </w:r>
      <w:r w:rsidRPr="00115F78">
        <w:t>r.</w:t>
      </w:r>
      <w:r w:rsidR="00115F78" w:rsidRPr="00115F78">
        <w:t xml:space="preserve"> w</w:t>
      </w:r>
      <w:r w:rsidR="00115F78">
        <w:t> </w:t>
      </w:r>
      <w:r w:rsidR="00115F78" w:rsidRPr="00115F78">
        <w:t>spr</w:t>
      </w:r>
      <w:r w:rsidRPr="00115F78">
        <w:t>awie unijnego kodeksu zasad regulujących przepływ osób przez granice (kodeks graniczny Schengen) (tekst jednolity), (Dz.U. L 77</w:t>
      </w:r>
      <w:r w:rsidR="00115F78" w:rsidRPr="00115F78">
        <w:t xml:space="preserve"> z</w:t>
      </w:r>
      <w:r w:rsidR="00115F78">
        <w:t> </w:t>
      </w:r>
      <w:r w:rsidR="00115F78" w:rsidRPr="00115F78">
        <w:t>2</w:t>
      </w:r>
      <w:r w:rsidRPr="00115F78">
        <w:t>3.3.2016, s. 1).</w:t>
      </w:r>
    </w:p>
  </w:footnote>
  <w:footnote w:id="25">
    <w:p w14:paraId="19F49142" w14:textId="55A27909" w:rsidR="00286E0D" w:rsidRPr="00115F78" w:rsidRDefault="00286E0D" w:rsidP="00286E0D">
      <w:pPr>
        <w:pStyle w:val="FootnoteText"/>
      </w:pPr>
      <w:r w:rsidRPr="00115F78">
        <w:rPr>
          <w:rStyle w:val="FootnoteReference"/>
        </w:rPr>
        <w:footnoteRef/>
      </w:r>
      <w:r w:rsidRPr="00115F78">
        <w:tab/>
        <w:t>Rozporządzenie Parlamentu Europejskiego</w:t>
      </w:r>
      <w:r w:rsidR="00115F78" w:rsidRPr="00115F78">
        <w:t xml:space="preserve"> i</w:t>
      </w:r>
      <w:r w:rsidR="00115F78">
        <w:t> </w:t>
      </w:r>
      <w:r w:rsidR="00115F78" w:rsidRPr="00115F78">
        <w:t>Rad</w:t>
      </w:r>
      <w:r w:rsidRPr="00115F78">
        <w:t>y (UE) 2019/1896</w:t>
      </w:r>
      <w:r w:rsidR="00115F78" w:rsidRPr="00115F78">
        <w:t xml:space="preserve"> z</w:t>
      </w:r>
      <w:r w:rsidR="00115F78">
        <w:t> </w:t>
      </w:r>
      <w:r w:rsidR="00115F78" w:rsidRPr="00115F78">
        <w:t>dni</w:t>
      </w:r>
      <w:r w:rsidRPr="00115F78">
        <w:t>a 13 listopada 2019</w:t>
      </w:r>
      <w:r w:rsidR="00115F78" w:rsidRPr="00115F78">
        <w:t> </w:t>
      </w:r>
      <w:r w:rsidRPr="00115F78">
        <w:t>r.</w:t>
      </w:r>
      <w:r w:rsidR="00115F78" w:rsidRPr="00115F78">
        <w:t xml:space="preserve"> w</w:t>
      </w:r>
      <w:r w:rsidR="00115F78">
        <w:t> </w:t>
      </w:r>
      <w:r w:rsidR="00115F78" w:rsidRPr="00115F78">
        <w:t>spr</w:t>
      </w:r>
      <w:r w:rsidRPr="00115F78">
        <w:t>awie Europejskiej Straży Granicznej</w:t>
      </w:r>
      <w:r w:rsidR="00115F78" w:rsidRPr="00115F78">
        <w:t xml:space="preserve"> i</w:t>
      </w:r>
      <w:r w:rsidR="00115F78">
        <w:t> </w:t>
      </w:r>
      <w:r w:rsidR="00115F78" w:rsidRPr="00115F78">
        <w:t>Prz</w:t>
      </w:r>
      <w:r w:rsidRPr="00115F78">
        <w:t>ybrzeżnej oraz uchylenia rozporządzeń (UE) nr</w:t>
      </w:r>
      <w:r w:rsidR="00115F78" w:rsidRPr="00115F78">
        <w:t> </w:t>
      </w:r>
      <w:r w:rsidRPr="00115F78">
        <w:t>1052/2013 i (UE) 2016/1624 (Dz.U. L 295</w:t>
      </w:r>
      <w:r w:rsidR="00115F78" w:rsidRPr="00115F78">
        <w:t xml:space="preserve"> z</w:t>
      </w:r>
      <w:r w:rsidR="00115F78">
        <w:t> </w:t>
      </w:r>
      <w:r w:rsidR="00115F78" w:rsidRPr="00115F78">
        <w:t>1</w:t>
      </w:r>
      <w:r w:rsidRPr="00115F78">
        <w:t>4.11.2019, s. 1).</w:t>
      </w:r>
    </w:p>
  </w:footnote>
  <w:footnote w:id="26">
    <w:p w14:paraId="567544D3" w14:textId="15B4A63B" w:rsidR="00286E0D" w:rsidRPr="00115F78" w:rsidRDefault="00286E0D" w:rsidP="00D274F9">
      <w:pPr>
        <w:pStyle w:val="FootnoteText"/>
      </w:pPr>
      <w:r w:rsidRPr="00115F78">
        <w:rPr>
          <w:rStyle w:val="FootnoteReference"/>
        </w:rPr>
        <w:footnoteRef/>
      </w:r>
      <w:r w:rsidRPr="00115F78">
        <w:tab/>
        <w:t>Rozporządzenie Parlamentu Europejskiego</w:t>
      </w:r>
      <w:r w:rsidR="00115F78" w:rsidRPr="00115F78">
        <w:t xml:space="preserve"> i</w:t>
      </w:r>
      <w:r w:rsidR="00115F78">
        <w:t> </w:t>
      </w:r>
      <w:r w:rsidR="00115F78" w:rsidRPr="00115F78">
        <w:t>Rad</w:t>
      </w:r>
      <w:r w:rsidRPr="00115F78">
        <w:t>y (WE) nr 810/2009</w:t>
      </w:r>
      <w:r w:rsidR="00115F78" w:rsidRPr="00115F78">
        <w:t xml:space="preserve"> z</w:t>
      </w:r>
      <w:r w:rsidR="00115F78">
        <w:t> </w:t>
      </w:r>
      <w:r w:rsidR="00115F78" w:rsidRPr="00115F78">
        <w:t>dni</w:t>
      </w:r>
      <w:r w:rsidRPr="00115F78">
        <w:t>a 13 lipca 2009 r. ustanawiające Wspólnotowy Kodeks Wizowy (kodeks wizowy) (Dz.U. L 243</w:t>
      </w:r>
      <w:r w:rsidR="00115F78" w:rsidRPr="00115F78">
        <w:t xml:space="preserve"> z</w:t>
      </w:r>
      <w:r w:rsidR="00115F78">
        <w:t> </w:t>
      </w:r>
      <w:r w:rsidR="00115F78" w:rsidRPr="00115F78">
        <w:t>1</w:t>
      </w:r>
      <w:r w:rsidRPr="00115F78">
        <w:t>5.9.2009, s. 1, ELI: http://data.europa.eu/eli/reg/2009/810/oj)</w:t>
      </w:r>
      <w:r w:rsidR="003B7E9B" w:rsidRPr="00115F78">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E1F12" w14:textId="77777777" w:rsidR="004B1D08" w:rsidRDefault="004B1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E4D70" w14:textId="77777777" w:rsidR="004B1D08" w:rsidRDefault="004B1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CE059D"/>
    <w:multiLevelType w:val="multilevel"/>
    <w:tmpl w:val="BF4077C8"/>
    <w:lvl w:ilvl="0">
      <w:start w:val="1"/>
      <w:numFmt w:val="lowerLetter"/>
      <w:lvlText w:val="(%1)"/>
      <w:lvlJc w:val="left"/>
      <w:pPr>
        <w:tabs>
          <w:tab w:val="num" w:pos="709"/>
        </w:tabs>
        <w:ind w:left="709" w:hanging="709"/>
      </w:pPr>
      <w:rPr>
        <w:rFonts w:ascii="Times New Roman" w:hAnsi="Times New Roman" w:cs="Times New Roman"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6"/>
  </w:num>
  <w:num w:numId="18">
    <w:abstractNumId w:val="24"/>
  </w:num>
  <w:num w:numId="19">
    <w:abstractNumId w:val="13"/>
  </w:num>
  <w:num w:numId="20">
    <w:abstractNumId w:val="27"/>
  </w:num>
  <w:num w:numId="21">
    <w:abstractNumId w:val="7"/>
  </w:num>
  <w:num w:numId="22">
    <w:abstractNumId w:val="14"/>
  </w:num>
  <w:num w:numId="23">
    <w:abstractNumId w:val="15"/>
  </w:num>
  <w:num w:numId="24">
    <w:abstractNumId w:val="4"/>
  </w:num>
  <w:num w:numId="25">
    <w:abstractNumId w:val="26"/>
  </w:num>
  <w:num w:numId="26">
    <w:abstractNumId w:val="3"/>
  </w:num>
  <w:num w:numId="27">
    <w:abstractNumId w:val="16"/>
  </w:num>
  <w:num w:numId="28">
    <w:abstractNumId w:val="22"/>
  </w:num>
  <w:num w:numId="29">
    <w:abstractNumId w:val="23"/>
  </w:num>
  <w:num w:numId="30">
    <w:abstractNumId w:val="5"/>
  </w:num>
  <w:num w:numId="31">
    <w:abstractNumId w:val="20"/>
  </w:num>
  <w:num w:numId="32">
    <w:abstractNumId w:val="31"/>
  </w:num>
  <w:num w:numId="33">
    <w:abstractNumId w:val="24"/>
  </w:num>
  <w:num w:numId="34">
    <w:abstractNumId w:val="13"/>
  </w:num>
  <w:num w:numId="35">
    <w:abstractNumId w:val="27"/>
  </w:num>
  <w:num w:numId="36">
    <w:abstractNumId w:val="7"/>
  </w:num>
  <w:num w:numId="37">
    <w:abstractNumId w:val="14"/>
  </w:num>
  <w:num w:numId="38">
    <w:abstractNumId w:val="15"/>
  </w:num>
  <w:num w:numId="39">
    <w:abstractNumId w:val="4"/>
  </w:num>
  <w:num w:numId="40">
    <w:abstractNumId w:val="26"/>
  </w:num>
  <w:num w:numId="41">
    <w:abstractNumId w:val="3"/>
  </w:num>
  <w:num w:numId="42">
    <w:abstractNumId w:val="16"/>
  </w:num>
  <w:num w:numId="43">
    <w:abstractNumId w:val="22"/>
  </w:num>
  <w:num w:numId="44">
    <w:abstractNumId w:val="23"/>
  </w:num>
  <w:num w:numId="45">
    <w:abstractNumId w:val="5"/>
  </w:num>
  <w:num w:numId="46">
    <w:abstractNumId w:val="20"/>
  </w:num>
  <w:num w:numId="4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1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436D671-CD6F-48D4-9487-9603F51C35DF"/>
    <w:docVar w:name="LW_COVERPAGE_TYPE" w:val="1"/>
    <w:docVar w:name="LW_CreatedUtc" w:val="2025-06-30T13:55:55.3687810Z"/>
    <w:docVar w:name="LW_CROSSREFERENCE" w:val="&lt;UNUSED&gt;"/>
    <w:docVar w:name="LW_DocType" w:val="COM"/>
    <w:docVar w:name="LW_EMISSION" w:val="16.7.2025"/>
    <w:docVar w:name="LW_EMISSION_ISODATE" w:val="2025-07-16"/>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ustanawiaj\u261?ce unijne wsparcie na rzecz strefy Schengen, europejskiego zintegrowanego zarz\u261?dzania granicami i wspólnej polityki wizowej na okres 2028\u8211?2034"/>
    <w:docVar w:name="LW_TYPE.DOC.CP" w:val="ROZPORZ\u260?DZENIE PARLAMENTU EUROPEJSKIEGO I RADY"/>
    <w:docVar w:name="LwApiVersions" w:val="LW4CoDe 1.24.5.0; LW 9.0, Build 20240221"/>
  </w:docVars>
  <w:rsids>
    <w:rsidRoot w:val="00286E0D"/>
    <w:rsid w:val="000004BB"/>
    <w:rsid w:val="000011DD"/>
    <w:rsid w:val="00010C77"/>
    <w:rsid w:val="00015334"/>
    <w:rsid w:val="00015B47"/>
    <w:rsid w:val="00023854"/>
    <w:rsid w:val="000272CA"/>
    <w:rsid w:val="0003052C"/>
    <w:rsid w:val="000318D3"/>
    <w:rsid w:val="00034CAB"/>
    <w:rsid w:val="00035D80"/>
    <w:rsid w:val="0004117A"/>
    <w:rsid w:val="0004185D"/>
    <w:rsid w:val="0005515C"/>
    <w:rsid w:val="00067273"/>
    <w:rsid w:val="00067AF3"/>
    <w:rsid w:val="000706FB"/>
    <w:rsid w:val="00081D61"/>
    <w:rsid w:val="0008440D"/>
    <w:rsid w:val="00094C15"/>
    <w:rsid w:val="00095944"/>
    <w:rsid w:val="000963B2"/>
    <w:rsid w:val="000978AD"/>
    <w:rsid w:val="000B2CEB"/>
    <w:rsid w:val="000B5D68"/>
    <w:rsid w:val="000B7F2F"/>
    <w:rsid w:val="000C55AA"/>
    <w:rsid w:val="000D21B0"/>
    <w:rsid w:val="000E118B"/>
    <w:rsid w:val="000F2A02"/>
    <w:rsid w:val="0010112C"/>
    <w:rsid w:val="0010490D"/>
    <w:rsid w:val="00105088"/>
    <w:rsid w:val="001065F5"/>
    <w:rsid w:val="00107901"/>
    <w:rsid w:val="00115F78"/>
    <w:rsid w:val="0012082C"/>
    <w:rsid w:val="00121B18"/>
    <w:rsid w:val="001238EF"/>
    <w:rsid w:val="00123EFE"/>
    <w:rsid w:val="00126F40"/>
    <w:rsid w:val="00137B11"/>
    <w:rsid w:val="00141554"/>
    <w:rsid w:val="00143446"/>
    <w:rsid w:val="00143CF0"/>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7E56"/>
    <w:rsid w:val="001B1666"/>
    <w:rsid w:val="001C0E45"/>
    <w:rsid w:val="001C3E3A"/>
    <w:rsid w:val="001C585A"/>
    <w:rsid w:val="001D12A3"/>
    <w:rsid w:val="001D3B94"/>
    <w:rsid w:val="001D75F7"/>
    <w:rsid w:val="001E369D"/>
    <w:rsid w:val="001F3E4C"/>
    <w:rsid w:val="001F5CEB"/>
    <w:rsid w:val="001F7A9C"/>
    <w:rsid w:val="0020085E"/>
    <w:rsid w:val="002017CB"/>
    <w:rsid w:val="00210ADD"/>
    <w:rsid w:val="0022628D"/>
    <w:rsid w:val="0023067A"/>
    <w:rsid w:val="00233DC7"/>
    <w:rsid w:val="0023405B"/>
    <w:rsid w:val="0023416F"/>
    <w:rsid w:val="0023549D"/>
    <w:rsid w:val="002437DE"/>
    <w:rsid w:val="00244DBF"/>
    <w:rsid w:val="00247779"/>
    <w:rsid w:val="002509F8"/>
    <w:rsid w:val="00254508"/>
    <w:rsid w:val="00255526"/>
    <w:rsid w:val="00257EC0"/>
    <w:rsid w:val="00262A48"/>
    <w:rsid w:val="002779C4"/>
    <w:rsid w:val="00281DFF"/>
    <w:rsid w:val="00281EED"/>
    <w:rsid w:val="00285BEE"/>
    <w:rsid w:val="00286E0D"/>
    <w:rsid w:val="00287E8A"/>
    <w:rsid w:val="0029018F"/>
    <w:rsid w:val="0029533F"/>
    <w:rsid w:val="00295640"/>
    <w:rsid w:val="00296FB6"/>
    <w:rsid w:val="002A1112"/>
    <w:rsid w:val="002B13A7"/>
    <w:rsid w:val="002B30AF"/>
    <w:rsid w:val="002D1715"/>
    <w:rsid w:val="002D2A57"/>
    <w:rsid w:val="002D3158"/>
    <w:rsid w:val="002D5743"/>
    <w:rsid w:val="002E242E"/>
    <w:rsid w:val="002E2907"/>
    <w:rsid w:val="002E73D3"/>
    <w:rsid w:val="002F27AB"/>
    <w:rsid w:val="003062AD"/>
    <w:rsid w:val="0030778E"/>
    <w:rsid w:val="00312482"/>
    <w:rsid w:val="0031447B"/>
    <w:rsid w:val="00314647"/>
    <w:rsid w:val="0031749A"/>
    <w:rsid w:val="00322AD7"/>
    <w:rsid w:val="0032654D"/>
    <w:rsid w:val="0033344A"/>
    <w:rsid w:val="003339F9"/>
    <w:rsid w:val="003347AC"/>
    <w:rsid w:val="00336FEB"/>
    <w:rsid w:val="00340D61"/>
    <w:rsid w:val="003456B3"/>
    <w:rsid w:val="00350CA0"/>
    <w:rsid w:val="00350CE0"/>
    <w:rsid w:val="003515E3"/>
    <w:rsid w:val="00353B24"/>
    <w:rsid w:val="003549C2"/>
    <w:rsid w:val="00363133"/>
    <w:rsid w:val="003651E9"/>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7625"/>
    <w:rsid w:val="003B4DFC"/>
    <w:rsid w:val="003B7C04"/>
    <w:rsid w:val="003B7E9B"/>
    <w:rsid w:val="003C1393"/>
    <w:rsid w:val="003C28F8"/>
    <w:rsid w:val="003C54DF"/>
    <w:rsid w:val="003D5DDD"/>
    <w:rsid w:val="003D7046"/>
    <w:rsid w:val="003E54BE"/>
    <w:rsid w:val="003E5A43"/>
    <w:rsid w:val="003E73CF"/>
    <w:rsid w:val="003E79E4"/>
    <w:rsid w:val="00401265"/>
    <w:rsid w:val="00404366"/>
    <w:rsid w:val="0040777A"/>
    <w:rsid w:val="0041089E"/>
    <w:rsid w:val="004168ED"/>
    <w:rsid w:val="00417A47"/>
    <w:rsid w:val="0042042F"/>
    <w:rsid w:val="004218BF"/>
    <w:rsid w:val="0042326B"/>
    <w:rsid w:val="0042648E"/>
    <w:rsid w:val="00431333"/>
    <w:rsid w:val="00437A06"/>
    <w:rsid w:val="004405D4"/>
    <w:rsid w:val="004405D5"/>
    <w:rsid w:val="0044395A"/>
    <w:rsid w:val="0045264C"/>
    <w:rsid w:val="00453D29"/>
    <w:rsid w:val="00455242"/>
    <w:rsid w:val="00461EBE"/>
    <w:rsid w:val="00476490"/>
    <w:rsid w:val="00477EEF"/>
    <w:rsid w:val="00482546"/>
    <w:rsid w:val="00483506"/>
    <w:rsid w:val="00485B42"/>
    <w:rsid w:val="004866EF"/>
    <w:rsid w:val="00492CDB"/>
    <w:rsid w:val="004936D2"/>
    <w:rsid w:val="004A1712"/>
    <w:rsid w:val="004B1847"/>
    <w:rsid w:val="004B1D08"/>
    <w:rsid w:val="004B248F"/>
    <w:rsid w:val="004C015A"/>
    <w:rsid w:val="004C16BD"/>
    <w:rsid w:val="004D75E7"/>
    <w:rsid w:val="004E32EB"/>
    <w:rsid w:val="004F274C"/>
    <w:rsid w:val="004F6B51"/>
    <w:rsid w:val="00511EE1"/>
    <w:rsid w:val="0051233B"/>
    <w:rsid w:val="0051293F"/>
    <w:rsid w:val="00513C1C"/>
    <w:rsid w:val="00517347"/>
    <w:rsid w:val="00525087"/>
    <w:rsid w:val="00530FD2"/>
    <w:rsid w:val="00535056"/>
    <w:rsid w:val="005422CD"/>
    <w:rsid w:val="00544046"/>
    <w:rsid w:val="0054414F"/>
    <w:rsid w:val="005507F3"/>
    <w:rsid w:val="0055181F"/>
    <w:rsid w:val="005564DA"/>
    <w:rsid w:val="005629BF"/>
    <w:rsid w:val="005650D7"/>
    <w:rsid w:val="0056625A"/>
    <w:rsid w:val="00567BA0"/>
    <w:rsid w:val="0057186C"/>
    <w:rsid w:val="0058101A"/>
    <w:rsid w:val="00582B2F"/>
    <w:rsid w:val="00594A0B"/>
    <w:rsid w:val="00596698"/>
    <w:rsid w:val="00597A46"/>
    <w:rsid w:val="005A1922"/>
    <w:rsid w:val="005A32DB"/>
    <w:rsid w:val="005A423C"/>
    <w:rsid w:val="005A598E"/>
    <w:rsid w:val="005A6F25"/>
    <w:rsid w:val="005B1EB6"/>
    <w:rsid w:val="005B37BB"/>
    <w:rsid w:val="005B50B9"/>
    <w:rsid w:val="005B5BB7"/>
    <w:rsid w:val="005B6996"/>
    <w:rsid w:val="005C0A02"/>
    <w:rsid w:val="005C2118"/>
    <w:rsid w:val="005D0FC0"/>
    <w:rsid w:val="005E2919"/>
    <w:rsid w:val="005E2C68"/>
    <w:rsid w:val="005E60AC"/>
    <w:rsid w:val="005E6CEC"/>
    <w:rsid w:val="005F65F6"/>
    <w:rsid w:val="00606E69"/>
    <w:rsid w:val="00606E9A"/>
    <w:rsid w:val="0061311B"/>
    <w:rsid w:val="006177ED"/>
    <w:rsid w:val="0062249A"/>
    <w:rsid w:val="00623F90"/>
    <w:rsid w:val="0063135D"/>
    <w:rsid w:val="00631DBC"/>
    <w:rsid w:val="00633FC1"/>
    <w:rsid w:val="00635E2F"/>
    <w:rsid w:val="00641E22"/>
    <w:rsid w:val="00642090"/>
    <w:rsid w:val="00642994"/>
    <w:rsid w:val="0065120D"/>
    <w:rsid w:val="00653241"/>
    <w:rsid w:val="006541B6"/>
    <w:rsid w:val="00664DB0"/>
    <w:rsid w:val="0067311B"/>
    <w:rsid w:val="00673D2F"/>
    <w:rsid w:val="006758A6"/>
    <w:rsid w:val="00675E37"/>
    <w:rsid w:val="00677C98"/>
    <w:rsid w:val="00682E01"/>
    <w:rsid w:val="00682EF5"/>
    <w:rsid w:val="00684308"/>
    <w:rsid w:val="006866F6"/>
    <w:rsid w:val="00692537"/>
    <w:rsid w:val="00692BF4"/>
    <w:rsid w:val="0069583F"/>
    <w:rsid w:val="006A2F81"/>
    <w:rsid w:val="006A4344"/>
    <w:rsid w:val="006A7E7F"/>
    <w:rsid w:val="006B174B"/>
    <w:rsid w:val="006B3F48"/>
    <w:rsid w:val="006B76EE"/>
    <w:rsid w:val="006C107E"/>
    <w:rsid w:val="006C39B2"/>
    <w:rsid w:val="006C7EF4"/>
    <w:rsid w:val="006D4B5A"/>
    <w:rsid w:val="006D73C5"/>
    <w:rsid w:val="006F4E07"/>
    <w:rsid w:val="007021E5"/>
    <w:rsid w:val="00705404"/>
    <w:rsid w:val="00714D60"/>
    <w:rsid w:val="00715604"/>
    <w:rsid w:val="00720922"/>
    <w:rsid w:val="007241DB"/>
    <w:rsid w:val="00727B12"/>
    <w:rsid w:val="00730149"/>
    <w:rsid w:val="0073110B"/>
    <w:rsid w:val="00731D25"/>
    <w:rsid w:val="00737284"/>
    <w:rsid w:val="00750A27"/>
    <w:rsid w:val="007517F9"/>
    <w:rsid w:val="007571EF"/>
    <w:rsid w:val="00762310"/>
    <w:rsid w:val="00763746"/>
    <w:rsid w:val="0077027E"/>
    <w:rsid w:val="00773331"/>
    <w:rsid w:val="00775A38"/>
    <w:rsid w:val="0078205A"/>
    <w:rsid w:val="007915DD"/>
    <w:rsid w:val="007932EF"/>
    <w:rsid w:val="007947CD"/>
    <w:rsid w:val="0079660C"/>
    <w:rsid w:val="00797A55"/>
    <w:rsid w:val="007A2B54"/>
    <w:rsid w:val="007B1680"/>
    <w:rsid w:val="007C5FAB"/>
    <w:rsid w:val="007C726D"/>
    <w:rsid w:val="007D07F8"/>
    <w:rsid w:val="007D25D8"/>
    <w:rsid w:val="007D2AF7"/>
    <w:rsid w:val="007D3199"/>
    <w:rsid w:val="007E05B0"/>
    <w:rsid w:val="007F21BA"/>
    <w:rsid w:val="007F2C9B"/>
    <w:rsid w:val="00802740"/>
    <w:rsid w:val="008053F0"/>
    <w:rsid w:val="00806AC4"/>
    <w:rsid w:val="00813BB0"/>
    <w:rsid w:val="00816AF2"/>
    <w:rsid w:val="008238D3"/>
    <w:rsid w:val="008252C7"/>
    <w:rsid w:val="00833EDD"/>
    <w:rsid w:val="00835316"/>
    <w:rsid w:val="008354EE"/>
    <w:rsid w:val="00835827"/>
    <w:rsid w:val="00841BC0"/>
    <w:rsid w:val="00843E75"/>
    <w:rsid w:val="008450AE"/>
    <w:rsid w:val="0085236F"/>
    <w:rsid w:val="00854872"/>
    <w:rsid w:val="00855B08"/>
    <w:rsid w:val="00860CAB"/>
    <w:rsid w:val="00863925"/>
    <w:rsid w:val="00874D22"/>
    <w:rsid w:val="00880D74"/>
    <w:rsid w:val="00883432"/>
    <w:rsid w:val="00885335"/>
    <w:rsid w:val="008959F6"/>
    <w:rsid w:val="008A2914"/>
    <w:rsid w:val="008A29AE"/>
    <w:rsid w:val="008B04C7"/>
    <w:rsid w:val="008C306E"/>
    <w:rsid w:val="008E2F96"/>
    <w:rsid w:val="008E4D8E"/>
    <w:rsid w:val="008E5E5A"/>
    <w:rsid w:val="008F1C03"/>
    <w:rsid w:val="00911349"/>
    <w:rsid w:val="00912E63"/>
    <w:rsid w:val="0091314F"/>
    <w:rsid w:val="0091542E"/>
    <w:rsid w:val="009218FA"/>
    <w:rsid w:val="00925BDE"/>
    <w:rsid w:val="0093788D"/>
    <w:rsid w:val="0094296D"/>
    <w:rsid w:val="009532AE"/>
    <w:rsid w:val="00956FF7"/>
    <w:rsid w:val="009600CC"/>
    <w:rsid w:val="00964BBE"/>
    <w:rsid w:val="00965300"/>
    <w:rsid w:val="00970B74"/>
    <w:rsid w:val="00974DF7"/>
    <w:rsid w:val="00990454"/>
    <w:rsid w:val="00990C77"/>
    <w:rsid w:val="0099246A"/>
    <w:rsid w:val="00993D57"/>
    <w:rsid w:val="009A564D"/>
    <w:rsid w:val="009B3BA6"/>
    <w:rsid w:val="009B59A3"/>
    <w:rsid w:val="009B5F19"/>
    <w:rsid w:val="009C2581"/>
    <w:rsid w:val="009C3C4B"/>
    <w:rsid w:val="009C4158"/>
    <w:rsid w:val="009D7CC5"/>
    <w:rsid w:val="009F5286"/>
    <w:rsid w:val="00A00E08"/>
    <w:rsid w:val="00A032EC"/>
    <w:rsid w:val="00A03C1D"/>
    <w:rsid w:val="00A06C2A"/>
    <w:rsid w:val="00A10916"/>
    <w:rsid w:val="00A16C67"/>
    <w:rsid w:val="00A257BB"/>
    <w:rsid w:val="00A26F33"/>
    <w:rsid w:val="00A277A2"/>
    <w:rsid w:val="00A3007C"/>
    <w:rsid w:val="00A33F32"/>
    <w:rsid w:val="00A42580"/>
    <w:rsid w:val="00A60815"/>
    <w:rsid w:val="00A61048"/>
    <w:rsid w:val="00A64159"/>
    <w:rsid w:val="00A6493C"/>
    <w:rsid w:val="00A66884"/>
    <w:rsid w:val="00A66D6F"/>
    <w:rsid w:val="00A72477"/>
    <w:rsid w:val="00A86799"/>
    <w:rsid w:val="00A902CE"/>
    <w:rsid w:val="00AA4575"/>
    <w:rsid w:val="00AA59F2"/>
    <w:rsid w:val="00AB04B1"/>
    <w:rsid w:val="00AB3DBA"/>
    <w:rsid w:val="00AB49C1"/>
    <w:rsid w:val="00AB609E"/>
    <w:rsid w:val="00AD5AEE"/>
    <w:rsid w:val="00AD68B3"/>
    <w:rsid w:val="00AE0AA4"/>
    <w:rsid w:val="00AF0E7F"/>
    <w:rsid w:val="00AF3908"/>
    <w:rsid w:val="00AF6D8F"/>
    <w:rsid w:val="00AF7D50"/>
    <w:rsid w:val="00B01C59"/>
    <w:rsid w:val="00B03A67"/>
    <w:rsid w:val="00B06CD5"/>
    <w:rsid w:val="00B07292"/>
    <w:rsid w:val="00B07856"/>
    <w:rsid w:val="00B147F8"/>
    <w:rsid w:val="00B157F4"/>
    <w:rsid w:val="00B17BF3"/>
    <w:rsid w:val="00B266CD"/>
    <w:rsid w:val="00B40083"/>
    <w:rsid w:val="00B40452"/>
    <w:rsid w:val="00B43F84"/>
    <w:rsid w:val="00B43FD1"/>
    <w:rsid w:val="00B44E20"/>
    <w:rsid w:val="00B51E33"/>
    <w:rsid w:val="00B532F9"/>
    <w:rsid w:val="00B623D7"/>
    <w:rsid w:val="00B62D05"/>
    <w:rsid w:val="00B631D1"/>
    <w:rsid w:val="00B6359E"/>
    <w:rsid w:val="00B66C10"/>
    <w:rsid w:val="00B733ED"/>
    <w:rsid w:val="00B74101"/>
    <w:rsid w:val="00B81C00"/>
    <w:rsid w:val="00B86814"/>
    <w:rsid w:val="00B87C02"/>
    <w:rsid w:val="00B9067D"/>
    <w:rsid w:val="00B91D87"/>
    <w:rsid w:val="00B9223C"/>
    <w:rsid w:val="00B92611"/>
    <w:rsid w:val="00BA3EDB"/>
    <w:rsid w:val="00BB24AD"/>
    <w:rsid w:val="00BB30A8"/>
    <w:rsid w:val="00BB394C"/>
    <w:rsid w:val="00BD0C86"/>
    <w:rsid w:val="00BD3C08"/>
    <w:rsid w:val="00BD7306"/>
    <w:rsid w:val="00BE09E6"/>
    <w:rsid w:val="00BF5D3A"/>
    <w:rsid w:val="00C05D4C"/>
    <w:rsid w:val="00C12301"/>
    <w:rsid w:val="00C128F6"/>
    <w:rsid w:val="00C14287"/>
    <w:rsid w:val="00C14919"/>
    <w:rsid w:val="00C20592"/>
    <w:rsid w:val="00C217F8"/>
    <w:rsid w:val="00C244F7"/>
    <w:rsid w:val="00C34CE4"/>
    <w:rsid w:val="00C351E8"/>
    <w:rsid w:val="00C433F1"/>
    <w:rsid w:val="00C44050"/>
    <w:rsid w:val="00C45B3C"/>
    <w:rsid w:val="00C51BA3"/>
    <w:rsid w:val="00C531FB"/>
    <w:rsid w:val="00C75B54"/>
    <w:rsid w:val="00C810C1"/>
    <w:rsid w:val="00CA41A1"/>
    <w:rsid w:val="00CA7A64"/>
    <w:rsid w:val="00CB1D36"/>
    <w:rsid w:val="00CC22DF"/>
    <w:rsid w:val="00CC3012"/>
    <w:rsid w:val="00CC69E7"/>
    <w:rsid w:val="00CD5494"/>
    <w:rsid w:val="00CD6540"/>
    <w:rsid w:val="00CE46A6"/>
    <w:rsid w:val="00CF1373"/>
    <w:rsid w:val="00D05667"/>
    <w:rsid w:val="00D1131E"/>
    <w:rsid w:val="00D13242"/>
    <w:rsid w:val="00D17276"/>
    <w:rsid w:val="00D20381"/>
    <w:rsid w:val="00D23EA3"/>
    <w:rsid w:val="00D25736"/>
    <w:rsid w:val="00D274F9"/>
    <w:rsid w:val="00D30169"/>
    <w:rsid w:val="00D3026E"/>
    <w:rsid w:val="00D3331F"/>
    <w:rsid w:val="00D35A81"/>
    <w:rsid w:val="00D40676"/>
    <w:rsid w:val="00D43786"/>
    <w:rsid w:val="00D45CCF"/>
    <w:rsid w:val="00D47961"/>
    <w:rsid w:val="00D50174"/>
    <w:rsid w:val="00D507F3"/>
    <w:rsid w:val="00D53EFA"/>
    <w:rsid w:val="00D54AAC"/>
    <w:rsid w:val="00D5516B"/>
    <w:rsid w:val="00D611FB"/>
    <w:rsid w:val="00D614DF"/>
    <w:rsid w:val="00D62300"/>
    <w:rsid w:val="00D72D1D"/>
    <w:rsid w:val="00D74F63"/>
    <w:rsid w:val="00D807C8"/>
    <w:rsid w:val="00D810BE"/>
    <w:rsid w:val="00D81B8C"/>
    <w:rsid w:val="00D8537E"/>
    <w:rsid w:val="00D94093"/>
    <w:rsid w:val="00D94EBC"/>
    <w:rsid w:val="00DA0406"/>
    <w:rsid w:val="00DA0DFC"/>
    <w:rsid w:val="00DA3916"/>
    <w:rsid w:val="00DA7ED9"/>
    <w:rsid w:val="00DA7F4E"/>
    <w:rsid w:val="00DB12DF"/>
    <w:rsid w:val="00DB1D6F"/>
    <w:rsid w:val="00DB5CDB"/>
    <w:rsid w:val="00DC6F83"/>
    <w:rsid w:val="00DD664E"/>
    <w:rsid w:val="00DE01C6"/>
    <w:rsid w:val="00DE6516"/>
    <w:rsid w:val="00DE6BD0"/>
    <w:rsid w:val="00DF0C86"/>
    <w:rsid w:val="00DF12F9"/>
    <w:rsid w:val="00DF5074"/>
    <w:rsid w:val="00E247E3"/>
    <w:rsid w:val="00E24956"/>
    <w:rsid w:val="00E250CA"/>
    <w:rsid w:val="00E25C86"/>
    <w:rsid w:val="00E31727"/>
    <w:rsid w:val="00E342BC"/>
    <w:rsid w:val="00E409A7"/>
    <w:rsid w:val="00E44E60"/>
    <w:rsid w:val="00E50CB5"/>
    <w:rsid w:val="00E54E28"/>
    <w:rsid w:val="00E56CFC"/>
    <w:rsid w:val="00E57952"/>
    <w:rsid w:val="00E6054B"/>
    <w:rsid w:val="00E656BD"/>
    <w:rsid w:val="00E65EF8"/>
    <w:rsid w:val="00E667AD"/>
    <w:rsid w:val="00E70044"/>
    <w:rsid w:val="00E73828"/>
    <w:rsid w:val="00E8012A"/>
    <w:rsid w:val="00E80373"/>
    <w:rsid w:val="00E82903"/>
    <w:rsid w:val="00E849FD"/>
    <w:rsid w:val="00E93942"/>
    <w:rsid w:val="00E944E9"/>
    <w:rsid w:val="00E944EE"/>
    <w:rsid w:val="00EA0671"/>
    <w:rsid w:val="00EA0F20"/>
    <w:rsid w:val="00EA1E0E"/>
    <w:rsid w:val="00EA2A3D"/>
    <w:rsid w:val="00EB093C"/>
    <w:rsid w:val="00EB153F"/>
    <w:rsid w:val="00EB6497"/>
    <w:rsid w:val="00EC363A"/>
    <w:rsid w:val="00ED4328"/>
    <w:rsid w:val="00ED47FD"/>
    <w:rsid w:val="00EE196C"/>
    <w:rsid w:val="00EE3AF5"/>
    <w:rsid w:val="00EE4701"/>
    <w:rsid w:val="00EF0F1C"/>
    <w:rsid w:val="00EF3278"/>
    <w:rsid w:val="00EF3651"/>
    <w:rsid w:val="00EF6664"/>
    <w:rsid w:val="00F0474E"/>
    <w:rsid w:val="00F04858"/>
    <w:rsid w:val="00F05DA2"/>
    <w:rsid w:val="00F06159"/>
    <w:rsid w:val="00F12E21"/>
    <w:rsid w:val="00F13FDE"/>
    <w:rsid w:val="00F23106"/>
    <w:rsid w:val="00F23C72"/>
    <w:rsid w:val="00F26D99"/>
    <w:rsid w:val="00F2782D"/>
    <w:rsid w:val="00F42277"/>
    <w:rsid w:val="00F46278"/>
    <w:rsid w:val="00F51546"/>
    <w:rsid w:val="00F537F0"/>
    <w:rsid w:val="00F555BE"/>
    <w:rsid w:val="00F569A5"/>
    <w:rsid w:val="00F56A00"/>
    <w:rsid w:val="00F641C2"/>
    <w:rsid w:val="00F72201"/>
    <w:rsid w:val="00F82989"/>
    <w:rsid w:val="00F85687"/>
    <w:rsid w:val="00F91A52"/>
    <w:rsid w:val="00F91F56"/>
    <w:rsid w:val="00FA1E9B"/>
    <w:rsid w:val="00FA2069"/>
    <w:rsid w:val="00FA2A07"/>
    <w:rsid w:val="00FA3905"/>
    <w:rsid w:val="00FA401C"/>
    <w:rsid w:val="00FA5BBE"/>
    <w:rsid w:val="00FA5FF3"/>
    <w:rsid w:val="00FB0C48"/>
    <w:rsid w:val="00FB3613"/>
    <w:rsid w:val="00FB53D2"/>
    <w:rsid w:val="00FC38F8"/>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pl-PL"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pl-PL"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pl-PL"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pl-PL"/>
    </w:rPr>
  </w:style>
  <w:style w:type="character" w:customStyle="1" w:styleId="FooterCoverPageChar">
    <w:name w:val="Footer Cover Page Char"/>
    <w:link w:val="FooterCoverPage"/>
    <w:rsid w:val="00286E0D"/>
    <w:rPr>
      <w:rFonts w:ascii="Times New Roman" w:eastAsia="Calibri" w:hAnsi="Times New Roman" w:cs="Times New Roman"/>
      <w:sz w:val="24"/>
      <w:lang w:val="pl-PL"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pl-PL" w:eastAsia="en-GB"/>
    </w:rPr>
  </w:style>
  <w:style w:type="character" w:customStyle="1" w:styleId="FooterSensitivityChar">
    <w:name w:val="Footer Sensitivity Char"/>
    <w:rsid w:val="00286E0D"/>
    <w:rPr>
      <w:rFonts w:ascii="Times New Roman" w:hAnsi="Times New Roman" w:cs="Times New Roman"/>
      <w:b/>
      <w:sz w:val="32"/>
      <w:lang w:val="pl-PL"/>
    </w:rPr>
  </w:style>
  <w:style w:type="character" w:customStyle="1" w:styleId="HeaderSensitivityChar">
    <w:name w:val="Header Sensitivity Char"/>
    <w:rsid w:val="00286E0D"/>
    <w:rPr>
      <w:rFonts w:ascii="Times New Roman" w:hAnsi="Times New Roman" w:cs="Times New Roman"/>
      <w:b/>
      <w:sz w:val="32"/>
      <w:lang w:val="pl-PL"/>
    </w:rPr>
  </w:style>
  <w:style w:type="character" w:customStyle="1" w:styleId="HeaderSensitivityRightChar">
    <w:name w:val="Header Sensitivity Right Char"/>
    <w:rsid w:val="00286E0D"/>
    <w:rPr>
      <w:rFonts w:ascii="Times New Roman" w:hAnsi="Times New Roman" w:cs="Times New Roman"/>
      <w:sz w:val="28"/>
      <w:lang w:val="pl-PL"/>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pl-PL"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UnresolvedMention">
    <w:name w:val="Unresolved Mention"/>
    <w:basedOn w:val="DefaultParagraphFont"/>
    <w:uiPriority w:val="99"/>
    <w:semiHidden/>
    <w:unhideWhenUsed/>
    <w:rsid w:val="0022628D"/>
    <w:rPr>
      <w:color w:val="605E5C"/>
      <w:shd w:val="clear" w:color="auto" w:fill="E1DFDD"/>
    </w:rPr>
  </w:style>
  <w:style w:type="character" w:customStyle="1" w:styleId="HeaderChar">
    <w:name w:val="Header Char"/>
    <w:basedOn w:val="DefaultParagraphFont"/>
    <w:link w:val="Header"/>
    <w:uiPriority w:val="99"/>
    <w:rsid w:val="004B1D08"/>
    <w:rPr>
      <w:rFonts w:ascii="Times New Roman" w:hAnsi="Times New Roman" w:cs="Times New Roman"/>
      <w:sz w:val="24"/>
      <w:lang w:val="pl-PL"/>
    </w:rPr>
  </w:style>
  <w:style w:type="character" w:customStyle="1" w:styleId="FooterChar">
    <w:name w:val="Footer Char"/>
    <w:basedOn w:val="DefaultParagraphFont"/>
    <w:link w:val="Footer"/>
    <w:uiPriority w:val="99"/>
    <w:rsid w:val="004B1D08"/>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B1D0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B1D08"/>
    <w:pPr>
      <w:spacing w:before="0"/>
      <w:jc w:val="right"/>
    </w:pPr>
    <w:rPr>
      <w:sz w:val="28"/>
    </w:rPr>
  </w:style>
  <w:style w:type="paragraph" w:customStyle="1" w:styleId="FooterSensitivity">
    <w:name w:val="Footer Sensitivity"/>
    <w:basedOn w:val="Normal"/>
    <w:rsid w:val="004B1D0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B1D08"/>
    <w:pPr>
      <w:tabs>
        <w:tab w:val="center" w:pos="4535"/>
        <w:tab w:val="right" w:pos="9071"/>
      </w:tabs>
      <w:spacing w:before="0"/>
    </w:pPr>
  </w:style>
  <w:style w:type="paragraph" w:customStyle="1" w:styleId="HeaderLandscape">
    <w:name w:val="HeaderLandscape"/>
    <w:basedOn w:val="Normal"/>
    <w:rsid w:val="004B1D08"/>
    <w:pPr>
      <w:tabs>
        <w:tab w:val="center" w:pos="7285"/>
        <w:tab w:val="right" w:pos="14003"/>
      </w:tabs>
      <w:spacing w:before="0"/>
    </w:pPr>
  </w:style>
  <w:style w:type="paragraph" w:styleId="Footer">
    <w:name w:val="footer"/>
    <w:basedOn w:val="Normal"/>
    <w:link w:val="FooterChar"/>
    <w:uiPriority w:val="99"/>
    <w:unhideWhenUsed/>
    <w:rsid w:val="004B1D08"/>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B1D08"/>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s://eur-lex.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s://eur-lex.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0D941-DEC3-4F79-A420-622D4914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30</TotalTime>
  <Pages>18</Pages>
  <Words>7921</Words>
  <Characters>45154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49</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