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13CEC" w14:textId="0B23DB90" w:rsidR="00286E0D" w:rsidRPr="006E239D" w:rsidRDefault="0029416F" w:rsidP="0029416F">
      <w:pPr>
        <w:pStyle w:val="Pagedecouverture"/>
        <w:rPr>
          <w:noProof/>
        </w:rPr>
      </w:pPr>
      <w:r>
        <w:rPr>
          <w:noProof/>
        </w:rPr>
        <w:pict w14:anchorId="157BD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28EF1D47-2656-4C60-9E42-A860F185D4A1" style="width:455.25pt;height:369.75pt">
            <v:imagedata r:id="rId8" o:title=""/>
          </v:shape>
        </w:pict>
      </w:r>
    </w:p>
    <w:p w14:paraId="0D2B0620" w14:textId="77777777" w:rsidR="00286E0D" w:rsidRPr="006E239D" w:rsidRDefault="00286E0D" w:rsidP="00286E0D">
      <w:pPr>
        <w:rPr>
          <w:noProof/>
        </w:rPr>
        <w:sectPr w:rsidR="00286E0D" w:rsidRPr="006E239D" w:rsidSect="0029416F">
          <w:footerReference w:type="even" r:id="rId9"/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696ABAD" w14:textId="77777777" w:rsidR="00286E0D" w:rsidRPr="006E239D" w:rsidRDefault="00286E0D" w:rsidP="00286E0D">
      <w:pPr>
        <w:pStyle w:val="Exposdesmotifstitre"/>
        <w:rPr>
          <w:noProof/>
        </w:rPr>
      </w:pPr>
      <w:bookmarkStart w:id="0" w:name="_GoBack"/>
      <w:bookmarkEnd w:id="0"/>
      <w:r w:rsidRPr="006E239D">
        <w:rPr>
          <w:noProof/>
        </w:rPr>
        <w:lastRenderedPageBreak/>
        <w:t>MEMORANDUM TA’ SPJEGAZZJONI</w:t>
      </w:r>
    </w:p>
    <w:p w14:paraId="1D44F294" w14:textId="77777777" w:rsidR="00286E0D" w:rsidRPr="006E239D" w:rsidRDefault="00286E0D" w:rsidP="00286E0D">
      <w:pPr>
        <w:rPr>
          <w:noProof/>
        </w:rPr>
      </w:pPr>
    </w:p>
    <w:p w14:paraId="791ACC5D" w14:textId="77777777" w:rsidR="00286E0D" w:rsidRPr="006E239D" w:rsidRDefault="00286E0D" w:rsidP="00286E0D">
      <w:pPr>
        <w:pStyle w:val="ManualHeading1"/>
        <w:rPr>
          <w:noProof/>
        </w:rPr>
      </w:pPr>
      <w:r w:rsidRPr="006E239D">
        <w:rPr>
          <w:noProof/>
        </w:rPr>
        <w:t>1.</w:t>
      </w:r>
      <w:r w:rsidRPr="006E239D">
        <w:rPr>
          <w:noProof/>
        </w:rPr>
        <w:tab/>
        <w:t>KUNTEST TAL-PROPOSTA</w:t>
      </w:r>
    </w:p>
    <w:p w14:paraId="141EF942" w14:textId="77777777" w:rsidR="00286E0D" w:rsidRPr="006E239D" w:rsidRDefault="00286E0D" w:rsidP="00286E0D">
      <w:pPr>
        <w:pStyle w:val="ManualHeading2"/>
        <w:rPr>
          <w:rFonts w:eastAsia="Arial Unicode MS"/>
          <w:noProof/>
        </w:rPr>
      </w:pPr>
      <w:r w:rsidRPr="006E239D">
        <w:rPr>
          <w:noProof/>
          <w:color w:val="000000"/>
          <w:u w:color="000000"/>
          <w:bdr w:val="nil"/>
        </w:rPr>
        <w:t>•</w:t>
      </w:r>
      <w:r w:rsidRPr="006E239D">
        <w:rPr>
          <w:noProof/>
          <w:color w:val="000000"/>
          <w:u w:color="000000"/>
          <w:bdr w:val="nil"/>
        </w:rPr>
        <w:tab/>
      </w:r>
      <w:r w:rsidRPr="006E239D">
        <w:rPr>
          <w:noProof/>
        </w:rPr>
        <w:t xml:space="preserve">Raġunijiet u objettivi </w:t>
      </w:r>
    </w:p>
    <w:p w14:paraId="034D1AFE" w14:textId="77777777" w:rsidR="004D75E7" w:rsidRPr="006E239D" w:rsidRDefault="00B9223C" w:rsidP="004D75E7">
      <w:pPr>
        <w:rPr>
          <w:noProof/>
        </w:rPr>
      </w:pPr>
      <w:r w:rsidRPr="006E239D">
        <w:rPr>
          <w:noProof/>
        </w:rPr>
        <w:t xml:space="preserve">Il-Linji Gwida Politiċi tal-Kummissjoni 2024-2029 jenfasizzaw il-ħtieġa li tiġi żgurata żona Schengen kompluta u li tiffunzjona bis-sħiħ mingħajr kontroll fil-fruntieri interni permezz ta’ fruntieri esterni aktar siguri, filwaqt li tingħata prijorità lis-sigurtà, il-ġestjoni tal-migrazzjoni u l-effiċjenza. Il-Ġestjoni Integrata Ewropea tal-Fruntieri tinsab fiċ-ċentru ta’ dawn l-isforzi, filwaqt li tiżgura l-konsistenza bejn l-oqsma ta’ politika interkonnessi, inklużi l-fruntieri, ir-ritorni u s-sorveljanza, kif ukoll bejn il-Frontex u l-awtoritajiet nazzjonali responsabbli għall-ġestjoni tal-fruntieri esterni tal-UE. F’termini ta’ implimentazzjoni, il-qafas ta’ governanza ta’ Schengen, appoġġat mill-evalwazzjonijiet ta’ Schengen, jipprovdi direzzjoni politika u strateġika għall-iżvilupp taż-żona Schengen, filwaqt li jiżgura li jiġu implimentati inizjattivi ewlenin, bħall-interoperabbiltà tas-sistemi tal-IT, u r-regoli rilevanti u li d-defiċits sistematiċi jiġu identifikati u rimedjati. Dan għandu jrawwem sens qawwi ta’ responsabbiltà kondiviża u fiduċja reċiproka fost l-Istati Membri u l-Pajjiżi Assoċjati ma’ Schengen. </w:t>
      </w:r>
    </w:p>
    <w:p w14:paraId="401136B9" w14:textId="77777777" w:rsidR="00D81B8C" w:rsidRPr="006E239D" w:rsidRDefault="00B9223C" w:rsidP="00B9223C">
      <w:pPr>
        <w:rPr>
          <w:noProof/>
        </w:rPr>
      </w:pPr>
      <w:r w:rsidRPr="006E239D">
        <w:rPr>
          <w:noProof/>
        </w:rPr>
        <w:t xml:space="preserve">Il-kuntest ġeopolitiku tal-Ewropa nbidel b’mod sinifikanti, u affettwa b’mod profond il-ġestjoni tal-fruntieri esterni tal-Unjoni. Iż-żieda ta’ </w:t>
      </w:r>
      <w:bookmarkStart w:id="1" w:name="_Hlk202820988"/>
      <w:r w:rsidRPr="006E239D">
        <w:rPr>
          <w:noProof/>
        </w:rPr>
        <w:t>theddid ibridu u theddid ieħor għas-sigurtà inkluż</w:t>
      </w:r>
      <w:bookmarkEnd w:id="1"/>
      <w:r w:rsidRPr="006E239D">
        <w:rPr>
          <w:noProof/>
        </w:rPr>
        <w:t xml:space="preserve"> l-użu tal-migrazzjoni bħala arma tagħti urġenza addizzjonali biex tiġi protetta l-fruntiera esterna. Sadanittant, </w:t>
      </w:r>
      <w:bookmarkStart w:id="2" w:name="_Hlk202822882"/>
      <w:r w:rsidRPr="006E239D">
        <w:rPr>
          <w:noProof/>
        </w:rPr>
        <w:t>il-migrazzjoni irregolari għadha fattur ewlieni, li jenfasizza l-ħtieġa li tiġi żgurata kooperazzjoni effettiva ma’ pajjiżi mhux tal-UE flimkien ma’ sħubijiet komprensivi ma’ pajjiżi ta’ oriġini u ta’ tranżitu appoġġati permezz tar-Regolament (UE) […] [Ewropa Globali].</w:t>
      </w:r>
      <w:bookmarkEnd w:id="2"/>
      <w:r w:rsidRPr="006E239D">
        <w:rPr>
          <w:noProof/>
        </w:rPr>
        <w:t xml:space="preserve"> Il-faċilitazzjoni ta’ dħul klandestin ta’ migranti hija negozju profittabbli għal networks kriminali b’faċilitaturi ta’ dħul klandestin li jużaw rotot tal-art, tal-baħar u tal-ajru biex jiffaċilitaw il-migrazzjoni irregolari kemm lejn l-Unjoni Ewropea kif ukoll fi ħdanha. Huwa dejjem aktar assoċjat ma’ ksur serju tad-drittijiet tal-bniedem u mwiet, b’mod partikolari meta jseħħ bil-baħar. It-telf ta’ ħajjiet tal-migranti f’idejn il-faċilitaturi ta’ dħul klandestin fil-Baħar Mediterran jenfasizza l-ħtieġa akuta li tiġi indirizzata l-faċilitazzjoni ta’ dħul klandestin ta’ migranti, bl-użu tal-lievi legali, operazzjonali u amministrattivi kollha disponibbli. </w:t>
      </w:r>
    </w:p>
    <w:p w14:paraId="6F6D36BE" w14:textId="77777777" w:rsidR="00B9223C" w:rsidRPr="006E239D" w:rsidRDefault="00B9223C" w:rsidP="00FA3905">
      <w:pPr>
        <w:rPr>
          <w:noProof/>
        </w:rPr>
      </w:pPr>
      <w:r w:rsidRPr="006E239D">
        <w:rPr>
          <w:noProof/>
        </w:rPr>
        <w:t>Jeħtieġ li l-Istati Membri jkunu jistgħu jirrispondu malajr u b’mod effettiv għall-iżviluppi u jirċievu l-appoġġ tal-Unjoni għal dak l-għan.</w:t>
      </w:r>
    </w:p>
    <w:p w14:paraId="4BD9F834" w14:textId="77777777" w:rsidR="00BE09E6" w:rsidRPr="006E239D" w:rsidRDefault="00E57952" w:rsidP="00FA3905">
      <w:pPr>
        <w:rPr>
          <w:noProof/>
        </w:rPr>
      </w:pPr>
      <w:r w:rsidRPr="006E239D">
        <w:rPr>
          <w:noProof/>
        </w:rPr>
        <w:t>Huwa essenzjali li jiġu żgurati l-iżvilupp u t-tħaddim u l-manutenzjoni siguri ta’ sistemi tal-IT fuq skala kbira</w:t>
      </w:r>
      <w:r w:rsidRPr="006E239D">
        <w:rPr>
          <w:i/>
          <w:noProof/>
        </w:rPr>
        <w:t xml:space="preserve"> </w:t>
      </w:r>
      <w:r w:rsidRPr="006E239D">
        <w:rPr>
          <w:noProof/>
        </w:rPr>
        <w:t>skont id-dritt tal-Unjoni fil-qasam tal-ġestjoni tal-fruntieri, jiġifieri s-Sistema ta’ Informazzjoni ta’ Schengen (SIS), is-Sistema ta’ Informazzjoni dwar il-Viża (VIS), l-Eurodac, is-Sistema ta’ Dħul/Ħruġ (EES) u s-Sistema Ewropea ta’ Informazzjoni u ta’ Awtorizzazzjoni għall-Ivvjaġġar (EITAS), inkluża l-interoperabbiltà tagħhom, u l-infrastruttura ta’ komunikazzjoni. L-istrument għandu jikkontribwixxi wkoll għal azzjonijiet li jtejbu l-kwalità tad-data u l-għoti ta’ informazzjoni.</w:t>
      </w:r>
    </w:p>
    <w:p w14:paraId="0413D35D" w14:textId="77777777" w:rsidR="008C306E" w:rsidRPr="006E239D" w:rsidRDefault="008C306E" w:rsidP="00D81B8C">
      <w:pPr>
        <w:rPr>
          <w:noProof/>
        </w:rPr>
      </w:pPr>
      <w:bookmarkStart w:id="3" w:name="_Hlk202880202"/>
      <w:r w:rsidRPr="006E239D">
        <w:rPr>
          <w:noProof/>
        </w:rPr>
        <w:t>L-appoġġ tal-Unjoni għandu jkun disponibbli wkoll għall-Istati Membri biex jistabbilixxu l-għarfien espert u l-kapaċità operazzjonali meħtieġa biex jimplimentaw l-elementi rilevanti tal-Patt dwar l-Ażil u l-Migrazzjoni, jiġifieri r-Regolament (UE) 2024/1356</w:t>
      </w:r>
      <w:r w:rsidRPr="006E239D">
        <w:rPr>
          <w:rStyle w:val="FootnoteReference"/>
          <w:noProof/>
        </w:rPr>
        <w:footnoteReference w:id="1"/>
      </w:r>
      <w:r w:rsidRPr="006E239D">
        <w:rPr>
          <w:noProof/>
        </w:rPr>
        <w:t xml:space="preserve"> (ir-Regolament dwar “l-Iskrinjar”) li jikkontribwixxi għal ġestjoni effiċjenti tal-fruntieri</w:t>
      </w:r>
      <w:bookmarkEnd w:id="3"/>
      <w:r w:rsidRPr="006E239D">
        <w:rPr>
          <w:noProof/>
        </w:rPr>
        <w:t xml:space="preserve">. </w:t>
      </w:r>
    </w:p>
    <w:p w14:paraId="07A03C8E" w14:textId="77777777" w:rsidR="00D81B8C" w:rsidRPr="006E239D" w:rsidRDefault="00D81B8C" w:rsidP="00D81B8C">
      <w:pPr>
        <w:rPr>
          <w:noProof/>
        </w:rPr>
      </w:pPr>
      <w:r w:rsidRPr="006E239D">
        <w:rPr>
          <w:noProof/>
        </w:rPr>
        <w:t>Kemm iċ-ċittadini tal-UE kif ukoll iċ-ċittadini mhux tal-UE huma soġġetti għal kontrolli sistematiċi meta jaqsmu l-fruntieri esterni tal-UE. Bi kważi 600 miljun qasma rreġistrata fl-2023 biss, u l-għadd ta’ qsim mistenni li jkompli jiżdied fis-snin li ġejjin, hemm ħtieġa ċara li l-kontrolli jitwettqu malajr u b’mod effiċjenti, bl-għajnuna tas-sistemi tal-IT filwaqt li fl-istess ħin jinżamm livell għoli ta’ sigurtà, filwaqt li jiġi żgurat li kull vjaġġatur jiġi ċċekkjat.</w:t>
      </w:r>
    </w:p>
    <w:p w14:paraId="293FB5AE" w14:textId="77777777" w:rsidR="00B9223C" w:rsidRPr="006E239D" w:rsidRDefault="00B9223C" w:rsidP="00B9223C">
      <w:pPr>
        <w:rPr>
          <w:noProof/>
        </w:rPr>
      </w:pPr>
      <w:r w:rsidRPr="006E239D">
        <w:rPr>
          <w:noProof/>
        </w:rPr>
        <w:t>L-Istati Membri għandhom jaħdmu f’kooperazzjoni stretta mal-aġenziji rilevanti tal-UE, inklużi l-Frontex u l-eu-LISA, li għandhom jipprovdu l-għarfien espert tekniku u l-mezzi teknoloġiċi meħtieġa għas-sorveljanza u l-għarfien tas-sitwazzjoni. F’termini usa’, il-korpi, l-uffiċċji u l-aġenziji rilevanti tal-Unjoni għandhom ikunu involuti mill-Kummissjoni f’attivitajiet rilevanti li għandhom l-għan li jiżguraw li l-miżuri appoġġati mill-Unjoni jikkonformaw mal-acquis rilevanti tal-Unjoni u l-prijoritajiet miftiehma tal-Unjoni.</w:t>
      </w:r>
    </w:p>
    <w:p w14:paraId="0C29A07E" w14:textId="77777777" w:rsidR="00B9223C" w:rsidRPr="006E239D" w:rsidRDefault="00B9223C" w:rsidP="00B9223C">
      <w:pPr>
        <w:rPr>
          <w:noProof/>
        </w:rPr>
      </w:pPr>
      <w:r w:rsidRPr="006E239D">
        <w:rPr>
          <w:noProof/>
        </w:rPr>
        <w:t>Politika tal-UE dwar il-Viżi b’saħħitha hija wkoll kruċjali biex il-fruntieri jiġu siguri aħjar u tiġi ġestita l-migrazzjoni. L-appoġġ tal-Unjoni għandu jgħin b’mod partikolari lill-Istati Membri jtejbu l-effiċjenza tal-ipproċessar tal-viżi u jipprevjenu l-abbuż tar-reġim tal-viża tal-Unjoni. L-appoġġ tal-Unjoni huwa meħtieġ fir-rigward tad-diġitalizzazzjoni tal-ipproċessar tal-viżi, kif ukoll it-titjib tal-kopertura tas-servizzi konsulari madwar id-dinja u s-servizz għall-applikanti.</w:t>
      </w:r>
    </w:p>
    <w:p w14:paraId="33FEB1CE" w14:textId="335F2A4B" w:rsidR="00B9223C" w:rsidRPr="006E239D" w:rsidRDefault="00B9223C" w:rsidP="001F3E4C">
      <w:pPr>
        <w:rPr>
          <w:noProof/>
        </w:rPr>
      </w:pPr>
      <w:r w:rsidRPr="006E239D">
        <w:rPr>
          <w:noProof/>
        </w:rPr>
        <w:t xml:space="preserve">Il-proposta għandha l-għan li tindirizza l-ħtieġa għal flessibbiltà akbar fil-ġestjoni tal-appoġġ tal-Unjoni, inkluża orjentazzjoni tal-prestazzjoni aktar b’saħħitha, kif ukoll simplifikazzjoni msaħħa għall-atturi kollha involuti fl-implimentazzjoni tagħha. Għal dan l-għan, qed tiġi infurzata komplementarjetà stretta mal-proposta għal Regolament (UE) […] li jistabbilixxi l-Fond Ewropew għall-koeżjoni ekonomika, soċjali u territorjali, l-agrikoltura u ż-żoni rurali, is-sajd u s-settur marittimu, il-prosperità u s-sigurtà, li jintroduċi mekkaniżmi ġodda għall-allokazzjoni ta’ finanzjament għal ġestjoni kondiviża, diretta u indiretta. Peress li l-isfidi fil-qasam tal-ġestjoni tal-fruntieri u l-migrazzjoni qed jevolvu b’mod kostanti, hemm ukoll il-ħtieġa li jiġu indirizzati l-ħtiġijiet u l-bidliet urġenti fil-politika u l-prijoritajiet tal-Unjoni, </w:t>
      </w:r>
      <w:bookmarkStart w:id="4" w:name="_Hlk202775281"/>
      <w:r w:rsidRPr="006E239D">
        <w:rPr>
          <w:noProof/>
        </w:rPr>
        <w:t>li jiġu indirizzati n-nuqqasijiet identifikati permezz tal-evalwazzjonijiet ta’ Schengen</w:t>
      </w:r>
      <w:bookmarkEnd w:id="4"/>
      <w:r w:rsidRPr="006E239D">
        <w:rPr>
          <w:noProof/>
        </w:rPr>
        <w:t xml:space="preserve"> u l-valutazzjoni tal-vulnerabbiltà tal-Frontex u li l-finanzjament jiġi orjentat lejn azzjonijiet b’livell għoli ta’ valur miżjud tal-Unjoni, b’mod partikolari permezz ta’ Faċilità tal-UE li toffri flessibbiltà fil-ġestjoni tal-appoġġ tal-Unjoni.</w:t>
      </w:r>
    </w:p>
    <w:p w14:paraId="4CF7EFDF" w14:textId="64E65124" w:rsidR="00EB6497" w:rsidRPr="006E239D" w:rsidRDefault="00EB6497" w:rsidP="001F3E4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 xml:space="preserve">Din il-proposta, flimkien mal-proposta għal Regolament li jistabbilixxi l-appoġġ tal-Unjoni għall-Ażil, il-Migrazzjoni u l-Integrazzjoni u l-proposta għal Regolament li jistabbilixxi l-Appoġġ tal-Unjoni għas-sigurtà interna, jipprovdu l-qafas legali speċifiku għall-azzjoni tal-Unjoni fl-oqsma tal-ġestjoni integrata Ewropea tal-fruntieri esterni, iż-żona Schengen li tiffunzjona tajjeb u l-politika Ewropea dwar il-viżi, il-ġestjoni effiċjenti tal-flussi migratorji u s-sigurtà interna. Dawn it-tliet Regolamenti jikkomplementaw lil xulxin u jikkontribwixxu għall-objettivi tar-Regolament (UE) […] li jistabbilixxi l-Fond Ewropew għall-koeżjoni ekonomika, soċjali u territorjali, għall-agrikoltura u rurali, għas-sajd u għas-settur marittimu, għall-prosperità u għas-sigurtà, li permezz tiegħu se jiġu implimentati. </w:t>
      </w:r>
    </w:p>
    <w:p w14:paraId="5EBA1527" w14:textId="77777777" w:rsidR="00EB6497" w:rsidRPr="006E239D" w:rsidRDefault="00EB6497" w:rsidP="00EB6497">
      <w:pPr>
        <w:rPr>
          <w:noProof/>
        </w:rPr>
      </w:pPr>
      <w:r w:rsidRPr="006E239D">
        <w:rPr>
          <w:noProof/>
        </w:rPr>
        <w:t>Ir-Regolament propost jibni fuq ir-Regolament (UE) 2021/1148</w:t>
      </w:r>
      <w:r w:rsidRPr="006E239D">
        <w:rPr>
          <w:rStyle w:val="FootnoteReference"/>
          <w:rFonts w:eastAsia="Arial Unicode MS"/>
          <w:noProof/>
        </w:rPr>
        <w:footnoteReference w:id="2"/>
      </w:r>
      <w:r w:rsidRPr="006E239D">
        <w:rPr>
          <w:noProof/>
        </w:rPr>
        <w:t xml:space="preserve"> filwaqt li jqis żviluppi ġodda ta’ politika u l-ħtieġa li jiġi pprovdut rispons aġli għall-isfidi li qed jevolvu li jikkonċernaw il-ġestjoni integrata Ewropea tal-fruntieri, inkluż il-funzjonament tajjeb taż-żona Schengen, u l-politika tal-UE dwar il-viżi.</w:t>
      </w:r>
    </w:p>
    <w:p w14:paraId="23CA5C86" w14:textId="77777777" w:rsidR="00286E0D" w:rsidRPr="006E239D" w:rsidRDefault="00286E0D" w:rsidP="00286E0D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 w:rsidRPr="006E239D">
        <w:rPr>
          <w:noProof/>
          <w:color w:val="000000"/>
          <w:u w:color="000000"/>
          <w:bdr w:val="nil"/>
        </w:rPr>
        <w:t>•</w:t>
      </w:r>
      <w:r w:rsidRPr="006E239D">
        <w:rPr>
          <w:noProof/>
          <w:color w:val="000000"/>
          <w:u w:color="000000"/>
          <w:bdr w:val="nil"/>
        </w:rPr>
        <w:tab/>
      </w:r>
      <w:r w:rsidRPr="006E239D">
        <w:rPr>
          <w:noProof/>
        </w:rPr>
        <w:t>Konsistenza mad-dispożizzjonijiet eżistenti tal-politika</w:t>
      </w:r>
    </w:p>
    <w:p w14:paraId="254C54FA" w14:textId="77777777" w:rsidR="00286E0D" w:rsidRPr="006E239D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>L-appoġġ tal-Unjoni għall-ġestjoni integrata Ewropea tal-fruntieri u l-politika Ewropea dwar il-viżi se jaħdmu f’komplementarjetà stretta mal-politiki l-oħra fl-ambitu tal-Pjanijiet ta’ Sħubija Nazzjonali u Reġjonali, biex b’hekk jitrawmu sinerġiji bejn dawn il-politiki. Bl-istess mod, iridu jiġu mfittxija sinerġiji u komplementarjetajiet b’mod partikolari mal-acquis ta’ Schengen, u l-pakkett leġiżlattiv li jirfed il-Patt dwar il-Migrazzjoni u l-Ażil, daħal fis-seħħ fl-11 ta’ Ġunju 2024. Madankollu, politika intensifikata tal-UE dwar il-ġestjoni integrata Ewropea tal-fruntieri u l-politika tal-UE dwar il-viżi teħtieġ azzjoni fl-ispettru sħiħ tal-għodod għad-dispożizzjoni tagħha, inklużi attivitajiet ta’ aġenziji deċentralizzati rilevanti tal-Unjoni.</w:t>
      </w:r>
    </w:p>
    <w:p w14:paraId="7C64BB8E" w14:textId="77777777" w:rsidR="00EB6497" w:rsidRPr="006E239D" w:rsidRDefault="00EB6497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bookmarkStart w:id="5" w:name="_Hlk202880469"/>
      <w:r w:rsidRPr="006E239D">
        <w:rPr>
          <w:noProof/>
          <w:color w:val="000000" w:themeColor="text1"/>
        </w:rPr>
        <w:t>Is-sitt Aġenziji deċentralizzati għall-Affarijiet Interni (il-Frontex, l-Europol, l-EUAA, l-eu-LISA, l-EUDA u s-Cepol) għandhom rwol importanti u dejjem akbar fl-implimentazzjoni tal-politiki tal-Affarijiet Interni. Huwa essenzjali li tiġi żgurata l-koerenza bejn l-istrateġiji ta’ politika stabbiliti fil-livell tal-UE u l-attivitajiet operazzjonali tal-aġenziji deċentralizzati, u b’hekk jiġi massimizzat ukoll il-kontribut għall-objettivi ta’ politika tal-UE mill-finanzjament tal-UE pprovdut lill-aġenziji deċentralizzati. Ir-rwol operazzjonali tal-aġenziji deċentralizzati jista’ jeħtieġ aktar tisħiħ, akkumpanjat minn żieda korrispondenti fil-finanzjament.</w:t>
      </w:r>
    </w:p>
    <w:bookmarkEnd w:id="5"/>
    <w:p w14:paraId="3F7C3464" w14:textId="77777777" w:rsidR="00286E0D" w:rsidRPr="006E239D" w:rsidRDefault="00286E0D" w:rsidP="00336FEB">
      <w:pPr>
        <w:pStyle w:val="ManualHeading2"/>
        <w:ind w:left="851" w:hanging="851"/>
        <w:rPr>
          <w:rFonts w:eastAsia="Arial Unicode MS"/>
          <w:noProof/>
        </w:rPr>
      </w:pPr>
      <w:r w:rsidRPr="006E239D">
        <w:rPr>
          <w:noProof/>
          <w:color w:val="000000"/>
          <w:u w:color="000000"/>
          <w:bdr w:val="nil"/>
        </w:rPr>
        <w:t>•</w:t>
      </w:r>
      <w:r w:rsidRPr="006E239D">
        <w:rPr>
          <w:noProof/>
          <w:color w:val="000000"/>
          <w:u w:color="000000"/>
          <w:bdr w:val="nil"/>
        </w:rPr>
        <w:tab/>
      </w:r>
      <w:r w:rsidRPr="006E239D">
        <w:rPr>
          <w:noProof/>
        </w:rPr>
        <w:t>Konsistenza ma’ politiki oħra tal-Unjoni</w:t>
      </w:r>
    </w:p>
    <w:p w14:paraId="1AF2B945" w14:textId="77777777" w:rsidR="0031749A" w:rsidRPr="006E239D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color w:val="000000" w:themeColor="text1"/>
        </w:rPr>
      </w:pPr>
      <w:r w:rsidRPr="006E239D">
        <w:rPr>
          <w:noProof/>
        </w:rPr>
        <w:t xml:space="preserve">Il-ġestjoni integrata Ewropea tal-fruntieri u l-politika dwar il-viżi jiddependu fuq is-sinerġiji u l-koerenza mal-politiki rilevanti tal-UE bħall-ażil u l-migrazzjoni, is-sigurtà interna u l-politiki esterni tal-Unjoni li jappoġġaw pajjiżi terzi, speċjalment skont ir-Regolament (UE) […] [Ewropa Globali], li </w:t>
      </w:r>
      <w:r w:rsidRPr="006E239D">
        <w:rPr>
          <w:noProof/>
          <w:color w:val="000000" w:themeColor="text1"/>
        </w:rPr>
        <w:t>jkopru firxa wiesgħa ta’ oqsma b’rabtiet importanti mal-politiki interni, inkluż il-politiki dwar il-ġestjoni tal-fruntieri u l-viżi, b’mod partikolari, huwa importanti li tiġi żgurata koerenza akbar mal-appoġġ tal-Unjoni għall-kooperazzjoni dwar il-ġestjoni tal-fruntieri ma’ pajjiżi sħab taħt l-Ewropa Globali, bil-ħsieb li jingħata kontribut għal approċċ koordinat, olistiku u strutturat li jimmassimizza s-sinerġiji u japplika l-ingranaġġ meħtieġ. F’dan il-kuntest, l-appoġġ għall-kooperazzjoni transfruntiera taħt l-Ewropa Globali huwa partikolarment rilevanti għat-tisħiħ tal-ġestjoni tal-fruntieri u t-tkomplija tal-isforzi għall-prevenzjoni tal-migrazzjoni irregolari.</w:t>
      </w:r>
    </w:p>
    <w:p w14:paraId="6CBA56D8" w14:textId="77777777" w:rsidR="00286E0D" w:rsidRPr="006E239D" w:rsidRDefault="00286E0D" w:rsidP="0031749A"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 w:rsidRPr="006E239D">
        <w:rPr>
          <w:noProof/>
        </w:rPr>
        <w:t>Sabiex tiġi appoġġata l-aġenda tal-kompetittività, jenħtieġ li jiġu kkunsidrati wkoll investimenti bbażati fuq metodi innovattivi jew teknoloġiji ġodda, inklużi miżuri li għandhom l-għan li jittestjaw u jivvalidaw l-eżitu ta’ proġetti ta’ riċerka ffinanzjati mill-Unjoni.</w:t>
      </w:r>
    </w:p>
    <w:p w14:paraId="43A280F3" w14:textId="77777777" w:rsidR="00B9223C" w:rsidRPr="006E239D" w:rsidRDefault="00AD5AEE" w:rsidP="00AD5AEE">
      <w:pPr>
        <w:pStyle w:val="ManualHeading2"/>
        <w:ind w:left="851" w:hanging="851"/>
        <w:rPr>
          <w:rFonts w:eastAsia="Arial Unicode MS"/>
          <w:noProof/>
          <w:color w:val="000000"/>
          <w:u w:color="000000"/>
          <w:bdr w:val="nil"/>
        </w:rPr>
      </w:pPr>
      <w:r w:rsidRPr="006E239D">
        <w:rPr>
          <w:noProof/>
          <w:color w:val="000000"/>
          <w:u w:color="000000"/>
          <w:bdr w:val="nil"/>
        </w:rPr>
        <w:t>•</w:t>
      </w:r>
      <w:r w:rsidRPr="006E239D">
        <w:rPr>
          <w:noProof/>
          <w:color w:val="000000"/>
          <w:u w:color="000000"/>
          <w:bdr w:val="nil"/>
        </w:rPr>
        <w:tab/>
        <w:t>Ġeometrija varjabbli</w:t>
      </w:r>
    </w:p>
    <w:p w14:paraId="4C39B415" w14:textId="77777777" w:rsidR="00C244F7" w:rsidRPr="006E239D" w:rsidRDefault="00B9223C" w:rsidP="00B9223C">
      <w:pPr>
        <w:rPr>
          <w:rFonts w:eastAsia="Arial Unicode MS"/>
          <w:noProof/>
        </w:rPr>
      </w:pPr>
      <w:r w:rsidRPr="006E239D">
        <w:rPr>
          <w:noProof/>
        </w:rPr>
        <w:t>Dan ir-Regolament jikkostitwixxi żvilupp tal-acquis ta’ Schengen. B’konsegwenza ta’ dan, l-applikazzjoni tar-Regolament għad-Danimarka u l-Irlanda hija soġġetta għal dispożizzjonijiet speċjali stabbiliti fil-Protokoll Nru 19 u l-Protokoll Nru 22 anness mat-TUE u t-TFUE.</w:t>
      </w:r>
    </w:p>
    <w:p w14:paraId="5CBE603F" w14:textId="77777777" w:rsidR="00C244F7" w:rsidRPr="006E239D" w:rsidRDefault="00C244F7" w:rsidP="00B9223C">
      <w:pPr>
        <w:rPr>
          <w:rFonts w:eastAsia="Times New Roman"/>
          <w:noProof/>
          <w:color w:val="000000" w:themeColor="text1"/>
        </w:rPr>
      </w:pPr>
      <w:r w:rsidRPr="006E239D">
        <w:rPr>
          <w:noProof/>
        </w:rPr>
        <w:t>F’konformità mal-Artikoli 1 u 2 tal-Protokoll Nru 22, ir-Regolament mhuwiex vinkolanti jew applikabbli fid-Danimarka. Madankollu, skont l-Artikolu 4 tal-Protokoll 22, id-Danimarka għandha tiddeċiedi jekk timplimentax u tkunx marbuta b’miżuri li jibnu fuq l-acquis ta’ Schengen.</w:t>
      </w:r>
      <w:r w:rsidRPr="006E239D">
        <w:rPr>
          <w:i/>
          <w:noProof/>
          <w:color w:val="000000" w:themeColor="text1"/>
        </w:rPr>
        <w:t xml:space="preserve"> </w:t>
      </w:r>
      <w:r w:rsidRPr="006E239D">
        <w:rPr>
          <w:noProof/>
          <w:color w:val="000000" w:themeColor="text1"/>
        </w:rPr>
        <w:t>Jekk tiddeċiedi li tagħmel dan, il-miżura toħloq obbligu skont id-dritt internazzjonali bejn id-Danimarka u l-Istati Membri l-oħra.</w:t>
      </w:r>
    </w:p>
    <w:p w14:paraId="0E7F29D4" w14:textId="77777777" w:rsidR="00B9223C" w:rsidRPr="006E239D" w:rsidRDefault="00C244F7" w:rsidP="00FA3905">
      <w:pPr>
        <w:rPr>
          <w:rFonts w:eastAsia="Times New Roman"/>
          <w:noProof/>
          <w:color w:val="000000" w:themeColor="text1"/>
        </w:rPr>
      </w:pPr>
      <w:r w:rsidRPr="006E239D">
        <w:rPr>
          <w:noProof/>
          <w:color w:val="000000" w:themeColor="text1"/>
        </w:rPr>
        <w:t xml:space="preserve">Bis-saħħa tal-Artikolu 4 tal-Protokoll Nru 19, l-Irlanda tista’ fi kwalunkwe ħin titlob li tieħu sehem f’xi wħud mid-dispożizzjonijiet jew fid-dispożizzjonijiet kollha tal-acquis ta’ Schengen. Għalkemm l-Irlanda tieħu sehem f’ċerti partijiet tal-acquis ta’ Schengen, dan ir-Regolament ma jikkonċernax partijiet tal-acquis ta’ Schengen li fihom tipparteċipa l-Irlanda. </w:t>
      </w:r>
      <w:r w:rsidRPr="006E239D">
        <w:rPr>
          <w:noProof/>
        </w:rPr>
        <w:t>Bħala miżura li tikkostitwixxi l-iżvilupp tal-acquis ta’ Schengen, ir-Regolament għandu jiġi nnotifikat lil erba’ pajjiżi (l-Iżlanda, ir-Renju tan-Norveġja, il-Konfederazzjoni Żvizzera u l-Prinċipat tal-Liechtenstein), li mhumiex Stati Membri tal-Unjoni, iżda li jipparteċipaw fiż-żona Schengen mingħajr kontrolli fil-fruntieri interni abbażi ta’ ftehimiet ta’ assoċjazzjoni konklużi mal-Unjoni. Ladarba jiġu nnotifikati, l-erba’ pajjiżi assoċjati ma’ Schengen se jkunu meħtieġa jikkonfermaw l-aċċettazzjoni tagħhom tal-kontenut tar-Regolament u jimplimentawh fil-liġi nazzjonali tagħhom. Il-miżuri proposti, bħala konsegwenza, se japplikaw ukoll għal dawk l-erba’ pajjiżi.</w:t>
      </w:r>
    </w:p>
    <w:p w14:paraId="3F7474CB" w14:textId="77777777" w:rsidR="00286E0D" w:rsidRPr="006E239D" w:rsidRDefault="00286E0D" w:rsidP="00286E0D">
      <w:pPr>
        <w:pStyle w:val="ManualHeading1"/>
        <w:rPr>
          <w:noProof/>
        </w:rPr>
      </w:pPr>
      <w:r w:rsidRPr="006E239D">
        <w:rPr>
          <w:noProof/>
        </w:rPr>
        <w:t>2.</w:t>
      </w:r>
      <w:r w:rsidRPr="006E239D">
        <w:rPr>
          <w:noProof/>
        </w:rPr>
        <w:tab/>
        <w:t>BAŻI LEGALI, SUSSIDJARJETÀ U PROPORZJONALITÀ</w:t>
      </w:r>
    </w:p>
    <w:p w14:paraId="71B17439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Bażi legali</w:t>
      </w:r>
    </w:p>
    <w:p w14:paraId="3FC49ECD" w14:textId="77777777" w:rsidR="00286E0D" w:rsidRPr="006E239D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>Skont l-Artikolu 3(2) tat-Trattat dwar l-Unjoni Ewropea, “l-Unjoni toffri liċ-ċittadini tagħha żona ta' libertà, sigurtà u ġustizzja mingħajr fruntieri interni, li fiha l-moviment liberu tal-persuni jkun assigurat flimkien ma’ miżuri xierqa f’dak li jirrigwarda l-kontrolli tal-fruntieri esterni, l-ażil, l-immigrazzjoni kif ukoll il-prevenzjoni tal-kriminalità u l-ġlieda kontriha”. Il-bażi legali għal din il-proposta tinsab fil-miżuri msemmija fl-Artikolu 77(2) u fl-Artikolu 79(2)(c) u (d) tat-Trattat dwar il-Funzjonament tal-Unjoni (TFUE).</w:t>
      </w:r>
    </w:p>
    <w:p w14:paraId="750CEE1E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 xml:space="preserve">Sussidjarjetà (għall-kompetenza mhux esklużiva) </w:t>
      </w:r>
    </w:p>
    <w:p w14:paraId="0C17F853" w14:textId="77777777" w:rsidR="00286E0D" w:rsidRPr="006E239D" w:rsidRDefault="0031749A" w:rsidP="00D35A8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  <w:color w:val="000000" w:themeColor="text1"/>
        </w:rPr>
        <w:t xml:space="preserve">L-objettivi tal-proposta ma jistgħux jintlaħqu jekk l-Istati Membri jaġixxu waħedhom, peress li l-isfida huma ta’ natura transfruntiera, u ma humiex limitati għal Stati Membri individwali jew għal subsett ta’ Stati Membri. </w:t>
      </w:r>
      <w:r w:rsidRPr="006E239D">
        <w:rPr>
          <w:noProof/>
        </w:rPr>
        <w:t>L-appoġġ tal-Unjoni joħloq valur miżjud billi jippromwovi approċċ komuni madwar l-Istati Membri fl-implimentazzjoni tal-acquis u l-istandards tal-UE u jrawwem kollaborazzjoni bejn l-Istati Membri dwar kwistjonijiet transnazzjonali.</w:t>
      </w:r>
    </w:p>
    <w:p w14:paraId="0E9E52B6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Proporzjonalità</w:t>
      </w:r>
    </w:p>
    <w:p w14:paraId="6AD7B953" w14:textId="77777777" w:rsidR="00286E0D" w:rsidRPr="006E239D" w:rsidRDefault="0031749A" w:rsidP="00FA390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color w:val="000000" w:themeColor="text1"/>
        </w:rPr>
      </w:pPr>
      <w:r w:rsidRPr="006E239D">
        <w:rPr>
          <w:noProof/>
          <w:color w:val="000000" w:themeColor="text1"/>
        </w:rPr>
        <w:t>Il-proposta ma tmurx lil hinn minn dak li hu meħtieġ biex jinkisbu l-objettivi msemmija fit-taqsima 1. Dan jaqa’ fil-kamp ta’ applikazzjoni għal azzjoni fl-ispazju ta’ libertà, sigurtà u ġustizzja, kif definit fit-Titolu V tat-Tielet Parti tat-TFUE. L-objettivi u l-appoġġ korrispondenti tal-Unjoni huma proporzjonati għal dak li l-istrument għandu l-għan li jikseb.</w:t>
      </w:r>
    </w:p>
    <w:p w14:paraId="70EDA19B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Għażla tal-istrument</w:t>
      </w:r>
    </w:p>
    <w:p w14:paraId="675DAC45" w14:textId="5D8E2C52" w:rsidR="0031749A" w:rsidRPr="006E239D" w:rsidRDefault="0031749A" w:rsidP="001F3E4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color w:val="000000" w:themeColor="text1"/>
        </w:rPr>
      </w:pPr>
      <w:r w:rsidRPr="006E239D">
        <w:rPr>
          <w:noProof/>
          <w:color w:val="000000" w:themeColor="text1"/>
        </w:rPr>
        <w:t>L-aktar strument xieraq għat-tħaddim tal-proposta attwali huwa Regolament tal-Parlament Ewropew u tal-Kunsill li jistabbilixxi l-appoġġ tal-Unjoni għall-ġestjoni tal-fruntieri għall-perjodu mill-1 ta’ Jannar 2028 sal-31 ta’ Diċembru 2034 u li jikkomplementa l-proposta għal</w:t>
      </w:r>
      <w:r w:rsidRPr="006E239D">
        <w:rPr>
          <w:noProof/>
        </w:rPr>
        <w:t xml:space="preserve"> </w:t>
      </w:r>
      <w:r w:rsidRPr="006E239D">
        <w:rPr>
          <w:noProof/>
          <w:color w:val="000000" w:themeColor="text1"/>
        </w:rPr>
        <w:t>Regolament (UE) […] li jistabbilixxi l-Fond Ewropew għall-koeżjoni ekonomika, soċjali u territorjali, għall-agrikoltura u rurali, għas-sajd u għas-settur marittimu, għall-prosperità u għas-sigurtà.</w:t>
      </w:r>
    </w:p>
    <w:p w14:paraId="0FA6C1BD" w14:textId="77777777" w:rsidR="00286E0D" w:rsidRPr="006E239D" w:rsidRDefault="00286E0D" w:rsidP="00286E0D">
      <w:pPr>
        <w:pStyle w:val="ManualHeading1"/>
        <w:rPr>
          <w:noProof/>
        </w:rPr>
      </w:pPr>
      <w:r w:rsidRPr="006E239D">
        <w:rPr>
          <w:noProof/>
        </w:rPr>
        <w:t>3.</w:t>
      </w:r>
      <w:r w:rsidRPr="006E239D">
        <w:rPr>
          <w:noProof/>
        </w:rPr>
        <w:tab/>
        <w:t>RIŻULTATI TAL-EVALWAZZJONIJIET RETROSPETTIVI, TAL-KONSULTAZZJONIJIET MAL-PARTIJIET IKKONĊERNATI U TAL-VALUTAZZJONIJIET TAL-IMPATT</w:t>
      </w:r>
    </w:p>
    <w:p w14:paraId="0B632E01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Evalwazzjonijiet retrospettivi/kontrolli tal-idoneità tal-leġiżlazzjoni eżistenti</w:t>
      </w:r>
    </w:p>
    <w:p w14:paraId="76E894A2" w14:textId="77777777" w:rsidR="00286E0D" w:rsidRPr="006E239D" w:rsidRDefault="00286E0D" w:rsidP="00EB64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 xml:space="preserve">L-eżiti preliminari tal-evalwazzjoni ex post li għaddejja tal-Fond għas-Sigurtà Interna - Fruntieri u Viżi (ISF-BV) għall-perjodu ta’ programmazzjoni 2014-2020 jikkonfermaw li l-ISF-BV kien effettiv fl-appoġġ lill-Istati Membri fil-kisba tal-objettivi tagħhom fl-oqsma tal-politika dwar il-viżi u l-ġestjoni tal-fruntieri esterni. L-introduzzjoni ta’ programmazzjoni pluriennali u regoli ta’ eliġibbiltà nazzjonali kkontribwixxiet għat-tnaqqis tal-piż amministrattiv. Fejn ġew applikati, l-għażliet ta’ kostijiet simplifikati rnexxielhom inaqqsu l-piż amministrattiv, madankollu, dawn ma ġewx adottati b’mod wiesa’. L-ISF-BV wera gradi differenti ta’ kosteffettività u effiċjenza. L-ISF-BV kien koerenti fil-komponenti tal-Fond tiegħu u Fondi oħra tal-UE, madankollu, il-koerenza ma’ Orizzont Ewropa u bejn il-programmi nazzjonali u l-Azzjonijiet tal-Unjoni tista’ tissaħħaħ aktar. L-ISF-BV ikkontribwixxa b’mod sinifikanti għall-valur miżjud tal-UE. </w:t>
      </w:r>
      <w:bookmarkStart w:id="6" w:name="_Hlk202880568"/>
      <w:r w:rsidRPr="006E239D">
        <w:rPr>
          <w:noProof/>
        </w:rPr>
        <w:t>L-evalwazzjoni ex post tikkonkludi b’mod preliminari li s-simplifikazzjoni tar-rekwiżiti ta’ rapportar u tal-proċeduri amministrattivi, mingħajr ma titnaqqas il-kwalità u l-informazzjoni kwantitattiva meħtieġa għall-monitoraġġ tal-implimentazzjoni, tista’ ttejjeb l-effiċjenza b’mod sinifikanti. Dan l-approċċ għandu jimminimizza l-piż amministrattiv u jippermetti lill-partijiet ikkonċernati jiffokaw fuq il-kisba tar-riżultati aktar milli fuq in-navigazzjoni tal-proċessi burokratiċi.</w:t>
      </w:r>
      <w:bookmarkEnd w:id="6"/>
    </w:p>
    <w:p w14:paraId="539AF480" w14:textId="77777777" w:rsidR="00286E0D" w:rsidRPr="006E239D" w:rsidRDefault="00286E0D" w:rsidP="00EB64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i/>
          <w:noProof/>
        </w:rPr>
      </w:pPr>
      <w:r w:rsidRPr="006E239D">
        <w:rPr>
          <w:noProof/>
        </w:rPr>
        <w:t xml:space="preserve">L-eżiti preliminari tal-evalwazzjoni ta’ nofs it-terminu tal-Istrument għall-Ġestjoni tal-Fruntieri u għall-Viżi (BMVI) għall-perjodu ta’ programmazzjoni 2021-2027 jikkonfermaw li l-qafas ta’ monitoraġġ u evalwazzjoni għall-BMVI ra titjib sinifikanti meta mqabbel mal-perjodu 2014-2020. L-Istati Membri u l-benefiċjarji enfasizzaw it-tħassib dwar il-piż amministrattiv. S’issa, l-Awtoritajiet Maniġerjali għamlu użu limitat minn għażliet ta’ kostijiet simplifikati u finanzjament mhux marbut mal-kost, li jista’ jnaqqas il-piż amministrattiv. Il-programmi tal-Istati Membri u l-programmi ta’ ħidma tal-Kummissjoni għall-Faċilità Tematika kienu koerenti ma’ strumenti oħra ta’ finanzjament nazzjonali u tal-UE. Madankollu, il-koerenza setgħet tissaħħaħ aktar bejn l-Azzjonijiet tal-Unjoni u l-programmi tal-Istati Membri, kif ukoll ma’ Orizzont Ewropa biex tiżdied l-adozzjoni ta’ soluzzjonijiet teknoloġiċi innovattivi. Fl-aħħar nett, il-BMVI rawwem il-kooperazzjoni, jiżgura l-konformità mal-istandards tal-UE, u saħħaħ il-qafas kollettiv tal-UE dwar il-ġestjoni tal-fruntieri u l-viżi. </w:t>
      </w:r>
      <w:bookmarkStart w:id="7" w:name="_Hlk202880726"/>
      <w:r w:rsidRPr="006E239D">
        <w:rPr>
          <w:noProof/>
        </w:rPr>
        <w:t>Azzjonijiet speċifiċi ġew apprezzati b’mod partikolari mill-partijiet ikkonċernati għall-flessibbiltà tagħhom u l-forniment ta’ finanzjament addizzjonali ad hoc għal prijoritajiet speċifiċi. L-evalwazzjoni ta’ nofs it-terminu tenfasizza wkoll l-importanza li jsir aktar progress fis-simplifikazzjoni tat-twassil tal-finanzjament, u li jiġi spjegat aħjar lill-Awtoritajiet ta’ Ġestjoni kif il-qafas tal-prestazzjoni jista’ jikkontribwixxi għall-ġestjoni effiċjenti tal-programmi, lil hinn mir-rapportar purament formali li huwa meħtieġ mir-regolament</w:t>
      </w:r>
      <w:bookmarkEnd w:id="7"/>
      <w:r w:rsidRPr="006E239D">
        <w:rPr>
          <w:noProof/>
        </w:rPr>
        <w:t>.</w:t>
      </w:r>
    </w:p>
    <w:p w14:paraId="7AA2B0D5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Konsultazzjonijiet mal-partijiet ikkonċernati</w:t>
      </w:r>
    </w:p>
    <w:p w14:paraId="4E66CF84" w14:textId="32471CB5" w:rsidR="00286E0D" w:rsidRPr="006E239D" w:rsidRDefault="00286E0D" w:rsidP="001F3E4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 xml:space="preserve">Il-Kummissjoni involviet ruħha b’mod attiv mal-partijiet ikkonċernati fil-proċess tal-inizjattiva, b’mod partikolari permezz ta’ avvenimenti ddedikati u attivitajiet ta’ konsultazzjoni pubblika, kif </w:t>
      </w:r>
      <w:bookmarkStart w:id="8" w:name="_Hlk202112428"/>
      <w:r w:rsidRPr="006E239D">
        <w:rPr>
          <w:noProof/>
        </w:rPr>
        <w:t xml:space="preserve">dettaljat fil-kapitolu korrispondenti tal-memorandum ta’ spjegazzjoni </w:t>
      </w:r>
      <w:bookmarkStart w:id="9" w:name="_Hlk201931196"/>
      <w:r w:rsidRPr="006E239D">
        <w:rPr>
          <w:noProof/>
        </w:rPr>
        <w:t>tal-</w:t>
      </w:r>
      <w:r w:rsidRPr="006E239D">
        <w:rPr>
          <w:noProof/>
          <w:color w:val="000000" w:themeColor="text1"/>
        </w:rPr>
        <w:t>proposta għal Regolament (UE) […] li jistabbilixxi l-Fond Ewropew għall-koeżjoni ekonomika, soċjali u territorjali, l-agrikoltura u ż-żoni rurali, is-sajd u s-settur marittimu, il-prosperità u s-sigurtà</w:t>
      </w:r>
      <w:bookmarkEnd w:id="8"/>
      <w:bookmarkEnd w:id="9"/>
      <w:r w:rsidRPr="006E239D">
        <w:rPr>
          <w:noProof/>
        </w:rPr>
        <w:t xml:space="preserve">. </w:t>
      </w:r>
    </w:p>
    <w:p w14:paraId="5933E9C5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Għarfien espert estern</w:t>
      </w:r>
    </w:p>
    <w:p w14:paraId="379C1D35" w14:textId="03883662" w:rsidR="00286E0D" w:rsidRPr="006E239D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>Informazzjoni dwar l-użu mill-Kummissjoni ta’ għarfien espert estern hija pprovduta fil-kapitolu korrispondenti tal-memorandum ta’ spjegazzjoni tal-proposta għal Regolament (UE) […] li jistabbilixxi l-Fond Ewropew għall-koeżjoni ekonomika, soċjali u territorjali, l-agrikoltura u ż-żoni rurali, is-sajd u s-settur marittimu, il-prosperità u s-sigurtà.</w:t>
      </w:r>
    </w:p>
    <w:p w14:paraId="7B1950A5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Valutazzjoni tal-impatt</w:t>
      </w:r>
    </w:p>
    <w:p w14:paraId="1537B458" w14:textId="1B9AF564" w:rsidR="00286E0D" w:rsidRPr="006E239D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bookmarkStart w:id="10" w:name="_Hlk201931214"/>
      <w:r w:rsidRPr="006E239D">
        <w:rPr>
          <w:noProof/>
        </w:rPr>
        <w:t>Informazzjoni dwar il-Valutazzjoni tal-Impatt tal-Kummissjoni hija pprovduta fil-kapitolu korrispondenti tal-memorandum ta’ spjegazzjoni tal-proposta għal Regolament (UE) […] li jistabbilixxi l-Fond Ewropew għall-koeżjoni ekonomika, soċjali u territorjali, l-agrikoltura u ż-żoni rurali, is-sajd u s-settur marittimu, il-prosperità u s-sigurtà</w:t>
      </w:r>
      <w:bookmarkEnd w:id="10"/>
      <w:r w:rsidRPr="006E239D">
        <w:rPr>
          <w:noProof/>
        </w:rPr>
        <w:t>.</w:t>
      </w:r>
    </w:p>
    <w:p w14:paraId="150E44C0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Simplifikazzjoni</w:t>
      </w:r>
    </w:p>
    <w:p w14:paraId="5F7036BD" w14:textId="2B3428DA" w:rsidR="00286E0D" w:rsidRPr="006E239D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/>
          <w:noProof/>
        </w:rPr>
      </w:pPr>
      <w:r w:rsidRPr="006E239D">
        <w:rPr>
          <w:noProof/>
        </w:rPr>
        <w:t>L-inizjattiva hija mistennija li tikkontribwixxi għal tnaqqis sinifikanti fil-piż u fil-kostijiet amministrattivi, kif ukoll għal effiċjenza mtejba fl-implimentazzjoni tal-appoġġ tal-Unjoni, ara wkoll il-kapitolu korrispondenti tal-memorandum ta’ spjegazzjoni tal-proposta għal Regolament (UE) […] li jistabbilixxi l-Fond Ewropew għall-koeżjoni ekonomika, soċjali u territorjali, għall-agrikoltura u rurali, għas-sajd u għas-settur marittimu, għall-prosperità u għas-sigurtà.</w:t>
      </w:r>
    </w:p>
    <w:p w14:paraId="6EF0EB51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Drittijiet fundamentali</w:t>
      </w:r>
    </w:p>
    <w:p w14:paraId="2B806987" w14:textId="4EBE1154" w:rsidR="00286E0D" w:rsidRPr="006E239D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>L-appoġġ tal-Unjoni se jiġi implimentat f’konformità mal-Karta tad-Drittijiet Fundamentali tal-Unjoni Ewropea u mal-prinċipju tal-istat tad-dritt, kif stabbilit fl-Artikolu 2(a) tar-Regolament (UE, Euratom) 2020/2092, ara wkoll it-taqsima korrispondenti fil-Memorandum ta’ Spjegazzjoni li jakkumpanja l-proposta tal-Kummissjoni għal Regolament (UE) […] li jistabbilixxi l-Fond Ewropew għall-Prosperità u s-Sigurtà Ekonomika, Territorjali, Soċjali, Rurali u Marittima Sostenibbli.</w:t>
      </w:r>
    </w:p>
    <w:p w14:paraId="785D377B" w14:textId="77777777" w:rsidR="00286E0D" w:rsidRPr="006E239D" w:rsidRDefault="00286E0D" w:rsidP="00286E0D">
      <w:pPr>
        <w:pStyle w:val="ManualHeading1"/>
        <w:rPr>
          <w:noProof/>
        </w:rPr>
      </w:pPr>
      <w:r w:rsidRPr="006E239D">
        <w:rPr>
          <w:noProof/>
        </w:rPr>
        <w:t>4.</w:t>
      </w:r>
      <w:r w:rsidRPr="006E239D">
        <w:rPr>
          <w:noProof/>
        </w:rPr>
        <w:tab/>
        <w:t>IMPLIKAZZJONIJIET BAĠITARJI</w:t>
      </w:r>
    </w:p>
    <w:p w14:paraId="3E5D695D" w14:textId="406E1912" w:rsidR="00401265" w:rsidRPr="006E239D" w:rsidRDefault="00401265" w:rsidP="004012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color w:val="000000" w:themeColor="text1"/>
        </w:rPr>
      </w:pPr>
      <w:r w:rsidRPr="006E239D">
        <w:rPr>
          <w:noProof/>
        </w:rPr>
        <w:t>Il-pakkett finanzjarju indikattiv għall-implimentazzjoni tal-objettivi taħt l-appoġġ tal-Unjoni huwa stabbilit għal EUR 15 396 750 000 biljun għall-perjodu mill-2028 sal-2034 fi prezzijiet attwali.</w:t>
      </w:r>
      <w:r w:rsidRPr="006E239D">
        <w:rPr>
          <w:noProof/>
          <w:color w:val="000000" w:themeColor="text1"/>
        </w:rPr>
        <w:t> Dan għandu jiġi implimentat f’konformità mar-regoli orizzontali għall-Pjanijiet ta’ Sħubija Nazzjonali u Reġjonali stabbiliti fir-Regolament (UE) […] li jistabbilixxi l-Fond Ewropew għall-koeżjoni ekonomika, soċjali u territorjali, l-agrikoltura u ż-żoni rurali, is-sajd u s-settur marittimu, il-prosperità u s-sigurtà.</w:t>
      </w:r>
    </w:p>
    <w:p w14:paraId="2B2668EA" w14:textId="42F468FB" w:rsidR="00286E0D" w:rsidRPr="006E239D" w:rsidRDefault="00286E0D" w:rsidP="00401265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FF"/>
        </w:rPr>
      </w:pPr>
    </w:p>
    <w:p w14:paraId="7B939CF7" w14:textId="77777777" w:rsidR="00286E0D" w:rsidRPr="006E239D" w:rsidRDefault="00286E0D" w:rsidP="00286E0D">
      <w:pPr>
        <w:pStyle w:val="ManualHeading1"/>
        <w:rPr>
          <w:noProof/>
        </w:rPr>
      </w:pPr>
      <w:r w:rsidRPr="006E239D">
        <w:rPr>
          <w:noProof/>
        </w:rPr>
        <w:t>5.</w:t>
      </w:r>
      <w:r w:rsidRPr="006E239D">
        <w:rPr>
          <w:noProof/>
        </w:rPr>
        <w:tab/>
        <w:t>ELEMENTI OĦRA</w:t>
      </w:r>
    </w:p>
    <w:p w14:paraId="68F9A644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Pjanijiet ta’ implimentazzjoni u arranġamenti għall-monitoraġġ, l-evalwazzjoni u r-rapportar</w:t>
      </w:r>
    </w:p>
    <w:p w14:paraId="4C6C6654" w14:textId="78D78654" w:rsidR="00286E0D" w:rsidRPr="006E239D" w:rsidRDefault="00286E0D" w:rsidP="00B868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>L-appoġġ tal-Unjoni fl-ambitu ta’ din il-proposta se jiġi implimentat permezz ta’ ġestjoni kondiviża mill-Istati Membri u ġestjoni diretta u indiretta mill-Kummissjoni. L-implimentazzjoni tal-appoġġ tal-Unjoni ser tiġi mmonitorjata permezz tal-qafas ta’ prestazzjoni applikabbli għall-qafas finanzjarju pluriennali 2028–2034, li huwa stabbilit fil-proposta għal Regolament (UE) […] li jistabbilixxi qafas ta’ traċċar u prestazzjoni tan-nefqa baġitarja u regoli orizzontali oħra tal-programmi u l-attivitajiet tal-Unjoni.</w:t>
      </w:r>
    </w:p>
    <w:p w14:paraId="759E865E" w14:textId="77777777" w:rsidR="00286E0D" w:rsidRPr="006E239D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6E239D">
        <w:rPr>
          <w:noProof/>
          <w:u w:color="000000"/>
          <w:bdr w:val="nil"/>
        </w:rPr>
        <w:t>•</w:t>
      </w:r>
      <w:r w:rsidRPr="006E239D">
        <w:rPr>
          <w:noProof/>
          <w:u w:color="000000"/>
          <w:bdr w:val="nil"/>
        </w:rPr>
        <w:tab/>
        <w:t>Spjegazzjoni fid-dettall tad-dispożizzjonijiet speċifiċi tal-proposta</w:t>
      </w:r>
    </w:p>
    <w:p w14:paraId="5D95CCE4" w14:textId="35B09D1E" w:rsidR="002779C4" w:rsidRPr="006E239D" w:rsidRDefault="00286E0D" w:rsidP="002779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 xml:space="preserve"> Ir-Regolament propost jiddefinixxi fl-Artikolu 1 il-kamp ta’ applikazzjoni tal-appoġġ tal-Unjoni għall-ġestjoni integrata tal-fruntieri tal-UE u l-politika tal-UE dwar il-viżi għall-perjodu mill-1 ta’ Jannar 2028 sal-31 ta’ Diċembru 2034. Għal dan, fl-Artikolu 2 jingħataw definizzjonijiet essenzjali, u l-objettivi huma definiti fl-Artikolu 3, f’konsistenza mal-appoġġ tal-Unjoni li ser jiġi pprovdut skont ir-regoli orizzontali tal-Fond Ewropew għall-koeżjoni ekonomika, soċjali u territorjali, l-agrikoltura u ż-żoni rurali, is-sajd u t-trasport marittimu, il-prosperità u s-sigurtà stabbiliti bir-Regolament (UE) […].  </w:t>
      </w:r>
    </w:p>
    <w:p w14:paraId="56E233B3" w14:textId="5502E0FB" w:rsidR="002779C4" w:rsidRPr="006E239D" w:rsidRDefault="002779C4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 xml:space="preserve">Fl-Artikolu 4, il-proposta tistabbilixxi dispożizzjonijiet għall-finanzjament tal-appoġġ tal-Unjoni, fl-Artikolu 5 dispożizzjonijiet għall-Pajjiżi Assoċjati ma’ Schengen, u fl-Artikolu 6 dispożizzjonijiet għall-implimentazzjoni tal-operat tal-iskema ta’ Tranżitu Speċjali fil-Litwanja. </w:t>
      </w:r>
    </w:p>
    <w:p w14:paraId="3EE630F2" w14:textId="0FA4DF22" w:rsidR="00286E0D" w:rsidRPr="006E239D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6E239D">
        <w:rPr>
          <w:noProof/>
        </w:rPr>
        <w:t>ir-Regolament propost jistabbilixxi wkoll fl-Artikolu 7 ir-regoli għat-trattament baġitarju tar-riżorsi għall-kostijiet operattivi tas-Sistema Ewropea ta’ informazzjoni u ta’ Awtorizzazzjoni għall-ivvjaġġar skont ir-Regolament (UE) 2018/1240 u fl-Artikolu 8 ir-regoli għat-trattament baġitarju tal-kontribuzzjonijiet finanzjarji mill-istati Membri għall-fini tar-Riżerva Annwali ta’ Solidarjetà stabbilita bir-</w:t>
      </w:r>
      <w:bookmarkStart w:id="11" w:name="_Hlk201927609"/>
      <w:r w:rsidRPr="006E239D">
        <w:rPr>
          <w:noProof/>
        </w:rPr>
        <w:t>Regolament (UE) 2024/1351</w:t>
      </w:r>
      <w:bookmarkEnd w:id="11"/>
      <w:r w:rsidRPr="006E239D">
        <w:rPr>
          <w:noProof/>
        </w:rPr>
        <w:t xml:space="preserve"> tal-Parlament Ewropew u tal-Kunsill tal-14 ta’ Mejju 2024</w:t>
      </w:r>
      <w:r w:rsidRPr="006E239D">
        <w:rPr>
          <w:rStyle w:val="FootnoteReference"/>
          <w:noProof/>
        </w:rPr>
        <w:footnoteReference w:id="3"/>
      </w:r>
      <w:r w:rsidRPr="006E239D">
        <w:rPr>
          <w:noProof/>
        </w:rPr>
        <w:t>.</w:t>
      </w:r>
    </w:p>
    <w:p w14:paraId="1FF0825E" w14:textId="72B484A4" w:rsidR="00286E0D" w:rsidRPr="006E239D" w:rsidRDefault="00631DBC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</w:rPr>
      </w:pPr>
      <w:r w:rsidRPr="006E239D">
        <w:rPr>
          <w:noProof/>
        </w:rPr>
        <w:t>L-Artikolu 9 jistabbilixxi d-dispożizzjonijiet tranżizzjonali. Id-data tad-dħul fis-seħħ tar-Regolament propost hija stabbilita fl-Artikolu 10, li jistipula li r-Regolament se jkun vinkolanti fl-intier tiegħu u applikabbli direttament fl-Istati Membri kollha f’konformità mat-Trattati mill-1 ta’ Jannar 2028.</w:t>
      </w:r>
    </w:p>
    <w:p w14:paraId="68C60A71" w14:textId="77777777" w:rsidR="00286E0D" w:rsidRPr="006E239D" w:rsidRDefault="00286E0D" w:rsidP="00286E0D">
      <w:pPr>
        <w:spacing w:before="0" w:after="200" w:line="276" w:lineRule="auto"/>
        <w:jc w:val="left"/>
        <w:rPr>
          <w:rFonts w:eastAsia="Arial Unicode MS"/>
          <w:noProof/>
          <w:color w:val="000000" w:themeColor="text1"/>
        </w:rPr>
      </w:pPr>
      <w:r w:rsidRPr="006E239D">
        <w:rPr>
          <w:noProof/>
        </w:rPr>
        <w:br w:type="page"/>
      </w:r>
    </w:p>
    <w:p w14:paraId="567EEDE0" w14:textId="03B3FDF0" w:rsidR="00835316" w:rsidRPr="006E239D" w:rsidRDefault="006E239D" w:rsidP="006E239D">
      <w:pPr>
        <w:pStyle w:val="Rfrenceinterinstitutionnelle"/>
        <w:rPr>
          <w:noProof/>
        </w:rPr>
      </w:pPr>
      <w:r>
        <w:rPr>
          <w:noProof/>
        </w:rPr>
        <w:t>2025/0541 (COD)</w:t>
      </w:r>
    </w:p>
    <w:p w14:paraId="108B7708" w14:textId="43612476" w:rsidR="00286E0D" w:rsidRPr="006E239D" w:rsidRDefault="006E239D" w:rsidP="006E239D">
      <w:pPr>
        <w:pStyle w:val="Statut"/>
        <w:rPr>
          <w:noProof/>
        </w:rPr>
      </w:pPr>
      <w:r w:rsidRPr="006E239D">
        <w:rPr>
          <w:noProof/>
        </w:rPr>
        <w:t>Proposta għal</w:t>
      </w:r>
    </w:p>
    <w:p w14:paraId="5162298C" w14:textId="7A81C3D1" w:rsidR="00286E0D" w:rsidRPr="006E239D" w:rsidRDefault="006E239D" w:rsidP="006E239D">
      <w:pPr>
        <w:pStyle w:val="Typedudocument"/>
        <w:rPr>
          <w:noProof/>
        </w:rPr>
      </w:pPr>
      <w:r w:rsidRPr="006E239D">
        <w:rPr>
          <w:noProof/>
        </w:rPr>
        <w:t>REGOLAMENT TAL-PARLAMENT EWROPEW U TAL-KUNSILL</w:t>
      </w:r>
    </w:p>
    <w:p w14:paraId="3DE0D02D" w14:textId="0692C6E7" w:rsidR="00286E0D" w:rsidRPr="006E239D" w:rsidRDefault="006E239D" w:rsidP="006E239D">
      <w:pPr>
        <w:pStyle w:val="Titreobjet"/>
        <w:rPr>
          <w:noProof/>
        </w:rPr>
      </w:pPr>
      <w:r w:rsidRPr="006E239D">
        <w:rPr>
          <w:noProof/>
        </w:rPr>
        <w:t>li tistabbilixxi l-appoġġ tal-Unjoni għaż-żona Schengen, għall-ġestjoni integrata Ewropea tal-fruntieri u għall-politika komuni dwar il-viżi għall-perijodu mill-2028 sal-2034</w:t>
      </w:r>
    </w:p>
    <w:p w14:paraId="749F32E6" w14:textId="77777777" w:rsidR="00286E0D" w:rsidRPr="006E239D" w:rsidRDefault="00286E0D" w:rsidP="00286E0D">
      <w:pPr>
        <w:pStyle w:val="Institutionquiagit"/>
        <w:rPr>
          <w:noProof/>
        </w:rPr>
      </w:pPr>
      <w:r w:rsidRPr="006E239D">
        <w:rPr>
          <w:noProof/>
        </w:rPr>
        <w:t>IL-PARLAMENT EWROPEW U L-KUNSILL TAL-UNJONI EWROPEA,</w:t>
      </w:r>
    </w:p>
    <w:p w14:paraId="1A70989E" w14:textId="77777777" w:rsidR="00286E0D" w:rsidRPr="006E239D" w:rsidRDefault="00286E0D" w:rsidP="00286E0D">
      <w:pPr>
        <w:rPr>
          <w:noProof/>
        </w:rPr>
      </w:pPr>
      <w:r w:rsidRPr="006E239D">
        <w:rPr>
          <w:noProof/>
        </w:rPr>
        <w:t>Wara li kkunsidraw it-Trattat dwar il-Funzjonament tal-Unjoni Ewropea, u b’mod partikolari l-Artikolu 77(2) u l-punt (c) u (d) tal-Artikolu 79(2) tiegħu,</w:t>
      </w:r>
    </w:p>
    <w:p w14:paraId="6C9BB100" w14:textId="77777777" w:rsidR="00286E0D" w:rsidRPr="006E239D" w:rsidRDefault="00286E0D" w:rsidP="00286E0D">
      <w:pPr>
        <w:rPr>
          <w:noProof/>
        </w:rPr>
      </w:pPr>
      <w:r w:rsidRPr="006E239D">
        <w:rPr>
          <w:noProof/>
        </w:rPr>
        <w:t>Wara li kkunsidraw il-proposta tal-Kummissjoni Ewropea,</w:t>
      </w:r>
    </w:p>
    <w:p w14:paraId="2BE23168" w14:textId="77777777" w:rsidR="00286E0D" w:rsidRPr="006E239D" w:rsidRDefault="00286E0D" w:rsidP="00286E0D">
      <w:pPr>
        <w:rPr>
          <w:noProof/>
        </w:rPr>
      </w:pPr>
      <w:r w:rsidRPr="006E239D">
        <w:rPr>
          <w:noProof/>
        </w:rPr>
        <w:t>Wara li l-abbozz tal-att leġiżlattiv intbagħat lill-parlamenti nazzjonali,</w:t>
      </w:r>
    </w:p>
    <w:p w14:paraId="1F8E258B" w14:textId="77777777" w:rsidR="00286E0D" w:rsidRPr="006E239D" w:rsidRDefault="00286E0D" w:rsidP="00286E0D">
      <w:pPr>
        <w:rPr>
          <w:i/>
          <w:noProof/>
        </w:rPr>
      </w:pPr>
      <w:r w:rsidRPr="006E239D">
        <w:rPr>
          <w:noProof/>
        </w:rPr>
        <w:t>Wara li kkunsidraw l-opinjoni tal-Kumitat Ekonomiku u Soċjali Ewropew</w:t>
      </w:r>
      <w:r w:rsidRPr="006E239D">
        <w:rPr>
          <w:rStyle w:val="FootnoteReference"/>
          <w:noProof/>
        </w:rPr>
        <w:footnoteReference w:id="4"/>
      </w:r>
      <w:r w:rsidRPr="006E239D">
        <w:rPr>
          <w:noProof/>
        </w:rPr>
        <w:t>,</w:t>
      </w:r>
    </w:p>
    <w:p w14:paraId="2B431944" w14:textId="77777777" w:rsidR="00286E0D" w:rsidRPr="006E239D" w:rsidRDefault="00286E0D" w:rsidP="00286E0D">
      <w:pPr>
        <w:rPr>
          <w:noProof/>
        </w:rPr>
      </w:pPr>
      <w:r w:rsidRPr="006E239D">
        <w:rPr>
          <w:noProof/>
        </w:rPr>
        <w:t>Wara li kkonsultaw lill-Kumitat tar-Reġjuni,</w:t>
      </w:r>
    </w:p>
    <w:p w14:paraId="482D2264" w14:textId="77777777" w:rsidR="00286E0D" w:rsidRPr="006E239D" w:rsidRDefault="00286E0D" w:rsidP="00286E0D">
      <w:pPr>
        <w:rPr>
          <w:noProof/>
        </w:rPr>
      </w:pPr>
      <w:r w:rsidRPr="006E239D">
        <w:rPr>
          <w:noProof/>
        </w:rPr>
        <w:t>Filwaqt li jaġixxu skont il-proċedura leġiżlattiva ordinarja</w:t>
      </w:r>
      <w:r w:rsidRPr="006E239D">
        <w:rPr>
          <w:rStyle w:val="FootnoteReference"/>
          <w:noProof/>
        </w:rPr>
        <w:footnoteReference w:id="5"/>
      </w:r>
      <w:r w:rsidRPr="006E239D">
        <w:rPr>
          <w:noProof/>
        </w:rPr>
        <w:t>,</w:t>
      </w:r>
    </w:p>
    <w:p w14:paraId="068D2442" w14:textId="77777777" w:rsidR="00286E0D" w:rsidRPr="006E239D" w:rsidRDefault="00286E0D" w:rsidP="00286E0D">
      <w:pPr>
        <w:rPr>
          <w:noProof/>
        </w:rPr>
      </w:pPr>
      <w:r w:rsidRPr="006E239D">
        <w:rPr>
          <w:noProof/>
        </w:rPr>
        <w:t>Billi:</w:t>
      </w:r>
    </w:p>
    <w:p w14:paraId="6FB4A7DA" w14:textId="26CAFE74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(1)</w:t>
      </w:r>
      <w:r w:rsidRPr="006E239D">
        <w:rPr>
          <w:noProof/>
        </w:rPr>
        <w:tab/>
        <w:t>L-objettiv tal-Unjoni li tikkostitwixxi spazju ta’ libertà, sigurtà u ġustizzja f’konformità mal-Artikolu 67(1) tat-Trattat dwar il-Funzjonament tal-Unjoni Ewropea (TFUE) jenħtieġ li jinkiseb permezz tal-għoti ta’ appoġġ mill-Unjoni għall-iżvilupp tal-politika komuni tal-Unjoni dwar il-kontroll tal-fruntieri esterni, inkluż għall-politika komuni dwar il-viżi skont l-Artikolu 77(2), il-punt (a) tat-TFUE.</w:t>
      </w:r>
    </w:p>
    <w:p w14:paraId="00985906" w14:textId="205638BA" w:rsidR="00286E0D" w:rsidRPr="006E239D" w:rsidRDefault="003347AC" w:rsidP="003347AC">
      <w:pPr>
        <w:pStyle w:val="ManualConsidrant"/>
        <w:rPr>
          <w:noProof/>
          <w:szCs w:val="24"/>
        </w:rPr>
      </w:pPr>
      <w:bookmarkStart w:id="12" w:name="_Hlk201766894"/>
      <w:r w:rsidRPr="006E239D">
        <w:rPr>
          <w:noProof/>
        </w:rPr>
        <w:t>(2)</w:t>
      </w:r>
      <w:r w:rsidRPr="006E239D">
        <w:rPr>
          <w:noProof/>
        </w:rPr>
        <w:tab/>
        <w:t>Sabiex jiġi żgurat il-funzjonament effettiv u effiċjenti taż-żona Schengen mingħajr fruntieri interni, qafas ta’ governanza b’saħħtu, ġestjoni integrata Ewropea effettiva tal-fruntieri, kif implimentata mill-Gwardja Ewropea tal-Fruntiera u tal-Kosta, stabbilita bir-Regolament (UE) 2019/1896 tal-Parlament Ewropew u tal-Kunsill</w:t>
      </w:r>
      <w:r w:rsidR="00286E0D" w:rsidRPr="006E239D">
        <w:rPr>
          <w:rStyle w:val="FootnoteReference"/>
          <w:noProof/>
        </w:rPr>
        <w:footnoteReference w:id="6"/>
      </w:r>
      <w:r w:rsidRPr="006E239D">
        <w:rPr>
          <w:noProof/>
        </w:rPr>
        <w:t>, u l-politika tal-UE dwar il-viżi huma ta’ importanza kbira biex jiġu żgurati l-integrità u r-reżiljenza taż-Żona Schengen.</w:t>
      </w:r>
    </w:p>
    <w:bookmarkEnd w:id="12"/>
    <w:p w14:paraId="6F9BF459" w14:textId="1D0D3FD3" w:rsidR="00286E0D" w:rsidRPr="006E239D" w:rsidRDefault="003347AC" w:rsidP="003347AC">
      <w:pPr>
        <w:pStyle w:val="ManualConsidrant"/>
        <w:rPr>
          <w:rFonts w:eastAsia="Arial Unicode MS"/>
          <w:noProof/>
          <w:szCs w:val="24"/>
        </w:rPr>
      </w:pPr>
      <w:r w:rsidRPr="006E239D">
        <w:rPr>
          <w:noProof/>
        </w:rPr>
        <w:t>(3)</w:t>
      </w:r>
      <w:r w:rsidRPr="006E239D">
        <w:rPr>
          <w:noProof/>
        </w:rPr>
        <w:tab/>
        <w:t>Għalhekk jenħtieġ li l-appoġġ tal-Unjoni jiġi pprovdut għall-isforzi tal-istati Membri biex jipproteġu l-fruntieri esterni tal-Unjoni, irażżnu l-qsim illegali tal-fruntieri u l-movimenti mhux awtorizzati bejn l-istati Membri, kif ukoll jimmodernizzaw u jtejbu l-effiċjenza ġenerali tal-ipproċessar tal-viżi u jipprevjenu l-abbuż tar-reġim tal-viża tal-Unjoni. Dan l-appoġġ tal-Unjoni għandu jiġi pprovdut skont ir-regoli orizzontali tal-Fond Ewropew għall-koeżjoni ekonomika, soċjali u territorjali, l-agrikoltura u ż-żoni rurali, tas-sajd u marittimi, il-prosperità u s-sigurtà stabbiliti bir-Regolament (UE) […].</w:t>
      </w:r>
    </w:p>
    <w:p w14:paraId="4CF9EAE0" w14:textId="55BF0AC6" w:rsidR="00BE09E6" w:rsidRPr="006E239D" w:rsidRDefault="003347AC" w:rsidP="003347AC">
      <w:pPr>
        <w:pStyle w:val="ManualConsidrant"/>
        <w:rPr>
          <w:noProof/>
          <w:sz w:val="22"/>
        </w:rPr>
      </w:pPr>
      <w:r w:rsidRPr="006E239D">
        <w:rPr>
          <w:noProof/>
        </w:rPr>
        <w:t>(4)</w:t>
      </w:r>
      <w:r w:rsidRPr="006E239D">
        <w:rPr>
          <w:noProof/>
        </w:rPr>
        <w:tab/>
        <w:t xml:space="preserve">L-appoġġ tal-Unjoni jenħtieġ li jiġi pprovdut ukoll għall-implimentazzjoni, l-applikazzjoni u l-iżvilupp effettivi tal-qafas ta’ Schengen fil-livell Ewropew u nazzjonali, inkluż permezz tat-tisħiħ tal-governanza nazzjonali ta’ Schengen li tinkludi l-istrutturi effettivi ta’ koordinazzjoni u l-proċessi strateġiċi li huma kritiċi għall-funzjonament tajjeb taż-żona Schengen. </w:t>
      </w:r>
    </w:p>
    <w:p w14:paraId="2AB47203" w14:textId="1048D925" w:rsidR="00286E0D" w:rsidRPr="006E239D" w:rsidRDefault="003347AC" w:rsidP="003347AC">
      <w:pPr>
        <w:pStyle w:val="ManualConsidrant"/>
        <w:rPr>
          <w:noProof/>
          <w:szCs w:val="24"/>
        </w:rPr>
      </w:pPr>
      <w:r w:rsidRPr="006E239D">
        <w:rPr>
          <w:noProof/>
        </w:rPr>
        <w:t>(5)</w:t>
      </w:r>
      <w:r w:rsidRPr="006E239D">
        <w:rPr>
          <w:noProof/>
        </w:rPr>
        <w:tab/>
        <w:t>Dan ir-Regolament jistabbilixxi l-objettivi tal-appoġġ tal-Unjoni għal żona Schengen li tiffunzjona tajjeb mingħajr kontroll fil-fruntieri interni, inkluż għall-ġestjoni integrata Ewropea tal-fruntieri, inkluż appoġġ għall-funzjonament taż-żona Schengen, u għall-politika Ewropea dwar il-viżi</w:t>
      </w:r>
      <w:bookmarkStart w:id="13" w:name="_Hlk201766871"/>
      <w:r w:rsidRPr="006E239D">
        <w:rPr>
          <w:noProof/>
        </w:rPr>
        <w:t xml:space="preserve"> (“l-appoġġ tal-Unjoni”). Jenħtieġ li l-istati Membri jiżguraw li l-Pjanijiet ta’ Sħubija Nazzjonali u Reġjonali tagħhom jindirizzaw kull wieħed mill-objettivi stabbiliti minn dan ir-Regolament. </w:t>
      </w:r>
      <w:bookmarkEnd w:id="13"/>
    </w:p>
    <w:p w14:paraId="6786A060" w14:textId="0E5C918F" w:rsidR="007947CD" w:rsidRPr="006E239D" w:rsidRDefault="003347AC" w:rsidP="003347AC">
      <w:pPr>
        <w:pStyle w:val="ManualConsidrant"/>
        <w:rPr>
          <w:noProof/>
          <w:szCs w:val="24"/>
        </w:rPr>
      </w:pPr>
      <w:r w:rsidRPr="006E239D">
        <w:rPr>
          <w:noProof/>
        </w:rPr>
        <w:t>(6)</w:t>
      </w:r>
      <w:r w:rsidRPr="006E239D">
        <w:rPr>
          <w:noProof/>
        </w:rPr>
        <w:tab/>
        <w:t>F’konformità mal-Att ta’ Adeżjoni tal-Litwanja mal-UE, ir-Regolament jindirizza wkoll il-ħtieġa li l-Litwanja tiġi appoġġata għall-ġestjoni tat-tranżitu ta’ persuni bejn ir-reġjun ta’ Kaliningrad u partijiet oħra tal-Federazzjoni Russa.</w:t>
      </w:r>
    </w:p>
    <w:p w14:paraId="32C36110" w14:textId="1703F862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(7)</w:t>
      </w:r>
      <w:r w:rsidRPr="006E239D">
        <w:rPr>
          <w:noProof/>
        </w:rPr>
        <w:tab/>
        <w:t>L-ammonti li għandhom jiġu allokati għal kull Stat Membru jenħtieġ li jiġu stabbiliti mill-Kummissjoni f’konformità mal-metodoloġija tal-allokazzjoni stabbilita fir-Regolament (UE) […] li jistabbilixxi l-Fond Ewropew għall-koeżjoni ekonomika, soċjali u territorjali, l-agrikoltura u ż-żoni rurali, is-sajd u t-trasport marittimu, il-prosperità u s-sigurtà permezz ta’ deċiżjoni ta’ implimentazzjoni unika. Jenħtieġ li dik id-deċiżjoni bħala regola tkopri wkoll l-ammonti skont ir-Regolament (UE) […] li jistabbilixxi l-Fond Ewropew għall-koeżjoni ekonomika, soċjali u territorjali, l-agrikoltura u rurali, is-sajd u s-settur marittimu, il-prosperità u s-sigurtà, ir-Regolament (UE) […] li jistabbilixxi l-appoġġ tal-Unjoni għall-ażil, il-migrazzjoni u l-integrazzjoni u r-Regolament (UE) […] li jistabbilixxi l-appoġġ tal-Unjoni għas-sigurtà interna.</w:t>
      </w:r>
    </w:p>
    <w:p w14:paraId="0C6F62A8" w14:textId="75D56802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(8)</w:t>
      </w:r>
      <w:r w:rsidRPr="006E239D">
        <w:rPr>
          <w:noProof/>
        </w:rPr>
        <w:tab/>
        <w:t>L-appoġġ tal-Unjoni jenħtieġ li jibni fuq ir-riżultati u l-investimenti mill-perjodi ta’ programmazzjoni preċedenti: (i) il-Fond għall-Fruntieri Esterni għall-perjodu 2007-2013 stabbilit bid-Deċiżjoni 574/2007/KE tal-Parlament Ewropew u tal-Kunsill</w:t>
      </w:r>
      <w:r w:rsidR="00286E0D" w:rsidRPr="006E239D">
        <w:rPr>
          <w:rStyle w:val="FootnoteReference"/>
          <w:noProof/>
        </w:rPr>
        <w:footnoteReference w:id="7"/>
      </w:r>
      <w:r w:rsidRPr="006E239D">
        <w:rPr>
          <w:noProof/>
        </w:rPr>
        <w:t>; (ii)</w:t>
      </w:r>
      <w:r w:rsidRPr="006E239D">
        <w:rPr>
          <w:rStyle w:val="FootnoteReference"/>
          <w:noProof/>
        </w:rPr>
        <w:t xml:space="preserve"> </w:t>
      </w:r>
      <w:r w:rsidRPr="006E239D">
        <w:rPr>
          <w:noProof/>
        </w:rPr>
        <w:t>l-istrument għall-fruntieri esterni u l-viża bħala parti mill-Fond għas-Sigurtà Interna għall-perjodu 2014-2020 stabbilit bir-Regolament (UE) Nru 515/2014 tal-Parlament Ewropew u tal-Kunsill</w:t>
      </w:r>
      <w:r w:rsidR="00286E0D" w:rsidRPr="006E239D">
        <w:rPr>
          <w:rStyle w:val="FootnoteReference"/>
          <w:noProof/>
        </w:rPr>
        <w:footnoteReference w:id="8"/>
      </w:r>
      <w:r w:rsidRPr="006E239D">
        <w:rPr>
          <w:noProof/>
        </w:rPr>
        <w:t>; u (iii) l-istrument għall-appoġġ finanzjarju għall-ġestjoni tal-fruntieri u l-politika dwar il-viżi bħala parti mill-Fond għall-Ġestjoni Integrata tal-Fruntieri għall-perjodu 2021-2027, stabbilit bir-Regolament (UE) 2021/1148 tal-Parlament Ewropew u tal-Kunsill</w:t>
      </w:r>
      <w:r w:rsidR="00286E0D" w:rsidRPr="006E239D">
        <w:rPr>
          <w:rStyle w:val="FootnoteReference"/>
          <w:noProof/>
          <w:szCs w:val="24"/>
        </w:rPr>
        <w:footnoteReference w:id="9"/>
      </w:r>
      <w:r w:rsidRPr="006E239D">
        <w:rPr>
          <w:noProof/>
        </w:rPr>
        <w:t xml:space="preserve">. </w:t>
      </w:r>
    </w:p>
    <w:p w14:paraId="28287138" w14:textId="60C80E31" w:rsidR="00B9223C" w:rsidRPr="006E239D" w:rsidRDefault="003347AC" w:rsidP="003347AC">
      <w:pPr>
        <w:pStyle w:val="ManualConsidrant"/>
        <w:rPr>
          <w:rFonts w:eastAsia="Arial Unicode MS"/>
          <w:noProof/>
          <w:szCs w:val="24"/>
        </w:rPr>
      </w:pPr>
      <w:r w:rsidRPr="006E239D">
        <w:rPr>
          <w:noProof/>
        </w:rPr>
        <w:t>(9)</w:t>
      </w:r>
      <w:r w:rsidRPr="006E239D">
        <w:rPr>
          <w:noProof/>
        </w:rPr>
        <w:tab/>
        <w:t>Fid-dawl ta’ xenarju globali li qed jinbidel u l-instabbiltà li qed tikber, l-Unjoni u l-Istati Membri tagħha jeħtieġ li jgħaqqdu r-riżorsi tagħhom biex jipproteġu l-fruntieri esterni tal-Unjoni b’mod effettiv, inkluż biex jindirizzaw il-migrazzjoni irregolari, il-faċilitazzjoni ta’ dħul klandestin ta’ migranti, it-traffikar tal-bnedmin, u jirrispondu minn fuq għall-atturi tal-Istat li joħolqu u jiffaċilitaw b’mod artifiċjali l-migrazzjoni irregolari, l-istrumentalizzazzjoni tal-flussi migratorji bħala għodda għal skopijiet politiċi, u l-użu ta’ tattiċi tal-gwerra ibridi, bħall-użu tal-migrazzjoni bħala arma</w:t>
      </w:r>
      <w:r w:rsidR="00BA3EDB" w:rsidRPr="006E239D">
        <w:rPr>
          <w:rStyle w:val="FootnoteReference"/>
          <w:noProof/>
        </w:rPr>
        <w:footnoteReference w:id="10"/>
      </w:r>
      <w:r w:rsidRPr="006E239D">
        <w:rPr>
          <w:noProof/>
        </w:rPr>
        <w:t xml:space="preserve">, biex jiddestabbilizzaw l-Unjoni Ewropea u l-Istati Membri tagħha. Fl-interess tas-solidarjetà fiż-żona Schengen kollha kemm hi u fl-ispirtu ta’ responsabbiltà kondiviża għall-protezzjoni tal-fruntieri esterni tal-Unjoni, il-Pjan ta’ Sħubija Nazzjonali u Reġjonali tal-istat Membru jenħtieġ li jindirizza b’mod adegwat l-isfidi identifikati, b’mod partikolari fil-kuntest tal-istrateġija Ewropea għall-Ġestjoni integrata tal-Fruntieri, l-istrateġija tal-Politika Ewropea dwar il-Viżi u fl-arkitettura l-ġdida tal-iT ta’ Schengen li tiddependi fuq is-sistemi tat-teknoloġija tal-informazzjoni (iT) fuq skala kbira skjerati għall-ġestjoni tal-fruntieri esterni u tas-sigurtà kif ukoll fuq l-interoperabbiltà ta’ dawk is-sistemi. Barra minn hekk, b’appoġġ għall-missjoni ta’ kontroll fil-fruntieri, jenħtieġ li jiġi kkunsidrat l-użu tat-teknoloġija u s-soluzzjonijiet diġitali.   </w:t>
      </w:r>
    </w:p>
    <w:p w14:paraId="748664DD" w14:textId="5916F529" w:rsidR="00FA5BBE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(10)</w:t>
      </w:r>
      <w:r w:rsidRPr="006E239D">
        <w:rPr>
          <w:noProof/>
        </w:rPr>
        <w:tab/>
        <w:t>L-appoġġ tal-Unjoni jenħtieġ li jikkontribwixxi biex jiġu żgurati l-konsistenza, il-koerenza, is-sinerġiji u l-komplementarjetajiet bejn il-politiki interni u esterni tal-Unjoni. Hija meħtieġa koerenza akbar bejn il-politiki dwar il-migrazzjoni, l-ażil, ir-ritorn u dawk esterni u huwa importanti li jiġi żgurat li l-assistenza esterna tal-Unjoni u l-appoġġ tal-Unjoni skont dan ir-Regolament jikkontribwixxu għal approċċ koordinat, olistiku u strutturat għall-migrazzjoni, filwaqt li jimmassimizzaw is-sinerġiji u jżidu l-influwenza. L-appoġġ tal-Unjoni skont dan ir-Regolament jista’ jinkludi wkoll appoġġ għar-riżorsi rilevanti tad-delegazzjonijiet tal-UE f’każijiet debitament ġustifikati, u jkun ikkoordinat bejn l-istati Membri u l-Kummissjoni fl-istadji ta’ programmazzjoni u implimentazzjoni.</w:t>
      </w:r>
    </w:p>
    <w:p w14:paraId="46F16C80" w14:textId="2DCE2966" w:rsidR="00DC6F83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(11)</w:t>
      </w:r>
      <w:r w:rsidRPr="006E239D">
        <w:rPr>
          <w:noProof/>
        </w:rPr>
        <w:tab/>
        <w:t>L-Ewropa trid tipproteġi l-interess tas-sigurtà tagħha kontra fornituri li jistgħu jirrappreżentaw riskju persistenti għas-sigurtà minħabba l-interferenza potenzjali minn pajjiżi terzi kif ukoll il-prattiki taċ-ċibersigurtà tagħhom. Għalhekk huwa meħtieġ li jitnaqqas ir-riskju ta’ dipendenza persistenti fuq fornituri b’riskju għoli fis-suq intern, peress li dawn jista’ jkollhom impatti negattivi potenzjalment serji fuq is-sigurtà għall-utenti, il-kumpaniji u l-awtoritajiet madwar l-UE u l-infrastruttura kritika tal-UE f’termini tal-integrità tad-data u s-servizzi kif ukoll id-disponibbiltà tas-servizz. Din l-esklużjoni għandha tkun ibbażata fuq valutazzjoni tar-riskju proporzjonata u miżuri ta’ mitigazzjoni assoċjati kif definiti fil-politiki u l-liġijiet tal-Unjoni.</w:t>
      </w:r>
    </w:p>
    <w:p w14:paraId="36DC56FF" w14:textId="4044E33B" w:rsidR="00286E0D" w:rsidRPr="006E239D" w:rsidRDefault="003347AC" w:rsidP="003347AC">
      <w:pPr>
        <w:pStyle w:val="ManualConsidrant"/>
        <w:rPr>
          <w:rFonts w:eastAsia="Arial Unicode MS"/>
          <w:noProof/>
          <w:szCs w:val="24"/>
        </w:rPr>
      </w:pPr>
      <w:r w:rsidRPr="006E239D">
        <w:rPr>
          <w:noProof/>
        </w:rPr>
        <w:t>(12)</w:t>
      </w:r>
      <w:r w:rsidRPr="006E239D">
        <w:rPr>
          <w:noProof/>
        </w:rPr>
        <w:tab/>
        <w:t>Peress li l-isfidi fil-ġestjoni tal-fruntieri u l-politika dwar il-viżi qed jevolvu b’mod kostanti, hemm bżonn li l-allokazzjoni tal-appoġġ tal-Unjoni tiġi adattata għall-bidliet fil-prijoritajiet għall-ġestjoni tal-fruntieri esterni u l-politika dwar il-viżi, inklużi bidliet li jirriżultaw minn pressjoni akbar fil-fruntiera, u ħtieġa li l-finanzjament jiġi orjentat lejn il-prijoritajiet bl-ogħla valur miżjud tal-Unjoni. Sabiex jiġu indirizzati l-ħtiġijiet urġenti u l-bidliet fil-politika u l-prijoritajiet tal-Unjoni, u biex il-finanzjament jiġi orjentat lejn azzjonijiet b’livell għoli ta’ valur miżjud tal-Unjoni, parti mill-appoġġ tal-Unjoni jenħtieġ li tiġi implimentata b’ġestjoni diretta, kondiviża u indiretta permezz tal-Faċilità tal-UE stabbilita skont ir-Regolament (UE) […] li jistabbilixxi l-Fond Ewropew għall-koeżjoni ekonomika, soċjali u territorjali, l-agrikoltura u ż-żoni rurali, is-sajd u t-trasport marittimu, il-prosperità u s-sigurtà. il-Faċilità tal-UE toffri flessibbiltà fil-ġestjoni tal-appoġġ tal-Unjoni, u, għal ġestjoni kondiviża, jenħtieġ li tiġi implimentata permezz tal-Pjanijiet ta’ Sħubija Nazzjonali u Reġjonali tal-istati Membri.</w:t>
      </w:r>
    </w:p>
    <w:p w14:paraId="3E024F13" w14:textId="33F10476" w:rsidR="00286E0D" w:rsidRPr="006E239D" w:rsidRDefault="003347AC" w:rsidP="003347AC">
      <w:pPr>
        <w:pStyle w:val="ManualConsidrant"/>
        <w:rPr>
          <w:rFonts w:eastAsia="Arial Unicode MS"/>
          <w:noProof/>
          <w:szCs w:val="24"/>
        </w:rPr>
      </w:pPr>
      <w:r w:rsidRPr="006E239D">
        <w:rPr>
          <w:noProof/>
        </w:rPr>
        <w:t>(13)</w:t>
      </w:r>
      <w:r w:rsidRPr="006E239D">
        <w:rPr>
          <w:noProof/>
        </w:rPr>
        <w:tab/>
        <w:t>Jenħtieġ li l-Kummissjoni u l-istati Membri jiżguraw li l-għarfien u l-esperjenza tal-korpi, l-uffiċċji u l-aġenziji tal-Unjoni jitqiesu fl-implimentazzjoni ta’ miżuri jew fl-indirizzar tal-isfidi fir-rigward tal-ġestjoni tal-migrazzjoni, il-kontroll u l-ġestjoni tal-fruntieri u s-sigurtà interna. Fejn xieraq, jenħtieġ li l-Kummissjoni tkun tista’ tinvolvi wkoll lill-korpi, l-uffiċċji u l-aġenziji rilevanti tal-Unjoni f’attivitajiet li għandhom l-għan li jiżguraw li l-miżuri appoġġati mill-appoġġ tal-Unjoni jikkonformaw mal-acquis rilevanti tal-Unjoni u l-prijoritajiet miftiehma tal-Unjoni.</w:t>
      </w:r>
    </w:p>
    <w:p w14:paraId="79A06EF4" w14:textId="6FE4B497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(14)</w:t>
      </w:r>
      <w:r w:rsidRPr="006E239D">
        <w:rPr>
          <w:noProof/>
        </w:rPr>
        <w:tab/>
        <w:t xml:space="preserve">Jenħtieġ li l-appoġġ tal-Unjoni jappoġġa miżuri marbuta mal-kontroll fil-fruntieri esterni fit-territorju tal-pajjiżi li japplikaw l-acquis ta’ Schengen bħala parti mill-implimentazzjoni tal-ġestjoni integrata Ewropea tal-fruntieri, li jsaħħu il-funzjonament ġenerali taż-żona Schengen. Sabiex jiġu speċifikati n-natura u l-modi tal-parteċipazzjoni fl-appoġġ tal-Unjoni tal-pajjiżi assoċjati mal-implimentazzjoni, l-applikazzjoni u l-iżvilupp tal-acquis ta’ Schengen, jenħtieġ li jiġu konklużi arranġamenti ulterjuri bejn l-Unjoni u dawk il-pajjiżi skont id-dispożizzjonijiet rilevanti tal-ftehimiet ta’ assoċjazzjoni rispettivi bejn dawk il-pajjiżi u l-Unjoni. </w:t>
      </w:r>
    </w:p>
    <w:p w14:paraId="1ACD8BCA" w14:textId="7A46241F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(15)</w:t>
      </w:r>
      <w:r w:rsidRPr="006E239D">
        <w:rPr>
          <w:noProof/>
        </w:rPr>
        <w:tab/>
        <w:t>L-appoġġ tal-Unjoni jenħtieġ li jkompli jikkontribwixxi għall-implimentazzjoni, l-iżvilupp u l-governanza taż-żona Schengen biex jippromwovi żona mingħajr kontroll fil-fruntieri interni. Jenħtieġ li tkompli tappoġġa l-miżuri marbuta mal-kontroll tal-fruntieri esterni fit-territorju tal-pajjiżi li japplikaw l-acquis ta’ Schengen bħala parti mill-implimentazzjoni tal-ġestjoni integrata Ewropea tal-fruntieri, li ssaħħaħ il-funzjonament ġenerali taż-żona Schengen.</w:t>
      </w:r>
    </w:p>
    <w:p w14:paraId="5A7895AE" w14:textId="175385F1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(16)</w:t>
      </w:r>
      <w:r w:rsidRPr="006E239D">
        <w:rPr>
          <w:noProof/>
        </w:rPr>
        <w:tab/>
        <w:t>L-appoġġ tal-Unjoni jenħtieġ li jikkontribwixxi għall-immodernizzar u t-titjib tal-effiċjenza tal-ipproċessar tal-viżi f’termini ta’ detezzjoni u valutazzjoni tar-riskji għas-sigurtà u l-migrazzjoni irregolari, filwaqt li tiġi żgurata l-implimentazzjoni effettiva tal-Kodiċi dwar il-Viżi. B’mod partikolari, l-appoġġ tal-Unjoni jenħtieġ li jikkontribwixxi għad-diġitalizzazzjoni tal-ipproċessar tal-viżi bl-objettiv li jiġu pprovduti proċeduri tal-viża rapidi, siguri u faċli għall-klijenti għall-benefiċċju kemm tal-applikanti għal viża kif ukoll tal-konsulati. L-appoġġ tal-Unjoni jenħtieġ li jservi wkoll biex itejjeb is-servizz għall-applikanti għal viża, inkluż permezz ta’ kopertura aħjar tas-servizzi konsulari madwar id-dinja.</w:t>
      </w:r>
    </w:p>
    <w:p w14:paraId="5F13111F" w14:textId="7964490E" w:rsidR="00286E0D" w:rsidRPr="006E239D" w:rsidRDefault="003347AC" w:rsidP="003347AC">
      <w:pPr>
        <w:pStyle w:val="ManualConsidrant"/>
        <w:rPr>
          <w:noProof/>
        </w:rPr>
      </w:pPr>
      <w:bookmarkStart w:id="14" w:name="_Hlk201962914"/>
      <w:r w:rsidRPr="006E239D">
        <w:rPr>
          <w:noProof/>
        </w:rPr>
        <w:t>(17)</w:t>
      </w:r>
      <w:r w:rsidRPr="006E239D">
        <w:rPr>
          <w:noProof/>
        </w:rPr>
        <w:tab/>
        <w:t>L-istati Membri jistgħu jibnu fuq il-prinċipju tas-sħubija fl-implimentazzjoni tal-appoġġ tal-Unjoni biex tiġi żgurata l-kontinwità fl-approċċ ta’ governanza.</w:t>
      </w:r>
      <w:bookmarkEnd w:id="14"/>
    </w:p>
    <w:p w14:paraId="7984B517" w14:textId="01857EF6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(18)</w:t>
      </w:r>
      <w:r w:rsidRPr="006E239D">
        <w:rPr>
          <w:noProof/>
        </w:rPr>
        <w:tab/>
        <w:t>Skont l-Artikolu 86 tar-Regolament (UE) 2018/1240 tal-Parlament Ewropew u tal-Kunsill</w:t>
      </w:r>
      <w:r w:rsidR="00286E0D" w:rsidRPr="006E239D">
        <w:rPr>
          <w:rStyle w:val="FootnoteReference"/>
          <w:noProof/>
          <w:szCs w:val="24"/>
        </w:rPr>
        <w:footnoteReference w:id="11"/>
      </w:r>
      <w:r w:rsidRPr="006E239D">
        <w:rPr>
          <w:noProof/>
        </w:rPr>
        <w:t xml:space="preserve">, jenħtieġ li l-kostijiet operatorji tas-Sistema Ewropea ta’ Informazzjoni u ta’ Awtorizzazzjoni għall-Ivvjaġġar (European Travel Information and Authorisation System, ETIAS) ikunu koperti mid-dħul iġġenerat mit-tariffi tal-awtorizzazzjoni għall-ivvjaġġar. Jenħtieġ li dan ir-Regolament jistabbilixxi regoli sabiex jagħmel disponibbli għall-Istati Membri s-sehem rispettiv tagħhom tat-tariffi tal-ETIAS biex ikopru l-kostijiet operattivi rilevanti tagħhom, </w:t>
      </w:r>
      <w:bookmarkStart w:id="15" w:name="_Hlk202881236"/>
      <w:r w:rsidRPr="006E239D">
        <w:rPr>
          <w:noProof/>
        </w:rPr>
        <w:t>inklużi modalitajiet f’każijiet meta l-kostijiet operattivi totali tagħhom f’sena partikolari jaqbżu d-dħul disponibbli tal-ETIAS</w:t>
      </w:r>
      <w:bookmarkEnd w:id="15"/>
      <w:r w:rsidRPr="006E239D">
        <w:rPr>
          <w:noProof/>
        </w:rPr>
        <w:t xml:space="preserve">. </w:t>
      </w:r>
    </w:p>
    <w:p w14:paraId="73242398" w14:textId="7DC173D4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(19)</w:t>
      </w:r>
      <w:r w:rsidRPr="006E239D">
        <w:rPr>
          <w:noProof/>
        </w:rPr>
        <w:tab/>
        <w:t>Minħabba li l-Istati Membri soġġetti għal pressjoni migratorja jenħtieġ li jkunu jistgħu jiddependu fuq l-appoġġ tal-Unjoni, jenħtieġ li dan ir-Regolament jistabbilixxi r-regoli sabiex jagħmel disponibbli għall-Istati Membri benefiċjarji s-sehem rispettiv tal-kontribuzzjonijiet finanzjarji inklużi fir-Riżerva Annwali ta’ Solidarjetà stabbilita bir-Regolament (UE) 2024/1351</w:t>
      </w:r>
      <w:r w:rsidR="00286E0D" w:rsidRPr="006E239D">
        <w:rPr>
          <w:rStyle w:val="FootnoteReference"/>
          <w:rFonts w:eastAsia="Arial Unicode MS"/>
          <w:noProof/>
          <w:szCs w:val="24"/>
          <w:lang w:eastAsia="en-IE"/>
        </w:rPr>
        <w:footnoteReference w:id="12"/>
      </w:r>
      <w:r w:rsidRPr="006E239D">
        <w:rPr>
          <w:noProof/>
        </w:rPr>
        <w:t>.</w:t>
      </w:r>
    </w:p>
    <w:p w14:paraId="4C768251" w14:textId="3AE1A69C" w:rsidR="006866F6" w:rsidRPr="006E239D" w:rsidRDefault="003347AC" w:rsidP="003347AC">
      <w:pPr>
        <w:pStyle w:val="ManualConsidrant"/>
        <w:rPr>
          <w:noProof/>
        </w:rPr>
      </w:pPr>
      <w:bookmarkStart w:id="16" w:name="_Hlk202881260"/>
      <w:r w:rsidRPr="006E239D">
        <w:rPr>
          <w:noProof/>
        </w:rPr>
        <w:t>(20)</w:t>
      </w:r>
      <w:r w:rsidRPr="006E239D">
        <w:rPr>
          <w:noProof/>
        </w:rPr>
        <w:tab/>
        <w:t>L-azzjonijiet kollha appoġġati f’konformità mal-appoġġ tal-Unjoni skont dan ir-Regolament jenħtieġ li jiġu implimentati f’konformità mad-drittijiet u l-prinċipji minquxa fl-acquis tal-Unjoni u fil-Karta tad-Drittijiet Fundamentali tal-Unjoni Ewropea u jenħtieġ li jkunu konformi mal-obbligi internazzjonali tal-Unjoni u tal-istati Membri li jirriżultaw mill-istrumenti internazzjonali li huma parti għalihom.</w:t>
      </w:r>
    </w:p>
    <w:bookmarkEnd w:id="16"/>
    <w:p w14:paraId="79724041" w14:textId="1336DDA4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(21)</w:t>
      </w:r>
      <w:r w:rsidRPr="006E239D">
        <w:rPr>
          <w:noProof/>
        </w:rPr>
        <w:tab/>
        <w:t>F’konformità mal-Protokoll Nru 5 għall-Att tal-Adeżjoni tal-2003 dwar it-tranżitu ta’ persuni bl-art bejn ir-reġjun ta’ Kaliningrad u partijiet oħra tal-Federazzjoni Russa</w:t>
      </w:r>
      <w:r w:rsidR="00286E0D" w:rsidRPr="006E239D">
        <w:rPr>
          <w:rStyle w:val="FootnoteReference"/>
          <w:noProof/>
          <w:szCs w:val="24"/>
        </w:rPr>
        <w:footnoteReference w:id="13"/>
      </w:r>
      <w:r w:rsidRPr="006E239D">
        <w:rPr>
          <w:noProof/>
        </w:rPr>
        <w:t>, l-Unjoni għandha tassisti lil-Litwanja fil-ġestjoni tat-tranżitu ta’ persuni bejn ir-reġjun ta’ Kaliningrad u l-partijiet l-oħra tal-Federazzjoni Russa u għandha, b’mod partikolari, tħallas kwalunkwe kost addizzjonali mġarrba bl-implimentazzjoni tad-dispożizzjonijiet speċifiċi tal-acquis li jipprevedu tali tranżitu. Għalhekk, jenħtieġ li dan ir-Regolament jistabbilixxi r-regoli għall-appoġġ finanzjarju għall-Iskema ta’ Tranżitu Speċjali stabbilita bir-Regolament tal-Kunsill (KE) Nru 693/2003</w:t>
      </w:r>
      <w:r w:rsidR="00286E0D" w:rsidRPr="006E239D">
        <w:rPr>
          <w:rStyle w:val="FootnoteReference"/>
          <w:noProof/>
          <w:szCs w:val="24"/>
        </w:rPr>
        <w:footnoteReference w:id="14"/>
      </w:r>
      <w:r w:rsidRPr="006E239D">
        <w:rPr>
          <w:noProof/>
        </w:rPr>
        <w:t>.</w:t>
      </w:r>
    </w:p>
    <w:p w14:paraId="2F17EDDB" w14:textId="10F49CFA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(22)</w:t>
      </w:r>
      <w:r w:rsidRPr="006E239D">
        <w:rPr>
          <w:noProof/>
        </w:rPr>
        <w:tab/>
        <w:t>Fir-rigward tal-Iżlanda u n-Norveġja, dan ir-Regolament jikkostitwixxi żvilupp tad-dispożizzjonijiet tal-acquis ta’ Schengen fis-sens tal-Ftehim konkluż mill-Kunsill tal-Unjoni Ewropea u r-Repubblika tal-Iżlanda u r-Renju tan-Norveġja dwar l-assoċjazzjoni ta’ dawk iż-żewġ Stati mal-implimentazzjoni, l-applikazzjoni u l-iżvilupp tal-acquis ta’ Schengen</w:t>
      </w:r>
      <w:r w:rsidR="00286E0D" w:rsidRPr="006E239D">
        <w:rPr>
          <w:rStyle w:val="FootnoteReference"/>
          <w:noProof/>
          <w:szCs w:val="24"/>
        </w:rPr>
        <w:footnoteReference w:id="15"/>
      </w:r>
      <w:r w:rsidRPr="006E239D">
        <w:rPr>
          <w:noProof/>
        </w:rPr>
        <w:t>, li jaqgħu fil-qasam imsemmi fl-Artikolu 1, punti A u B, tad-Deċiżjoni tal-Kunsill 1999/437/KE</w:t>
      </w:r>
      <w:r w:rsidR="00286E0D" w:rsidRPr="006E239D">
        <w:rPr>
          <w:rStyle w:val="FootnoteReference"/>
          <w:noProof/>
          <w:szCs w:val="24"/>
        </w:rPr>
        <w:footnoteReference w:id="16"/>
      </w:r>
      <w:r w:rsidRPr="006E239D">
        <w:rPr>
          <w:noProof/>
        </w:rPr>
        <w:t>.</w:t>
      </w:r>
    </w:p>
    <w:p w14:paraId="440CC84B" w14:textId="600DEAC6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(23)</w:t>
      </w:r>
      <w:r w:rsidRPr="006E239D">
        <w:rPr>
          <w:noProof/>
        </w:rPr>
        <w:tab/>
        <w:t>Fir-rigward tal-Iżvizzera, dan ir-Regolament jikkostitwixxi żvilupp tad-dispożizzjonijiet tal-acquis ta’ Schengen, fis-sens tal-Ftehim bejn l-Unjoni Ewropea, il-Komunità Ewropea u l-Konfederazzjoni Żvizzera dwar l-assoċjazzjoni tal-Konfederazzjoni Żvizzera mal-implimentazzjoni, l-applikazzjoni u l-iżvilupp tal-acquis ta’ Schengen</w:t>
      </w:r>
      <w:r w:rsidR="00286E0D" w:rsidRPr="006E239D">
        <w:rPr>
          <w:rStyle w:val="FootnoteReference"/>
          <w:noProof/>
          <w:szCs w:val="24"/>
        </w:rPr>
        <w:footnoteReference w:id="17"/>
      </w:r>
      <w:r w:rsidRPr="006E239D">
        <w:rPr>
          <w:noProof/>
        </w:rPr>
        <w:t>, li jaqgħu fil-qasam imsemmi fl-Artikolu 1, punti A u B, tad-Deċiżjoni 1999/437/KE moqri flimkien mal-Artikolu 3 tad-Deċiżjoni tal-Kunsill 2008/146/KE</w:t>
      </w:r>
      <w:r w:rsidR="00286E0D" w:rsidRPr="006E239D">
        <w:rPr>
          <w:rStyle w:val="FootnoteReference"/>
          <w:noProof/>
          <w:szCs w:val="24"/>
        </w:rPr>
        <w:footnoteReference w:id="18"/>
      </w:r>
      <w:r w:rsidRPr="006E239D">
        <w:rPr>
          <w:noProof/>
        </w:rPr>
        <w:t>.</w:t>
      </w:r>
    </w:p>
    <w:p w14:paraId="396CC801" w14:textId="2CEB75AB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(24)</w:t>
      </w:r>
      <w:r w:rsidRPr="006E239D">
        <w:rPr>
          <w:noProof/>
        </w:rPr>
        <w:tab/>
        <w:t>Fir-rigward tal-Liechtenstein, dan ir-Regolament jikkostitwixxi żvilupp tad-dispożizzjonijiet tal-acquis ta’ Schengen fis-sens tal-Protokoll bejn l-Unjoni Ewropea, il-Komunità Ewropea, il-Konfederazzjoni Żvizzera u l-Prinċipat tal-Liechtenstein dwar l-adeżjoni tal-Prinċipat tal-Liechtenstein mal-Ftehim bejn l-Unjoni Ewropea, il-Komunità Ewropea u l-Konfederazzjoni Żvizzera dwar l-assoċjazzjoni tal-Konfederazzjoni Żvizzera mal-implimentazzjoni, l-applikazzjoni u l-iżvilupp tal-acquis ta’ Schengen</w:t>
      </w:r>
      <w:r w:rsidR="00286E0D" w:rsidRPr="006E239D">
        <w:rPr>
          <w:rStyle w:val="FootnoteReference"/>
          <w:noProof/>
          <w:szCs w:val="24"/>
        </w:rPr>
        <w:footnoteReference w:id="19"/>
      </w:r>
      <w:r w:rsidRPr="006E239D">
        <w:rPr>
          <w:noProof/>
        </w:rPr>
        <w:t>, li jaqgħu fil-qasam imsemmi fl-Artikolu 1, punti A u B tad-Deċiżjoni 1999/437/KE moqri flimkien mal-Artikolu 3 tad-Deċiżjoni tal-Kunsill 2011/350/UE</w:t>
      </w:r>
      <w:r w:rsidR="00286E0D" w:rsidRPr="006E239D">
        <w:rPr>
          <w:rStyle w:val="FootnoteReference"/>
          <w:noProof/>
          <w:szCs w:val="24"/>
        </w:rPr>
        <w:footnoteReference w:id="20"/>
      </w:r>
      <w:r w:rsidRPr="006E239D">
        <w:rPr>
          <w:noProof/>
        </w:rPr>
        <w:t>.</w:t>
      </w:r>
    </w:p>
    <w:p w14:paraId="1D419147" w14:textId="7F099022" w:rsidR="00806AC4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(25)</w:t>
      </w:r>
      <w:r w:rsidRPr="006E239D">
        <w:rPr>
          <w:noProof/>
        </w:rPr>
        <w:tab/>
        <w:t>F’konformità mal-Artikoli 1 u 2 tal-Protokoll Nru 22 dwar il-pożizzjoni tad-Danimarka, anness mat-TUE u mat-TFUE, id-Danimarka mhijiex qed tieħu sehem fl-adozzjoni ta’ dan ir-Regolament u mhijiex marbuta bih jew soġġetta għall-applikazzjoni tiegħu. Ladarba dan ir-Regolament jibni fuq l-acquis ta’ Schengen, jenħtieġ li d-Danimarka, f’konformità mal-Artikolu 4 ta’ dak il-Protokoll, tiddeċiedi, fi żmien sitt xhur wara li l-Kunsill ikun iddeċieda dwar dan ir-Regolament, jekk hijiex ser timplimenta dan ir-Regolament fil-liġi nazzjonali tagħha.</w:t>
      </w:r>
    </w:p>
    <w:p w14:paraId="776F0C22" w14:textId="398D5BDA" w:rsidR="00286E0D" w:rsidRPr="006E239D" w:rsidRDefault="003347AC" w:rsidP="003347AC">
      <w:pPr>
        <w:pStyle w:val="ManualConsidrant"/>
        <w:rPr>
          <w:noProof/>
        </w:rPr>
      </w:pPr>
      <w:r w:rsidRPr="006E239D">
        <w:rPr>
          <w:noProof/>
        </w:rPr>
        <w:t>(26)</w:t>
      </w:r>
      <w:r w:rsidRPr="006E239D">
        <w:rPr>
          <w:noProof/>
        </w:rPr>
        <w:tab/>
        <w:t>Dan ir-Regolament jikkostitwixxi żvilupp tad-dispożizzjonijiet tal-acquis ta’ Schengen li fihom l-Irlanda mhijiex qed tieħu sehem, f’konformità mad-Deċiżjoni tal-Kunsill 2002/192/KE</w:t>
      </w:r>
      <w:r w:rsidR="00286E0D" w:rsidRPr="006E239D">
        <w:rPr>
          <w:rStyle w:val="FootnoteReference"/>
          <w:noProof/>
          <w:szCs w:val="24"/>
        </w:rPr>
        <w:footnoteReference w:id="21"/>
      </w:r>
      <w:r w:rsidRPr="006E239D">
        <w:rPr>
          <w:noProof/>
        </w:rPr>
        <w:t>. Għalhekk l-Irlanda mhijiex qed tieħu sehem fl-adozzjoni ta’ dan ir-Regolament u mhijiex marbuta bih jew soġġetta għall-applikazzjoni tiegħu,</w:t>
      </w:r>
    </w:p>
    <w:p w14:paraId="7A316F28" w14:textId="77777777" w:rsidR="00286E0D" w:rsidRPr="006E239D" w:rsidRDefault="00286E0D" w:rsidP="00286E0D">
      <w:pPr>
        <w:pStyle w:val="Formuledadoption"/>
        <w:rPr>
          <w:noProof/>
        </w:rPr>
      </w:pPr>
      <w:r w:rsidRPr="006E239D">
        <w:rPr>
          <w:noProof/>
        </w:rPr>
        <w:t>ADOTTAW DAN IR-REGOLAMENT:</w:t>
      </w:r>
    </w:p>
    <w:p w14:paraId="558246A5" w14:textId="77777777" w:rsidR="00286E0D" w:rsidRPr="006E239D" w:rsidRDefault="00286E0D" w:rsidP="00286E0D">
      <w:pPr>
        <w:pStyle w:val="Titrearticle"/>
        <w:rPr>
          <w:noProof/>
        </w:rPr>
      </w:pPr>
      <w:r w:rsidRPr="006E239D">
        <w:rPr>
          <w:noProof/>
        </w:rPr>
        <w:t>Artikolu 1</w:t>
      </w:r>
    </w:p>
    <w:p w14:paraId="01DCFE30" w14:textId="77777777" w:rsidR="00286E0D" w:rsidRPr="006E239D" w:rsidRDefault="00286E0D" w:rsidP="00286E0D">
      <w:pPr>
        <w:pStyle w:val="Titrearticle"/>
        <w:rPr>
          <w:b/>
          <w:bCs/>
          <w:noProof/>
        </w:rPr>
      </w:pPr>
      <w:r w:rsidRPr="006E239D">
        <w:rPr>
          <w:b/>
          <w:noProof/>
        </w:rPr>
        <w:t>Suġġett</w:t>
      </w:r>
    </w:p>
    <w:p w14:paraId="16102D8A" w14:textId="77777777" w:rsidR="00B9223C" w:rsidRPr="006E239D" w:rsidRDefault="00B9223C" w:rsidP="00B9223C">
      <w:pPr>
        <w:rPr>
          <w:noProof/>
          <w:szCs w:val="24"/>
        </w:rPr>
      </w:pPr>
      <w:r w:rsidRPr="006E239D">
        <w:rPr>
          <w:noProof/>
        </w:rPr>
        <w:t xml:space="preserve">Dan ir-Regolament jistabbilixxi l-objettivi u l-finanzjament tal-appoġġ tal-Unjoni għall-ġestjoni integrata Ewropea tal-fruntieri u għall-politika Ewropea dwar il-viżi għall-perjodu mill-1 ta’ Jannar 2028 sal-31 ta’ Diċembru 2034. L-appoġġ tal-Unjoni għandu jikkontribwixxi għall-funzjonament taż-żona Schengen, għall-ġestjoni effiċjenti tal-fruntieri esterni u għall-effiċjenza tal-politika dwar il-viżi, inkluż billi jipprovdi appoġġ għall-implimentazzjoni, it-tisħiħ u l-iżvilupp tal-elementi rilevanti tal-Patt dwar il-Migrazzjoni u l-Ażil, u għal livell għoli ta’ sigurtà interna fl-Unjoni, filwaqt li jippreserva n-nuqqas ta’ kwalunkwe kontroll fuq persuni meta jaqsmu l-fruntieri interni. </w:t>
      </w:r>
    </w:p>
    <w:p w14:paraId="05AFC029" w14:textId="53D595F0" w:rsidR="00286E0D" w:rsidRPr="006E239D" w:rsidRDefault="00286E0D" w:rsidP="00A257BB">
      <w:pPr>
        <w:rPr>
          <w:noProof/>
          <w:szCs w:val="24"/>
        </w:rPr>
      </w:pPr>
      <w:r w:rsidRPr="006E239D">
        <w:rPr>
          <w:noProof/>
        </w:rPr>
        <w:t>Dan l-appoġġ tal-Unjoni għandu jingħata skont ir-regoli orizzontali tal-Fond Ewropew għall-koeżjoni ekonomika, soċjali u territorjali, l-agrikoltura u ż-żoni rurali, tas-sajd u marittimi, il-prosperità u s-sigurtà stabbiliti bir-Regolament (UE) […].</w:t>
      </w:r>
    </w:p>
    <w:p w14:paraId="426B91C7" w14:textId="77777777" w:rsidR="00286E0D" w:rsidRPr="006E239D" w:rsidRDefault="00286E0D" w:rsidP="00286E0D">
      <w:pPr>
        <w:pStyle w:val="Titrearticle"/>
        <w:rPr>
          <w:noProof/>
        </w:rPr>
      </w:pPr>
      <w:r w:rsidRPr="006E239D">
        <w:rPr>
          <w:noProof/>
        </w:rPr>
        <w:t>Artikolu 2</w:t>
      </w:r>
    </w:p>
    <w:p w14:paraId="33C45191" w14:textId="77777777" w:rsidR="00286E0D" w:rsidRPr="006E239D" w:rsidRDefault="00286E0D" w:rsidP="00286E0D">
      <w:pPr>
        <w:pStyle w:val="Titrearticle"/>
        <w:rPr>
          <w:b/>
          <w:bCs/>
          <w:noProof/>
        </w:rPr>
      </w:pPr>
      <w:r w:rsidRPr="006E239D">
        <w:rPr>
          <w:b/>
          <w:noProof/>
        </w:rPr>
        <w:t>Definizzjonijiet</w:t>
      </w:r>
    </w:p>
    <w:p w14:paraId="0D79EC17" w14:textId="77777777" w:rsidR="00286E0D" w:rsidRPr="006E239D" w:rsidRDefault="00286E0D" w:rsidP="00286E0D">
      <w:pPr>
        <w:rPr>
          <w:noProof/>
          <w:color w:val="000000"/>
          <w:szCs w:val="24"/>
        </w:rPr>
      </w:pPr>
      <w:r w:rsidRPr="006E239D">
        <w:rPr>
          <w:noProof/>
          <w:color w:val="000000"/>
        </w:rPr>
        <w:t>Għall-finijiet ta’ dan ir-Regolament, japplikaw id-definizzjonijiet li ġejjin:</w:t>
      </w:r>
    </w:p>
    <w:p w14:paraId="1962DB9D" w14:textId="3332A915" w:rsidR="00286E0D" w:rsidRPr="006E239D" w:rsidRDefault="003347AC" w:rsidP="003347AC">
      <w:pPr>
        <w:pStyle w:val="Point0"/>
        <w:rPr>
          <w:noProof/>
        </w:rPr>
      </w:pPr>
      <w:r w:rsidRPr="006E239D">
        <w:rPr>
          <w:noProof/>
        </w:rPr>
        <w:t>(1)</w:t>
      </w:r>
      <w:r w:rsidRPr="006E239D">
        <w:rPr>
          <w:noProof/>
        </w:rPr>
        <w:tab/>
        <w:t>“punt ta’ qsim tal-fruntiera” tfisser il-punt ta’ qsim tal-fruntiera kif definit fl-Artikolu 2, il-punt (8), tar-Regolament (UE) 2016/399</w:t>
      </w:r>
      <w:r w:rsidR="00286E0D" w:rsidRPr="006E239D">
        <w:rPr>
          <w:rStyle w:val="FootnoteReference"/>
          <w:noProof/>
          <w:szCs w:val="24"/>
        </w:rPr>
        <w:footnoteReference w:id="22"/>
      </w:r>
      <w:r w:rsidRPr="006E239D">
        <w:rPr>
          <w:noProof/>
        </w:rPr>
        <w:t>;</w:t>
      </w:r>
    </w:p>
    <w:p w14:paraId="008FE4CA" w14:textId="2C9A36BD" w:rsidR="00286E0D" w:rsidRPr="006E239D" w:rsidRDefault="003347AC" w:rsidP="003347AC">
      <w:pPr>
        <w:pStyle w:val="Point0"/>
        <w:rPr>
          <w:noProof/>
        </w:rPr>
      </w:pPr>
      <w:r w:rsidRPr="006E239D">
        <w:rPr>
          <w:noProof/>
        </w:rPr>
        <w:t>(2)</w:t>
      </w:r>
      <w:r w:rsidRPr="006E239D">
        <w:rPr>
          <w:noProof/>
        </w:rPr>
        <w:tab/>
        <w:t>“ġestjoni integrata Ewropea tal-fruntieri” tfisser ġestjoni integrata Ewropea tal-fruntieri kif imsemmija fl-Artikolu 3 tar-Regolament (UE) 2019/1896</w:t>
      </w:r>
      <w:r w:rsidR="00286E0D" w:rsidRPr="006E239D">
        <w:rPr>
          <w:rStyle w:val="FootnoteReference"/>
          <w:noProof/>
          <w:szCs w:val="24"/>
        </w:rPr>
        <w:footnoteReference w:id="23"/>
      </w:r>
      <w:r w:rsidRPr="006E239D">
        <w:rPr>
          <w:noProof/>
        </w:rPr>
        <w:t>;</w:t>
      </w:r>
    </w:p>
    <w:p w14:paraId="2B48C930" w14:textId="436C4B86" w:rsidR="00286E0D" w:rsidRPr="006E239D" w:rsidRDefault="003347AC" w:rsidP="003347AC">
      <w:pPr>
        <w:pStyle w:val="Point0"/>
        <w:rPr>
          <w:noProof/>
        </w:rPr>
      </w:pPr>
      <w:r w:rsidRPr="006E239D">
        <w:rPr>
          <w:noProof/>
        </w:rPr>
        <w:t>(3)</w:t>
      </w:r>
      <w:r w:rsidRPr="006E239D">
        <w:rPr>
          <w:noProof/>
        </w:rPr>
        <w:tab/>
        <w:t>“fruntieri esterni” tfisser fruntieri esterni kif definiti fil-punt 2 tal-Artikolu 2 tar-Regolament (UE) 2016/399</w:t>
      </w:r>
      <w:r w:rsidR="00286E0D" w:rsidRPr="006E239D">
        <w:rPr>
          <w:rStyle w:val="FootnoteReference"/>
          <w:noProof/>
          <w:szCs w:val="24"/>
        </w:rPr>
        <w:footnoteReference w:id="24"/>
      </w:r>
      <w:r w:rsidRPr="006E239D">
        <w:rPr>
          <w:noProof/>
        </w:rPr>
        <w:t xml:space="preserve"> u fruntieri interni fejn għadhom ma tneħħewx il-kontrolli;</w:t>
      </w:r>
    </w:p>
    <w:p w14:paraId="225B0BEF" w14:textId="0E4D380F" w:rsidR="00286E0D" w:rsidRPr="006E239D" w:rsidRDefault="003347AC" w:rsidP="003347AC">
      <w:pPr>
        <w:pStyle w:val="Point0"/>
        <w:rPr>
          <w:noProof/>
        </w:rPr>
      </w:pPr>
      <w:r w:rsidRPr="006E239D">
        <w:rPr>
          <w:noProof/>
        </w:rPr>
        <w:t>(4)</w:t>
      </w:r>
      <w:r w:rsidRPr="006E239D">
        <w:rPr>
          <w:noProof/>
        </w:rPr>
        <w:tab/>
        <w:t>“sezzjoni tal-fruntiera esterna” tfisser taqsima tal-fruntiera esterna kif definita fil-punt (2) tal-Artikolu 11 tar-Regolament (UE) 2019/1896</w:t>
      </w:r>
      <w:r w:rsidR="00286E0D" w:rsidRPr="006E239D">
        <w:rPr>
          <w:rStyle w:val="FootnoteReference"/>
          <w:noProof/>
          <w:szCs w:val="24"/>
        </w:rPr>
        <w:footnoteReference w:id="25"/>
      </w:r>
      <w:r w:rsidRPr="006E239D">
        <w:rPr>
          <w:noProof/>
        </w:rPr>
        <w:t>;</w:t>
      </w:r>
    </w:p>
    <w:p w14:paraId="19E59878" w14:textId="1371C2DC" w:rsidR="00286E0D" w:rsidRPr="006E239D" w:rsidRDefault="003347AC" w:rsidP="003347AC">
      <w:pPr>
        <w:pStyle w:val="Point0"/>
        <w:rPr>
          <w:noProof/>
        </w:rPr>
      </w:pPr>
      <w:r w:rsidRPr="006E239D">
        <w:rPr>
          <w:noProof/>
        </w:rPr>
        <w:t>(5)</w:t>
      </w:r>
      <w:r w:rsidRPr="006E239D">
        <w:rPr>
          <w:noProof/>
        </w:rPr>
        <w:tab/>
        <w:t>“fruntieri interni fejn għadhom ma tneħħewx il-kontrolli” tfisser:</w:t>
      </w:r>
    </w:p>
    <w:p w14:paraId="1816FE1D" w14:textId="1AE66307" w:rsidR="00286E0D" w:rsidRPr="006E239D" w:rsidRDefault="003347AC" w:rsidP="003347AC">
      <w:pPr>
        <w:pStyle w:val="Point1"/>
        <w:rPr>
          <w:noProof/>
        </w:rPr>
      </w:pPr>
      <w:r w:rsidRPr="006E239D">
        <w:rPr>
          <w:noProof/>
        </w:rPr>
        <w:t>(a)</w:t>
      </w:r>
      <w:r w:rsidRPr="006E239D">
        <w:rPr>
          <w:noProof/>
        </w:rPr>
        <w:tab/>
        <w:t>il-fruntiera komuni bejn Stat Membru li jkun qed jimplimenta b’mod sħiħ l-acquis ta’ Schengen u Stat Membru marbut li japplika l-acquis ta’ Schengen b’mod sħiħ, f’konformità mal-Att tal-Adeżjoni tiegħu, iżda li għalih tkun għadha ma daħlitx fis-seħħ id-Deċiżjoni tal-Kunsill rilevanti li tawtorizzah japplika dak l-acquis b’mod sħiħ;</w:t>
      </w:r>
    </w:p>
    <w:p w14:paraId="451F5771" w14:textId="7F81354A" w:rsidR="00286E0D" w:rsidRPr="006E239D" w:rsidRDefault="003347AC" w:rsidP="003347AC">
      <w:pPr>
        <w:pStyle w:val="Point1"/>
        <w:rPr>
          <w:noProof/>
        </w:rPr>
      </w:pPr>
      <w:r w:rsidRPr="006E239D">
        <w:rPr>
          <w:noProof/>
        </w:rPr>
        <w:t>(b)</w:t>
      </w:r>
      <w:r w:rsidRPr="006E239D">
        <w:rPr>
          <w:noProof/>
        </w:rPr>
        <w:tab/>
        <w:t>il-fruntiera komuni bejn żewġ Stati Membri li huma marbuta li japplikaw l-acquis ta’ Schengen b’mod sħiħ, f’konformità mal-Atti tal-Adeżjoni rispettivi tagħhom, iżda li għalihom għadha ma daħlitx fis-seħħ id-Deċiżjoni tal-Kunsill rilevanti li tawtorizzahom japplikaw b’mod sħiħ dak l-acquis.</w:t>
      </w:r>
    </w:p>
    <w:p w14:paraId="5E6A7562" w14:textId="76DFB720" w:rsidR="00286E0D" w:rsidRPr="006E239D" w:rsidRDefault="003347AC" w:rsidP="003347AC">
      <w:pPr>
        <w:pStyle w:val="Point0"/>
        <w:rPr>
          <w:noProof/>
        </w:rPr>
      </w:pPr>
      <w:r w:rsidRPr="006E239D">
        <w:rPr>
          <w:noProof/>
        </w:rPr>
        <w:t>(6)</w:t>
      </w:r>
      <w:r w:rsidRPr="006E239D">
        <w:rPr>
          <w:noProof/>
        </w:rPr>
        <w:tab/>
        <w:t>“Stat Membru benefiċjarju” tfisser Stat Membru benefiċjarju kif definit fl-Artikolu 2, il-punt (19) tar-Regolament (UE) 2024/1351;</w:t>
      </w:r>
    </w:p>
    <w:p w14:paraId="35262557" w14:textId="3A660522" w:rsidR="00F0474E" w:rsidRPr="006E239D" w:rsidRDefault="003347AC" w:rsidP="003347AC">
      <w:pPr>
        <w:pStyle w:val="Point0"/>
        <w:rPr>
          <w:noProof/>
        </w:rPr>
      </w:pPr>
      <w:r w:rsidRPr="006E239D">
        <w:rPr>
          <w:noProof/>
        </w:rPr>
        <w:t>(7)</w:t>
      </w:r>
      <w:r w:rsidRPr="006E239D">
        <w:rPr>
          <w:noProof/>
        </w:rPr>
        <w:tab/>
        <w:t>“Stat Membru kontribwenti” tfisser Stat Membru kontribwenti kif definit fl-Artikolu 2, il-punt (20) tar-Regolament (UE) 2024/1351;</w:t>
      </w:r>
    </w:p>
    <w:p w14:paraId="1373544C" w14:textId="341C3D3C" w:rsidR="00286E0D" w:rsidRPr="006E239D" w:rsidRDefault="003347AC" w:rsidP="003347AC">
      <w:pPr>
        <w:pStyle w:val="Point0"/>
        <w:rPr>
          <w:noProof/>
        </w:rPr>
      </w:pPr>
      <w:r w:rsidRPr="006E239D">
        <w:rPr>
          <w:noProof/>
        </w:rPr>
        <w:t>(8)</w:t>
      </w:r>
      <w:r w:rsidRPr="006E239D">
        <w:rPr>
          <w:noProof/>
        </w:rPr>
        <w:tab/>
        <w:t xml:space="preserve">“kontribuzzjonijiet finanzjarji” tfisser kontribuzzjonijiet finanzjarji f’konformità mal-Artikolu 56(2), il-punt (b) tar-Regolament (UE) 2024/1351. </w:t>
      </w:r>
    </w:p>
    <w:p w14:paraId="4A75AB58" w14:textId="77777777" w:rsidR="00286E0D" w:rsidRPr="006E239D" w:rsidRDefault="00286E0D" w:rsidP="00286E0D">
      <w:pPr>
        <w:pStyle w:val="Titrearticle"/>
        <w:rPr>
          <w:noProof/>
        </w:rPr>
      </w:pPr>
      <w:r w:rsidRPr="006E239D">
        <w:rPr>
          <w:noProof/>
        </w:rPr>
        <w:t>Artikolu 3</w:t>
      </w:r>
    </w:p>
    <w:p w14:paraId="1F3B309A" w14:textId="77777777" w:rsidR="00286E0D" w:rsidRPr="006E239D" w:rsidRDefault="00286E0D" w:rsidP="00286E0D">
      <w:pPr>
        <w:pStyle w:val="Titrearticle"/>
        <w:rPr>
          <w:b/>
          <w:bCs/>
          <w:noProof/>
        </w:rPr>
      </w:pPr>
      <w:bookmarkStart w:id="17" w:name="_Hlk202174420"/>
      <w:r w:rsidRPr="006E239D">
        <w:rPr>
          <w:b/>
          <w:noProof/>
        </w:rPr>
        <w:t>Objettivi għall-appoġġ tal-Unjoni għaż-żona Schengen, għall-ġestjoni integrata Ewropea tal-fruntieri esterni u għall-politika komuni dwar il-viżi</w:t>
      </w:r>
    </w:p>
    <w:bookmarkEnd w:id="17"/>
    <w:p w14:paraId="3CC4516C" w14:textId="15FD5E6D" w:rsidR="00286E0D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1.</w:t>
      </w:r>
      <w:r w:rsidRPr="006E239D">
        <w:rPr>
          <w:noProof/>
        </w:rPr>
        <w:tab/>
        <w:t>Sabiex tiġi żgurata ġestjoni integrata Ewropea tal-fruntieri b’saħħitha u effettiva fil-fruntieri esterni, żona Schengen li tiffunzjona tajjeb u politika effiċjenti dwar il-viżi, l-appoġġ tal-Unjoni għandu jikkontribwixxi għal kull wieħed mill-objettivi li ġejjin:</w:t>
      </w:r>
    </w:p>
    <w:p w14:paraId="52746F08" w14:textId="0F6AF9C9" w:rsidR="0058101A" w:rsidRPr="006E239D" w:rsidRDefault="003347AC" w:rsidP="003347AC">
      <w:pPr>
        <w:pStyle w:val="Point1"/>
        <w:rPr>
          <w:rFonts w:eastAsiaTheme="minorEastAsia" w:cstheme="majorHAnsi"/>
          <w:noProof/>
          <w:szCs w:val="20"/>
        </w:rPr>
      </w:pPr>
      <w:r w:rsidRPr="006E239D">
        <w:rPr>
          <w:noProof/>
        </w:rPr>
        <w:t>(a)</w:t>
      </w:r>
      <w:r w:rsidRPr="006E239D">
        <w:rPr>
          <w:noProof/>
        </w:rPr>
        <w:tab/>
        <w:t>l-appoġġ għall-implimentazzjoni, l-applikazzjoni u l-iżvilupp effettivi tal-qafas ta’ Schengen u t-tisħiħ tal-governanza, l-integrità u s-sigurtà taż-żona Schengen mingħajr fruntieri interni;</w:t>
      </w:r>
    </w:p>
    <w:p w14:paraId="57D454BB" w14:textId="5676320D" w:rsidR="00286E0D" w:rsidRPr="006E239D" w:rsidRDefault="003347AC" w:rsidP="003347AC">
      <w:pPr>
        <w:pStyle w:val="Point1"/>
        <w:rPr>
          <w:rStyle w:val="Instructions"/>
          <w:rFonts w:eastAsiaTheme="minorEastAsia"/>
          <w:i w:val="0"/>
          <w:iCs w:val="0"/>
          <w:noProof/>
          <w:color w:val="auto"/>
        </w:rPr>
      </w:pPr>
      <w:r w:rsidRPr="006E239D">
        <w:rPr>
          <w:rStyle w:val="Instructions"/>
          <w:rFonts w:eastAsiaTheme="minorHAnsi"/>
          <w:noProof/>
        </w:rPr>
        <w:t>(b)</w:t>
      </w:r>
      <w:r w:rsidRPr="006E239D">
        <w:rPr>
          <w:rStyle w:val="Instructions"/>
          <w:rFonts w:eastAsiaTheme="minorHAnsi"/>
          <w:noProof/>
        </w:rPr>
        <w:tab/>
      </w:r>
      <w:r w:rsidRPr="006E239D">
        <w:rPr>
          <w:noProof/>
        </w:rPr>
        <w:t>l-appoġġ għall-ġestjoni integrata Ewropea effettiva tal-fruntieri esterni, implimentata mill-Gwardja Ewropea tal-Fruntiera u tal-Kosta bħala responsabbiltà kondiviża tal-Aġenzija Ewropea għall-Gwardja tal-Fruntiera u tal-Kosta u l-awtoritajiet nazzjonali responsabbli għall-ġestjoni tal-fruntieri, inkluż permezz ta’ metodi innovattivi u teknoloġiji ġodda, biex jiġi ffaċilitat il-qsim leġittimu tal-fruntieri, jiġu evitati u identifikati l-immigrazzjoni illegali, il-kriminalità transfruntiera, u l-istrumentalizzazzjoni u l-użu tal-migrazzjoni irregolari bħala arma, biex jingħata kontribut għar-ritorn effettiv;</w:t>
      </w:r>
    </w:p>
    <w:p w14:paraId="07C36713" w14:textId="25EE2425" w:rsidR="00286E0D" w:rsidRPr="006E239D" w:rsidRDefault="003347AC" w:rsidP="003347AC">
      <w:pPr>
        <w:pStyle w:val="Point1"/>
        <w:rPr>
          <w:rFonts w:eastAsiaTheme="minorEastAsia" w:cstheme="majorHAnsi"/>
          <w:noProof/>
          <w:szCs w:val="20"/>
        </w:rPr>
      </w:pPr>
      <w:r w:rsidRPr="006E239D">
        <w:rPr>
          <w:noProof/>
        </w:rPr>
        <w:t>(c)</w:t>
      </w:r>
      <w:r w:rsidRPr="006E239D">
        <w:rPr>
          <w:noProof/>
        </w:rPr>
        <w:tab/>
        <w:t>l-appoġġ għall-politika komuni dwar il-viżi biex jiġi żgurat approċċ armonizzat fir-rigward tal-ħruġ f’waqtu ta’ viżi u biex jiġi ffaċilitat l-ivvjaġġar leġittimu, filwaqt li jiġu evitati riskji migratorji u ta’ sigurtà u jingħata kontribut għas-sigurtà u għall-funzjonament tajjeb taż-żona Schengen.</w:t>
      </w:r>
    </w:p>
    <w:p w14:paraId="6E55EEE9" w14:textId="68EA180C" w:rsidR="00286E0D" w:rsidRPr="006E239D" w:rsidRDefault="00286E0D" w:rsidP="00A257BB">
      <w:pPr>
        <w:ind w:left="720"/>
        <w:rPr>
          <w:noProof/>
          <w:szCs w:val="24"/>
        </w:rPr>
      </w:pPr>
      <w:bookmarkStart w:id="18" w:name="_Hlk201962005"/>
      <w:r w:rsidRPr="006E239D">
        <w:rPr>
          <w:noProof/>
        </w:rPr>
        <w:t>L-appoġġ tal-Unjoni għandu jiġi</w:t>
      </w:r>
      <w:bookmarkEnd w:id="18"/>
      <w:r w:rsidRPr="006E239D">
        <w:rPr>
          <w:noProof/>
        </w:rPr>
        <w:t xml:space="preserve"> implimentat b’mod kompletament konsistenti mal-objettivi stabbiliti fir-Regolament (UE) […] li jistabbilixxi l-Fond Ewropew għall-koeżjoni ekonomika, soċjali u territorjali, l-agrikoltura u rurali, is-sajd u s-settur marittimu, il-prosperità u s-sigurtà.</w:t>
      </w:r>
    </w:p>
    <w:p w14:paraId="71BB4485" w14:textId="5233BD33" w:rsidR="00286E0D" w:rsidRPr="006E239D" w:rsidRDefault="003347AC" w:rsidP="003347AC">
      <w:pPr>
        <w:pStyle w:val="ManualNumPar1"/>
        <w:rPr>
          <w:noProof/>
          <w:szCs w:val="24"/>
        </w:rPr>
      </w:pPr>
      <w:r w:rsidRPr="006E239D">
        <w:rPr>
          <w:noProof/>
        </w:rPr>
        <w:t>2.</w:t>
      </w:r>
      <w:r w:rsidRPr="006E239D">
        <w:rPr>
          <w:noProof/>
        </w:rPr>
        <w:tab/>
        <w:t>L-appoġġ tal-Unjoni għandu jiġi implimentat skont l-acquis rilevanti tal-Unjoni u l-obbligi internazzjonali tal-Unjoni u tal-Istati Membri li jirriżultaw mill-istrumenti internazzjonali li għalihom huma parti.</w:t>
      </w:r>
    </w:p>
    <w:p w14:paraId="3840A777" w14:textId="132A20A9" w:rsidR="00286E0D" w:rsidRPr="006E239D" w:rsidRDefault="003347AC" w:rsidP="003347AC">
      <w:pPr>
        <w:pStyle w:val="ManualNumPar1"/>
        <w:rPr>
          <w:noProof/>
          <w:szCs w:val="24"/>
        </w:rPr>
      </w:pPr>
      <w:r w:rsidRPr="006E239D">
        <w:rPr>
          <w:noProof/>
        </w:rPr>
        <w:t>3.</w:t>
      </w:r>
      <w:r w:rsidRPr="006E239D">
        <w:rPr>
          <w:noProof/>
        </w:rPr>
        <w:tab/>
        <w:t>L-istati Membri għandhom jiżguraw li l-prijoritajiet tal-Pjanijiet ta’ Sħubija Nazzjonali u Reġjonali tagħhom jinkludu azzjonijiet biex jinkiseb kull wieħed mill-objettivi tal-appoġġ tal-Unjoni skont dan ir-Regolament, u, li l-allokazzjoni tar-riżorsi bejn l-objettivi tkun proporzjonata għall-isfidi u l-ħtiġijiet identifikati.</w:t>
      </w:r>
    </w:p>
    <w:p w14:paraId="23655188" w14:textId="77777777" w:rsidR="00286E0D" w:rsidRPr="006E239D" w:rsidRDefault="00286E0D" w:rsidP="00286E0D">
      <w:pPr>
        <w:pStyle w:val="Titrearticle"/>
        <w:rPr>
          <w:noProof/>
        </w:rPr>
      </w:pPr>
      <w:r w:rsidRPr="006E239D">
        <w:rPr>
          <w:noProof/>
        </w:rPr>
        <w:t>Artikolu 4</w:t>
      </w:r>
    </w:p>
    <w:p w14:paraId="00F584F5" w14:textId="77777777" w:rsidR="00286E0D" w:rsidRPr="006E239D" w:rsidRDefault="00286E0D" w:rsidP="00286E0D">
      <w:pPr>
        <w:pStyle w:val="Titrearticle"/>
        <w:rPr>
          <w:b/>
          <w:bCs/>
          <w:noProof/>
        </w:rPr>
      </w:pPr>
      <w:r w:rsidRPr="006E239D">
        <w:rPr>
          <w:b/>
          <w:noProof/>
        </w:rPr>
        <w:t>Finanzjament</w:t>
      </w:r>
    </w:p>
    <w:p w14:paraId="3C31D26E" w14:textId="6DC7558E" w:rsidR="005507F3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1.</w:t>
      </w:r>
      <w:r w:rsidRPr="006E239D">
        <w:rPr>
          <w:noProof/>
        </w:rPr>
        <w:tab/>
        <w:t xml:space="preserve">il-pakkett finanzjarju indikattiv għall-implimentazzjoni tal-objettivi stabbiliti fl-Artikolu 3 għall-perjodu mill-2028 sal-2034 huwa stabbilit għal EUR 15 396 750 000 fi prezzijiet attwali. Dan għandu jiġi implimentat f’konformità mar-regoli orizzontali għall-Pjanijiet ta’ Sħubija Nazzjonali u Reġjonali stabbiliti fir-Regolament (UE) […] li jistabbilixxi l-Fond Ewropew għall-koeżjoni ekonomika, soċjali u territorjali, l-agrikoltura u ż-żoni rurali, is-sajd u s-settur marittimu, il-prosperità u s-sigurtà. </w:t>
      </w:r>
    </w:p>
    <w:p w14:paraId="73B43C2B" w14:textId="1F933790" w:rsidR="00623F90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2.</w:t>
      </w:r>
      <w:r w:rsidRPr="006E239D">
        <w:rPr>
          <w:noProof/>
        </w:rPr>
        <w:tab/>
        <w:t>Il-Kummissjoni għandha tadotta att ta’ implimentazzjoni biex tistabbilixxi l-ammont għal kull Stat Membru billi tapplika l-metodoloġija tal-allokazzjoni stabbilita fit-Taqsima B, l-Anness I tar-Regolament (UE) […] li jistabbilixxi l-Fond Ewropew għall-koeżjoni ekonomika, soċjali u territorjali, l-agrikoltura u ż-żoni rurali, is-sajd u s-settur marittimu, il-prosperità u s-sigurtà.</w:t>
      </w:r>
    </w:p>
    <w:p w14:paraId="5E629589" w14:textId="25F76966" w:rsidR="005507F3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3.</w:t>
      </w:r>
      <w:r w:rsidRPr="006E239D">
        <w:rPr>
          <w:noProof/>
        </w:rPr>
        <w:tab/>
        <w:t>Barra minn hekk, l-approprjazzjonijiet baġitarji għall-objettivi stabbiliti fl-Artikolu 3 ta’ dan ir-Regolament, implimentati permezz tal-Faċilità tal-UE skont it-Titolu IV tar-Regolament (UE) […] li jistabbilixxi l-Fond Ewropew għall-koeżjoni ekonomika, soċjali u territorjali, għall-agrikoltura u rurali, għas-sajd u għas-settur marittimu, għall-prosperità u għas-sigurtà, għandhom jiġu stabbiliti fil-qafas tal-proċedura baġitarja annwali prevista fl-Artikolu 314 TFUE.</w:t>
      </w:r>
    </w:p>
    <w:p w14:paraId="070F7EDE" w14:textId="013D411B" w:rsidR="005507F3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4.</w:t>
      </w:r>
      <w:r w:rsidRPr="006E239D">
        <w:rPr>
          <w:noProof/>
        </w:rPr>
        <w:tab/>
        <w:t xml:space="preserve">Għal miżuri li huma relatati mal-objettivi stabbiliti fl-Artikolu 3 ta’ dan ir-Regolament, fejn il-Kummissjoni tikkonkludi li dawk il-miżuri jikkonformaw mar-rekwiżiti stabbiliti f’dan ir-Regolament u r-Regolament (UE) […] li jistabbilixxi l-Fond Ewropew għall-koeżjoni ekonomika, soċjali u territorjali, l-agrikoltura u rurali, is-sajd u t-trasport marittimu, il-prosperità u s-sigurtà, u fejn il-Kummissjoni tipproponi deċiżjoni ta’ implimentazzjoni tal-Kunsill li tapprova l-Pjan ta’ Sħubija Nazzjonali u Reġjonali tal-Istat Membru kkonċernat f’konformità mal-proċedura stabbilita fl-Artikolu 23 tar-Regolament (UE) […] li jistabbilixxi l-Fond Ewropew għall-koeżjoni ekonomika, soċjali u territorjali, l-agrikoltura u ż-żoni rurali, is-sajd u s-settur marittimu, il-prosperità u s-sigurtà, hija għandha tagħmel proposta għal deċiżjoni ta’ implimentazzjoni tal-Kunsill dwar l-approvazzjoni ta’ dawk il-miżuri. </w:t>
      </w:r>
    </w:p>
    <w:p w14:paraId="6930FE95" w14:textId="12E1F33E" w:rsidR="005507F3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5.</w:t>
      </w:r>
      <w:r w:rsidRPr="006E239D">
        <w:rPr>
          <w:noProof/>
        </w:rPr>
        <w:tab/>
        <w:t>Meta tagħmel proposta għal deċiżjoni ta’ implimentazzjoni tal-Kunsill dwar il-miżuri relatati mal-objettivi stabbiliti fl-Artikolu 3 ta’ dan ir-Regolament, il-proposta tal-Kummissjoni għandha tistabbilixxi l-elementi msemmija fl-Artikolu 23(4) tar-Regolament (UE) […] li jistabbilixxi l-Fond Ewropew għall-koeżjoni ekonomika, soċjali u territorjali, l-agrikoltura u rurali, is-sajd u t-trasport marittimu, il-prosperità u s-sigurtà, fir-rigward tal-objettivi stabbiliti fl-Artikolu 3.</w:t>
      </w:r>
    </w:p>
    <w:p w14:paraId="1388C5B4" w14:textId="5EDB01D3" w:rsidR="00596698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6.</w:t>
      </w:r>
      <w:r w:rsidRPr="006E239D">
        <w:rPr>
          <w:noProof/>
        </w:rPr>
        <w:tab/>
        <w:t>Il-Kunsill għandu jadotta d-deċiżjoni ta’ implimentazzjoni msemmija fil-paragrafu 4, bħala regola, fi żmien erba’ ġimgħat mill-adozzjoni tal-proposta tal-Kummissjoni u flimkien mad-deċiżjonijiet ta’ implimentazzjoni msemmija fl-Artikolu 23, il-paragrafu (1) [</w:t>
      </w:r>
      <w:r w:rsidRPr="006E239D">
        <w:rPr>
          <w:i/>
          <w:iCs/>
          <w:noProof/>
        </w:rPr>
        <w:t>proposta tal-Kummissjoni u deċiżjoni ta’ implimentazzjoni tal-Kunsill</w:t>
      </w:r>
      <w:r w:rsidRPr="006E239D">
        <w:rPr>
          <w:noProof/>
        </w:rPr>
        <w:t>] tar-Regolament (UE) […] li jistabbilixxi l-Fond Ewropew għall-koeżjoni ekonomika, soċjali u territorjali, l-agrikoltura u ż-żoni rurali, is-sajd u s-settur marittimu, il-prosperità u s-sigurtà.</w:t>
      </w:r>
    </w:p>
    <w:p w14:paraId="256B33DF" w14:textId="0BE8C5E2" w:rsidR="00623F90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7.</w:t>
      </w:r>
      <w:r w:rsidRPr="006E239D">
        <w:rPr>
          <w:noProof/>
        </w:rPr>
        <w:tab/>
        <w:t>L-Artikolu 24 tar-Regolament (UE) […] li jistabbilixxi l-Fond Ewropew għall-koeżjoni ekonomika, soċjali u territorjali, l-agrikoltura u ż-żoni rurali, tas-sajd u marittimi, il-prosperità u s-sigurtà dwar l-emendar tal-Pjanijiet għandu japplika, dment li l-proposta tal-Kummissjoni u d-Deċiżjoni ta’ Implimentazzjoni tal-Kunsill li japprovaw l-emendi tal-elementi elenkati fl-Artikolu 23(4) ikopru biss l-objettivi msemmija fl-Artikolu 3 ta’ dan ir-Regolament.</w:t>
      </w:r>
    </w:p>
    <w:p w14:paraId="51868DA9" w14:textId="77777777" w:rsidR="00596698" w:rsidRPr="006E239D" w:rsidRDefault="00596698" w:rsidP="00596698">
      <w:pPr>
        <w:pStyle w:val="Titrearticle"/>
        <w:rPr>
          <w:noProof/>
        </w:rPr>
      </w:pPr>
      <w:r w:rsidRPr="006E239D">
        <w:rPr>
          <w:noProof/>
        </w:rPr>
        <w:t xml:space="preserve">Artikolu 5 </w:t>
      </w:r>
    </w:p>
    <w:p w14:paraId="31F56137" w14:textId="0DDFC603" w:rsidR="00596698" w:rsidRPr="006E239D" w:rsidRDefault="00596698" w:rsidP="00596698">
      <w:pPr>
        <w:pStyle w:val="Titrearticle"/>
        <w:rPr>
          <w:noProof/>
          <w:szCs w:val="24"/>
        </w:rPr>
      </w:pPr>
      <w:r w:rsidRPr="006E239D">
        <w:rPr>
          <w:b/>
          <w:noProof/>
        </w:rPr>
        <w:t>Pajjiżi Assoċjati ta’ Schengen</w:t>
      </w:r>
    </w:p>
    <w:p w14:paraId="5F98EE1A" w14:textId="4DD41066" w:rsidR="00286E0D" w:rsidRPr="006E239D" w:rsidRDefault="00596698" w:rsidP="00287E8A">
      <w:pPr>
        <w:pStyle w:val="Text1"/>
        <w:ind w:left="0"/>
        <w:rPr>
          <w:rStyle w:val="eop"/>
          <w:rFonts w:eastAsiaTheme="majorEastAsia"/>
          <w:noProof/>
        </w:rPr>
      </w:pPr>
      <w:r w:rsidRPr="006E239D">
        <w:rPr>
          <w:noProof/>
        </w:rPr>
        <w:t>F’konformità mad-dispożizzjonijiet rilevanti tal-ftehimiet ta’ assoċjazzjoni rispettivi tagħhom, għandhom isiru arranġamenti sabiex jispeċifikaw in-natura u l-modalitajiet tal-parteċipazzjoni fl-appoġġ tal-Unjoni mill-pajjiżi assoċjati mal-implimentazzjoni, l-applikazzjoni u l-iżvilupp tal-acquis ta’ Schengen. Kemm jista’ jkun malajr wara li l-pajjiż ikkonċernat ikun innotifika d-deċiżjoni tiegħu li jaċċetta l-kontenut tal-appoġġ tal-Unjoni u li jimplimentah fl-ordni legali intern tiegħu, f’konformità mal-ftehim ta’ assoċjazzjoni rilevanti, il-Kummissjoni għandha tippreżenta rakkomandazzjoni lill-Kunsill għall-ftuħ ta’ negozjati dwar dawk l-arranġamenti taħt l-Artikolu 218(3) TFUE. Malli jirċievi r-rakkomandazzjoni, il-Kunsill għandu jaġixxi mingħajr dewmien biex jiddeċiedi dwar l-awtorizzazzjoni tal-ftuħ ta’ dawk in-negozjati. Il-kontribuzzjonijiet finanzjarji minn dawk il-pajjiżi għandhom jiżdiedu mar-riżorsi globali disponibbli mill-pakkett finanzjarju msemmi fl-Artikolu 4.</w:t>
      </w:r>
    </w:p>
    <w:p w14:paraId="08F346E5" w14:textId="15F26995" w:rsidR="00286E0D" w:rsidRPr="006E239D" w:rsidRDefault="00286E0D" w:rsidP="007D3199">
      <w:pPr>
        <w:pStyle w:val="Titrearticle"/>
        <w:rPr>
          <w:noProof/>
        </w:rPr>
      </w:pPr>
      <w:r w:rsidRPr="006E239D">
        <w:rPr>
          <w:noProof/>
        </w:rPr>
        <w:t>Artikolu 6</w:t>
      </w:r>
    </w:p>
    <w:p w14:paraId="77F384CC" w14:textId="77777777" w:rsidR="00286E0D" w:rsidRPr="006E239D" w:rsidRDefault="00286E0D" w:rsidP="00286E0D">
      <w:pPr>
        <w:pStyle w:val="Titrearticle"/>
        <w:rPr>
          <w:b/>
          <w:bCs/>
          <w:noProof/>
          <w:szCs w:val="24"/>
        </w:rPr>
      </w:pPr>
      <w:bookmarkStart w:id="19" w:name="_Hlk195020056"/>
      <w:r w:rsidRPr="006E239D">
        <w:rPr>
          <w:b/>
          <w:noProof/>
        </w:rPr>
        <w:t>Appoġġ għall-Iskema ta’ Tranżitu Speċjali</w:t>
      </w:r>
    </w:p>
    <w:p w14:paraId="543A7C7F" w14:textId="3CC5D0D1" w:rsidR="00286E0D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1.</w:t>
      </w:r>
      <w:r w:rsidRPr="006E239D">
        <w:rPr>
          <w:noProof/>
        </w:rPr>
        <w:tab/>
        <w:t>Ammont sa EUR 450 000 000 għandu jiġi allokat lill-Pjan ta’ Sħubija Nazzjonali u Reġjonali tal-Litwanja skont ir-Regolament (UE) […] li jistabbilixxi l-Fond Ewropew għall-koeżjoni ekonomika, soċjali u territorjali, l-agrikoltura u ż-żoni rurali, is-sajd u l-affarijiet marittimi, il-prosperità u s-sigurtà biex jipprovdi appoġġ għal introjtu mitluf mill-ipproċessar ta’ viżi għal soġġorn qasir u kostijiet addizzjonali fl-implimentazzjoni tal-iskema tad-Dokument ta’ Tranżitu Faċilitat (FTD) u d-Dokument ta’ Tranżitu Faċilitat bil-Ferrovija (FRTD) f’konformità mar-Regolament tal-Kunsill (KE) Nru 693/2003 u r-Regolament (KE) Nru 694/2003 emendat bir-Regolament (UE) 2023/2667 tal-Parlament Ewropew u tal-Kunsill.</w:t>
      </w:r>
    </w:p>
    <w:p w14:paraId="62C6EDAD" w14:textId="16EDD309" w:rsidR="00286E0D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2.</w:t>
      </w:r>
      <w:r w:rsidRPr="006E239D">
        <w:rPr>
          <w:noProof/>
        </w:rPr>
        <w:tab/>
        <w:t xml:space="preserve">Għall-fini tal-paragrafu 1, l-appoġġ mill-Unjoni għall-introjtu mitluf għandu jkun ibbażat fuq il-ħruġ ta’ FTDs u FRTDs. Il-limitu massimu għall-appoġġ għandu jkun stabbilit għal EUR 100 000 000. </w:t>
      </w:r>
    </w:p>
    <w:p w14:paraId="0498E203" w14:textId="70EB88D9" w:rsidR="00286E0D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3.</w:t>
      </w:r>
      <w:r w:rsidRPr="006E239D">
        <w:rPr>
          <w:noProof/>
        </w:rPr>
        <w:tab/>
        <w:t>Għall-fini tal-paragrafu 1, l-appoġġ mill-Unjoni għandu jkopri l-kostijiet addizzjonali stmati li jirriżultaw direttament mir-rekwiżiti speċifiċi tal-implimentazzjoni tal-operazzjoni tal-iskema ta’ Tranżitu Speċjali u li mhumiex iġġenerati bħala riżultat tal-ħruġ ta’ viżi skont ir-Regolament (KE) Nru 810/2009 tal-Parlament Ewropew u tal-Kunsill (</w:t>
      </w:r>
      <w:r w:rsidR="00286E0D" w:rsidRPr="006E239D">
        <w:rPr>
          <w:rStyle w:val="FootnoteReference"/>
          <w:noProof/>
        </w:rPr>
        <w:footnoteReference w:id="26"/>
      </w:r>
      <w:r w:rsidRPr="006E239D">
        <w:rPr>
          <w:noProof/>
        </w:rPr>
        <w:t>).</w:t>
      </w:r>
    </w:p>
    <w:p w14:paraId="78235099" w14:textId="79CB3179" w:rsidR="00286E0D" w:rsidRPr="006E239D" w:rsidRDefault="00286E0D" w:rsidP="006B174B">
      <w:pPr>
        <w:ind w:left="850"/>
        <w:rPr>
          <w:noProof/>
          <w:color w:val="000000"/>
          <w:szCs w:val="24"/>
        </w:rPr>
      </w:pPr>
      <w:r w:rsidRPr="006E239D">
        <w:rPr>
          <w:noProof/>
          <w:color w:val="000000"/>
        </w:rPr>
        <w:t>il-kontribuzzjoni massima tal-baġit tal-Unjoni għandha tkun ta’ 100 % tal-kostijiet totali stmati. il-limitu massimu għal dan l-appoġġ għandu jkun stabbilit għal EUR 350 000 000.</w:t>
      </w:r>
    </w:p>
    <w:p w14:paraId="7DD7F0AB" w14:textId="77777777" w:rsidR="00286E0D" w:rsidRPr="006E239D" w:rsidRDefault="00286E0D" w:rsidP="006B174B">
      <w:pPr>
        <w:ind w:left="346" w:firstLine="504"/>
        <w:rPr>
          <w:noProof/>
          <w:szCs w:val="24"/>
        </w:rPr>
      </w:pPr>
      <w:r w:rsidRPr="006E239D">
        <w:rPr>
          <w:noProof/>
          <w:color w:val="000000"/>
        </w:rPr>
        <w:t xml:space="preserve">il-kostijiet addizzjonali stmati għandhom ikopru b’mod partikolari: </w:t>
      </w:r>
    </w:p>
    <w:p w14:paraId="6038D052" w14:textId="77777777" w:rsidR="00286E0D" w:rsidRPr="006E239D" w:rsidRDefault="00286E0D" w:rsidP="006A2F81">
      <w:pPr>
        <w:pStyle w:val="ListNumber"/>
        <w:numPr>
          <w:ilvl w:val="0"/>
          <w:numId w:val="17"/>
        </w:numPr>
        <w:ind w:left="1094" w:hanging="357"/>
        <w:rPr>
          <w:rFonts w:eastAsia="Aptos"/>
          <w:noProof/>
          <w:color w:val="000000"/>
          <w:kern w:val="2"/>
          <w:szCs w:val="24"/>
        </w:rPr>
      </w:pPr>
      <w:r w:rsidRPr="006E239D">
        <w:rPr>
          <w:noProof/>
        </w:rPr>
        <w:t>investiment f’infrastrutturi, mezzi ta’ trasport, sistemi tal-iCT u tagħmir meħtieġa għat-tħaddim tal-iskema ta’ Tranżitu Speċjali;</w:t>
      </w:r>
    </w:p>
    <w:p w14:paraId="7E9CD1E5" w14:textId="77777777" w:rsidR="00286E0D" w:rsidRPr="006E239D" w:rsidRDefault="00286E0D" w:rsidP="006A2F81">
      <w:pPr>
        <w:pStyle w:val="ListNumber"/>
        <w:numPr>
          <w:ilvl w:val="0"/>
          <w:numId w:val="17"/>
        </w:numPr>
        <w:ind w:left="1094" w:hanging="357"/>
        <w:rPr>
          <w:rFonts w:eastAsia="Aptos"/>
          <w:noProof/>
          <w:kern w:val="2"/>
          <w:szCs w:val="24"/>
        </w:rPr>
      </w:pPr>
      <w:r w:rsidRPr="006E239D">
        <w:rPr>
          <w:noProof/>
        </w:rPr>
        <w:t>taħriġ ta’ persunal li jimplimentaw l-Iskema ta’ Tranżitu Speċjali;</w:t>
      </w:r>
    </w:p>
    <w:p w14:paraId="612D44E9" w14:textId="77777777" w:rsidR="00286E0D" w:rsidRPr="006E239D" w:rsidRDefault="00286E0D" w:rsidP="006A2F81">
      <w:pPr>
        <w:pStyle w:val="ListNumber"/>
        <w:numPr>
          <w:ilvl w:val="0"/>
          <w:numId w:val="17"/>
        </w:numPr>
        <w:ind w:left="1094" w:hanging="357"/>
        <w:rPr>
          <w:rFonts w:eastAsia="Aptos"/>
          <w:noProof/>
          <w:kern w:val="2"/>
          <w:szCs w:val="24"/>
        </w:rPr>
      </w:pPr>
      <w:r w:rsidRPr="006E239D">
        <w:rPr>
          <w:noProof/>
        </w:rPr>
        <w:t xml:space="preserve">kostijiet operazzjonali addizzjonali, inklużi l-kostijiet tal-persunal għall-implimentazzjoni tal-iskema ta’ Tranżitu Speċjali. </w:t>
      </w:r>
    </w:p>
    <w:p w14:paraId="20B98F44" w14:textId="04D816B3" w:rsidR="00286E0D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4.</w:t>
      </w:r>
      <w:r w:rsidRPr="006E239D">
        <w:rPr>
          <w:noProof/>
        </w:rPr>
        <w:tab/>
        <w:t>Il-Kummissjoni u l-Litwanja għandhom jirrieżaminaw l-applikazzjoni ta’ dan l-Artikolu f’każ ta’ ċirkostanzi mhux previsti li jkollhom impatt fuq l-eżistenza jew il-funzjonament tal-Iskema ta’ Tranżitu Speċjali.</w:t>
      </w:r>
    </w:p>
    <w:p w14:paraId="09B9D768" w14:textId="20E1787D" w:rsidR="00286E0D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5.</w:t>
      </w:r>
      <w:r w:rsidRPr="006E239D">
        <w:rPr>
          <w:noProof/>
        </w:rPr>
        <w:tab/>
        <w:t xml:space="preserve">L-ammonti msemmija fil-paragrafi 2 u 3 għandhom jiġu allokati lill-Pjan ta’ Sħubija Nazzjonali u Reġjonali tal-Litwanja. Dawk l-ammonti ma għandhomx jintużaw għal miżuri oħra fil-Pjan ħlief f’ċirkostanzi debitament ġustifikati, kif approvat mill-Kummissjoni permezz tal-emenda ta’ dak il-Pjan skont l-Artikolu 24 tar-Regolament (UE) […] li jistabbilixxi l-Fond Ewropew għall-koeżjoni ekonomika, soċjali u territorjali, għall-agrikoltura u rurali, għas-sajd u għas-settur marittimu, għall-prosperità u għas-sigurtà. </w:t>
      </w:r>
    </w:p>
    <w:p w14:paraId="398970FF" w14:textId="10C76A9D" w:rsidR="00286E0D" w:rsidRPr="006E239D" w:rsidRDefault="00286E0D" w:rsidP="0042042F">
      <w:pPr>
        <w:rPr>
          <w:noProof/>
        </w:rPr>
      </w:pPr>
      <w:r w:rsidRPr="006E239D">
        <w:rPr>
          <w:noProof/>
        </w:rPr>
        <w:t>Wara talba motivata mil-Litwanja, l-ammont imsemmi fil-paragrafu 3 jista’ jiġi rieżaminat u, fejn meħtieġ, aġġustat qabel l-adozzjoni tal-aħħar programm ta’ ħidma skont l-Artikolu 31 tar-Regolament (UE) […] li jistabbilixxi l-Fond Ewropew għall-koeżjoni ekonomika, soċjali u territorjali, l-agrikoltura u ż-żoni rurali, is-sajd u s-settur marittimu, il-prosperità u s-sigurtà. Kwalunkwe ammont addizzjonali ser jiġi allokat għall-Pjan ta’ Sħubija Nazzjonali u Reġjonali tal-Litwanja f’konformità mal-Artikolu 31(7) tar-Regolament (UE) […] li jistabbilixxi l-Fond Ewropew għall-koeżjoni ekonomika, soċjali u territorjali, l-agrikoltura u ż-żoni rurali, is-sajd u s-settur marittimu, il-prosperità u s-sigurtà.</w:t>
      </w:r>
    </w:p>
    <w:bookmarkEnd w:id="19"/>
    <w:p w14:paraId="68C0B3A9" w14:textId="13E23B66" w:rsidR="00286E0D" w:rsidRPr="006E239D" w:rsidRDefault="00286E0D" w:rsidP="00286E0D">
      <w:pPr>
        <w:pStyle w:val="Titrearticle"/>
        <w:rPr>
          <w:noProof/>
        </w:rPr>
      </w:pPr>
      <w:r w:rsidRPr="006E239D">
        <w:rPr>
          <w:noProof/>
        </w:rPr>
        <w:t>Artikolu 7</w:t>
      </w:r>
    </w:p>
    <w:p w14:paraId="43B9501B" w14:textId="77777777" w:rsidR="00286E0D" w:rsidRPr="006E239D" w:rsidRDefault="00286E0D" w:rsidP="00286E0D">
      <w:pPr>
        <w:pStyle w:val="Titrearticle"/>
        <w:rPr>
          <w:b/>
          <w:bCs/>
          <w:noProof/>
        </w:rPr>
      </w:pPr>
      <w:r w:rsidRPr="006E239D">
        <w:rPr>
          <w:b/>
          <w:noProof/>
        </w:rPr>
        <w:t>Riżorsi għall-kostijiet operattivi tas-Sistema Ewropea ta’ informazzjoni u ta’ Awtorizzazzjoni għall-ivvjaġġar (ETiAS)</w:t>
      </w:r>
    </w:p>
    <w:p w14:paraId="3743035C" w14:textId="03E26FA3" w:rsidR="00286E0D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1.</w:t>
      </w:r>
      <w:r w:rsidRPr="006E239D">
        <w:rPr>
          <w:noProof/>
        </w:rPr>
        <w:tab/>
        <w:t xml:space="preserve">Kull Stat Membru għandu jistabbilixxi sistema effettiva u affidabbli li tiżgura li l-kostijiet operatorji mġarrba minn dak l-Istat Membru skont l-Artikolu 85(2) u 85 (3) tar-Regolament (UE) 2018/1240 jiġu identifikati u rreġistrati b’mod adegwat. Sal-31 ta’ Jannar ta’ kull sena, u għall-ewwel darba sal-31 ta’ Jannar 2029, l-istati Membri għandhom jikkomunikaw lill-Kummissjoni l-kostijiet operattivi totali mġarrba għas-sena preċedenti. </w:t>
      </w:r>
    </w:p>
    <w:p w14:paraId="20E4BB50" w14:textId="727B6BC6" w:rsidR="00F0474E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2.</w:t>
      </w:r>
      <w:r w:rsidRPr="006E239D">
        <w:rPr>
          <w:noProof/>
        </w:rPr>
        <w:tab/>
        <w:t xml:space="preserve">Abbażi tal-informazzjoni kkomunikata mill-istati Membri f’konformità mal-paragrafu 1, il-Kummissjoni għandha tistabbilixxi l-ammont ta’ dħul iġġenerat mit-tariffi tal-ETiAS li għandhom jiġu assenjati f’konformità mal-Artikolu 86, it-tieni sentenza tar-Regolament (UE) 2018/1240 biex jiġu koperti l-kostijiet operattivi mġarrba mill-istati Membri. il-Kummissjoni għandha tqiegħed għad-dispożizzjoni ta’ kull Stat Membru s-sehem rispettiv tagħhom ta’ dan l-ammont. </w:t>
      </w:r>
    </w:p>
    <w:p w14:paraId="55C50CF3" w14:textId="560E024F" w:rsidR="00286E0D" w:rsidRPr="006E239D" w:rsidRDefault="003347AC" w:rsidP="003347AC">
      <w:pPr>
        <w:pStyle w:val="ManualNumPar1"/>
        <w:rPr>
          <w:noProof/>
        </w:rPr>
      </w:pPr>
      <w:r w:rsidRPr="006E239D">
        <w:rPr>
          <w:noProof/>
        </w:rPr>
        <w:t>3.</w:t>
      </w:r>
      <w:r w:rsidRPr="006E239D">
        <w:rPr>
          <w:noProof/>
        </w:rPr>
        <w:tab/>
        <w:t>Jekk l-ammont tal-kostijiet operatorji totali kkomunikati mill-Istati Membri skont il-paragrafu 1 jaqbeż id-dħul disponibbli tal-ETiAS, jew, jekk l-ammont ta’ spejjeż imġarrba biex jiġu personalizzati u awtomatizzati l-verifiki fil-fruntieri sabiex tiġi implimentata l-ETiAS jaqbeż il-limiti stabbiliti fl-Artikolu 85 (3) tar-Regolament (UE) 2018/1240, il-Kummissjoni għandha tikkalkula tnaqqis pro rata ta’ dawn l-ammonti.</w:t>
      </w:r>
    </w:p>
    <w:p w14:paraId="038E99C1" w14:textId="18ECF8B5" w:rsidR="00DD664E" w:rsidRPr="006E239D" w:rsidRDefault="003347AC" w:rsidP="003347AC">
      <w:pPr>
        <w:pStyle w:val="ManualNumPar1"/>
        <w:rPr>
          <w:noProof/>
        </w:rPr>
      </w:pPr>
      <w:bookmarkStart w:id="20" w:name="_Hlk202881652"/>
      <w:r w:rsidRPr="006E239D">
        <w:rPr>
          <w:noProof/>
        </w:rPr>
        <w:t>4.</w:t>
      </w:r>
      <w:r w:rsidRPr="006E239D">
        <w:rPr>
          <w:noProof/>
        </w:rPr>
        <w:tab/>
        <w:t>Jekk l-ammont tal-kostijiet operattivi totali f’sena partikolari jaqbeż id-dħul disponibbli tal-ETiAS, il-Kummissjoni għandha sussegwentement tagħmel disponibbli għall-istati Membri l-ammont li jikkorrispondi għat-tnaqqis pro rata tal-kostijiet operattivi totali tagħhom mid-dħul iġġenerat mit-tariffi tal-ETiAS.</w:t>
      </w:r>
    </w:p>
    <w:bookmarkEnd w:id="20"/>
    <w:p w14:paraId="10AD3292" w14:textId="060D27B2" w:rsidR="00286E0D" w:rsidRPr="006E239D" w:rsidRDefault="00286E0D" w:rsidP="00286E0D">
      <w:pPr>
        <w:pStyle w:val="Titrearticle"/>
        <w:rPr>
          <w:noProof/>
          <w:szCs w:val="24"/>
        </w:rPr>
      </w:pPr>
      <w:r w:rsidRPr="006E239D">
        <w:rPr>
          <w:noProof/>
        </w:rPr>
        <w:t>Artikolu 8</w:t>
      </w:r>
    </w:p>
    <w:p w14:paraId="5F79BA04" w14:textId="77777777" w:rsidR="00286E0D" w:rsidRPr="006E239D" w:rsidRDefault="006866F6" w:rsidP="00286E0D">
      <w:pPr>
        <w:pStyle w:val="Titrearticle"/>
        <w:rPr>
          <w:noProof/>
          <w:szCs w:val="24"/>
        </w:rPr>
      </w:pPr>
      <w:r w:rsidRPr="006E239D">
        <w:rPr>
          <w:b/>
          <w:noProof/>
        </w:rPr>
        <w:t>Kontribuzzjonijiet finanzjarji għar-Riżerva Annwali ta’ Solidarjetà</w:t>
      </w:r>
    </w:p>
    <w:p w14:paraId="0E0DC514" w14:textId="07076A59" w:rsidR="00286E0D" w:rsidRPr="006E239D" w:rsidRDefault="006866F6" w:rsidP="00653241">
      <w:pPr>
        <w:rPr>
          <w:noProof/>
          <w:szCs w:val="24"/>
        </w:rPr>
      </w:pPr>
      <w:r w:rsidRPr="006E239D">
        <w:rPr>
          <w:noProof/>
        </w:rPr>
        <w:t>il-Kummissjoni għandha tikkalkula u tagħmel disponibbli għal kull Stat Membru benefiċjarju s-sehem rispettiv tal-kontribuzzjonijiet finanzjarji ttrasferiti mill-istati Membri kontribwenti f’konformità mal-Artikolu 64(1) tar-Regolament UE 2024/1351 għall-fini tal-implimentazzjoni tal-azzjonijiet stabbiliti fl-Artikolu 56(2)(b) tar-Regolament (UE) 2024/1351.</w:t>
      </w:r>
    </w:p>
    <w:p w14:paraId="414E4803" w14:textId="2814B288" w:rsidR="00286E0D" w:rsidRPr="006E239D" w:rsidRDefault="00286E0D" w:rsidP="00286E0D">
      <w:pPr>
        <w:pStyle w:val="Titrearticle"/>
        <w:rPr>
          <w:noProof/>
        </w:rPr>
      </w:pPr>
      <w:r w:rsidRPr="006E239D">
        <w:rPr>
          <w:noProof/>
        </w:rPr>
        <w:t xml:space="preserve">Artikolu 9 </w:t>
      </w:r>
    </w:p>
    <w:p w14:paraId="732D7A52" w14:textId="77777777" w:rsidR="00286E0D" w:rsidRPr="006E239D" w:rsidRDefault="00286E0D" w:rsidP="00286E0D">
      <w:pPr>
        <w:pStyle w:val="Titrearticle"/>
        <w:rPr>
          <w:i w:val="0"/>
          <w:noProof/>
        </w:rPr>
      </w:pPr>
      <w:r w:rsidRPr="006E239D">
        <w:rPr>
          <w:b/>
          <w:noProof/>
        </w:rPr>
        <w:t>Dispożizzjonijiet tranżizzjonali</w:t>
      </w:r>
    </w:p>
    <w:p w14:paraId="32BA96D3" w14:textId="6427F63E" w:rsidR="00286E0D" w:rsidRPr="006E239D" w:rsidRDefault="00631DBC" w:rsidP="00A257BB">
      <w:pPr>
        <w:rPr>
          <w:noProof/>
        </w:rPr>
      </w:pPr>
      <w:r w:rsidRPr="006E239D">
        <w:rPr>
          <w:noProof/>
        </w:rPr>
        <w:t>Dan ir-Regolament ma għandux jaffettwa t-tkomplija jew il-modifika tal-azzjonijiet mibdija skont ir-Regolament (UE) 2021/1148, li għandhom ikomplu japplikaw għall-azzjonijiet ikkonċernati sal-għeluq tagħhom.</w:t>
      </w:r>
    </w:p>
    <w:p w14:paraId="3B38DA05" w14:textId="09D4A97E" w:rsidR="00286E0D" w:rsidRPr="006E239D" w:rsidRDefault="00286E0D" w:rsidP="00286E0D">
      <w:pPr>
        <w:pStyle w:val="Titrearticle"/>
        <w:rPr>
          <w:noProof/>
        </w:rPr>
      </w:pPr>
      <w:r w:rsidRPr="006E239D">
        <w:rPr>
          <w:noProof/>
        </w:rPr>
        <w:t>Artikolu 10</w:t>
      </w:r>
    </w:p>
    <w:p w14:paraId="0F10C298" w14:textId="77777777" w:rsidR="00286E0D" w:rsidRPr="006E239D" w:rsidRDefault="00286E0D" w:rsidP="00286E0D">
      <w:pPr>
        <w:pStyle w:val="Titrearticle"/>
        <w:rPr>
          <w:b/>
          <w:bCs/>
          <w:noProof/>
        </w:rPr>
      </w:pPr>
      <w:r w:rsidRPr="006E239D">
        <w:rPr>
          <w:b/>
          <w:noProof/>
        </w:rPr>
        <w:t>Dħul fis-seħħ u applikazzjoni</w:t>
      </w:r>
    </w:p>
    <w:p w14:paraId="1105ED5B" w14:textId="77777777" w:rsidR="00286E0D" w:rsidRPr="006E239D" w:rsidRDefault="00286E0D" w:rsidP="00286E0D">
      <w:pPr>
        <w:rPr>
          <w:noProof/>
          <w:szCs w:val="24"/>
        </w:rPr>
      </w:pPr>
      <w:r w:rsidRPr="006E239D">
        <w:rPr>
          <w:noProof/>
        </w:rPr>
        <w:t>Dan ir-Regolament għandu jidħol fis-seħħ fl-[għoxrin] jum wara dak tal-pubblikazzjoni tiegħu f’</w:t>
      </w:r>
      <w:r w:rsidRPr="006E239D">
        <w:rPr>
          <w:i/>
          <w:noProof/>
        </w:rPr>
        <w:t>Il-Ġurnal Uffiċjali tal-Unjoni Ewropea</w:t>
      </w:r>
      <w:r w:rsidRPr="006E239D">
        <w:rPr>
          <w:noProof/>
        </w:rPr>
        <w:t>.</w:t>
      </w:r>
    </w:p>
    <w:p w14:paraId="2B6F6F03" w14:textId="6A003581" w:rsidR="00286E0D" w:rsidRPr="006E239D" w:rsidRDefault="00286E0D" w:rsidP="00A257BB">
      <w:pPr>
        <w:rPr>
          <w:noProof/>
        </w:rPr>
      </w:pPr>
      <w:r w:rsidRPr="006E239D">
        <w:rPr>
          <w:noProof/>
        </w:rPr>
        <w:t>Għandu japplika mid-data tal-applikazzjoni tar-Regolament (UE) […] li jistabbilixxi l-Fond Ewropew għall-koeżjoni ekonomika, soċjali u territorjali, l-agrikoltura u ż-żoni rurali, is-sajd u s-settur marittimu, il-prosperità u s-sigurtà għall-perjodu 2028-2034.</w:t>
      </w:r>
    </w:p>
    <w:p w14:paraId="6D028D58" w14:textId="77777777" w:rsidR="00286E0D" w:rsidRPr="006E239D" w:rsidRDefault="00286E0D" w:rsidP="00286E0D">
      <w:pPr>
        <w:pStyle w:val="Applicationdirecte"/>
        <w:spacing w:before="120"/>
        <w:rPr>
          <w:noProof/>
          <w:szCs w:val="24"/>
        </w:rPr>
      </w:pPr>
      <w:r w:rsidRPr="006E239D">
        <w:rPr>
          <w:noProof/>
        </w:rPr>
        <w:t>Dan ir-Regolament għandu jorbot fl-intier tiegħu u japplika direttament fl-Istati Membri skont it-Trattati.</w:t>
      </w:r>
    </w:p>
    <w:p w14:paraId="15F55F35" w14:textId="4DFF8071" w:rsidR="00286E0D" w:rsidRPr="006E239D" w:rsidRDefault="006E239D" w:rsidP="009F05BF">
      <w:pPr>
        <w:pStyle w:val="Fait"/>
        <w:rPr>
          <w:noProof/>
        </w:rPr>
      </w:pPr>
      <w:r>
        <w:rPr>
          <w:noProof/>
        </w:rPr>
        <w:t>Magħmul fi Brussell,</w:t>
      </w:r>
    </w:p>
    <w:p w14:paraId="50B73B1B" w14:textId="77777777" w:rsidR="00363133" w:rsidRPr="006E239D" w:rsidRDefault="00363133" w:rsidP="009F05BF">
      <w:pPr>
        <w:pStyle w:val="Institutionquisigne"/>
        <w:rPr>
          <w:noProof/>
        </w:rPr>
      </w:pPr>
      <w:r w:rsidRPr="006E239D">
        <w:rPr>
          <w:noProof/>
        </w:rPr>
        <w:t>Għall-Parlament Ewropew</w:t>
      </w:r>
      <w:r w:rsidRPr="006E239D">
        <w:rPr>
          <w:noProof/>
        </w:rPr>
        <w:tab/>
        <w:t>Għall-Kunsill</w:t>
      </w:r>
    </w:p>
    <w:p w14:paraId="20635673" w14:textId="77777777" w:rsidR="00363133" w:rsidRPr="006E239D" w:rsidRDefault="00363133" w:rsidP="00363133">
      <w:pPr>
        <w:pStyle w:val="Personnequisigne"/>
        <w:rPr>
          <w:noProof/>
        </w:rPr>
      </w:pPr>
      <w:r w:rsidRPr="006E239D">
        <w:rPr>
          <w:noProof/>
        </w:rPr>
        <w:t>Il-President</w:t>
      </w:r>
      <w:r w:rsidRPr="006E239D">
        <w:rPr>
          <w:noProof/>
        </w:rPr>
        <w:tab/>
        <w:t>Il-President</w:t>
      </w:r>
    </w:p>
    <w:sectPr w:rsidR="00363133" w:rsidRPr="006E239D" w:rsidSect="0029416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9A93" w14:textId="77777777" w:rsidR="0045264C" w:rsidRDefault="0045264C" w:rsidP="00286E0D">
      <w:pPr>
        <w:spacing w:before="0" w:after="0"/>
      </w:pPr>
      <w:r>
        <w:separator/>
      </w:r>
    </w:p>
  </w:endnote>
  <w:endnote w:type="continuationSeparator" w:id="0">
    <w:p w14:paraId="08BEDAFF" w14:textId="77777777" w:rsidR="0045264C" w:rsidRDefault="0045264C" w:rsidP="00286E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14ED2" w14:textId="2D857EFD" w:rsidR="0029416F" w:rsidRPr="0029416F" w:rsidRDefault="0029416F" w:rsidP="0029416F">
    <w:pPr>
      <w:pStyle w:val="Footer"/>
      <w:rPr>
        <w:rFonts w:ascii="Arial" w:hAnsi="Arial" w:cs="Arial"/>
        <w:b/>
        <w:sz w:val="48"/>
      </w:rPr>
    </w:pPr>
    <w:r w:rsidRPr="0029416F">
      <w:rPr>
        <w:rFonts w:ascii="Arial" w:hAnsi="Arial" w:cs="Arial"/>
        <w:b/>
        <w:sz w:val="48"/>
      </w:rPr>
      <w:t>MT</w:t>
    </w:r>
    <w:r w:rsidRPr="0029416F">
      <w:rPr>
        <w:rFonts w:ascii="Arial" w:hAnsi="Arial" w:cs="Arial"/>
        <w:b/>
        <w:sz w:val="48"/>
      </w:rPr>
      <w:tab/>
    </w:r>
    <w:r w:rsidRPr="0029416F">
      <w:rPr>
        <w:rFonts w:ascii="Arial" w:hAnsi="Arial" w:cs="Arial"/>
        <w:b/>
        <w:sz w:val="48"/>
      </w:rPr>
      <w:tab/>
    </w:r>
    <w:r w:rsidRPr="0029416F">
      <w:tab/>
    </w:r>
    <w:r w:rsidRPr="0029416F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DE4A" w14:textId="19A0B1B6" w:rsidR="0029416F" w:rsidRPr="0029416F" w:rsidRDefault="0029416F" w:rsidP="0029416F">
    <w:pPr>
      <w:pStyle w:val="Footer"/>
      <w:rPr>
        <w:rFonts w:ascii="Arial" w:hAnsi="Arial" w:cs="Arial"/>
        <w:b/>
        <w:sz w:val="48"/>
      </w:rPr>
    </w:pPr>
    <w:r w:rsidRPr="0029416F">
      <w:rPr>
        <w:rFonts w:ascii="Arial" w:hAnsi="Arial" w:cs="Arial"/>
        <w:b/>
        <w:sz w:val="48"/>
      </w:rPr>
      <w:t>MT</w:t>
    </w:r>
    <w:r w:rsidRPr="0029416F">
      <w:rPr>
        <w:rFonts w:ascii="Arial" w:hAnsi="Arial" w:cs="Arial"/>
        <w:b/>
        <w:sz w:val="48"/>
      </w:rPr>
      <w:tab/>
    </w:r>
    <w:r w:rsidRPr="0029416F">
      <w:rPr>
        <w:rFonts w:ascii="Arial" w:hAnsi="Arial" w:cs="Arial"/>
        <w:b/>
        <w:sz w:val="48"/>
      </w:rPr>
      <w:tab/>
    </w:r>
    <w:r w:rsidRPr="0029416F">
      <w:tab/>
    </w:r>
    <w:r w:rsidRPr="0029416F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0870" w14:textId="77777777" w:rsidR="0029416F" w:rsidRDefault="0029416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92F5" w14:textId="3A8AF9FE" w:rsidR="0029416F" w:rsidRPr="0029416F" w:rsidRDefault="0029416F" w:rsidP="0029416F">
    <w:pPr>
      <w:pStyle w:val="Footer"/>
      <w:rPr>
        <w:rFonts w:ascii="Arial" w:hAnsi="Arial" w:cs="Arial"/>
        <w:b/>
        <w:sz w:val="48"/>
      </w:rPr>
    </w:pPr>
    <w:r w:rsidRPr="0029416F">
      <w:rPr>
        <w:rFonts w:ascii="Arial" w:hAnsi="Arial" w:cs="Arial"/>
        <w:b/>
        <w:sz w:val="48"/>
      </w:rPr>
      <w:t>MT</w:t>
    </w:r>
    <w:r w:rsidRPr="0029416F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9F05BF">
      <w:rPr>
        <w:noProof/>
      </w:rPr>
      <w:t>19</w:t>
    </w:r>
    <w:r>
      <w:fldChar w:fldCharType="end"/>
    </w:r>
    <w:r>
      <w:tab/>
    </w:r>
    <w:r w:rsidRPr="0029416F">
      <w:tab/>
    </w:r>
    <w:r w:rsidRPr="0029416F"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6BF7" w14:textId="77777777" w:rsidR="0029416F" w:rsidRDefault="0029416F" w:rsidP="00294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1E789" w14:textId="77777777" w:rsidR="0045264C" w:rsidRDefault="0045264C" w:rsidP="00286E0D">
      <w:pPr>
        <w:spacing w:before="0" w:after="0"/>
      </w:pPr>
      <w:r>
        <w:separator/>
      </w:r>
    </w:p>
  </w:footnote>
  <w:footnote w:type="continuationSeparator" w:id="0">
    <w:p w14:paraId="24477736" w14:textId="77777777" w:rsidR="0045264C" w:rsidRDefault="0045264C" w:rsidP="00286E0D">
      <w:pPr>
        <w:spacing w:before="0" w:after="0"/>
      </w:pPr>
      <w:r>
        <w:continuationSeparator/>
      </w:r>
    </w:p>
  </w:footnote>
  <w:footnote w:id="1">
    <w:p w14:paraId="70CC9307" w14:textId="2B0206F5" w:rsidR="008C306E" w:rsidRPr="00FA3905" w:rsidRDefault="008C306E" w:rsidP="008C306E">
      <w:pPr>
        <w:pStyle w:val="FootnoteText"/>
      </w:pPr>
      <w:r>
        <w:rPr>
          <w:rStyle w:val="FootnoteReference"/>
        </w:rPr>
        <w:footnoteRef/>
      </w:r>
      <w:r>
        <w:tab/>
        <w:t>Ir-Regolament tal-Parlament Ewropew u tal-Kunsill tal-14 ta’ Mejju 2024 li jintroduċi l-iskrinjar ta’ ċittadini ta’ pajjiżi terzi fil-fruntieri esterni u li jemenda r-Regolamenti (KE) Nru 767/2008, (UE) 2017/2226, (UE) 2018/1240 u (UE) 2019/817, ĠU L, 2024/1356, 22.5.2024, ELI: </w:t>
      </w:r>
      <w:hyperlink r:id="rId1" w:tgtFrame="_blank" w:tooltip="Jagħti aċċess għal dan id-dokument permezz tal-URI tal-ELI tiegħu." w:history="1">
        <w:r>
          <w:rPr>
            <w:rStyle w:val="Hyperlink"/>
          </w:rPr>
          <w:t>http://data.europa.eu/eli/reg/2024/1356/oj</w:t>
        </w:r>
      </w:hyperlink>
      <w:r>
        <w:t>). </w:t>
      </w:r>
    </w:p>
  </w:footnote>
  <w:footnote w:id="2">
    <w:p w14:paraId="7331594B" w14:textId="77777777" w:rsidR="00EB6497" w:rsidRPr="002F57CD" w:rsidRDefault="00EB6497" w:rsidP="00EB6497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(UE) 2021/1148 tal-Parlament Ewropew u tal-Kunsill tas-7 ta’ Lulju 2021 li jistabbilixxi, bħala parti mill-Fond għall-Ġestjoni Integrata tal-Fruntieri, l-Istrument għall-appoġġ finanzjarju għall-Ġestjoni tal-fruntieri u l-Politika dwar il-Viżi. </w:t>
      </w:r>
    </w:p>
  </w:footnote>
  <w:footnote w:id="3">
    <w:p w14:paraId="6343CBFD" w14:textId="77777777" w:rsidR="00970B74" w:rsidRPr="00970B74" w:rsidRDefault="00653241" w:rsidP="00970B74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ab/>
        <w:t>Ir-Regolament (UE) 2024/1351 tal-Parlament Ewropew u tal-Kunsill tal-14 ta’ Mejju 2024 dwar il-ġestjoni tal-ażil u l-migrazzjoni u li jemenda r-Regolamenti (UE) 2021/1147, u (UE) 2021/1060 u li jħassar ir-Regolament (UE) Nru 604/2013 (ĠU L, 2024/1351, 22.5.2024, ELI:</w:t>
      </w:r>
      <w:r>
        <w:rPr>
          <w:b/>
        </w:rPr>
        <w:t> </w:t>
      </w:r>
      <w:hyperlink r:id="rId2" w:tgtFrame="_blank" w:tooltip="Jagħti aċċess għal dan id-dokument permezz tal-URI tal-ELI tiegħu." w:history="1">
        <w:r>
          <w:rPr>
            <w:rStyle w:val="Hyperlink"/>
            <w:b/>
          </w:rPr>
          <w:t>http://data.europa.eu/eli/reg/2024/1351/oj</w:t>
        </w:r>
      </w:hyperlink>
      <w:r>
        <w:t>).</w:t>
      </w:r>
    </w:p>
    <w:p w14:paraId="473B85DC" w14:textId="3AF592A2" w:rsidR="00286E0D" w:rsidRPr="00112A8A" w:rsidRDefault="00286E0D" w:rsidP="00D274F9">
      <w:pPr>
        <w:pStyle w:val="FootnoteText"/>
        <w:rPr>
          <w:lang w:val="en-IE"/>
        </w:rPr>
      </w:pPr>
    </w:p>
  </w:footnote>
  <w:footnote w:id="4">
    <w:p w14:paraId="518B2D40" w14:textId="77777777" w:rsidR="00286E0D" w:rsidRPr="00431333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5">
    <w:p w14:paraId="6353D267" w14:textId="77777777" w:rsidR="00286E0D" w:rsidRPr="008B2F77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Il-pożizzjoni tal-Parlament Ewropew ta’ … u l-pożizzjoni tal-Kunsill ta’ …</w:t>
      </w:r>
    </w:p>
  </w:footnote>
  <w:footnote w:id="6">
    <w:p w14:paraId="21BBB7AD" w14:textId="77777777" w:rsidR="00286E0D" w:rsidRPr="00A60815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Ir-Regolament (UE) 2019/1896 tal-Parlament Ewropew u tal-Kunsill tat-13 ta’ Novembru 2019 dwar il-Gwardja Ewropea tal-Fruntiera u tal-Kosta u li jħassar ir-Regolamenti (UE) Nru 1052/2013 u (UE) 2016/1624 (ĠU L 295, 14.11.2019, p. 1. ELI: http://data.europa.eu/eli/reg/2019/1896/oj),</w:t>
      </w:r>
    </w:p>
  </w:footnote>
  <w:footnote w:id="7">
    <w:p w14:paraId="4FBDEC8E" w14:textId="77777777" w:rsidR="00286E0D" w:rsidRPr="008B2F77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ĠU L 144, 6.6.2007, p. 22.</w:t>
      </w:r>
    </w:p>
  </w:footnote>
  <w:footnote w:id="8">
    <w:p w14:paraId="4428EE6F" w14:textId="77777777" w:rsidR="00286E0D" w:rsidRPr="003A4850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(UE) Nru 515/2014 tal-Parlament Ewropew u tal-Kunsill tas-16 ta’ April 2014 li jistabbilixxi, bħala parti mill-Fond għas-Sigurtà Interna, l-istrument għall-appoġġ finanzjarju għall-fruntieri esterni u l-viża u li jħassar id-Deċiżjoni Nru 574/2007/KE (ĠU L 150, 20.5.2014, p. 143, ELI: </w:t>
      </w:r>
      <w:hyperlink r:id="rId3" w:history="1">
        <w:r>
          <w:rPr>
            <w:rStyle w:val="Hyperlink"/>
          </w:rPr>
          <w:t>http://data.europa.eu/eli/reg/2014/515/oj</w:t>
        </w:r>
      </w:hyperlink>
      <w:r>
        <w:t>).</w:t>
      </w:r>
    </w:p>
  </w:footnote>
  <w:footnote w:id="9">
    <w:p w14:paraId="714FF2E9" w14:textId="77777777" w:rsidR="00286E0D" w:rsidRPr="002F600E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(UE) 2021/1148 tal-Parlament Ewropew u tal-Kunsill tas-7 ta’ Lulju 2021 li jistabbilixxi, bħala parti mill-Fond għall-Ġestjoni Integrata tal-Fruntieri, l-Istrument għall-Appoġġ Finanzjarju għall-Ġestjoni tal-Fruntieri u l-Politika dwar il-Viżi (ĠU L 251, 15.7.2021, p. 48, ELI: </w:t>
      </w:r>
      <w:hyperlink r:id="rId4" w:history="1">
        <w:r>
          <w:rPr>
            <w:rStyle w:val="Hyperlink"/>
          </w:rPr>
          <w:t>http://data.europa.eu/eli/reg/2021/1148/oj</w:t>
        </w:r>
      </w:hyperlink>
      <w:r>
        <w:t>).</w:t>
      </w:r>
    </w:p>
  </w:footnote>
  <w:footnote w:id="10">
    <w:p w14:paraId="2326C5A3" w14:textId="77777777" w:rsidR="00BA3EDB" w:rsidRPr="00B83CD2" w:rsidRDefault="00BA3EDB" w:rsidP="00BA3EDB">
      <w:pPr>
        <w:pStyle w:val="FootnoteText"/>
      </w:pPr>
      <w:r>
        <w:rPr>
          <w:rStyle w:val="FootnoteReference"/>
        </w:rPr>
        <w:footnoteRef/>
      </w:r>
      <w:r>
        <w:tab/>
        <w:t>Komunikazzjoni tal-Kummissjoni lill-Parlament Ewropew u lill-Kunsill dwar il-ġlieda kontra t-theddid ibridu mill-użu tal-migrazzjoni bħala arma u t-tisħiħ tas-sigurtà fil-fruntieri esterni tal-UE (COM(2024) 570 final tal-11.12.2024).</w:t>
      </w:r>
    </w:p>
  </w:footnote>
  <w:footnote w:id="11">
    <w:p w14:paraId="2178D4C2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(UE) 2018/1240 tal-Parlament Ewropew u tal-Kunsill tat-12 ta’ Settembru 2018 li jistabbilixxi s-Sistema Ewropea ta’ Informazzjoni u ta’ Awtorizzazzjoni għall-Ivvjaġġar (ETIAS) u li jemenda r-Regolamenti (UE) Nru 1077/2011, (UE) Nru 515/2014, (UE) 2016/399, (UE) 2016/1624 u (UE) 2017/2226 (ĠU L 236, 19.9.2018, p. 1, ELI: </w:t>
      </w:r>
      <w:hyperlink r:id="rId5" w:history="1">
        <w:r>
          <w:rPr>
            <w:rStyle w:val="Hyperlink"/>
          </w:rPr>
          <w:t>http://data.europa.eu/eli/reg/2018/1240/oj</w:t>
        </w:r>
      </w:hyperlink>
      <w:r>
        <w:t>).</w:t>
      </w:r>
    </w:p>
  </w:footnote>
  <w:footnote w:id="12">
    <w:p w14:paraId="3386E873" w14:textId="77777777" w:rsidR="00286E0D" w:rsidRPr="00A81B6D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(UE) 2024/1351 tal-Parlament Ewropew u tal-Kunsill tal-14 ta’ Mejju 2024 dwar il-ġestjoni tal-ażil u l-migrazzjoni u li jemenda r-Regolamenti (UE) 2021/1147, u (UE) 2021/1060 u li jħassar ir-Regolament (UE) Nru 604/2013 (ĠU L, 2024/1351, 22.5.2024, ELI: </w:t>
      </w:r>
      <w:hyperlink r:id="rId6" w:history="1">
        <w:r>
          <w:rPr>
            <w:rStyle w:val="Hyperlink"/>
          </w:rPr>
          <w:t>http://data.europa.eu/eli/reg/2024/1351/oj</w:t>
        </w:r>
      </w:hyperlink>
      <w:r>
        <w:t>).</w:t>
      </w:r>
    </w:p>
  </w:footnote>
  <w:footnote w:id="13">
    <w:p w14:paraId="599052AD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L-Att dwar il-kondizzjonijiet ta’ adeżjoni tar-Repubblika Ċeka, ir-Repubblika tal-Estonja, ir-Repubblika ta’ Ċipru, ir-Repubblika tal-Latvja, ir-Repubblika tal-Litwanja, ir-Repubblika tal-Ungerija, ir-Repubblika ta’ Malta, ir-Repubblika tal-Polonja, ir-Repubblika tas-Slovenja, u r-Repubblika Slovakka, u l-aġġustamenti għat-Trattati li fuqhom l-Unjoni Ewropea hija stabbilita (ĠU L 236, 23.9.2003, p. 955, ELI: http://data.europa.eu/eli/treaty/acc_2003/act_1/pro_10/sign).</w:t>
      </w:r>
    </w:p>
  </w:footnote>
  <w:footnote w:id="14">
    <w:p w14:paraId="10C09AF4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tal-Kunsill (KE) Nru 693/2003 tal-14 ta’ April 2003 li jistabbilixxi Dokument speċifiku ta’ Tranżitu Faċilitat (FTD), Dokument ta’ Tranżitu Faċilitat bil-Ferroviji (FRTD) u jemenda l-Istruzzjonijiet Konsulari Komuni u l-Ktieb tal-Istruzzjonijiet Komuni (ĠU L 99, 17.4.2003, p. 8, ELI: </w:t>
      </w:r>
      <w:hyperlink r:id="rId7" w:history="1">
        <w:r>
          <w:rPr>
            <w:rStyle w:val="Hyperlink"/>
          </w:rPr>
          <w:t>http://data.europa.eu/eli/reg/2003/693/oj</w:t>
        </w:r>
      </w:hyperlink>
      <w:r>
        <w:t>).</w:t>
      </w:r>
    </w:p>
  </w:footnote>
  <w:footnote w:id="15">
    <w:p w14:paraId="48054FE4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ĠU L 176, 10.7.1999, p. 36.</w:t>
      </w:r>
    </w:p>
  </w:footnote>
  <w:footnote w:id="16">
    <w:p w14:paraId="0ED6C216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Id-Deċiżjoni tal-Kunsill 1999/437/KE tas-17 ta’ Mejju 1999 dwar ċerti arranġamenti għall-applikazzjoni tal-Ftehim konkluż mill-Kunsill tal-Unjoni Ewropea u r-Repubblika tal-Iżlanda u r-Renju tan-Norveġja dwar l-assoċjazzjoni ta’ dawn iż-żewġ Stati mal-implimentazzjoni, l-applikazzjoni u l-iżvilupp tal-acquis ta’ Schengen (ĠU L 176, 10.7.1999, p. 31, ELI: </w:t>
      </w:r>
      <w:hyperlink r:id="rId8" w:history="1">
        <w:r>
          <w:rPr>
            <w:rStyle w:val="Hyperlink"/>
          </w:rPr>
          <w:t>http://data.europa.eu/eli/dec/1999/437/oj</w:t>
        </w:r>
      </w:hyperlink>
      <w:r>
        <w:t>).</w:t>
      </w:r>
    </w:p>
  </w:footnote>
  <w:footnote w:id="17">
    <w:p w14:paraId="5FE07AD1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ĠU L 53, 27.2.2008, p. 52.</w:t>
      </w:r>
    </w:p>
  </w:footnote>
  <w:footnote w:id="18">
    <w:p w14:paraId="41D47FF0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Id-Deċiżjoni tal-Kunsill 2008/146/KE tat-28 ta’ Jannar 2008 dwar il-konklużjoni f’isem il-Komunità Ewropea, tal-Ftehim bejn l-Unjoni Ewropea, il-Komunità Ewropea u l-Konfederazzjoni Żvizzera dwar l-assoċjazzjoni tal-Konfederazzjoni Żvizzera mal-implimentazzjoni, l-applikazzjoni u l-iżvilupp tal-acquis ta’ Schengen (ĠU L 53, 27.2.2008, p. 1, ELI: </w:t>
      </w:r>
      <w:hyperlink r:id="rId9" w:history="1">
        <w:r>
          <w:rPr>
            <w:rStyle w:val="Hyperlink"/>
          </w:rPr>
          <w:t>http://data.europa.eu/eli/dec/2008/146/oj</w:t>
        </w:r>
      </w:hyperlink>
      <w:r>
        <w:t>).</w:t>
      </w:r>
    </w:p>
  </w:footnote>
  <w:footnote w:id="19">
    <w:p w14:paraId="103CF621" w14:textId="77777777" w:rsidR="00286E0D" w:rsidRPr="00404366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ĠU L 160, 18.6.2011, p. 21, ELI: http://data.europa.eu/eli/prot/2011/350/oj.</w:t>
      </w:r>
    </w:p>
  </w:footnote>
  <w:footnote w:id="20">
    <w:p w14:paraId="0DBAFE99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Id-Deċiżjoni tal-Kunsill 2011/350/UE tas-7 ta’ Marzu 2011 dwar il-konklużjoni, f’isem l-Unjoni Ewropea, tal-Protokoll bejn l-Unjoni Ewropea, il-Komunità Ewropea, il-Konfederazzjoni Żvizzera u l-Prinċipat tal-Liechtenstein dwar l-adeżjoni tal-Prinċipat tal-Liechtenstein mal-Ftehim bejn l-Unjoni Ewropea, il-Komunità Ewropea u l-Konfederazzjoni Żvizzera dwar l-assoċjazzjoni tal-Konfederazzjoni Żvizzera mal-implimentazzjoni, l-applikazzjoni u l-iżvilupp tal-acquis ta’ Schengen, relatat mal-abolizzjoni tal-verifiki mal-fruntieri interni u l-moviment tal-persuni (ĠU L 160, 18.6.2011, p. 19, ELI: </w:t>
      </w:r>
      <w:hyperlink r:id="rId10" w:history="1">
        <w:r>
          <w:rPr>
            <w:rStyle w:val="Hyperlink"/>
          </w:rPr>
          <w:t>http://data.europa.eu/eli/dec/2011/350/oj</w:t>
        </w:r>
      </w:hyperlink>
      <w:r>
        <w:t>).</w:t>
      </w:r>
    </w:p>
  </w:footnote>
  <w:footnote w:id="21">
    <w:p w14:paraId="59C5E64F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Id-Deċiżjoni tal-Kunsill 2002/192/KE tat-28 ta’ Frar 2002 rigward it-talba tal-Irlanda biex tieħu sehem f’xi dispożizzjonijiet tal-acquis ta’ Schengen (ĠU L 64, 7.3.2002, p. 20, ELI: http://data.europa.eu/eli/dec/2002/192/oj).</w:t>
      </w:r>
    </w:p>
  </w:footnote>
  <w:footnote w:id="22">
    <w:p w14:paraId="18213D6B" w14:textId="77777777" w:rsidR="00286E0D" w:rsidRPr="009D63A2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Ir-Regolament (UE) 2016/399 tal-Parlament Ewropew u tal-Kunsill tad-9 ta’ Marzu 2016 dwar Kodiċi tal-Unjoni dwar ir-regoli li jirregolaw il-moviment ta’ persuni minn naħa għal oħra tal-fruntieri (il-Kodiċi tal-Fruntieri ta’ Schengen) (kodifikazzjoni), (ĠU L 77, 23.3.2016, p. 1–52, ELI: http://data.europa.eu/eli/reg/2016/399/oj).</w:t>
      </w:r>
    </w:p>
  </w:footnote>
  <w:footnote w:id="23">
    <w:p w14:paraId="4E3DE7BE" w14:textId="77777777" w:rsidR="00286E0D" w:rsidRPr="009D63A2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Ir-Regolament (UE) 2019/1896 tal-Parlament Ewropew u tal-Kunsill tat-13 ta’ Novembru 2019 dwar il-Gwardja Ewropea tal-Fruntiera u tal-Kosta u li jħassar ir-Regolamenti (UE) Nru 1052/2013 u (UE) 2016/1624, (ĠU L 295, 14.11.2019, p. 1–131).</w:t>
      </w:r>
    </w:p>
  </w:footnote>
  <w:footnote w:id="24">
    <w:p w14:paraId="37F054DE" w14:textId="77777777" w:rsidR="00286E0D" w:rsidRPr="009D63A2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Ir-Regolament (UE) 2016/399 tal-Parlament Ewropew u tal-Kunsill tad-9 ta’ Marzu 2016 dwar Kodiċi tal-Unjoni dwar ir-regoli li jirregolaw il-moviment ta’ persuni minn naħa għal oħra tal-fruntieri (il-Kodiċi tal-Fruntieri ta’ Schengen) (kodifikazzjoni), (ĠU L 77, 23.3.2016, p. 1–52).</w:t>
      </w:r>
    </w:p>
  </w:footnote>
  <w:footnote w:id="25">
    <w:p w14:paraId="19F49142" w14:textId="77777777" w:rsidR="00286E0D" w:rsidRPr="009D63A2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Ir-Regolament (UE) 2019/1896 tal-Parlament Ewropew u tal-Kunsill tat-13 ta’ Novembru 2019 dwar il-Gwardja Ewropea tal-Fruntiera u tal-Kosta u li jħassar ir-Regolamenti (UE) Nru 1052/2013 u (UE) 2016/1624, (ĠU L 295, 14.11.2019, p. 1–131).</w:t>
      </w:r>
    </w:p>
  </w:footnote>
  <w:footnote w:id="26">
    <w:p w14:paraId="567544D3" w14:textId="77777777" w:rsidR="00286E0D" w:rsidRPr="008665C8" w:rsidRDefault="00286E0D" w:rsidP="00D274F9">
      <w:pPr>
        <w:pStyle w:val="FootnoteText"/>
      </w:pPr>
      <w:r>
        <w:rPr>
          <w:rStyle w:val="FootnoteReference"/>
        </w:rPr>
        <w:footnoteRef/>
      </w:r>
      <w:r>
        <w:tab/>
        <w:t>Ir-Regolament (KE) Nru 810/2009 tal-Parlament Ewropew u tal-Kunsill tat-13 ta’ Lulju 2009 li jistabbilixxi Kodiċi Komunitarju dwar il-Viżi (Kodiċi dwar il-Viżi) (ĠU L 243, 15.9.2009, p. 1-58, ELI: http://data.europa.eu/eli/reg/2009/810/oj)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D45C" w14:textId="77777777" w:rsidR="0029416F" w:rsidRDefault="00294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DDA3A" w14:textId="77777777" w:rsidR="0029416F" w:rsidRDefault="00294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" w15:restartNumberingAfterBreak="0">
    <w:nsid w:val="13E4330B"/>
    <w:multiLevelType w:val="multilevel"/>
    <w:tmpl w:val="875C4416"/>
    <w:name w:val="List Dash 3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" w15:restartNumberingAfterBreak="0">
    <w:nsid w:val="2CCE059D"/>
    <w:multiLevelType w:val="multilevel"/>
    <w:tmpl w:val="BF4077C8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0" w15:restartNumberingAfterBreak="0">
    <w:nsid w:val="2F191641"/>
    <w:multiLevelType w:val="multilevel"/>
    <w:tmpl w:val="B67C4E9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2" w15:restartNumberingAfterBreak="0">
    <w:nsid w:val="398C015E"/>
    <w:multiLevelType w:val="multilevel"/>
    <w:tmpl w:val="027A66BA"/>
    <w:name w:val="List Dash 4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9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1" w15:restartNumberingAfterBreak="0">
    <w:nsid w:val="5B0B0635"/>
    <w:multiLevelType w:val="singleLevel"/>
    <w:tmpl w:val="017E7CEE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2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DF84969"/>
    <w:multiLevelType w:val="singleLevel"/>
    <w:tmpl w:val="1E12021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8" w15:restartNumberingAfterBreak="0">
    <w:nsid w:val="71F06166"/>
    <w:multiLevelType w:val="multilevel"/>
    <w:tmpl w:val="C08066D2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3D73F7A"/>
    <w:multiLevelType w:val="singleLevel"/>
    <w:tmpl w:val="2636573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 w15:restartNumberingAfterBreak="0">
    <w:nsid w:val="76BC5C11"/>
    <w:multiLevelType w:val="singleLevel"/>
    <w:tmpl w:val="E44CE82E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18"/>
  </w:num>
  <w:num w:numId="5">
    <w:abstractNumId w:val="17"/>
  </w:num>
  <w:num w:numId="6">
    <w:abstractNumId w:val="28"/>
  </w:num>
  <w:num w:numId="7">
    <w:abstractNumId w:val="25"/>
  </w:num>
  <w:num w:numId="8">
    <w:abstractNumId w:val="29"/>
  </w:num>
  <w:num w:numId="9">
    <w:abstractNumId w:val="30"/>
  </w:num>
  <w:num w:numId="10">
    <w:abstractNumId w:val="1"/>
  </w:num>
  <w:num w:numId="11">
    <w:abstractNumId w:val="11"/>
  </w:num>
  <w:num w:numId="12">
    <w:abstractNumId w:val="2"/>
  </w:num>
  <w:num w:numId="13">
    <w:abstractNumId w:val="12"/>
  </w:num>
  <w:num w:numId="14">
    <w:abstractNumId w:val="10"/>
  </w:num>
  <w:num w:numId="15">
    <w:abstractNumId w:val="19"/>
  </w:num>
  <w:num w:numId="16">
    <w:abstractNumId w:val="8"/>
  </w:num>
  <w:num w:numId="17">
    <w:abstractNumId w:val="6"/>
  </w:num>
  <w:num w:numId="18">
    <w:abstractNumId w:val="24"/>
  </w:num>
  <w:num w:numId="19">
    <w:abstractNumId w:val="13"/>
  </w:num>
  <w:num w:numId="20">
    <w:abstractNumId w:val="27"/>
  </w:num>
  <w:num w:numId="21">
    <w:abstractNumId w:val="7"/>
  </w:num>
  <w:num w:numId="22">
    <w:abstractNumId w:val="14"/>
  </w:num>
  <w:num w:numId="23">
    <w:abstractNumId w:val="15"/>
  </w:num>
  <w:num w:numId="24">
    <w:abstractNumId w:val="4"/>
  </w:num>
  <w:num w:numId="25">
    <w:abstractNumId w:val="26"/>
  </w:num>
  <w:num w:numId="26">
    <w:abstractNumId w:val="3"/>
  </w:num>
  <w:num w:numId="27">
    <w:abstractNumId w:val="16"/>
  </w:num>
  <w:num w:numId="28">
    <w:abstractNumId w:val="22"/>
  </w:num>
  <w:num w:numId="29">
    <w:abstractNumId w:val="23"/>
  </w:num>
  <w:num w:numId="30">
    <w:abstractNumId w:val="5"/>
  </w:num>
  <w:num w:numId="31">
    <w:abstractNumId w:val="20"/>
  </w:num>
  <w:num w:numId="32">
    <w:abstractNumId w:val="31"/>
  </w:num>
  <w:num w:numId="33">
    <w:abstractNumId w:val="24"/>
  </w:num>
  <w:num w:numId="34">
    <w:abstractNumId w:val="13"/>
  </w:num>
  <w:num w:numId="35">
    <w:abstractNumId w:val="27"/>
  </w:num>
  <w:num w:numId="36">
    <w:abstractNumId w:val="7"/>
  </w:num>
  <w:num w:numId="37">
    <w:abstractNumId w:val="14"/>
  </w:num>
  <w:num w:numId="38">
    <w:abstractNumId w:val="15"/>
  </w:num>
  <w:num w:numId="39">
    <w:abstractNumId w:val="4"/>
  </w:num>
  <w:num w:numId="40">
    <w:abstractNumId w:val="26"/>
  </w:num>
  <w:num w:numId="41">
    <w:abstractNumId w:val="3"/>
  </w:num>
  <w:num w:numId="42">
    <w:abstractNumId w:val="16"/>
  </w:num>
  <w:num w:numId="43">
    <w:abstractNumId w:val="22"/>
  </w:num>
  <w:num w:numId="44">
    <w:abstractNumId w:val="23"/>
  </w:num>
  <w:num w:numId="45">
    <w:abstractNumId w:val="5"/>
  </w:num>
  <w:num w:numId="46">
    <w:abstractNumId w:val="20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09-03 14:15:1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28EF1D47-2656-4C60-9E42-A860F185D4A1"/>
    <w:docVar w:name="LW_COVERPAGE_TYPE" w:val="1"/>
    <w:docVar w:name="LW_CreatedUtc" w:val="2025-06-30T13:55:55.3687810Z"/>
    <w:docVar w:name="LW_CROSSREFERENCE" w:val="&lt;UNUSED&gt;"/>
    <w:docVar w:name="LW_DocType" w:val="COM"/>
    <w:docVar w:name="LW_EMISSION" w:val="16.7.2025"/>
    <w:docVar w:name="LW_EMISSION_ISODATE" w:val="2025-07-16"/>
    <w:docVar w:name="LW_EMISSION_LOCATION" w:val="BRX"/>
    <w:docVar w:name="LW_EMISSION_PREFIX" w:val="Brussell, "/>
    <w:docVar w:name="LW_EMISSION_SUFFIX" w:val=" 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SERT_EXP.MOTIFS.NEW" w:val="1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541"/>
    <w:docVar w:name="LW_REF.II.NEW.CP_YEAR" w:val="2025"/>
    <w:docVar w:name="LW_REF.INST.NEW" w:val="COM"/>
    <w:docVar w:name="LW_REF.INST.NEW_ADOPTED" w:val="final"/>
    <w:docVar w:name="LW_REF.INST.NEW_TEXT" w:val="(2025) 54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li tistabbilixxi l-appo\u289?\u289? tal-Unjoni g\u295?a\u380?-\u380?ona Schengen, g\u295?all-\u289?estjoni integrata Ewropea tal-fruntieri u g\u295?all-politika komuni dwar il-vi\u380?i g\u295?all-perijodu mill-2028 sal-2034"/>
    <w:docVar w:name="LW_TYPE.DOC.CP" w:val="REGOLAMENT TAL-PARLAMENT EWROPEW U TAL-KUNSILL"/>
    <w:docVar w:name="LwApiVersions" w:val="LW4CoDe 1.24.5.0; LW 9.0, Build 20240221"/>
  </w:docVars>
  <w:rsids>
    <w:rsidRoot w:val="00286E0D"/>
    <w:rsid w:val="000004BB"/>
    <w:rsid w:val="000011DD"/>
    <w:rsid w:val="00010C77"/>
    <w:rsid w:val="00015B47"/>
    <w:rsid w:val="00023854"/>
    <w:rsid w:val="0003052C"/>
    <w:rsid w:val="000318D3"/>
    <w:rsid w:val="00034CAB"/>
    <w:rsid w:val="00035D80"/>
    <w:rsid w:val="0004117A"/>
    <w:rsid w:val="0004185D"/>
    <w:rsid w:val="0005515C"/>
    <w:rsid w:val="00067273"/>
    <w:rsid w:val="000706FB"/>
    <w:rsid w:val="00081D61"/>
    <w:rsid w:val="0008440D"/>
    <w:rsid w:val="00092FB3"/>
    <w:rsid w:val="00094C15"/>
    <w:rsid w:val="000963B2"/>
    <w:rsid w:val="000978AD"/>
    <w:rsid w:val="000B7F2F"/>
    <w:rsid w:val="000C55AA"/>
    <w:rsid w:val="000D21B0"/>
    <w:rsid w:val="000E118B"/>
    <w:rsid w:val="000F2A02"/>
    <w:rsid w:val="0010112C"/>
    <w:rsid w:val="0010490D"/>
    <w:rsid w:val="00105088"/>
    <w:rsid w:val="001065F5"/>
    <w:rsid w:val="00107901"/>
    <w:rsid w:val="00121B18"/>
    <w:rsid w:val="001238EF"/>
    <w:rsid w:val="00123EFE"/>
    <w:rsid w:val="00126F40"/>
    <w:rsid w:val="00137B11"/>
    <w:rsid w:val="00141554"/>
    <w:rsid w:val="00143446"/>
    <w:rsid w:val="00143CF0"/>
    <w:rsid w:val="001536A8"/>
    <w:rsid w:val="00154A8A"/>
    <w:rsid w:val="00155AA7"/>
    <w:rsid w:val="00157C92"/>
    <w:rsid w:val="00166A0C"/>
    <w:rsid w:val="00172733"/>
    <w:rsid w:val="00176B1B"/>
    <w:rsid w:val="001811FA"/>
    <w:rsid w:val="00184A08"/>
    <w:rsid w:val="001857E1"/>
    <w:rsid w:val="00191B47"/>
    <w:rsid w:val="001925FD"/>
    <w:rsid w:val="00197613"/>
    <w:rsid w:val="001976EC"/>
    <w:rsid w:val="001A3ACA"/>
    <w:rsid w:val="001A5829"/>
    <w:rsid w:val="001A5F6D"/>
    <w:rsid w:val="001A7E56"/>
    <w:rsid w:val="001B1666"/>
    <w:rsid w:val="001C0E45"/>
    <w:rsid w:val="001C3E3A"/>
    <w:rsid w:val="001C585A"/>
    <w:rsid w:val="001D12A3"/>
    <w:rsid w:val="001D3B94"/>
    <w:rsid w:val="001D75F7"/>
    <w:rsid w:val="001F3E4C"/>
    <w:rsid w:val="001F5CEB"/>
    <w:rsid w:val="001F7A9C"/>
    <w:rsid w:val="0020085E"/>
    <w:rsid w:val="002017CB"/>
    <w:rsid w:val="00210ADD"/>
    <w:rsid w:val="0023067A"/>
    <w:rsid w:val="00233DC7"/>
    <w:rsid w:val="0023405B"/>
    <w:rsid w:val="0023416F"/>
    <w:rsid w:val="0023549D"/>
    <w:rsid w:val="002437DE"/>
    <w:rsid w:val="00244DBF"/>
    <w:rsid w:val="00247779"/>
    <w:rsid w:val="002509F8"/>
    <w:rsid w:val="00254508"/>
    <w:rsid w:val="00255526"/>
    <w:rsid w:val="00257EC0"/>
    <w:rsid w:val="00262A48"/>
    <w:rsid w:val="002779C4"/>
    <w:rsid w:val="00281DFF"/>
    <w:rsid w:val="00281EED"/>
    <w:rsid w:val="00285BEE"/>
    <w:rsid w:val="00286E0D"/>
    <w:rsid w:val="00287E8A"/>
    <w:rsid w:val="0029018F"/>
    <w:rsid w:val="0029416F"/>
    <w:rsid w:val="0029533F"/>
    <w:rsid w:val="00295640"/>
    <w:rsid w:val="00296FB6"/>
    <w:rsid w:val="002A1112"/>
    <w:rsid w:val="002B13A7"/>
    <w:rsid w:val="002B30AF"/>
    <w:rsid w:val="002D1715"/>
    <w:rsid w:val="002D2A57"/>
    <w:rsid w:val="002D3158"/>
    <w:rsid w:val="002D5743"/>
    <w:rsid w:val="002E242E"/>
    <w:rsid w:val="002E2907"/>
    <w:rsid w:val="002E73D3"/>
    <w:rsid w:val="002F27AB"/>
    <w:rsid w:val="003062AD"/>
    <w:rsid w:val="0030778E"/>
    <w:rsid w:val="00312482"/>
    <w:rsid w:val="0031447B"/>
    <w:rsid w:val="00314647"/>
    <w:rsid w:val="0031749A"/>
    <w:rsid w:val="00322AD7"/>
    <w:rsid w:val="0032654D"/>
    <w:rsid w:val="0033344A"/>
    <w:rsid w:val="003339F9"/>
    <w:rsid w:val="003347AC"/>
    <w:rsid w:val="00336FEB"/>
    <w:rsid w:val="00340D61"/>
    <w:rsid w:val="003456B3"/>
    <w:rsid w:val="00350CA0"/>
    <w:rsid w:val="00350CE0"/>
    <w:rsid w:val="003515E3"/>
    <w:rsid w:val="00353B24"/>
    <w:rsid w:val="003549C2"/>
    <w:rsid w:val="00363133"/>
    <w:rsid w:val="003651E9"/>
    <w:rsid w:val="00366EC2"/>
    <w:rsid w:val="003679D2"/>
    <w:rsid w:val="0037577F"/>
    <w:rsid w:val="00377DBC"/>
    <w:rsid w:val="003831D3"/>
    <w:rsid w:val="00385789"/>
    <w:rsid w:val="003859D9"/>
    <w:rsid w:val="00387A4E"/>
    <w:rsid w:val="003950D1"/>
    <w:rsid w:val="00395DD3"/>
    <w:rsid w:val="003A026B"/>
    <w:rsid w:val="003A13B3"/>
    <w:rsid w:val="003A1ADE"/>
    <w:rsid w:val="003A2F49"/>
    <w:rsid w:val="003A7625"/>
    <w:rsid w:val="003B4DFC"/>
    <w:rsid w:val="003B7C04"/>
    <w:rsid w:val="003C1393"/>
    <w:rsid w:val="003C28F8"/>
    <w:rsid w:val="003C54DF"/>
    <w:rsid w:val="003D7046"/>
    <w:rsid w:val="003E54BE"/>
    <w:rsid w:val="003E5A43"/>
    <w:rsid w:val="003E73CF"/>
    <w:rsid w:val="003E79E4"/>
    <w:rsid w:val="00401265"/>
    <w:rsid w:val="00404366"/>
    <w:rsid w:val="0040777A"/>
    <w:rsid w:val="0041089E"/>
    <w:rsid w:val="004168ED"/>
    <w:rsid w:val="00417A47"/>
    <w:rsid w:val="0042042F"/>
    <w:rsid w:val="004218BF"/>
    <w:rsid w:val="0042326B"/>
    <w:rsid w:val="0042648E"/>
    <w:rsid w:val="00431333"/>
    <w:rsid w:val="004405D4"/>
    <w:rsid w:val="004405D5"/>
    <w:rsid w:val="0044395A"/>
    <w:rsid w:val="0045264C"/>
    <w:rsid w:val="00453D29"/>
    <w:rsid w:val="00455242"/>
    <w:rsid w:val="00461EBE"/>
    <w:rsid w:val="00476490"/>
    <w:rsid w:val="00477EEF"/>
    <w:rsid w:val="00482546"/>
    <w:rsid w:val="00483506"/>
    <w:rsid w:val="00485B42"/>
    <w:rsid w:val="004866EF"/>
    <w:rsid w:val="00492CDB"/>
    <w:rsid w:val="004936D2"/>
    <w:rsid w:val="004A1712"/>
    <w:rsid w:val="004B1847"/>
    <w:rsid w:val="004B248F"/>
    <w:rsid w:val="004C015A"/>
    <w:rsid w:val="004C16BD"/>
    <w:rsid w:val="004D75E7"/>
    <w:rsid w:val="004E32EB"/>
    <w:rsid w:val="004F274C"/>
    <w:rsid w:val="00511EE1"/>
    <w:rsid w:val="0051233B"/>
    <w:rsid w:val="0051293F"/>
    <w:rsid w:val="00513C1C"/>
    <w:rsid w:val="00517347"/>
    <w:rsid w:val="00525087"/>
    <w:rsid w:val="00530FD2"/>
    <w:rsid w:val="00535056"/>
    <w:rsid w:val="005422CD"/>
    <w:rsid w:val="00544046"/>
    <w:rsid w:val="0054414F"/>
    <w:rsid w:val="005507F3"/>
    <w:rsid w:val="0055181F"/>
    <w:rsid w:val="005564DA"/>
    <w:rsid w:val="005629BF"/>
    <w:rsid w:val="005650D7"/>
    <w:rsid w:val="0056625A"/>
    <w:rsid w:val="0057186C"/>
    <w:rsid w:val="0058101A"/>
    <w:rsid w:val="00582B2F"/>
    <w:rsid w:val="00594A0B"/>
    <w:rsid w:val="00596698"/>
    <w:rsid w:val="00597A46"/>
    <w:rsid w:val="005A1922"/>
    <w:rsid w:val="005A32DB"/>
    <w:rsid w:val="005A423C"/>
    <w:rsid w:val="005A598E"/>
    <w:rsid w:val="005B1EB6"/>
    <w:rsid w:val="005B37BB"/>
    <w:rsid w:val="005B50B9"/>
    <w:rsid w:val="005B5BB7"/>
    <w:rsid w:val="005B6996"/>
    <w:rsid w:val="005C0A02"/>
    <w:rsid w:val="005C2118"/>
    <w:rsid w:val="005D0FC0"/>
    <w:rsid w:val="005E2919"/>
    <w:rsid w:val="005E2C68"/>
    <w:rsid w:val="005E60AC"/>
    <w:rsid w:val="005E6CEC"/>
    <w:rsid w:val="005F65F6"/>
    <w:rsid w:val="00606E69"/>
    <w:rsid w:val="00606E9A"/>
    <w:rsid w:val="0061311B"/>
    <w:rsid w:val="006177ED"/>
    <w:rsid w:val="0062249A"/>
    <w:rsid w:val="00623F90"/>
    <w:rsid w:val="0063135D"/>
    <w:rsid w:val="00631DBC"/>
    <w:rsid w:val="00633FC1"/>
    <w:rsid w:val="00641E22"/>
    <w:rsid w:val="00642090"/>
    <w:rsid w:val="00642994"/>
    <w:rsid w:val="0065120D"/>
    <w:rsid w:val="00653241"/>
    <w:rsid w:val="006541B6"/>
    <w:rsid w:val="00664DB0"/>
    <w:rsid w:val="0067311B"/>
    <w:rsid w:val="00673D2F"/>
    <w:rsid w:val="006758A6"/>
    <w:rsid w:val="00682E01"/>
    <w:rsid w:val="00682EF5"/>
    <w:rsid w:val="00684308"/>
    <w:rsid w:val="006861E7"/>
    <w:rsid w:val="006866F6"/>
    <w:rsid w:val="00692BF4"/>
    <w:rsid w:val="0069583F"/>
    <w:rsid w:val="006A2F81"/>
    <w:rsid w:val="006A4344"/>
    <w:rsid w:val="006A7E7F"/>
    <w:rsid w:val="006B174B"/>
    <w:rsid w:val="006B3F48"/>
    <w:rsid w:val="006B76EE"/>
    <w:rsid w:val="006C107E"/>
    <w:rsid w:val="006C7EF4"/>
    <w:rsid w:val="006D4B5A"/>
    <w:rsid w:val="006D73C5"/>
    <w:rsid w:val="006E239D"/>
    <w:rsid w:val="006F4E07"/>
    <w:rsid w:val="007021E5"/>
    <w:rsid w:val="00705404"/>
    <w:rsid w:val="00714D60"/>
    <w:rsid w:val="00715604"/>
    <w:rsid w:val="00720922"/>
    <w:rsid w:val="007241DB"/>
    <w:rsid w:val="00727B12"/>
    <w:rsid w:val="0073110B"/>
    <w:rsid w:val="00731D25"/>
    <w:rsid w:val="00737284"/>
    <w:rsid w:val="00750A27"/>
    <w:rsid w:val="007517F9"/>
    <w:rsid w:val="007571EF"/>
    <w:rsid w:val="00762310"/>
    <w:rsid w:val="00763746"/>
    <w:rsid w:val="0077027E"/>
    <w:rsid w:val="00773331"/>
    <w:rsid w:val="00775A38"/>
    <w:rsid w:val="0078205A"/>
    <w:rsid w:val="007915DD"/>
    <w:rsid w:val="007932EF"/>
    <w:rsid w:val="007947CD"/>
    <w:rsid w:val="00795483"/>
    <w:rsid w:val="0079660C"/>
    <w:rsid w:val="00797A55"/>
    <w:rsid w:val="007A2B54"/>
    <w:rsid w:val="007B1680"/>
    <w:rsid w:val="007C5FAB"/>
    <w:rsid w:val="007C726D"/>
    <w:rsid w:val="007D07F8"/>
    <w:rsid w:val="007D3199"/>
    <w:rsid w:val="007E05B0"/>
    <w:rsid w:val="007F21BA"/>
    <w:rsid w:val="007F2C9B"/>
    <w:rsid w:val="00802740"/>
    <w:rsid w:val="008053F0"/>
    <w:rsid w:val="00806AC4"/>
    <w:rsid w:val="00813BB0"/>
    <w:rsid w:val="00816AF2"/>
    <w:rsid w:val="008252C7"/>
    <w:rsid w:val="00833EDD"/>
    <w:rsid w:val="00835316"/>
    <w:rsid w:val="008354EE"/>
    <w:rsid w:val="00835827"/>
    <w:rsid w:val="00843E75"/>
    <w:rsid w:val="008450AE"/>
    <w:rsid w:val="0085236F"/>
    <w:rsid w:val="00854872"/>
    <w:rsid w:val="00855B08"/>
    <w:rsid w:val="00860CAB"/>
    <w:rsid w:val="00863925"/>
    <w:rsid w:val="0087107F"/>
    <w:rsid w:val="00874D22"/>
    <w:rsid w:val="00880D74"/>
    <w:rsid w:val="00883432"/>
    <w:rsid w:val="00885335"/>
    <w:rsid w:val="008959F6"/>
    <w:rsid w:val="008A2914"/>
    <w:rsid w:val="008A29AE"/>
    <w:rsid w:val="008B04C7"/>
    <w:rsid w:val="008C306E"/>
    <w:rsid w:val="008E2F96"/>
    <w:rsid w:val="008E4D8E"/>
    <w:rsid w:val="008E5E5A"/>
    <w:rsid w:val="008F1C03"/>
    <w:rsid w:val="00911349"/>
    <w:rsid w:val="00912E63"/>
    <w:rsid w:val="0091314F"/>
    <w:rsid w:val="0091542E"/>
    <w:rsid w:val="009218FA"/>
    <w:rsid w:val="00925BDE"/>
    <w:rsid w:val="0093788D"/>
    <w:rsid w:val="0094296D"/>
    <w:rsid w:val="009532AE"/>
    <w:rsid w:val="00956FF7"/>
    <w:rsid w:val="009600CC"/>
    <w:rsid w:val="00964BBE"/>
    <w:rsid w:val="00965300"/>
    <w:rsid w:val="00970B74"/>
    <w:rsid w:val="00974DF7"/>
    <w:rsid w:val="00980BA7"/>
    <w:rsid w:val="00990454"/>
    <w:rsid w:val="00990C77"/>
    <w:rsid w:val="0099246A"/>
    <w:rsid w:val="00993D57"/>
    <w:rsid w:val="009A564D"/>
    <w:rsid w:val="009B3BA6"/>
    <w:rsid w:val="009B59A3"/>
    <w:rsid w:val="009B5F19"/>
    <w:rsid w:val="009C2581"/>
    <w:rsid w:val="009C3C4B"/>
    <w:rsid w:val="009C4158"/>
    <w:rsid w:val="009D7CC5"/>
    <w:rsid w:val="009F05BF"/>
    <w:rsid w:val="009F5286"/>
    <w:rsid w:val="00A00E08"/>
    <w:rsid w:val="00A032EC"/>
    <w:rsid w:val="00A03C1D"/>
    <w:rsid w:val="00A06C2A"/>
    <w:rsid w:val="00A10916"/>
    <w:rsid w:val="00A16C67"/>
    <w:rsid w:val="00A257BB"/>
    <w:rsid w:val="00A26F33"/>
    <w:rsid w:val="00A277A2"/>
    <w:rsid w:val="00A3007C"/>
    <w:rsid w:val="00A33F32"/>
    <w:rsid w:val="00A42580"/>
    <w:rsid w:val="00A60815"/>
    <w:rsid w:val="00A61048"/>
    <w:rsid w:val="00A64159"/>
    <w:rsid w:val="00A6493C"/>
    <w:rsid w:val="00A66884"/>
    <w:rsid w:val="00A66D6F"/>
    <w:rsid w:val="00A72477"/>
    <w:rsid w:val="00A86799"/>
    <w:rsid w:val="00A902CE"/>
    <w:rsid w:val="00AA4575"/>
    <w:rsid w:val="00AA59F2"/>
    <w:rsid w:val="00AB04B1"/>
    <w:rsid w:val="00AB3DBA"/>
    <w:rsid w:val="00AB49C1"/>
    <w:rsid w:val="00AB609E"/>
    <w:rsid w:val="00AD5AEE"/>
    <w:rsid w:val="00AD68B3"/>
    <w:rsid w:val="00AE0AA4"/>
    <w:rsid w:val="00AF0E7F"/>
    <w:rsid w:val="00AF3908"/>
    <w:rsid w:val="00AF6D8F"/>
    <w:rsid w:val="00B01C59"/>
    <w:rsid w:val="00B03A67"/>
    <w:rsid w:val="00B06CD5"/>
    <w:rsid w:val="00B07292"/>
    <w:rsid w:val="00B07856"/>
    <w:rsid w:val="00B147F8"/>
    <w:rsid w:val="00B157F4"/>
    <w:rsid w:val="00B17BF3"/>
    <w:rsid w:val="00B266CD"/>
    <w:rsid w:val="00B40083"/>
    <w:rsid w:val="00B40452"/>
    <w:rsid w:val="00B43F84"/>
    <w:rsid w:val="00B43FD1"/>
    <w:rsid w:val="00B44E20"/>
    <w:rsid w:val="00B51E33"/>
    <w:rsid w:val="00B532F9"/>
    <w:rsid w:val="00B623D7"/>
    <w:rsid w:val="00B62D05"/>
    <w:rsid w:val="00B631D1"/>
    <w:rsid w:val="00B6359E"/>
    <w:rsid w:val="00B66C10"/>
    <w:rsid w:val="00B733ED"/>
    <w:rsid w:val="00B74101"/>
    <w:rsid w:val="00B81C00"/>
    <w:rsid w:val="00B86814"/>
    <w:rsid w:val="00B87C02"/>
    <w:rsid w:val="00B9067D"/>
    <w:rsid w:val="00B91D87"/>
    <w:rsid w:val="00B9223C"/>
    <w:rsid w:val="00BA3EDB"/>
    <w:rsid w:val="00BB24AD"/>
    <w:rsid w:val="00BB30A8"/>
    <w:rsid w:val="00BB394C"/>
    <w:rsid w:val="00BD0C86"/>
    <w:rsid w:val="00BD14BC"/>
    <w:rsid w:val="00BD3C08"/>
    <w:rsid w:val="00BD7306"/>
    <w:rsid w:val="00BE09E6"/>
    <w:rsid w:val="00BF5D3A"/>
    <w:rsid w:val="00C05D4C"/>
    <w:rsid w:val="00C12301"/>
    <w:rsid w:val="00C128F6"/>
    <w:rsid w:val="00C14287"/>
    <w:rsid w:val="00C14919"/>
    <w:rsid w:val="00C20592"/>
    <w:rsid w:val="00C217F8"/>
    <w:rsid w:val="00C244F7"/>
    <w:rsid w:val="00C34CE4"/>
    <w:rsid w:val="00C351E8"/>
    <w:rsid w:val="00C433F1"/>
    <w:rsid w:val="00C44050"/>
    <w:rsid w:val="00C51BA3"/>
    <w:rsid w:val="00C531FB"/>
    <w:rsid w:val="00C810C1"/>
    <w:rsid w:val="00CA41A1"/>
    <w:rsid w:val="00CA7A64"/>
    <w:rsid w:val="00CB1D36"/>
    <w:rsid w:val="00CC22DF"/>
    <w:rsid w:val="00CC3012"/>
    <w:rsid w:val="00CC69E7"/>
    <w:rsid w:val="00CD5494"/>
    <w:rsid w:val="00CD6540"/>
    <w:rsid w:val="00CE266D"/>
    <w:rsid w:val="00CE46A6"/>
    <w:rsid w:val="00CF1373"/>
    <w:rsid w:val="00CF5128"/>
    <w:rsid w:val="00D05667"/>
    <w:rsid w:val="00D1131E"/>
    <w:rsid w:val="00D13242"/>
    <w:rsid w:val="00D17276"/>
    <w:rsid w:val="00D20381"/>
    <w:rsid w:val="00D23EA3"/>
    <w:rsid w:val="00D25736"/>
    <w:rsid w:val="00D274F9"/>
    <w:rsid w:val="00D30169"/>
    <w:rsid w:val="00D3026E"/>
    <w:rsid w:val="00D3331F"/>
    <w:rsid w:val="00D35A81"/>
    <w:rsid w:val="00D40676"/>
    <w:rsid w:val="00D43786"/>
    <w:rsid w:val="00D45CCF"/>
    <w:rsid w:val="00D50174"/>
    <w:rsid w:val="00D507F3"/>
    <w:rsid w:val="00D53EFA"/>
    <w:rsid w:val="00D54AAC"/>
    <w:rsid w:val="00D5516B"/>
    <w:rsid w:val="00D611FB"/>
    <w:rsid w:val="00D614DF"/>
    <w:rsid w:val="00D62300"/>
    <w:rsid w:val="00D72D1D"/>
    <w:rsid w:val="00D74F63"/>
    <w:rsid w:val="00D807C8"/>
    <w:rsid w:val="00D810BE"/>
    <w:rsid w:val="00D81B8C"/>
    <w:rsid w:val="00D8537E"/>
    <w:rsid w:val="00D94093"/>
    <w:rsid w:val="00D94EBC"/>
    <w:rsid w:val="00DA0406"/>
    <w:rsid w:val="00DA0DFC"/>
    <w:rsid w:val="00DA3916"/>
    <w:rsid w:val="00DA7ED9"/>
    <w:rsid w:val="00DA7F4E"/>
    <w:rsid w:val="00DB12DF"/>
    <w:rsid w:val="00DB1D6F"/>
    <w:rsid w:val="00DB5CDB"/>
    <w:rsid w:val="00DC6F83"/>
    <w:rsid w:val="00DD664E"/>
    <w:rsid w:val="00DE01C6"/>
    <w:rsid w:val="00DE6516"/>
    <w:rsid w:val="00DE6BD0"/>
    <w:rsid w:val="00DF0C86"/>
    <w:rsid w:val="00DF12F9"/>
    <w:rsid w:val="00DF5074"/>
    <w:rsid w:val="00E247E3"/>
    <w:rsid w:val="00E24956"/>
    <w:rsid w:val="00E25C86"/>
    <w:rsid w:val="00E31727"/>
    <w:rsid w:val="00E342BC"/>
    <w:rsid w:val="00E409A7"/>
    <w:rsid w:val="00E44E60"/>
    <w:rsid w:val="00E50CB5"/>
    <w:rsid w:val="00E54E28"/>
    <w:rsid w:val="00E56CFC"/>
    <w:rsid w:val="00E57952"/>
    <w:rsid w:val="00E6054B"/>
    <w:rsid w:val="00E656BD"/>
    <w:rsid w:val="00E65EF8"/>
    <w:rsid w:val="00E667AD"/>
    <w:rsid w:val="00E70044"/>
    <w:rsid w:val="00E73828"/>
    <w:rsid w:val="00E8012A"/>
    <w:rsid w:val="00E80373"/>
    <w:rsid w:val="00E82903"/>
    <w:rsid w:val="00E849FD"/>
    <w:rsid w:val="00E93942"/>
    <w:rsid w:val="00E944E9"/>
    <w:rsid w:val="00EA0671"/>
    <w:rsid w:val="00EA0F20"/>
    <w:rsid w:val="00EA1E0E"/>
    <w:rsid w:val="00EA2A3D"/>
    <w:rsid w:val="00EB093C"/>
    <w:rsid w:val="00EB153F"/>
    <w:rsid w:val="00EB6497"/>
    <w:rsid w:val="00EC363A"/>
    <w:rsid w:val="00ED4328"/>
    <w:rsid w:val="00ED47FD"/>
    <w:rsid w:val="00EE196C"/>
    <w:rsid w:val="00EE3AF5"/>
    <w:rsid w:val="00EE4701"/>
    <w:rsid w:val="00EF0F1C"/>
    <w:rsid w:val="00EF3278"/>
    <w:rsid w:val="00EF3651"/>
    <w:rsid w:val="00EF6664"/>
    <w:rsid w:val="00F0474E"/>
    <w:rsid w:val="00F04858"/>
    <w:rsid w:val="00F05DA2"/>
    <w:rsid w:val="00F06159"/>
    <w:rsid w:val="00F12E21"/>
    <w:rsid w:val="00F13FDE"/>
    <w:rsid w:val="00F23106"/>
    <w:rsid w:val="00F23C72"/>
    <w:rsid w:val="00F26D99"/>
    <w:rsid w:val="00F2782D"/>
    <w:rsid w:val="00F40DC7"/>
    <w:rsid w:val="00F42277"/>
    <w:rsid w:val="00F46278"/>
    <w:rsid w:val="00F51546"/>
    <w:rsid w:val="00F537F0"/>
    <w:rsid w:val="00F555BE"/>
    <w:rsid w:val="00F569A5"/>
    <w:rsid w:val="00F56A00"/>
    <w:rsid w:val="00F641C2"/>
    <w:rsid w:val="00F72201"/>
    <w:rsid w:val="00F82989"/>
    <w:rsid w:val="00F85687"/>
    <w:rsid w:val="00F91A52"/>
    <w:rsid w:val="00F91F56"/>
    <w:rsid w:val="00FA1E9B"/>
    <w:rsid w:val="00FA2069"/>
    <w:rsid w:val="00FA2A07"/>
    <w:rsid w:val="00FA3905"/>
    <w:rsid w:val="00FA401C"/>
    <w:rsid w:val="00FA5BBE"/>
    <w:rsid w:val="00FA5FF3"/>
    <w:rsid w:val="00FB0C48"/>
    <w:rsid w:val="00FB2028"/>
    <w:rsid w:val="00FB3613"/>
    <w:rsid w:val="00FC38F8"/>
    <w:rsid w:val="00FC7A52"/>
    <w:rsid w:val="00FD27CE"/>
    <w:rsid w:val="00FE20C3"/>
    <w:rsid w:val="00FF0E45"/>
    <w:rsid w:val="00FF5114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95A6B5"/>
  <w15:docId w15:val="{AC7F3027-3104-4D98-B185-C6F433E9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3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0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4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40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40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rsid w:val="00286E0D"/>
    <w:pPr>
      <w:numPr>
        <w:numId w:val="2"/>
      </w:numPr>
      <w:tabs>
        <w:tab w:val="num" w:pos="360"/>
      </w:tabs>
      <w:ind w:left="0" w:firstLine="0"/>
    </w:pPr>
    <w:rPr>
      <w:rFonts w:eastAsia="Times New Roman"/>
      <w:lang w:eastAsia="de-DE"/>
    </w:rPr>
  </w:style>
  <w:style w:type="paragraph" w:styleId="ListNumber">
    <w:name w:val="List Number"/>
    <w:basedOn w:val="Normal"/>
    <w:uiPriority w:val="30"/>
    <w:rsid w:val="00286E0D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rsid w:val="00286E0D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rsid w:val="00286E0D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rsid w:val="00286E0D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rsid w:val="00286E0D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uiPriority w:val="30"/>
    <w:rsid w:val="00286E0D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uiPriority w:val="30"/>
    <w:rsid w:val="00286E0D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uiPriority w:val="30"/>
    <w:rsid w:val="00286E0D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rsid w:val="00286E0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86E0D"/>
    <w:rPr>
      <w:color w:val="0000FF"/>
      <w:u w:val="single"/>
    </w:rPr>
  </w:style>
  <w:style w:type="paragraph" w:styleId="ListBullet">
    <w:name w:val="List Bullet"/>
    <w:basedOn w:val="Normal"/>
    <w:rsid w:val="00286E0D"/>
    <w:pPr>
      <w:numPr>
        <w:numId w:val="7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rsid w:val="00286E0D"/>
    <w:pPr>
      <w:numPr>
        <w:numId w:val="8"/>
      </w:numPr>
    </w:pPr>
    <w:rPr>
      <w:rFonts w:eastAsia="Times New Roman"/>
      <w:lang w:eastAsia="en-GB"/>
    </w:rPr>
  </w:style>
  <w:style w:type="paragraph" w:styleId="ListBullet3">
    <w:name w:val="List Bullet 3"/>
    <w:basedOn w:val="Normal"/>
    <w:rsid w:val="00286E0D"/>
    <w:pPr>
      <w:numPr>
        <w:numId w:val="9"/>
      </w:numPr>
    </w:pPr>
    <w:rPr>
      <w:rFonts w:eastAsia="Times New Roman"/>
      <w:lang w:eastAsia="en-GB"/>
    </w:rPr>
  </w:style>
  <w:style w:type="paragraph" w:styleId="ListNumber2">
    <w:name w:val="List Number 2"/>
    <w:basedOn w:val="Normal"/>
    <w:rsid w:val="00286E0D"/>
    <w:pPr>
      <w:numPr>
        <w:numId w:val="13"/>
      </w:numPr>
    </w:pPr>
    <w:rPr>
      <w:rFonts w:eastAsia="Times New Roman"/>
      <w:lang w:eastAsia="en-GB"/>
    </w:rPr>
  </w:style>
  <w:style w:type="paragraph" w:styleId="ListNumber3">
    <w:name w:val="List Number 3"/>
    <w:basedOn w:val="Normal"/>
    <w:rsid w:val="00286E0D"/>
    <w:pPr>
      <w:numPr>
        <w:numId w:val="14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rsid w:val="00286E0D"/>
    <w:pPr>
      <w:numPr>
        <w:numId w:val="15"/>
      </w:numPr>
    </w:pPr>
    <w:rPr>
      <w:rFonts w:eastAsia="Times New Roman"/>
      <w:lang w:eastAsia="en-GB"/>
    </w:rPr>
  </w:style>
  <w:style w:type="paragraph" w:customStyle="1" w:styleId="ListDash3">
    <w:name w:val="List Dash 3"/>
    <w:basedOn w:val="Normal"/>
    <w:rsid w:val="00286E0D"/>
    <w:pPr>
      <w:numPr>
        <w:numId w:val="10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rsid w:val="00286E0D"/>
    <w:pPr>
      <w:numPr>
        <w:numId w:val="11"/>
      </w:numPr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rsid w:val="00286E0D"/>
    <w:pPr>
      <w:numPr>
        <w:numId w:val="12"/>
      </w:numPr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rsid w:val="00286E0D"/>
    <w:pPr>
      <w:numPr>
        <w:ilvl w:val="1"/>
        <w:numId w:val="12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rsid w:val="00286E0D"/>
    <w:pPr>
      <w:numPr>
        <w:ilvl w:val="1"/>
        <w:numId w:val="13"/>
      </w:numPr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rsid w:val="00286E0D"/>
    <w:pPr>
      <w:numPr>
        <w:ilvl w:val="1"/>
        <w:numId w:val="14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rsid w:val="00286E0D"/>
    <w:pPr>
      <w:numPr>
        <w:ilvl w:val="1"/>
        <w:numId w:val="15"/>
      </w:numPr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rsid w:val="00286E0D"/>
    <w:pPr>
      <w:numPr>
        <w:ilvl w:val="2"/>
        <w:numId w:val="12"/>
      </w:numPr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rsid w:val="00286E0D"/>
    <w:pPr>
      <w:numPr>
        <w:ilvl w:val="2"/>
        <w:numId w:val="13"/>
      </w:numPr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rsid w:val="00286E0D"/>
    <w:pPr>
      <w:numPr>
        <w:ilvl w:val="2"/>
        <w:numId w:val="14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rsid w:val="00286E0D"/>
    <w:pPr>
      <w:numPr>
        <w:ilvl w:val="2"/>
        <w:numId w:val="15"/>
      </w:numPr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rsid w:val="00286E0D"/>
    <w:pPr>
      <w:numPr>
        <w:ilvl w:val="3"/>
        <w:numId w:val="12"/>
      </w:numPr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rsid w:val="00286E0D"/>
    <w:pPr>
      <w:numPr>
        <w:ilvl w:val="3"/>
        <w:numId w:val="13"/>
      </w:numPr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rsid w:val="00286E0D"/>
    <w:pPr>
      <w:numPr>
        <w:ilvl w:val="3"/>
        <w:numId w:val="14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rsid w:val="00286E0D"/>
    <w:pPr>
      <w:numPr>
        <w:ilvl w:val="3"/>
        <w:numId w:val="15"/>
      </w:numPr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rsid w:val="00286E0D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rsid w:val="00286E0D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rsid w:val="00286E0D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rsid w:val="00286E0D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rsid w:val="00286E0D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rsid w:val="00286E0D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286E0D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rsid w:val="00286E0D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rsid w:val="00286E0D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rsid w:val="00286E0D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rsid w:val="00286E0D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character" w:styleId="CommentReference">
    <w:name w:val="annotation reference"/>
    <w:uiPriority w:val="99"/>
    <w:rsid w:val="00286E0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6E0D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E0D"/>
    <w:rPr>
      <w:rFonts w:ascii="Times New Roman" w:eastAsia="Times New Roman" w:hAnsi="Times New Roman" w:cs="Times New Roman"/>
      <w:sz w:val="20"/>
      <w:szCs w:val="20"/>
      <w:lang w:val="mt-M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86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6E0D"/>
    <w:rPr>
      <w:rFonts w:ascii="Times New Roman" w:eastAsia="Times New Roman" w:hAnsi="Times New Roman" w:cs="Times New Roman"/>
      <w:b/>
      <w:bCs/>
      <w:sz w:val="20"/>
      <w:szCs w:val="20"/>
      <w:lang w:val="mt-MT" w:eastAsia="en-GB"/>
    </w:rPr>
  </w:style>
  <w:style w:type="paragraph" w:styleId="BalloonText">
    <w:name w:val="Balloon Text"/>
    <w:basedOn w:val="Normal"/>
    <w:link w:val="BalloonTextChar"/>
    <w:rsid w:val="00286E0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286E0D"/>
    <w:rPr>
      <w:rFonts w:ascii="Tahoma" w:eastAsia="Times New Roman" w:hAnsi="Tahoma" w:cs="Tahoma"/>
      <w:sz w:val="16"/>
      <w:szCs w:val="16"/>
      <w:lang w:val="mt-MT" w:eastAsia="en-GB"/>
    </w:rPr>
  </w:style>
  <w:style w:type="paragraph" w:styleId="Caption">
    <w:name w:val="caption"/>
    <w:basedOn w:val="Normal"/>
    <w:next w:val="Normal"/>
    <w:qFormat/>
    <w:rsid w:val="00286E0D"/>
    <w:rPr>
      <w:rFonts w:eastAsia="Times New Roman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rsid w:val="00286E0D"/>
    <w:rPr>
      <w:rFonts w:eastAsia="Times New Roman"/>
      <w:lang w:eastAsia="en-GB"/>
    </w:rPr>
  </w:style>
  <w:style w:type="character" w:styleId="PageNumber">
    <w:name w:val="page number"/>
    <w:rsid w:val="00286E0D"/>
  </w:style>
  <w:style w:type="character" w:customStyle="1" w:styleId="tw4winMark">
    <w:name w:val="tw4winMark"/>
    <w:rsid w:val="00286E0D"/>
    <w:rPr>
      <w:vanish/>
      <w:color w:val="800080"/>
      <w:vertAlign w:val="subscript"/>
    </w:rPr>
  </w:style>
  <w:style w:type="character" w:styleId="FollowedHyperlink">
    <w:name w:val="FollowedHyperlink"/>
    <w:rsid w:val="00286E0D"/>
    <w:rPr>
      <w:color w:val="800080"/>
      <w:u w:val="single"/>
    </w:rPr>
  </w:style>
  <w:style w:type="paragraph" w:customStyle="1" w:styleId="Sous-titreobjet">
    <w:name w:val="Sous-titre objet"/>
    <w:basedOn w:val="Normal"/>
    <w:rsid w:val="00286E0D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  <w:rsid w:val="00286E0D"/>
  </w:style>
  <w:style w:type="paragraph" w:styleId="Revision">
    <w:name w:val="Revision"/>
    <w:hidden/>
    <w:uiPriority w:val="99"/>
    <w:semiHidden/>
    <w:rsid w:val="00286E0D"/>
    <w:rPr>
      <w:rFonts w:ascii="Calibri" w:eastAsia="Calibri" w:hAnsi="Calibri" w:cs="Times New Roman"/>
      <w:sz w:val="24"/>
      <w:lang w:eastAsia="en-GB"/>
    </w:rPr>
  </w:style>
  <w:style w:type="paragraph" w:customStyle="1" w:styleId="FooterCoverPage">
    <w:name w:val="Footer Cover Page"/>
    <w:basedOn w:val="Normal"/>
    <w:link w:val="FooterCoverPageChar"/>
    <w:rsid w:val="00286E0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lang w:eastAsia="en-GB"/>
    </w:rPr>
  </w:style>
  <w:style w:type="character" w:customStyle="1" w:styleId="TOCHeadingChar">
    <w:name w:val="TOC Heading Char"/>
    <w:uiPriority w:val="39"/>
    <w:rsid w:val="00286E0D"/>
    <w:rPr>
      <w:rFonts w:ascii="Times New Roman" w:hAnsi="Times New Roman" w:cs="Times New Roman"/>
      <w:b/>
      <w:sz w:val="28"/>
      <w:lang w:val="mt-MT"/>
    </w:rPr>
  </w:style>
  <w:style w:type="character" w:customStyle="1" w:styleId="FooterCoverPageChar">
    <w:name w:val="Footer Cover Page Char"/>
    <w:link w:val="FooterCoverPage"/>
    <w:rsid w:val="00286E0D"/>
    <w:rPr>
      <w:rFonts w:ascii="Times New Roman" w:eastAsia="Calibri" w:hAnsi="Times New Roman" w:cs="Times New Roman"/>
      <w:sz w:val="24"/>
      <w:lang w:val="mt-MT" w:eastAsia="en-GB"/>
    </w:rPr>
  </w:style>
  <w:style w:type="paragraph" w:customStyle="1" w:styleId="HeaderCoverPage">
    <w:name w:val="Header Cover Page"/>
    <w:basedOn w:val="Normal"/>
    <w:link w:val="HeaderCoverPageChar"/>
    <w:rsid w:val="00286E0D"/>
    <w:pPr>
      <w:tabs>
        <w:tab w:val="center" w:pos="4535"/>
        <w:tab w:val="right" w:pos="9071"/>
      </w:tabs>
      <w:spacing w:before="0"/>
    </w:pPr>
    <w:rPr>
      <w:rFonts w:eastAsia="Calibri"/>
      <w:lang w:eastAsia="en-GB"/>
    </w:rPr>
  </w:style>
  <w:style w:type="character" w:customStyle="1" w:styleId="HeaderCoverPageChar">
    <w:name w:val="Header Cover Page Char"/>
    <w:link w:val="HeaderCoverPage"/>
    <w:rsid w:val="00286E0D"/>
    <w:rPr>
      <w:rFonts w:ascii="Times New Roman" w:eastAsia="Calibri" w:hAnsi="Times New Roman" w:cs="Times New Roman"/>
      <w:sz w:val="24"/>
      <w:lang w:val="mt-MT" w:eastAsia="en-GB"/>
    </w:rPr>
  </w:style>
  <w:style w:type="character" w:customStyle="1" w:styleId="FooterSensitivityChar">
    <w:name w:val="Footer Sensitivity Char"/>
    <w:rsid w:val="00286E0D"/>
    <w:rPr>
      <w:rFonts w:ascii="Times New Roman" w:hAnsi="Times New Roman" w:cs="Times New Roman"/>
      <w:b/>
      <w:sz w:val="32"/>
      <w:lang w:val="mt-MT"/>
    </w:rPr>
  </w:style>
  <w:style w:type="character" w:customStyle="1" w:styleId="HeaderSensitivityChar">
    <w:name w:val="Header Sensitivity Char"/>
    <w:rsid w:val="00286E0D"/>
    <w:rPr>
      <w:rFonts w:ascii="Times New Roman" w:hAnsi="Times New Roman" w:cs="Times New Roman"/>
      <w:b/>
      <w:sz w:val="32"/>
      <w:lang w:val="mt-MT"/>
    </w:rPr>
  </w:style>
  <w:style w:type="character" w:customStyle="1" w:styleId="HeaderSensitivityRightChar">
    <w:name w:val="Header Sensitivity Right Char"/>
    <w:rsid w:val="00286E0D"/>
    <w:rPr>
      <w:rFonts w:ascii="Times New Roman" w:hAnsi="Times New Roman" w:cs="Times New Roman"/>
      <w:sz w:val="28"/>
      <w:lang w:val="mt-MT"/>
    </w:rPr>
  </w:style>
  <w:style w:type="paragraph" w:customStyle="1" w:styleId="LegalNumPar">
    <w:name w:val="LegalNumPar"/>
    <w:basedOn w:val="Normal"/>
    <w:rsid w:val="00286E0D"/>
    <w:pPr>
      <w:numPr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2">
    <w:name w:val="LegalNumPar2"/>
    <w:basedOn w:val="Normal"/>
    <w:rsid w:val="00286E0D"/>
    <w:pPr>
      <w:numPr>
        <w:ilvl w:val="1"/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3">
    <w:name w:val="LegalNumPar3"/>
    <w:basedOn w:val="Normal"/>
    <w:rsid w:val="00286E0D"/>
    <w:pPr>
      <w:numPr>
        <w:ilvl w:val="2"/>
        <w:numId w:val="16"/>
      </w:numPr>
      <w:spacing w:line="360" w:lineRule="auto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286E0D"/>
    <w:pPr>
      <w:ind w:left="720"/>
      <w:contextualSpacing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E0D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286E0D"/>
    <w:rPr>
      <w:b/>
      <w:bCs/>
    </w:rPr>
  </w:style>
  <w:style w:type="character" w:styleId="Emphasis">
    <w:name w:val="Emphasis"/>
    <w:basedOn w:val="DefaultParagraphFont"/>
    <w:qFormat/>
    <w:rsid w:val="00286E0D"/>
    <w:rPr>
      <w:i/>
      <w:iCs/>
    </w:rPr>
  </w:style>
  <w:style w:type="character" w:customStyle="1" w:styleId="Mention1">
    <w:name w:val="Mention1"/>
    <w:basedOn w:val="DefaultParagraphFont"/>
    <w:uiPriority w:val="99"/>
    <w:unhideWhenUsed/>
    <w:rsid w:val="00286E0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286E0D"/>
  </w:style>
  <w:style w:type="character" w:customStyle="1" w:styleId="eop">
    <w:name w:val="eop"/>
    <w:basedOn w:val="DefaultParagraphFont"/>
    <w:rsid w:val="00286E0D"/>
  </w:style>
  <w:style w:type="paragraph" w:customStyle="1" w:styleId="paragraph">
    <w:name w:val="paragraph"/>
    <w:basedOn w:val="Normal"/>
    <w:rsid w:val="00286E0D"/>
    <w:pPr>
      <w:spacing w:before="100" w:beforeAutospacing="1" w:after="100" w:afterAutospacing="1"/>
      <w:jc w:val="left"/>
    </w:pPr>
    <w:rPr>
      <w:rFonts w:eastAsia="Times New Roman"/>
      <w:szCs w:val="24"/>
      <w:lang w:eastAsia="en-IE"/>
    </w:rPr>
  </w:style>
  <w:style w:type="character" w:customStyle="1" w:styleId="Instructions">
    <w:name w:val="Instructions"/>
    <w:basedOn w:val="SubtleEmphasis"/>
    <w:uiPriority w:val="1"/>
    <w:qFormat/>
    <w:rsid w:val="00286E0D"/>
    <w:rPr>
      <w:rFonts w:ascii="Times New Roman" w:eastAsia="Times New Roman" w:hAnsi="Times New Roman" w:cstheme="majorHAnsi" w:hint="default"/>
      <w:i/>
      <w:iCs/>
      <w:color w:val="008000"/>
      <w:kern w:val="0"/>
      <w:sz w:val="24"/>
      <w:szCs w:val="20"/>
      <w:lang w:val="mt-MT" w:eastAsia="en-IE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86E0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29416F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29416F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2941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29416F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2941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3"/>
      </w:numPr>
    </w:pPr>
  </w:style>
  <w:style w:type="paragraph" w:customStyle="1" w:styleId="Tiret1">
    <w:name w:val="Tiret 1"/>
    <w:basedOn w:val="Point1"/>
    <w:pPr>
      <w:numPr>
        <w:numId w:val="34"/>
      </w:numPr>
    </w:pPr>
  </w:style>
  <w:style w:type="paragraph" w:customStyle="1" w:styleId="Tiret2">
    <w:name w:val="Tiret 2"/>
    <w:basedOn w:val="Point2"/>
    <w:pPr>
      <w:numPr>
        <w:numId w:val="35"/>
      </w:numPr>
    </w:pPr>
  </w:style>
  <w:style w:type="paragraph" w:customStyle="1" w:styleId="Tiret3">
    <w:name w:val="Tiret 3"/>
    <w:basedOn w:val="Point3"/>
    <w:pPr>
      <w:numPr>
        <w:numId w:val="36"/>
      </w:numPr>
    </w:pPr>
  </w:style>
  <w:style w:type="paragraph" w:customStyle="1" w:styleId="Tiret4">
    <w:name w:val="Tiret 4"/>
    <w:basedOn w:val="Point4"/>
    <w:pPr>
      <w:numPr>
        <w:numId w:val="37"/>
      </w:numPr>
    </w:pPr>
  </w:style>
  <w:style w:type="paragraph" w:customStyle="1" w:styleId="Tiret5">
    <w:name w:val="Tiret 5"/>
    <w:basedOn w:val="Point5"/>
    <w:pPr>
      <w:numPr>
        <w:numId w:val="3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9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9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9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1"/>
      </w:numPr>
    </w:pPr>
  </w:style>
  <w:style w:type="paragraph" w:customStyle="1" w:styleId="Point1number">
    <w:name w:val="Point 1 (number)"/>
    <w:basedOn w:val="Normal"/>
    <w:pPr>
      <w:numPr>
        <w:ilvl w:val="2"/>
        <w:numId w:val="41"/>
      </w:numPr>
    </w:pPr>
  </w:style>
  <w:style w:type="paragraph" w:customStyle="1" w:styleId="Point2number">
    <w:name w:val="Point 2 (number)"/>
    <w:basedOn w:val="Normal"/>
    <w:pPr>
      <w:numPr>
        <w:ilvl w:val="4"/>
        <w:numId w:val="41"/>
      </w:numPr>
    </w:pPr>
  </w:style>
  <w:style w:type="paragraph" w:customStyle="1" w:styleId="Point3number">
    <w:name w:val="Point 3 (number)"/>
    <w:basedOn w:val="Normal"/>
    <w:pPr>
      <w:numPr>
        <w:ilvl w:val="6"/>
        <w:numId w:val="41"/>
      </w:numPr>
    </w:pPr>
  </w:style>
  <w:style w:type="paragraph" w:customStyle="1" w:styleId="Point0letter">
    <w:name w:val="Point 0 (letter)"/>
    <w:basedOn w:val="Normal"/>
    <w:pPr>
      <w:numPr>
        <w:ilvl w:val="1"/>
        <w:numId w:val="41"/>
      </w:numPr>
    </w:pPr>
  </w:style>
  <w:style w:type="paragraph" w:customStyle="1" w:styleId="Point1letter">
    <w:name w:val="Point 1 (letter)"/>
    <w:basedOn w:val="Normal"/>
    <w:pPr>
      <w:numPr>
        <w:ilvl w:val="3"/>
        <w:numId w:val="41"/>
      </w:numPr>
    </w:pPr>
  </w:style>
  <w:style w:type="paragraph" w:customStyle="1" w:styleId="Point2letter">
    <w:name w:val="Point 2 (letter)"/>
    <w:basedOn w:val="Normal"/>
    <w:pPr>
      <w:numPr>
        <w:ilvl w:val="5"/>
        <w:numId w:val="41"/>
      </w:numPr>
    </w:pPr>
  </w:style>
  <w:style w:type="paragraph" w:customStyle="1" w:styleId="Point3letter">
    <w:name w:val="Point 3 (letter)"/>
    <w:basedOn w:val="Normal"/>
    <w:pPr>
      <w:numPr>
        <w:ilvl w:val="7"/>
        <w:numId w:val="41"/>
      </w:numPr>
    </w:pPr>
  </w:style>
  <w:style w:type="paragraph" w:customStyle="1" w:styleId="Point4letter">
    <w:name w:val="Point 4 (letter)"/>
    <w:basedOn w:val="Normal"/>
    <w:pPr>
      <w:numPr>
        <w:ilvl w:val="8"/>
        <w:numId w:val="41"/>
      </w:numPr>
    </w:pPr>
  </w:style>
  <w:style w:type="paragraph" w:customStyle="1" w:styleId="Bullet0">
    <w:name w:val="Bullet 0"/>
    <w:basedOn w:val="Normal"/>
    <w:pPr>
      <w:numPr>
        <w:numId w:val="42"/>
      </w:numPr>
    </w:pPr>
  </w:style>
  <w:style w:type="paragraph" w:customStyle="1" w:styleId="Bullet1">
    <w:name w:val="Bullet 1"/>
    <w:basedOn w:val="Normal"/>
    <w:pPr>
      <w:numPr>
        <w:numId w:val="43"/>
      </w:numPr>
    </w:pPr>
  </w:style>
  <w:style w:type="paragraph" w:customStyle="1" w:styleId="Bullet2">
    <w:name w:val="Bullet 2"/>
    <w:basedOn w:val="Normal"/>
    <w:pPr>
      <w:numPr>
        <w:numId w:val="44"/>
      </w:numPr>
    </w:pPr>
  </w:style>
  <w:style w:type="paragraph" w:customStyle="1" w:styleId="Bullet3">
    <w:name w:val="Bullet 3"/>
    <w:basedOn w:val="Normal"/>
    <w:pPr>
      <w:numPr>
        <w:numId w:val="45"/>
      </w:numPr>
    </w:pPr>
  </w:style>
  <w:style w:type="paragraph" w:customStyle="1" w:styleId="Bullet4">
    <w:name w:val="Bullet 4"/>
    <w:basedOn w:val="Normal"/>
    <w:pPr>
      <w:numPr>
        <w:numId w:val="4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9416F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29416F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29416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29416F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dec/1999/437/oj" TargetMode="External"/><Relationship Id="rId3" Type="http://schemas.openxmlformats.org/officeDocument/2006/relationships/hyperlink" Target="http://data.europa.eu/eli/reg/2014/515/oj" TargetMode="External"/><Relationship Id="rId7" Type="http://schemas.openxmlformats.org/officeDocument/2006/relationships/hyperlink" Target="http://data.europa.eu/eli/reg/2003/693/oj" TargetMode="External"/><Relationship Id="rId2" Type="http://schemas.openxmlformats.org/officeDocument/2006/relationships/hyperlink" Target="http://data.europa.eu/eli/reg/2024/1351/oj" TargetMode="External"/><Relationship Id="rId1" Type="http://schemas.openxmlformats.org/officeDocument/2006/relationships/hyperlink" Target="http://data.europa.eu/eli/reg/2024/1356/oj" TargetMode="External"/><Relationship Id="rId6" Type="http://schemas.openxmlformats.org/officeDocument/2006/relationships/hyperlink" Target="http://data.europa.eu/eli/reg/2024/1351/oj" TargetMode="External"/><Relationship Id="rId5" Type="http://schemas.openxmlformats.org/officeDocument/2006/relationships/hyperlink" Target="http://data.europa.eu/eli/reg/2018/1240/oj" TargetMode="External"/><Relationship Id="rId10" Type="http://schemas.openxmlformats.org/officeDocument/2006/relationships/hyperlink" Target="http://data.europa.eu/eli/dec/2011/350/oj" TargetMode="External"/><Relationship Id="rId4" Type="http://schemas.openxmlformats.org/officeDocument/2006/relationships/hyperlink" Target="http://data.europa.eu/eli/reg/2021/1148/oj" TargetMode="External"/><Relationship Id="rId9" Type="http://schemas.openxmlformats.org/officeDocument/2006/relationships/hyperlink" Target="http://data.europa.eu/eli/dec/2008/146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6C9C-DE36-43E3-AD1F-66AFD0BD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10</TotalTime>
  <Pages>13</Pages>
  <Words>8278</Words>
  <Characters>47190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37</cp:revision>
  <cp:lastPrinted>2025-07-15T11:32:00Z</cp:lastPrinted>
  <dcterms:created xsi:type="dcterms:W3CDTF">2025-07-17T12:06:00Z</dcterms:created>
  <dcterms:modified xsi:type="dcterms:W3CDTF">2025-09-03T12:15:00Z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2025-07-17T12:06:02Z</vt:lpwstr>
  </property>
  <property fmtid="{D5CDD505-2E9C-101B-9397-08002B2CF9AE}" pid="12" name="MSIP_Label_6bd9ddd1-4d20-43f6-abfa-fc3c07406f94_Method">
    <vt:lpwstr>Privileged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06166290-4e5e-45c9-b112-ff8139c61356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10, 0, 1, 1</vt:lpwstr>
  </property>
  <property fmtid="{D5CDD505-2E9C-101B-9397-08002B2CF9AE}" pid="18" name="DQCStatus">
    <vt:lpwstr>Green (DQC version 03)</vt:lpwstr>
  </property>
</Properties>
</file>