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346D932A" w:rsidR="00286E0D" w:rsidRPr="00392E80" w:rsidRDefault="00192D20" w:rsidP="00192D20">
      <w:pPr>
        <w:pStyle w:val="Pagedecouverture"/>
        <w:rPr>
          <w:noProof/>
        </w:rPr>
      </w:pPr>
      <w:r>
        <w:rPr>
          <w:noProof/>
        </w:rPr>
        <w:pict w14:anchorId="3918F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1A9074E-45A6-4CFF-8C10-325EE08D4691" style="width:455.25pt;height:355.5pt">
            <v:imagedata r:id="rId8" o:title=""/>
          </v:shape>
        </w:pict>
      </w:r>
    </w:p>
    <w:p w14:paraId="0D2B0620" w14:textId="77777777" w:rsidR="00286E0D" w:rsidRPr="00392E80" w:rsidRDefault="00286E0D" w:rsidP="00286E0D">
      <w:pPr>
        <w:rPr>
          <w:noProof/>
        </w:rPr>
        <w:sectPr w:rsidR="00286E0D" w:rsidRPr="00392E80" w:rsidSect="00192D20">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392E80" w:rsidRDefault="00286E0D" w:rsidP="00286E0D">
      <w:pPr>
        <w:pStyle w:val="Exposdesmotifstitre"/>
        <w:rPr>
          <w:noProof/>
        </w:rPr>
      </w:pPr>
      <w:bookmarkStart w:id="0" w:name="_GoBack"/>
      <w:bookmarkEnd w:id="0"/>
      <w:r w:rsidRPr="00392E80">
        <w:rPr>
          <w:noProof/>
        </w:rPr>
        <w:lastRenderedPageBreak/>
        <w:t>INDOKOLÁS</w:t>
      </w:r>
    </w:p>
    <w:p w14:paraId="1D44F294" w14:textId="77777777" w:rsidR="00286E0D" w:rsidRPr="00392E80" w:rsidRDefault="00286E0D" w:rsidP="00286E0D">
      <w:pPr>
        <w:rPr>
          <w:noProof/>
        </w:rPr>
      </w:pPr>
    </w:p>
    <w:p w14:paraId="791ACC5D" w14:textId="77777777" w:rsidR="00286E0D" w:rsidRPr="00392E80" w:rsidRDefault="00286E0D" w:rsidP="00286E0D">
      <w:pPr>
        <w:pStyle w:val="ManualHeading1"/>
        <w:rPr>
          <w:noProof/>
        </w:rPr>
      </w:pPr>
      <w:r w:rsidRPr="00392E80">
        <w:rPr>
          <w:noProof/>
        </w:rPr>
        <w:t>1.</w:t>
      </w:r>
      <w:r w:rsidRPr="00392E80">
        <w:rPr>
          <w:noProof/>
        </w:rPr>
        <w:tab/>
        <w:t>A JAVASLAT HÁTTERE</w:t>
      </w:r>
    </w:p>
    <w:p w14:paraId="141EF942" w14:textId="024B7C8C" w:rsidR="00286E0D" w:rsidRPr="00392E80" w:rsidRDefault="00286E0D" w:rsidP="00286E0D">
      <w:pPr>
        <w:pStyle w:val="ManualHeading2"/>
        <w:rPr>
          <w:rFonts w:eastAsia="Arial Unicode MS"/>
          <w:noProof/>
        </w:rPr>
      </w:pPr>
      <w:r w:rsidRPr="00392E80">
        <w:rPr>
          <w:noProof/>
          <w:color w:val="000000"/>
          <w:u w:color="000000"/>
          <w:bdr w:val="nil"/>
        </w:rPr>
        <w:t>•</w:t>
      </w:r>
      <w:r w:rsidRPr="00392E80">
        <w:rPr>
          <w:noProof/>
          <w:color w:val="000000"/>
          <w:u w:color="000000"/>
          <w:bdr w:val="nil"/>
        </w:rPr>
        <w:tab/>
      </w:r>
      <w:r w:rsidRPr="00392E80">
        <w:rPr>
          <w:noProof/>
        </w:rPr>
        <w:t>A javaslat indokai és céljai</w:t>
      </w:r>
    </w:p>
    <w:p w14:paraId="034D1AFE" w14:textId="24F5B4DE" w:rsidR="004D75E7" w:rsidRPr="00392E80" w:rsidRDefault="00B9223C" w:rsidP="004D75E7">
      <w:pPr>
        <w:rPr>
          <w:noProof/>
        </w:rPr>
      </w:pPr>
      <w:r w:rsidRPr="00392E80">
        <w:rPr>
          <w:noProof/>
        </w:rPr>
        <w:t>A Bizottság 2024–2029-es időszakra szóló politikai iránymutatása hangsúlyozza, hogy biztonságosabb külső határok, a biztonság, a migrációkezelés és a hatékonyság előtérbe helyezése révén biztosítani kell a belső határellenőrzés nélküli, teljes körű és teljesen működőképes schengeni térséget. Ezen erőfeszítések középpontjában az európai integrált határigazgatás áll, amely biztosítja az összhangot az egymással összefüggő szakpolitikai területek – úgymint a határigazgatás, a visszaküldések és a határőrizet –, valamint a Frontex és az EU külső határainak igazgatásáért felelős nemzeti hatóságok között. A végrehajtást illetően a schengeni értékelések által alátámasztott schengeni kormányzási keret politikai és stratégiai iránymutatást nyújt a schengeni térség fejlesztéséhez, biztosítva a kulcsfontosságú kezdeményezések (például az informatikai rendszerek interoperabilitása) és a vonatkozó szabályok végrehajtását, valamint a szisztematikus hiányosságok feltárását és orvoslását. Ennek meg kell erősítenie a tagállamok és a schengeni társult országok közötti közös felelősségtudatot és kölcsönös bizalmat.</w:t>
      </w:r>
    </w:p>
    <w:p w14:paraId="401136B9" w14:textId="0128705C" w:rsidR="00D81B8C" w:rsidRPr="00392E80" w:rsidRDefault="00B9223C" w:rsidP="00B9223C">
      <w:pPr>
        <w:rPr>
          <w:noProof/>
        </w:rPr>
      </w:pPr>
      <w:r w:rsidRPr="00392E80">
        <w:rPr>
          <w:noProof/>
        </w:rPr>
        <w:t xml:space="preserve">Európa geopolitikai környezete jelentősen megváltozott, ami alapjaiban befolyásolja az Unió külső határainak igazgatását. A </w:t>
      </w:r>
      <w:bookmarkStart w:id="1" w:name="_Hlk202820988"/>
      <w:r w:rsidRPr="00392E80">
        <w:rPr>
          <w:noProof/>
        </w:rPr>
        <w:t>hibrid és egyéb biztonsági fenyegetések</w:t>
      </w:r>
      <w:bookmarkEnd w:id="1"/>
      <w:r w:rsidRPr="00392E80">
        <w:rPr>
          <w:noProof/>
        </w:rPr>
        <w:t xml:space="preserve"> terjedése, köztük a migráció fegyverként való felhasználása, még sürgetőbbé teszi a külső határok védelmét. </w:t>
      </w:r>
      <w:bookmarkStart w:id="2" w:name="_Hlk202822882"/>
      <w:r w:rsidRPr="00392E80">
        <w:rPr>
          <w:noProof/>
        </w:rPr>
        <w:t>Emellett az irreguláris migráció továbbra is jelentős tényezőnek számít, ami rávilágít arra, hogy hatékony együttműködést kell biztosítani a nem uniós országokkal, és ehhez az (EU) [...] rendelet [Globális Európa] révén támogatott, a származási és tranzitországokkal kialakított átfogó partnerségeket kell létrehozni.</w:t>
      </w:r>
      <w:bookmarkEnd w:id="2"/>
      <w:r w:rsidRPr="00392E80">
        <w:rPr>
          <w:noProof/>
        </w:rPr>
        <w:t xml:space="preserve"> A migránscsempészés jövedelmező tevékenység a bűnözői hálózatok számára, és az embercsempészek szárazföldi, tengeri és légi útvonalakon segítik elő az Európai Unióba irányuló és az Unión belüli irreguláris migrációt. A migránscsempészés egyre gyakrabban vezet súlyos emberi jogi visszaélésékhez és halálesetekhez, különösen a tengeri útvonal esetében. A Földközi-tengeren az embercsempészek miatt életüket vesztő migránsok ténye rávilágít arra, hogy sürgősen fel kell lépni a migránscsempészés ellen, kihasználva a jogi, operatív és adminisztratív területen rendelkezésre álló összes befolyást.</w:t>
      </w:r>
    </w:p>
    <w:p w14:paraId="6F6D36BE" w14:textId="77777777" w:rsidR="00B9223C" w:rsidRPr="00392E80" w:rsidRDefault="00B9223C" w:rsidP="00FA3905">
      <w:pPr>
        <w:rPr>
          <w:noProof/>
        </w:rPr>
      </w:pPr>
      <w:r w:rsidRPr="00392E80">
        <w:rPr>
          <w:noProof/>
        </w:rPr>
        <w:t>A tagállamoknak képesnek kell lenniük gyorsan és hatékonyan reagálni a fejleményekre, és e célból uniós támogatásban kell részesülniük.</w:t>
      </w:r>
    </w:p>
    <w:p w14:paraId="4BD9F834" w14:textId="77777777" w:rsidR="00BE09E6" w:rsidRPr="00392E80" w:rsidRDefault="00E57952" w:rsidP="00FA3905">
      <w:pPr>
        <w:rPr>
          <w:noProof/>
        </w:rPr>
      </w:pPr>
      <w:r w:rsidRPr="00392E80">
        <w:rPr>
          <w:noProof/>
        </w:rPr>
        <w:t>Alapvető fontosságú az uniós jog szerint a határigazgatás területén rendelkezésre álló nagy méretű IT-rendszerek – nevezetesen a Schengeni Információs Rendszer (SIS), a vízuminformációs rendszer (VIS), az Eurodac, a határregisztrációs rendszer (EES) és az Európai Utasinformációs és Engedélyezési Rendszer (ETIAS) – fejlesztésének, biztonságos üzemeltetésének és karbantartásának a biztosítása, ideértve e rendszerek interoperabilitását és a kommunikációs infrastruktúrát is. Az eszköznek hozzá kell járulnia az adatminőség javítását célzó intézkedésekhez és az információszolgáltatáshoz is.</w:t>
      </w:r>
    </w:p>
    <w:p w14:paraId="0413D35D" w14:textId="076B3D63" w:rsidR="008C306E" w:rsidRPr="00392E80" w:rsidRDefault="008C306E" w:rsidP="00D81B8C">
      <w:pPr>
        <w:rPr>
          <w:noProof/>
        </w:rPr>
      </w:pPr>
      <w:bookmarkStart w:id="3" w:name="_Hlk202880202"/>
      <w:r w:rsidRPr="00392E80">
        <w:rPr>
          <w:noProof/>
        </w:rPr>
        <w:t>Uniós támogatást kell a tagállamok rendelkezésére bocsátani a menekültügyi és migrációs paktum releváns elemeinek, nevezetesen a hatékony határigazgatáshoz hozzájáruló (EU) 2024/1356 rendeletnek</w:t>
      </w:r>
      <w:r w:rsidRPr="00392E80">
        <w:rPr>
          <w:rStyle w:val="FootnoteReference"/>
          <w:noProof/>
        </w:rPr>
        <w:footnoteReference w:id="1"/>
      </w:r>
      <w:r w:rsidRPr="00392E80">
        <w:rPr>
          <w:noProof/>
        </w:rPr>
        <w:t xml:space="preserve"> (a továbbiakban: az előszűrésről szóló rendelet) a végrehajtásához szükséges szakértelem és operatív kapacitás kialakításához is</w:t>
      </w:r>
      <w:bookmarkEnd w:id="3"/>
      <w:r w:rsidRPr="00392E80">
        <w:rPr>
          <w:noProof/>
        </w:rPr>
        <w:t>.</w:t>
      </w:r>
    </w:p>
    <w:p w14:paraId="07A03C8E" w14:textId="77777777" w:rsidR="00D81B8C" w:rsidRPr="00392E80" w:rsidRDefault="00D81B8C" w:rsidP="00D81B8C">
      <w:pPr>
        <w:rPr>
          <w:noProof/>
        </w:rPr>
      </w:pPr>
      <w:r w:rsidRPr="00392E80">
        <w:rPr>
          <w:noProof/>
        </w:rPr>
        <w:t>Az Unió külső határainak átlépésekor szisztematikus ellenőrzésen kell átesniük mind az uniós, mind a nem uniós polgároknak. Mivel egyedül 2023-ban közel 600 millió regisztrált átkelés volt, és az átkelések száma az elkövetkező években várhatóan csak növekedni fog, egyértelműen szükséges, hogy az ellenőrzések gyorsan és hatékonyan, az informatikai rendszerek igénybevételével történjenek, ugyanakkor magas szintű biztonságot kell fenntartani, amely garantálja minden egyes utazó ellenőrzését.</w:t>
      </w:r>
    </w:p>
    <w:p w14:paraId="293FB5AE" w14:textId="77777777" w:rsidR="00B9223C" w:rsidRPr="00392E80" w:rsidRDefault="00B9223C" w:rsidP="00B9223C">
      <w:pPr>
        <w:rPr>
          <w:noProof/>
        </w:rPr>
      </w:pPr>
      <w:r w:rsidRPr="00392E80">
        <w:rPr>
          <w:noProof/>
        </w:rPr>
        <w:t>A tagállamoknak szorosan együtt kell működniük az érintett uniós ügynökségekkel, többek között a Frontexszel és az eu-LISA-val, amelyeknek biztosítaniuk kell a határőrizethez és a helyzetismerethez szükséges technikai szakértelmet és technológiai eszközöket. Tágabb értelemben a Bizottságnak be kell vonnia az érintett uniós szerveket, hivatalokat és ügynökségeket az annak biztosítására irányuló releváns tevékenységekbe, hogy az Unió által támogatott intézkedések megfeleljenek a vonatkozó uniós vívmányoknak és az elfogadott uniós prioritásoknak.</w:t>
      </w:r>
    </w:p>
    <w:p w14:paraId="0C29A07E" w14:textId="77777777" w:rsidR="00B9223C" w:rsidRPr="00392E80" w:rsidRDefault="00B9223C" w:rsidP="00B9223C">
      <w:pPr>
        <w:rPr>
          <w:noProof/>
        </w:rPr>
      </w:pPr>
      <w:r w:rsidRPr="00392E80">
        <w:rPr>
          <w:noProof/>
        </w:rPr>
        <w:t>A szilárd uniós vízumpolitika szintén kulcsfontosságú a határbiztonság és a migrációkezelés javításához. Uniós támogatással kell mindenekelőtt segíteni a tagállamokat a vízumfeldolgozás hatékonyságának javításában és az uniós vízumrendszerrel való visszaélések megelőzésében. Uniós támogatásra van szükség a vízumfeldolgozás digitalizálásához, valamint a konzuli szolgáltatások világszintű lefedettségének és a kérelmezők számára nyújtott szolgáltatásoknak a javításához.</w:t>
      </w:r>
    </w:p>
    <w:p w14:paraId="33FEB1CE" w14:textId="335F2A4B" w:rsidR="00B9223C" w:rsidRPr="00392E80" w:rsidRDefault="00B9223C" w:rsidP="001F3E4C">
      <w:pPr>
        <w:rPr>
          <w:noProof/>
        </w:rPr>
      </w:pPr>
      <w:r w:rsidRPr="00392E80">
        <w:rPr>
          <w:noProof/>
        </w:rPr>
        <w:t xml:space="preserve">A javaslat kezelni kívánja az uniós támogatás irányítása terén fennálló rugalmasság növelésének szükségességét, ideértve a teljesítményorientáltabbá tételt, valamint a végrehajtásban részt vevő valamennyi szereplőt érintő fokozott egyszerűsítést. Ennek érdekében a javaslat szorosan kiegészíti az Európai Gazdasági, Társadalmi és Területi Kohéziós, Mezőgazdasági és Vidékfejlesztési, Halászati és Tengeri, Jóléti és Biztonsági Alap létrehozásáról szóló (EU) [...] rendeletjavaslatot, amely új mechanizmusokat vezet be a források allokációjára a megosztott, a közvetlen és a közvetett irányítás tekintetében. A határigazgatás és a migráció területén fennálló kihívások folyamatos változása emellett szükségessé teszi a sürgető igényekre, valamint a szakpolitikákban és az uniós prioritásokban bekövetkező változásokra való reagálást, </w:t>
      </w:r>
      <w:bookmarkStart w:id="4" w:name="_Hlk202775281"/>
      <w:r w:rsidRPr="00392E80">
        <w:rPr>
          <w:noProof/>
        </w:rPr>
        <w:t>a schengeni értékelések és a Frontex sebezhetőségi értékelése során azonosított hiányosságok kezelését</w:t>
      </w:r>
      <w:bookmarkEnd w:id="4"/>
      <w:r w:rsidRPr="00392E80">
        <w:rPr>
          <w:noProof/>
        </w:rPr>
        <w:t>, továbbá a finanszírozás magas szintű uniós hozzáadott értékkel rendelkező intézkedések felé történő terelését, különösen egy olyan Uniós Támogatási Eszköz révén, amely rugalmasságot biztosít az uniós támogatás irányítása terén.</w:t>
      </w:r>
    </w:p>
    <w:p w14:paraId="4CF7EFDF" w14:textId="0D847929" w:rsidR="00EB6497" w:rsidRPr="00392E80" w:rsidRDefault="00EB6497" w:rsidP="001F3E4C">
      <w:pPr>
        <w:pBdr>
          <w:top w:val="nil"/>
          <w:left w:val="nil"/>
          <w:bottom w:val="nil"/>
          <w:right w:val="nil"/>
          <w:between w:val="nil"/>
          <w:bar w:val="nil"/>
        </w:pBdr>
        <w:rPr>
          <w:rFonts w:eastAsia="Arial Unicode MS"/>
          <w:noProof/>
        </w:rPr>
      </w:pPr>
      <w:r w:rsidRPr="00392E80">
        <w:rPr>
          <w:noProof/>
        </w:rPr>
        <w:t>Ez a javaslat a menekültügy, a migráció és az integráció uniós támogatásának létrehozásáról szóló rendeletjavaslattal és a belső biztonság uniós támogatásának létrehozásáról szóló rendeletjavaslattal együtt biztosítja az uniós fellépés egyedi jogi keretét a külső határok európai integrált határigazgatása, a jól működő schengeni térség és az európai vízumpolitika, a migrációs áramlások hatékony kezelése és a belső biztonság területén. Ez a három rendelet kiegészíti egymást, továbbá hozzájárul a végrehajtásukhoz alapul szolgáló, az Európai Gazdasági, Társadalmi és Területi Kohéziós, Mezőgazdasági és Vidékfejlesztési, Halászati és Tengeri, Jóléti és Biztonsági Alap létrehozásáról szóló (EU) [...] rendelet célkitűzéseihez, illetve kiegészíti azt.</w:t>
      </w:r>
    </w:p>
    <w:p w14:paraId="5EBA1527" w14:textId="77777777" w:rsidR="00EB6497" w:rsidRPr="00392E80" w:rsidRDefault="00EB6497" w:rsidP="00EB6497">
      <w:pPr>
        <w:rPr>
          <w:noProof/>
        </w:rPr>
      </w:pPr>
      <w:r w:rsidRPr="00392E80">
        <w:rPr>
          <w:noProof/>
        </w:rPr>
        <w:t>A javasolt rendelet az (EU) 2021/1148 rendeletre</w:t>
      </w:r>
      <w:r w:rsidRPr="00392E80">
        <w:rPr>
          <w:rStyle w:val="FootnoteReference"/>
          <w:rFonts w:eastAsia="Arial Unicode MS"/>
          <w:noProof/>
        </w:rPr>
        <w:footnoteReference w:id="2"/>
      </w:r>
      <w:r w:rsidRPr="00392E80">
        <w:rPr>
          <w:noProof/>
        </w:rPr>
        <w:t xml:space="preserve"> épül, ugyanakkor figyelembe veszi az új szakpolitikai fejleményeket, valamint azt, hogy gyors választ kell adni az európai integrált határigazgatással – többek között a schengeni térség megfelelő működésével – és az uniós vízumpolitikával kapcsolatos változó kihívásokra.</w:t>
      </w:r>
    </w:p>
    <w:p w14:paraId="23CA5C86" w14:textId="77777777" w:rsidR="00286E0D" w:rsidRPr="00392E80" w:rsidRDefault="00286E0D" w:rsidP="00286E0D">
      <w:pPr>
        <w:pStyle w:val="ManualHeading2"/>
        <w:rPr>
          <w:rFonts w:eastAsia="Arial Unicode MS"/>
          <w:noProof/>
          <w:color w:val="000000"/>
          <w:u w:color="000000"/>
          <w:bdr w:val="nil"/>
        </w:rPr>
      </w:pPr>
      <w:r w:rsidRPr="00392E80">
        <w:rPr>
          <w:noProof/>
          <w:color w:val="000000"/>
          <w:u w:color="000000"/>
          <w:bdr w:val="nil"/>
        </w:rPr>
        <w:t>•</w:t>
      </w:r>
      <w:r w:rsidRPr="00392E80">
        <w:rPr>
          <w:noProof/>
          <w:color w:val="000000"/>
          <w:u w:color="000000"/>
          <w:bdr w:val="nil"/>
        </w:rPr>
        <w:tab/>
      </w:r>
      <w:r w:rsidRPr="00392E80">
        <w:rPr>
          <w:noProof/>
        </w:rPr>
        <w:t>Összhang a szabályozási terület jelenlegi rendelkezéseivel</w:t>
      </w:r>
    </w:p>
    <w:p w14:paraId="254C54FA" w14:textId="77777777" w:rsidR="00286E0D" w:rsidRPr="00392E80" w:rsidRDefault="00286E0D" w:rsidP="00286E0D">
      <w:pPr>
        <w:pBdr>
          <w:top w:val="nil"/>
          <w:left w:val="nil"/>
          <w:bottom w:val="nil"/>
          <w:right w:val="nil"/>
          <w:between w:val="nil"/>
          <w:bar w:val="nil"/>
        </w:pBdr>
        <w:rPr>
          <w:rFonts w:eastAsia="Arial Unicode MS"/>
          <w:noProof/>
        </w:rPr>
      </w:pPr>
      <w:r w:rsidRPr="00392E80">
        <w:rPr>
          <w:noProof/>
        </w:rPr>
        <w:t>Az európai integrált határigazgatás és az európai vízumpolitika uniós támogatása szorosan kiegészíti a nemzeti és regionális partnerségi tervek hatálya alá tartozó többi szakpolitikát, ezáltal előmozdítva az e szakpolitikák közötti szinergiákat. Hasonlóképpen törekedni kell a szinergiákra és a komplementaritásra mindenekelőtt a schengeni vívmányokkal, valamint a migrációs és menekültügyi paktumot alátámasztó, 2024. június 11-én hatályba lépett jogalkotási csomaggal. Az európai integrált határigazgatásra és az uniós vízumpolitikára vonatkozó intenzívebb uniós szakpolitikához azonban a rendelkezésére álló eszközök teljes spektrumára kiterjedő fellépésre van szükség, ideértve az érintett decentralizált uniós ügynökségek tevékenységeit is.</w:t>
      </w:r>
    </w:p>
    <w:p w14:paraId="7C64BB8E" w14:textId="77777777" w:rsidR="00EB6497" w:rsidRPr="00392E80" w:rsidRDefault="00EB6497" w:rsidP="00286E0D">
      <w:pPr>
        <w:pBdr>
          <w:top w:val="nil"/>
          <w:left w:val="nil"/>
          <w:bottom w:val="nil"/>
          <w:right w:val="nil"/>
          <w:between w:val="nil"/>
          <w:bar w:val="nil"/>
        </w:pBdr>
        <w:rPr>
          <w:rFonts w:eastAsia="Arial Unicode MS"/>
          <w:noProof/>
        </w:rPr>
      </w:pPr>
      <w:bookmarkStart w:id="5" w:name="_Hlk202880469"/>
      <w:r w:rsidRPr="00392E80">
        <w:rPr>
          <w:noProof/>
          <w:color w:val="000000" w:themeColor="text1"/>
        </w:rPr>
        <w:t>A hat decentralizált belügyi ügynökség (a Frontex, az Europol, az Európai Unió Menekültügyi Ügynöksége, az eu-LISA, az Európai Unió Kábítószer-ügynöksége és a CEPOL) fontos és egyre növekvő szerepet játszik a belügyi szakpolitikák végrehajtásában. Alapvető fontosságú az uniós szinten meghatározott szakpolitikai stratégiák és a decentralizált ügynökségek operatív tevékenységei közötti koherencia biztosítása, ezáltal maximalizálva a decentralizált ügynökségeknek nyújtott uniós finanszírozás hozzájárulását az uniós szakpolitikai célkitűzésekhez. A decentralizált ügynökségek operatív szerepének további megerősítésére lehet szükség, a finanszírozás annak megfelelő növelése mellett.</w:t>
      </w:r>
    </w:p>
    <w:bookmarkEnd w:id="5"/>
    <w:p w14:paraId="3F7C3464" w14:textId="77777777" w:rsidR="00286E0D" w:rsidRPr="00392E80" w:rsidRDefault="00286E0D" w:rsidP="00336FEB">
      <w:pPr>
        <w:pStyle w:val="ManualHeading2"/>
        <w:ind w:left="851" w:hanging="851"/>
        <w:rPr>
          <w:rFonts w:eastAsia="Arial Unicode MS"/>
          <w:noProof/>
        </w:rPr>
      </w:pPr>
      <w:r w:rsidRPr="00392E80">
        <w:rPr>
          <w:noProof/>
          <w:color w:val="000000"/>
          <w:u w:color="000000"/>
          <w:bdr w:val="nil"/>
        </w:rPr>
        <w:t>•</w:t>
      </w:r>
      <w:r w:rsidRPr="00392E80">
        <w:rPr>
          <w:noProof/>
          <w:color w:val="000000"/>
          <w:u w:color="000000"/>
          <w:bdr w:val="nil"/>
        </w:rPr>
        <w:tab/>
      </w:r>
      <w:r w:rsidRPr="00392E80">
        <w:rPr>
          <w:noProof/>
        </w:rPr>
        <w:t>Összhang az Unió egyéb szakpolitikáival</w:t>
      </w:r>
    </w:p>
    <w:p w14:paraId="1AF2B945" w14:textId="77777777" w:rsidR="0031749A" w:rsidRPr="00392E80" w:rsidRDefault="00286E0D" w:rsidP="00286E0D">
      <w:pPr>
        <w:pBdr>
          <w:top w:val="nil"/>
          <w:left w:val="nil"/>
          <w:bottom w:val="nil"/>
          <w:right w:val="nil"/>
          <w:between w:val="nil"/>
          <w:bar w:val="nil"/>
        </w:pBdr>
        <w:rPr>
          <w:rFonts w:eastAsia="Arial Unicode MS"/>
          <w:noProof/>
          <w:color w:val="000000" w:themeColor="text1"/>
        </w:rPr>
      </w:pPr>
      <w:r w:rsidRPr="00392E80">
        <w:rPr>
          <w:noProof/>
        </w:rPr>
        <w:t xml:space="preserve">Az európai integrált határigazgatás és a vízumpolitika nagyban támaszkodik a szinergiákra és a koherenciára a releváns (például menekültügyi és migrációs, belső biztonsági) uniós szakpolitikákkal, valamint a – különösen az (EU) [...] rendelet [Globális Európa] keretében – harmadik országokat támogató, a belső politikákkal (többek között a határigazgatással és a vízumpolitikával) jelentős kapcsolatban álló területek széles körét lefedő uniós külső politikákkal. </w:t>
      </w:r>
      <w:r w:rsidRPr="00392E80">
        <w:rPr>
          <w:noProof/>
          <w:color w:val="000000" w:themeColor="text1"/>
        </w:rPr>
        <w:t>Mindenekelőtt fontos fokozott koherenciát biztosítani a Globális Európa keretében a partnerországokkal folytatott határigazgatási együttműködéshez nyújtott uniós támogatással, a szinergiákat maximalizáló összehangolt, holisztikus és strukturált megközelítéshez való hozzájárulás és a szükséges befolyás alkalmazása érdekében. Ebben az összefüggésben a Globális Európa keretében a határokon átnyúló együttműködéshez nyújtott támogatás kiemelten fontos a határigazgatás javítása és az irreguláris migráció megelőzésére irányuló erőfeszítések szempontjából.</w:t>
      </w:r>
    </w:p>
    <w:p w14:paraId="6CBA56D8" w14:textId="77777777" w:rsidR="00286E0D" w:rsidRPr="00392E80" w:rsidRDefault="00286E0D" w:rsidP="0031749A">
      <w:pPr>
        <w:pBdr>
          <w:top w:val="nil"/>
          <w:left w:val="nil"/>
          <w:bottom w:val="nil"/>
          <w:right w:val="nil"/>
          <w:between w:val="nil"/>
          <w:bar w:val="nil"/>
        </w:pBdr>
        <w:rPr>
          <w:noProof/>
          <w:szCs w:val="24"/>
        </w:rPr>
      </w:pPr>
      <w:r w:rsidRPr="00392E80">
        <w:rPr>
          <w:noProof/>
        </w:rPr>
        <w:t>A versenyképességi menetrend támogatása érdekében ezenfelül mérlegelni kell az innovatív módszereken vagy új technológiákon alapuló beruházásokat is, ideértve az uniós finanszírozású kutatási projektek eredményeinek tesztelésére és validálására irányuló intézkedéseket.</w:t>
      </w:r>
    </w:p>
    <w:p w14:paraId="43A280F3" w14:textId="77777777" w:rsidR="00B9223C" w:rsidRPr="00392E80" w:rsidRDefault="00AD5AEE" w:rsidP="00AD5AEE">
      <w:pPr>
        <w:pStyle w:val="ManualHeading2"/>
        <w:ind w:left="851" w:hanging="851"/>
        <w:rPr>
          <w:rFonts w:eastAsia="Arial Unicode MS"/>
          <w:noProof/>
          <w:color w:val="000000"/>
          <w:u w:color="000000"/>
          <w:bdr w:val="nil"/>
        </w:rPr>
      </w:pPr>
      <w:r w:rsidRPr="00392E80">
        <w:rPr>
          <w:noProof/>
          <w:color w:val="000000"/>
          <w:u w:color="000000"/>
          <w:bdr w:val="nil"/>
        </w:rPr>
        <w:t>•</w:t>
      </w:r>
      <w:r w:rsidRPr="00392E80">
        <w:rPr>
          <w:noProof/>
          <w:color w:val="000000"/>
          <w:u w:color="000000"/>
          <w:bdr w:val="nil"/>
        </w:rPr>
        <w:tab/>
        <w:t>Változó geometria</w:t>
      </w:r>
    </w:p>
    <w:p w14:paraId="4C39B415" w14:textId="77777777" w:rsidR="00C244F7" w:rsidRPr="00392E80" w:rsidRDefault="00B9223C" w:rsidP="00B9223C">
      <w:pPr>
        <w:rPr>
          <w:rFonts w:eastAsia="Arial Unicode MS"/>
          <w:noProof/>
        </w:rPr>
      </w:pPr>
      <w:r w:rsidRPr="00392E80">
        <w:rPr>
          <w:noProof/>
        </w:rPr>
        <w:t>Ez a rendelet a schengeni vívmányok továbbfejlesztését képezi. Következésképpen a rendelet Dániára és Írországra történő alkalmazására az EUSZ-hez és az EUMSZ-hez csatolt 19. és 22. jegyzőkönyvben megállapított különös rendelkezések vonatkoznak.</w:t>
      </w:r>
    </w:p>
    <w:p w14:paraId="5CBE603F" w14:textId="77777777" w:rsidR="00C244F7" w:rsidRPr="00392E80" w:rsidRDefault="00C244F7" w:rsidP="00B9223C">
      <w:pPr>
        <w:rPr>
          <w:rFonts w:eastAsia="Times New Roman"/>
          <w:noProof/>
          <w:color w:val="000000" w:themeColor="text1"/>
        </w:rPr>
      </w:pPr>
      <w:r w:rsidRPr="00392E80">
        <w:rPr>
          <w:noProof/>
        </w:rPr>
        <w:t>A 22. jegyzőkönyv 1. és 2. cikkének megfelelően a rendelet Dániára nézve nem kötelező és nem alkalmazandó. A 22. jegyzőkönyv 4. cikke értelmében azonban Dániának határoznia kell arról, hogy végrehajtja-e és magára nézve kötelezővé teszi-e a schengeni vívmányokon alapuló intézkedéseket.</w:t>
      </w:r>
      <w:r w:rsidRPr="00392E80">
        <w:rPr>
          <w:i/>
          <w:noProof/>
          <w:color w:val="000000" w:themeColor="text1"/>
        </w:rPr>
        <w:t xml:space="preserve"> </w:t>
      </w:r>
      <w:r w:rsidRPr="00392E80">
        <w:rPr>
          <w:noProof/>
          <w:color w:val="000000" w:themeColor="text1"/>
        </w:rPr>
        <w:t>Ha úgy dönt, hogy végrehajtja, az intézkedés nemzetközi jogi kötelezettséget hoz létre Dánia és a többi tagállam között.</w:t>
      </w:r>
    </w:p>
    <w:p w14:paraId="0E7F29D4" w14:textId="77777777" w:rsidR="00B9223C" w:rsidRPr="00392E80" w:rsidRDefault="00C244F7" w:rsidP="00FA3905">
      <w:pPr>
        <w:rPr>
          <w:rFonts w:eastAsia="Times New Roman"/>
          <w:noProof/>
          <w:color w:val="000000" w:themeColor="text1"/>
        </w:rPr>
      </w:pPr>
      <w:r w:rsidRPr="00392E80">
        <w:rPr>
          <w:noProof/>
          <w:color w:val="000000" w:themeColor="text1"/>
        </w:rPr>
        <w:t xml:space="preserve">A 19. jegyzőkönyv 4. cikke értelmében Írország bármikor kérheti, hogy részt vehessen a schengeni vívmányok rendelkezései egy részének vagy egészének alkalmazásában. Bár Írország részt vesz a schengeni vívmányok egyes részeiben, ez a rendelet a schengeni vívmányok nem azon részeivel kapcsolatos, amelyekben Írország részt vesz. </w:t>
      </w:r>
      <w:r w:rsidRPr="00392E80">
        <w:rPr>
          <w:noProof/>
        </w:rPr>
        <w:t>Mivel az intézkedés a schengeni vívmányok továbbfejlesztését képezi, a rendeletről értesíteni kell négy országot (Izlandot, a Norvég Királyságot, a Svájci Államszövetséget és a Liechtensteini Hercegséget), amelyek nem tagjai az Uniónak, de az Unióval kötött társulási megállapodások alapján részt vesznek a belső határellenőrzés nélküli schengeni térségben. Az értesítést követően a négy schengeni társult országnak meg kell erősítenie, hogy elfogadja a rendelet tartalmát, és azt végre kell hajtania nemzeti jogában. Következésképpen a javasolt intézkedések e négy országra is vonatkozni fognak.</w:t>
      </w:r>
    </w:p>
    <w:p w14:paraId="3F7474CB" w14:textId="77777777" w:rsidR="00286E0D" w:rsidRPr="00392E80" w:rsidRDefault="00286E0D" w:rsidP="00286E0D">
      <w:pPr>
        <w:pStyle w:val="ManualHeading1"/>
        <w:rPr>
          <w:noProof/>
        </w:rPr>
      </w:pPr>
      <w:r w:rsidRPr="00392E80">
        <w:rPr>
          <w:noProof/>
        </w:rPr>
        <w:t>2.</w:t>
      </w:r>
      <w:r w:rsidRPr="00392E80">
        <w:rPr>
          <w:noProof/>
        </w:rPr>
        <w:tab/>
        <w:t>JOGALAP, SZUBSZIDIARITÁS ÉS ARÁNYOSSÁG</w:t>
      </w:r>
    </w:p>
    <w:p w14:paraId="71B17439"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Jogalap</w:t>
      </w:r>
    </w:p>
    <w:p w14:paraId="3FC49ECD" w14:textId="77777777" w:rsidR="00286E0D" w:rsidRPr="00392E80" w:rsidRDefault="00286E0D" w:rsidP="00286E0D">
      <w:pPr>
        <w:pBdr>
          <w:top w:val="nil"/>
          <w:left w:val="nil"/>
          <w:bottom w:val="nil"/>
          <w:right w:val="nil"/>
          <w:between w:val="nil"/>
          <w:bar w:val="nil"/>
        </w:pBdr>
        <w:rPr>
          <w:rFonts w:eastAsia="Arial Unicode MS"/>
          <w:noProof/>
        </w:rPr>
      </w:pPr>
      <w:r w:rsidRPr="00392E80">
        <w:rPr>
          <w:noProof/>
        </w:rPr>
        <w:t>Az Európai Unióról szóló szerződés 3. cikkének (2) bekezdése úgy rendelkezik, hogy „az Unió egy belső határok nélküli, a szabadságon, a biztonságon és a jog érvényesülésén alapuló olyan térséget kínál polgárai számára, ahol a személyek szabad mozgásának biztosítása a külső határok ellenőrzésére, a menekültügyre, a bevándorlásra, valamint a bűnmegelőzésre és bűnüldözésre vonatkozó megfelelő intézkedésekkel párosul”. E javaslat jogalapját az Európai Unió működéséről szóló szerződés (EUMSZ) 77. cikkének (2) bekezdésében és 79. cikke (2) bekezdésének c) és d) pontjában említett intézkedések jelentik.</w:t>
      </w:r>
    </w:p>
    <w:p w14:paraId="750CEE1E" w14:textId="3F1783CE"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Szubszidiaritás (nem kizárólagos hatáskör esetén)</w:t>
      </w:r>
    </w:p>
    <w:p w14:paraId="0C17F853" w14:textId="77777777" w:rsidR="00286E0D" w:rsidRPr="00392E80" w:rsidRDefault="0031749A" w:rsidP="00D35A81">
      <w:pPr>
        <w:pBdr>
          <w:top w:val="nil"/>
          <w:left w:val="nil"/>
          <w:bottom w:val="nil"/>
          <w:right w:val="nil"/>
          <w:between w:val="nil"/>
          <w:bar w:val="nil"/>
        </w:pBdr>
        <w:rPr>
          <w:rFonts w:eastAsia="Arial Unicode MS"/>
          <w:noProof/>
        </w:rPr>
      </w:pPr>
      <w:r w:rsidRPr="00392E80">
        <w:rPr>
          <w:noProof/>
          <w:color w:val="000000" w:themeColor="text1"/>
        </w:rPr>
        <w:t xml:space="preserve">A tagállamok önállóan nem tudják megvalósítani a javaslat célkitűzéseit, mivel a kihívások határokon átnyúló jellegűek, és nem egyetlen tagállamra vagy a tagállamok egy csoportjára korlátozódnak. </w:t>
      </w:r>
      <w:r w:rsidRPr="00392E80">
        <w:rPr>
          <w:noProof/>
        </w:rPr>
        <w:t>Az uniós támogatás hozzáadott értéket teremt azáltal, hogy közös megközelítést mozdít elő a tagállamok között az uniós vívmányok és normák végrehajtásával kapcsolatban, valamint fokozza a tagállamok közötti együttműködést a transznacionális kérdésekben.</w:t>
      </w:r>
    </w:p>
    <w:p w14:paraId="0E9E52B6"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Arányosság</w:t>
      </w:r>
    </w:p>
    <w:p w14:paraId="6AD7B953" w14:textId="77777777" w:rsidR="00286E0D" w:rsidRPr="00392E80" w:rsidRDefault="0031749A" w:rsidP="00FA3905">
      <w:pPr>
        <w:pBdr>
          <w:top w:val="nil"/>
          <w:left w:val="nil"/>
          <w:bottom w:val="nil"/>
          <w:right w:val="nil"/>
          <w:between w:val="nil"/>
          <w:bar w:val="nil"/>
        </w:pBdr>
        <w:rPr>
          <w:rFonts w:eastAsia="Arial Unicode MS"/>
          <w:noProof/>
          <w:color w:val="000000" w:themeColor="text1"/>
        </w:rPr>
      </w:pPr>
      <w:r w:rsidRPr="00392E80">
        <w:rPr>
          <w:noProof/>
          <w:color w:val="000000" w:themeColor="text1"/>
        </w:rPr>
        <w:t>A javaslat nem lépi túl az 1. szakaszban említett célkitűzések megvalósításához szükséges mértéket. Az EUMSZ harmadik részének V. címében meghatározott, a szabadságon, a biztonságon és a jog érvényesülésén alapuló térségen belüli fellépés hatálya alá tartozik. A célkitűzések és a kapcsolódó uniós támogatás arányosak az eszköz által elérni kívánt célokkal.</w:t>
      </w:r>
    </w:p>
    <w:p w14:paraId="70EDA19B"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 jogi aktus típusának megválasztása</w:t>
      </w:r>
    </w:p>
    <w:p w14:paraId="675DAC45" w14:textId="5D8E2C52" w:rsidR="0031749A" w:rsidRPr="00392E80" w:rsidRDefault="0031749A" w:rsidP="001F3E4C">
      <w:pPr>
        <w:pBdr>
          <w:top w:val="nil"/>
          <w:left w:val="nil"/>
          <w:bottom w:val="nil"/>
          <w:right w:val="nil"/>
          <w:between w:val="nil"/>
          <w:bar w:val="nil"/>
        </w:pBdr>
        <w:rPr>
          <w:rFonts w:eastAsia="Arial Unicode MS"/>
          <w:noProof/>
          <w:color w:val="000000" w:themeColor="text1"/>
        </w:rPr>
      </w:pPr>
      <w:r w:rsidRPr="00392E80">
        <w:rPr>
          <w:noProof/>
          <w:color w:val="000000" w:themeColor="text1"/>
        </w:rPr>
        <w:t>E javaslat megvalósítására a legmegfelelőbb eszköz a határigazgatás uniós támogatásának a 2028. január 1. és 2034. december 31. közötti időszakra történő létrehozásáról szóló európai parlamenti és tanácsi rendelet, amely kiegészíti az Európai Gazdasági, Társadalmi és Területi Kohéziós, Mezőgazdasági és Vidékfejlesztési, Halászati és Tengeri, Jóléti és Biztonsági Alap létrehozásáról szóló (EU) [...] rendeletjavaslatot.</w:t>
      </w:r>
    </w:p>
    <w:p w14:paraId="0FA6C1BD" w14:textId="77777777" w:rsidR="00286E0D" w:rsidRPr="00392E80" w:rsidRDefault="00286E0D" w:rsidP="00286E0D">
      <w:pPr>
        <w:pStyle w:val="ManualHeading1"/>
        <w:rPr>
          <w:noProof/>
        </w:rPr>
      </w:pPr>
      <w:r w:rsidRPr="00392E80">
        <w:rPr>
          <w:noProof/>
        </w:rPr>
        <w:t>3.</w:t>
      </w:r>
      <w:r w:rsidRPr="00392E80">
        <w:rPr>
          <w:noProof/>
        </w:rPr>
        <w:tab/>
        <w:t>A VISSZAMENŐLEGES ÉRTÉKELÉSEK, AZ ÉRDEKELT FELEKKEL FOLYTATOTT KONZULTÁCIÓK ÉS A HATÁSVIZSGÁLATOK EREDMÉNYEI</w:t>
      </w:r>
    </w:p>
    <w:p w14:paraId="0B632E01"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 jelenleg hatályban lévő jogszabályok visszamenőleges értékelése / célravezetőségi vizsgálata</w:t>
      </w:r>
    </w:p>
    <w:p w14:paraId="76E894A2" w14:textId="77777777" w:rsidR="00286E0D" w:rsidRPr="00392E80" w:rsidRDefault="00286E0D" w:rsidP="00EB6497">
      <w:pPr>
        <w:pBdr>
          <w:top w:val="nil"/>
          <w:left w:val="nil"/>
          <w:bottom w:val="nil"/>
          <w:right w:val="nil"/>
          <w:between w:val="nil"/>
          <w:bar w:val="nil"/>
        </w:pBdr>
        <w:rPr>
          <w:rFonts w:eastAsia="Arial Unicode MS"/>
          <w:noProof/>
        </w:rPr>
      </w:pPr>
      <w:r w:rsidRPr="00392E80">
        <w:rPr>
          <w:noProof/>
        </w:rPr>
        <w:t xml:space="preserve">A 2014–2020-as programozási időszakra szóló, a külső határok és a vízumügy pénzügyi támogatására szolgáló eszköz folyamatban lévő utólagos értékelésének előzetes eredményei megerősítik, hogy a határigazgatást támogató eszköz hatékonyan támogatta a tagállamokat a vízumpolitika és a külső határok igazgatása terén kitűzött célkitűzéseik megvalósításában. A többéves programozás és a nemzeti támogathatósági szabályok bevezetése hozzájárult az adminisztratív terhek csökkentéséhez. Az egyszerűsített költségelszámolási módszer – alkalmazása esetén – sikeresen csökkentette az adminisztratív terheket, alkalmazása azonban nem volt széles körű. A külső határok és a vízumügy pénzügyi támogatására szolgáló eszköz változó mértékű költséghatékonyságot és eredményességet mutatott. A külső határok és a vízumügy pénzügyi támogatására szolgáló eszköz koherensnek mutatkozott az alap elemei és más uniós alapok tekintetében, azonban tovább lehetne erősíteni a koherenciát a Horizont Európával, valamint a nemzeti programok és az uniós fellépések között. A külső határok és a vízumügy pénzügyi támogatására szolgáló eszköz jelentős mértékű uniós hozzáadott értéket teremtett. </w:t>
      </w:r>
      <w:bookmarkStart w:id="6" w:name="_Hlk202880568"/>
      <w:r w:rsidRPr="00392E80">
        <w:rPr>
          <w:noProof/>
        </w:rPr>
        <w:t>Az utólagos értékelés előzetesen arra a következtetésre jutott, hogy a jelentéstételi követelmények és az adminisztratív eljárások egyszerűsítése – anélkül, hogy csökkenne a minőség és a végrehajtás nyomon követéséhez szükséges mennyiségi információk köre – jelentősen növelheti a hatékonyságot. Ez a megközelítés elvben minimalizálja az adminisztratív terheket, és lehetővé teszi az érdekelt felek számára, hogy a bürokratikus folyamatokban való eligazodás helyett az eredmények elérésére összpontosítsanak.</w:t>
      </w:r>
      <w:bookmarkEnd w:id="6"/>
    </w:p>
    <w:p w14:paraId="539AF480" w14:textId="77777777" w:rsidR="00286E0D" w:rsidRPr="00392E80" w:rsidRDefault="00286E0D" w:rsidP="00EB6497">
      <w:pPr>
        <w:pBdr>
          <w:top w:val="nil"/>
          <w:left w:val="nil"/>
          <w:bottom w:val="nil"/>
          <w:right w:val="nil"/>
          <w:between w:val="nil"/>
          <w:bar w:val="nil"/>
        </w:pBdr>
        <w:rPr>
          <w:rFonts w:eastAsia="Arial Unicode MS"/>
          <w:i/>
          <w:noProof/>
        </w:rPr>
      </w:pPr>
      <w:r w:rsidRPr="00392E80">
        <w:rPr>
          <w:noProof/>
        </w:rPr>
        <w:t xml:space="preserve">A 2021–2027-es programozási időszakra szóló Határigazgatási és Vízumeszköz (a továbbiakban: HAVE) félidős értékelésének előzetes eredményei megerősítik, hogy a HAVE nyomonkövetési és értékelési kerete jelentősen javult a 2014–2020-as időszakhoz képest. A tagállamok és a kedvezményezettek adminisztratív terhekkel kapcsolatos aggályoknak adtak hangot. Az irányító hatóságok eddig csak korlátozott mértékben alkalmazták az egyszerűsített költségelszámolási módszert és a költségfüggetlen finanszírozást, amelyek csökkenthetik az adminisztratív terheket. A tagállami programok és a Bizottság tematikus eszközhöz kapcsolódó munkaprogramjai összhangban voltak más nemzeti és uniós finanszírozási eszközökkel. Az innovatív technológiai megoldások elterjedésének növelése érdekében azonban tovább lehetett volna erősíteni az uniós fellépések és a tagállami programok, valamint a Horizont Európa közötti koherenciát. Végezetül a HAVE előmozdította az együttműködést, biztosítja az uniós normáknak való megfelelést, és javította a határigazgatás és a vízumpolitikai közös uniós keretét. </w:t>
      </w:r>
      <w:bookmarkStart w:id="7" w:name="_Hlk202880726"/>
      <w:r w:rsidRPr="00392E80">
        <w:rPr>
          <w:noProof/>
        </w:rPr>
        <w:t>Az érdekelt felek különösen nagyra értékelték az egyedi intézkedéseket azok rugalmassága és az általuk a konkrét prioritásokhoz biztosított ad hoc kiegészítő finanszírozás miatt. A félidős értékelés azt is kiemeli, hogy fontos további lépéseket tenni a finanszírozás nyújtásának egyszerűsítése terén, és részletesebben kifejteni az irányító hatóságok számára, hogy a teljesítménymérési keret a rendelet által előírt tisztán formális jelentéstételen túl miként járulhat hozzá a programok hatékony irányításához.</w:t>
      </w:r>
      <w:bookmarkEnd w:id="7"/>
    </w:p>
    <w:p w14:paraId="7AA2B0D5"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Az érdekelt felekkel folytatott konzultációk</w:t>
      </w:r>
    </w:p>
    <w:p w14:paraId="4E66CF84" w14:textId="0428396D" w:rsidR="00286E0D" w:rsidRPr="00392E80" w:rsidRDefault="00286E0D" w:rsidP="001F3E4C">
      <w:pPr>
        <w:pBdr>
          <w:top w:val="nil"/>
          <w:left w:val="nil"/>
          <w:bottom w:val="nil"/>
          <w:right w:val="nil"/>
          <w:between w:val="nil"/>
          <w:bar w:val="nil"/>
        </w:pBdr>
        <w:rPr>
          <w:rFonts w:eastAsia="Arial Unicode MS"/>
          <w:noProof/>
        </w:rPr>
      </w:pPr>
      <w:r w:rsidRPr="00392E80">
        <w:rPr>
          <w:noProof/>
        </w:rPr>
        <w:t xml:space="preserve">A Bizottság aktívan együttműködött az érdekelt felekkel a kezdeményezést kísérő folyamatban, különösen célzott rendezvények és </w:t>
      </w:r>
      <w:bookmarkStart w:id="8" w:name="_Hlk202112428"/>
      <w:r w:rsidRPr="00392E80">
        <w:rPr>
          <w:noProof/>
        </w:rPr>
        <w:t xml:space="preserve">nyilvános konzultációs tevékenységek révén, amint </w:t>
      </w:r>
      <w:bookmarkStart w:id="9" w:name="_Hlk201931196"/>
      <w:r w:rsidRPr="00392E80">
        <w:rPr>
          <w:noProof/>
          <w:color w:val="000000" w:themeColor="text1"/>
        </w:rPr>
        <w:t>azt az Európai Gazdasági, Társadalmi és Területi Kohéziós, Mezőgazdasági és Vidékfejlesztési, Halászati és Tengeri, Jóléti és Biztonsági Alap létrehozásáról szóló (EU) [...] rendeletjavaslat</w:t>
      </w:r>
      <w:r w:rsidRPr="00392E80">
        <w:rPr>
          <w:noProof/>
        </w:rPr>
        <w:t xml:space="preserve"> indokolásának megfelelő fejezete is részletesen ismerteti.</w:t>
      </w:r>
      <w:bookmarkEnd w:id="8"/>
      <w:bookmarkEnd w:id="9"/>
    </w:p>
    <w:p w14:paraId="5933E9C5"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Külső szakértők</w:t>
      </w:r>
    </w:p>
    <w:p w14:paraId="379C1D35" w14:textId="03883662" w:rsidR="00286E0D" w:rsidRPr="00392E80" w:rsidRDefault="00286E0D" w:rsidP="00286E0D">
      <w:pPr>
        <w:pBdr>
          <w:top w:val="nil"/>
          <w:left w:val="nil"/>
          <w:bottom w:val="nil"/>
          <w:right w:val="nil"/>
          <w:between w:val="nil"/>
          <w:bar w:val="nil"/>
        </w:pBdr>
        <w:rPr>
          <w:rFonts w:eastAsia="Arial Unicode MS"/>
          <w:noProof/>
        </w:rPr>
      </w:pPr>
      <w:r w:rsidRPr="00392E80">
        <w:rPr>
          <w:noProof/>
        </w:rPr>
        <w:t xml:space="preserve">A külső szakértők Bizottság általi igénybevételéről </w:t>
      </w:r>
      <w:r w:rsidRPr="00392E80">
        <w:rPr>
          <w:noProof/>
          <w:color w:val="000000" w:themeColor="text1"/>
        </w:rPr>
        <w:t>az Európai Gazdasági, Társadalmi és Területi Kohéziós, Mezőgazdasági és Vidékfejlesztési, Halászati és Tengeri, Jóléti és Biztonsági Alap létrehozásáról szóló (EU) [...] rendeletjavaslat</w:t>
      </w:r>
      <w:r w:rsidRPr="00392E80">
        <w:rPr>
          <w:noProof/>
        </w:rPr>
        <w:t xml:space="preserve"> indokolásának megfelelő fejezete nyújt tájékoztatást.</w:t>
      </w:r>
    </w:p>
    <w:p w14:paraId="7B1950A5"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Hatásvizsgálat</w:t>
      </w:r>
    </w:p>
    <w:p w14:paraId="1537B458" w14:textId="1B9AF564" w:rsidR="00286E0D" w:rsidRPr="00392E80" w:rsidRDefault="00286E0D" w:rsidP="00286E0D">
      <w:pPr>
        <w:pBdr>
          <w:top w:val="nil"/>
          <w:left w:val="nil"/>
          <w:bottom w:val="nil"/>
          <w:right w:val="nil"/>
          <w:between w:val="nil"/>
          <w:bar w:val="nil"/>
        </w:pBdr>
        <w:rPr>
          <w:rFonts w:eastAsia="Arial Unicode MS"/>
          <w:noProof/>
        </w:rPr>
      </w:pPr>
      <w:bookmarkStart w:id="10" w:name="_Hlk201931214"/>
      <w:r w:rsidRPr="00392E80">
        <w:rPr>
          <w:noProof/>
        </w:rPr>
        <w:t xml:space="preserve">A Bizottság hatásvizsgálatáról </w:t>
      </w:r>
      <w:r w:rsidRPr="00392E80">
        <w:rPr>
          <w:noProof/>
          <w:color w:val="000000" w:themeColor="text1"/>
        </w:rPr>
        <w:t>az Európai Gazdasági, Társadalmi és Területi Kohéziós, Mezőgazdasági és Vidékfejlesztési, Halászati és Tengeri, Jóléti és Biztonsági Alap létrehozásáról szóló (EU) [...] rendeletjavaslat</w:t>
      </w:r>
      <w:r w:rsidRPr="00392E80">
        <w:rPr>
          <w:noProof/>
        </w:rPr>
        <w:t xml:space="preserve"> indokolásának megfelelő fejezete nyújt tájékoztatást.</w:t>
      </w:r>
      <w:bookmarkEnd w:id="10"/>
    </w:p>
    <w:p w14:paraId="150E44C0"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Egyszerűsítés</w:t>
      </w:r>
    </w:p>
    <w:p w14:paraId="5F7036BD" w14:textId="2B3428DA" w:rsidR="00286E0D" w:rsidRPr="00392E80" w:rsidRDefault="00286E0D" w:rsidP="00286E0D">
      <w:pPr>
        <w:pBdr>
          <w:top w:val="nil"/>
          <w:left w:val="nil"/>
          <w:bottom w:val="nil"/>
          <w:right w:val="nil"/>
          <w:between w:val="nil"/>
          <w:bar w:val="nil"/>
        </w:pBdr>
        <w:rPr>
          <w:rFonts w:eastAsia="Calibri"/>
          <w:noProof/>
        </w:rPr>
      </w:pPr>
      <w:r w:rsidRPr="00392E80">
        <w:rPr>
          <w:noProof/>
        </w:rPr>
        <w:t xml:space="preserve">A kezdeményezés várhatóan hozzájárul az adminisztratív terhek és költségek jelentős csökkentéséhez, valamint az uniós támogatás hatékonyabb végrehajtásához, amit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rendeletjavaslat indokolásának megfelelő fejezete ismertet részletesebben.</w:t>
      </w:r>
    </w:p>
    <w:p w14:paraId="6EF0EB51"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Alapjogok</w:t>
      </w:r>
    </w:p>
    <w:p w14:paraId="2B806987" w14:textId="4EBE1154" w:rsidR="00286E0D" w:rsidRPr="00392E80" w:rsidRDefault="00286E0D" w:rsidP="00286E0D">
      <w:pPr>
        <w:pBdr>
          <w:top w:val="nil"/>
          <w:left w:val="nil"/>
          <w:bottom w:val="nil"/>
          <w:right w:val="nil"/>
          <w:between w:val="nil"/>
          <w:bar w:val="nil"/>
        </w:pBdr>
        <w:rPr>
          <w:rFonts w:eastAsia="Arial Unicode MS"/>
          <w:noProof/>
        </w:rPr>
      </w:pPr>
      <w:r w:rsidRPr="00392E80">
        <w:rPr>
          <w:noProof/>
        </w:rPr>
        <w:t xml:space="preserve">Az uniós támogatás végrehajtása az Európai Unió Alapjogi Chartájával és a jogállamiság elvével összhangban fog történni, az (EU, Euratom) 2020/2092 rendelet 2. cikkének a) pontjában meghatározottak szerint, amit </w:t>
      </w:r>
      <w:r w:rsidRPr="00392E80">
        <w:rPr>
          <w:noProof/>
          <w:color w:val="000000" w:themeColor="text1"/>
        </w:rPr>
        <w:t>az Európai Gazdasági, Társadalmi és Területi Kohéziós, Mezőgazdasági és Vidékfejlesztési, Halászati és Tengeri, Jóléti és Biztonsági Alap létrehozásáról szóló (EU) [...] rendeletjavaslat</w:t>
      </w:r>
      <w:r w:rsidRPr="00392E80">
        <w:rPr>
          <w:noProof/>
        </w:rPr>
        <w:t xml:space="preserve"> indokolásának megfelelő szakasza ismertet részletesebben.</w:t>
      </w:r>
    </w:p>
    <w:p w14:paraId="785D377B" w14:textId="77777777" w:rsidR="00286E0D" w:rsidRPr="00392E80" w:rsidRDefault="00286E0D" w:rsidP="00286E0D">
      <w:pPr>
        <w:pStyle w:val="ManualHeading1"/>
        <w:rPr>
          <w:noProof/>
        </w:rPr>
      </w:pPr>
      <w:r w:rsidRPr="00392E80">
        <w:rPr>
          <w:noProof/>
        </w:rPr>
        <w:t>4.</w:t>
      </w:r>
      <w:r w:rsidRPr="00392E80">
        <w:rPr>
          <w:noProof/>
        </w:rPr>
        <w:tab/>
        <w:t>KÖLTSÉGVETÉSI VONZATOK</w:t>
      </w:r>
    </w:p>
    <w:p w14:paraId="3E5D695D" w14:textId="406E1912" w:rsidR="00401265" w:rsidRPr="00392E80" w:rsidRDefault="00401265" w:rsidP="00401265">
      <w:pPr>
        <w:pBdr>
          <w:top w:val="nil"/>
          <w:left w:val="nil"/>
          <w:bottom w:val="nil"/>
          <w:right w:val="nil"/>
          <w:between w:val="nil"/>
          <w:bar w:val="nil"/>
        </w:pBdr>
        <w:rPr>
          <w:rFonts w:eastAsia="Arial Unicode MS"/>
          <w:noProof/>
          <w:color w:val="000000" w:themeColor="text1"/>
        </w:rPr>
      </w:pPr>
      <w:r w:rsidRPr="00392E80">
        <w:rPr>
          <w:noProof/>
          <w:color w:val="000000" w:themeColor="text1"/>
        </w:rPr>
        <w:t>Az uniós támogatás célkitűzéseinek a 2028 és 2034 közötti időszakban történő végrehajtására szánt indikatív pénzügyi keretösszeg folyó árakon 15 396 750 000 milliárd EUR. Végrehajtása az Európai Gazdasági, Társadalmi és Területi Kohéziós, Mezőgazdasági és Vidékfejlesztési, Halászati és Tengeri, Jóléti és Biztonsági Alap létrehozásáról szóló (EU) [...] rendeletben a nemzeti és regionális partnerségi tervekre vonatkozóan meghatározott horizontális szabályokkal összhangban fog történni.</w:t>
      </w:r>
    </w:p>
    <w:p w14:paraId="2B2668EA" w14:textId="42F468FB" w:rsidR="00286E0D" w:rsidRPr="00E24A6F" w:rsidRDefault="00286E0D" w:rsidP="00401265">
      <w:pPr>
        <w:pBdr>
          <w:top w:val="nil"/>
          <w:left w:val="nil"/>
          <w:bottom w:val="nil"/>
          <w:right w:val="nil"/>
          <w:between w:val="nil"/>
          <w:bar w:val="nil"/>
        </w:pBdr>
        <w:spacing w:before="0" w:after="240"/>
        <w:rPr>
          <w:noProof/>
        </w:rPr>
      </w:pPr>
    </w:p>
    <w:p w14:paraId="7B939CF7" w14:textId="77777777" w:rsidR="00286E0D" w:rsidRPr="00392E80" w:rsidRDefault="00286E0D" w:rsidP="00286E0D">
      <w:pPr>
        <w:pStyle w:val="ManualHeading1"/>
        <w:rPr>
          <w:noProof/>
        </w:rPr>
      </w:pPr>
      <w:r w:rsidRPr="00392E80">
        <w:rPr>
          <w:noProof/>
        </w:rPr>
        <w:t>5.</w:t>
      </w:r>
      <w:r w:rsidRPr="00392E80">
        <w:rPr>
          <w:noProof/>
        </w:rPr>
        <w:tab/>
        <w:t>EGYÉB ELEMEK</w:t>
      </w:r>
    </w:p>
    <w:p w14:paraId="68F9A644"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Végrehajtási tervek, valamint a nyomon követés, az értékelés és a jelentéstétel szabályai</w:t>
      </w:r>
    </w:p>
    <w:p w14:paraId="4C6C6654" w14:textId="78D78654" w:rsidR="00286E0D" w:rsidRPr="00392E80" w:rsidRDefault="00286E0D" w:rsidP="00B86814">
      <w:pPr>
        <w:pBdr>
          <w:top w:val="nil"/>
          <w:left w:val="nil"/>
          <w:bottom w:val="nil"/>
          <w:right w:val="nil"/>
          <w:between w:val="nil"/>
          <w:bar w:val="nil"/>
        </w:pBdr>
        <w:rPr>
          <w:rFonts w:eastAsia="Arial Unicode MS"/>
          <w:noProof/>
        </w:rPr>
      </w:pPr>
      <w:r w:rsidRPr="00392E80">
        <w:rPr>
          <w:noProof/>
        </w:rPr>
        <w:t>Az e javaslat szerinti uniós támogatás végrehajtása a tagállamok általi megosztott irányítás, valamint a Bizottság általi közvetlen és közvetett irányítás útján történik. Az uniós támogatás végrehajtásának nyomon követése a költségvetési kiadások nyomonkövetési és teljesítménymérési keretének létrehozásáról, valamint az uniós programokra és tevékenységekre vonatkozó egyéb horizontális szabályok megállapításáról szóló (EU) [...] rendeletjavaslatban meghatározott, a 2028–2034-es időszakra vonatkozó többéves pénzügyi keretre alkalmazandó teljesítménymérési keret révén valósul meg.</w:t>
      </w:r>
    </w:p>
    <w:p w14:paraId="759E865E" w14:textId="77777777" w:rsidR="00286E0D" w:rsidRPr="00392E80" w:rsidRDefault="00286E0D" w:rsidP="00286E0D">
      <w:pPr>
        <w:pStyle w:val="ManualHeading2"/>
        <w:rPr>
          <w:rFonts w:eastAsia="Arial Unicode MS"/>
          <w:noProof/>
          <w:u w:color="000000"/>
          <w:bdr w:val="nil"/>
        </w:rPr>
      </w:pPr>
      <w:r w:rsidRPr="00392E80">
        <w:rPr>
          <w:noProof/>
          <w:u w:color="000000"/>
          <w:bdr w:val="nil"/>
        </w:rPr>
        <w:t>•</w:t>
      </w:r>
      <w:r w:rsidRPr="00392E80">
        <w:rPr>
          <w:noProof/>
          <w:u w:color="000000"/>
          <w:bdr w:val="nil"/>
        </w:rPr>
        <w:tab/>
        <w:t>A javaslat egyes rendelkezéseinek részletes magyarázata</w:t>
      </w:r>
    </w:p>
    <w:p w14:paraId="5D95CCE4" w14:textId="7EF79D11" w:rsidR="002779C4" w:rsidRPr="00392E80" w:rsidRDefault="00286E0D" w:rsidP="002779C4">
      <w:pPr>
        <w:pBdr>
          <w:top w:val="nil"/>
          <w:left w:val="nil"/>
          <w:bottom w:val="nil"/>
          <w:right w:val="nil"/>
          <w:between w:val="nil"/>
          <w:bar w:val="nil"/>
        </w:pBdr>
        <w:rPr>
          <w:rFonts w:eastAsia="Arial Unicode MS"/>
          <w:noProof/>
        </w:rPr>
      </w:pPr>
      <w:r w:rsidRPr="00392E80">
        <w:rPr>
          <w:noProof/>
        </w:rPr>
        <w:t xml:space="preserve">A javasolt rendelet 1. cikke meghatározza az uniós integrált határigazgatás és az uniós vízumpolitika 2028. január 1. és 2034. december 31. közötti időszakra szóló uniós támogatásának hatályát. Ehhez a 2. cikk meghatározza az alapvető fogalmakat, a 3. cikk pedig meghatározza a célkitűzéseket, összhangban az (EU) [...] rendelettel létrehozott, </w:t>
      </w:r>
      <w:r w:rsidRPr="00392E80">
        <w:rPr>
          <w:noProof/>
          <w:color w:val="000000" w:themeColor="text1"/>
        </w:rPr>
        <w:t>az Európai Gazdasági, Társadalmi és Területi Kohéziós, Mezőgazdasági és Vidékfejlesztési, Halászati és Tengeri, Jóléti és Biztonsági Alap</w:t>
      </w:r>
      <w:r w:rsidRPr="00392E80">
        <w:rPr>
          <w:noProof/>
        </w:rPr>
        <w:t xml:space="preserve"> horizontális szabályai alapján nyújtott uniós támogatással.</w:t>
      </w:r>
    </w:p>
    <w:p w14:paraId="56E233B3" w14:textId="5D43E5C2" w:rsidR="002779C4" w:rsidRPr="00392E80" w:rsidRDefault="002779C4" w:rsidP="00286E0D">
      <w:pPr>
        <w:pBdr>
          <w:top w:val="nil"/>
          <w:left w:val="nil"/>
          <w:bottom w:val="nil"/>
          <w:right w:val="nil"/>
          <w:between w:val="nil"/>
          <w:bar w:val="nil"/>
        </w:pBdr>
        <w:rPr>
          <w:rFonts w:eastAsia="Arial Unicode MS"/>
          <w:noProof/>
        </w:rPr>
      </w:pPr>
      <w:r w:rsidRPr="00392E80">
        <w:rPr>
          <w:noProof/>
        </w:rPr>
        <w:t>A javaslat 4. cikke megállapítja az uniós támogatás finanszírozására vonatkozó rendelkezéseket, az 5. cikke a schengeni társult országokra vonatkozó rendelkezéseket, valamint a 6. cikke a litvániai különleges átutazási rendszer működésének végrehajtására vonatkozó rendelkezéseket.</w:t>
      </w:r>
    </w:p>
    <w:p w14:paraId="3EE630F2" w14:textId="0FA4DF22" w:rsidR="00286E0D" w:rsidRPr="00392E80" w:rsidRDefault="00286E0D" w:rsidP="00286E0D">
      <w:pPr>
        <w:pBdr>
          <w:top w:val="nil"/>
          <w:left w:val="nil"/>
          <w:bottom w:val="nil"/>
          <w:right w:val="nil"/>
          <w:between w:val="nil"/>
          <w:bar w:val="nil"/>
        </w:pBdr>
        <w:rPr>
          <w:rFonts w:eastAsia="Arial Unicode MS"/>
          <w:noProof/>
        </w:rPr>
      </w:pPr>
      <w:r w:rsidRPr="00392E80">
        <w:rPr>
          <w:noProof/>
        </w:rPr>
        <w:t xml:space="preserve">A javasolt rendelet meghatározza továbbá a 7. cikkben az Európai Utasinformációs és Engedélyezési Rendszer (EU) 2018/1240 rendelet szerinti működési költségeire vonatkozó források költségvetési kezelésére vonatkozó szabályokat, a 8. cikkben pedig a 2024. május 14-i </w:t>
      </w:r>
      <w:bookmarkStart w:id="11" w:name="_Hlk201927609"/>
      <w:r w:rsidRPr="00392E80">
        <w:rPr>
          <w:noProof/>
        </w:rPr>
        <w:t>(EU) 2024/1351</w:t>
      </w:r>
      <w:bookmarkEnd w:id="11"/>
      <w:r w:rsidRPr="00392E80">
        <w:rPr>
          <w:noProof/>
        </w:rPr>
        <w:t xml:space="preserve"> európai parlamenti és tanácsi rendelettel</w:t>
      </w:r>
      <w:r w:rsidRPr="00392E80">
        <w:rPr>
          <w:rStyle w:val="FootnoteReference"/>
          <w:noProof/>
        </w:rPr>
        <w:footnoteReference w:id="3"/>
      </w:r>
      <w:r w:rsidRPr="00392E80">
        <w:rPr>
          <w:noProof/>
        </w:rPr>
        <w:t xml:space="preserve"> létrehozott éves szolidaritási vállalásalap céljából a tagállamok által nyújtott pénzügyi hozzájárulások költségvetési kezelésére vonatkozó szabályokat.</w:t>
      </w:r>
    </w:p>
    <w:p w14:paraId="1FF0825E" w14:textId="72B484A4" w:rsidR="00286E0D" w:rsidRPr="00392E80" w:rsidRDefault="00631DBC" w:rsidP="00286E0D">
      <w:pPr>
        <w:pBdr>
          <w:top w:val="nil"/>
          <w:left w:val="nil"/>
          <w:bottom w:val="nil"/>
          <w:right w:val="nil"/>
          <w:between w:val="nil"/>
          <w:bar w:val="nil"/>
        </w:pBdr>
        <w:rPr>
          <w:noProof/>
        </w:rPr>
      </w:pPr>
      <w:r w:rsidRPr="00392E80">
        <w:rPr>
          <w:noProof/>
        </w:rPr>
        <w:t>A 9. cikk átmeneti rendelkezéseket állapít meg. A javasolt rendelet hatálybalépésének a 10. cikkben meghatározott időpontja – annak kimondásával, hogy a rendelet a Szerződésekkel összhangban valamennyi tagállamban teljes egészében kötelező és közvetlenül alkalmazandó lesz – 2028. január 1.</w:t>
      </w:r>
    </w:p>
    <w:p w14:paraId="68C60A71" w14:textId="77777777" w:rsidR="00286E0D" w:rsidRPr="00392E80" w:rsidRDefault="00286E0D" w:rsidP="00286E0D">
      <w:pPr>
        <w:spacing w:before="0" w:after="200" w:line="276" w:lineRule="auto"/>
        <w:jc w:val="left"/>
        <w:rPr>
          <w:rFonts w:eastAsia="Arial Unicode MS"/>
          <w:noProof/>
          <w:color w:val="000000" w:themeColor="text1"/>
        </w:rPr>
      </w:pPr>
      <w:r w:rsidRPr="00392E80">
        <w:rPr>
          <w:noProof/>
        </w:rPr>
        <w:br w:type="page"/>
      </w:r>
    </w:p>
    <w:p w14:paraId="567EEDE0" w14:textId="69D66F56" w:rsidR="00835316" w:rsidRPr="00392E80" w:rsidRDefault="00827738" w:rsidP="00827738">
      <w:pPr>
        <w:pStyle w:val="Rfrenceinterinstitutionnelle"/>
        <w:rPr>
          <w:noProof/>
        </w:rPr>
      </w:pPr>
      <w:r>
        <w:rPr>
          <w:noProof/>
        </w:rPr>
        <w:t>2025/0541 (COD)</w:t>
      </w:r>
    </w:p>
    <w:p w14:paraId="108B7708" w14:textId="0581C559" w:rsidR="00286E0D" w:rsidRPr="00392E80" w:rsidRDefault="00827738" w:rsidP="00827738">
      <w:pPr>
        <w:pStyle w:val="Statut"/>
        <w:rPr>
          <w:noProof/>
        </w:rPr>
      </w:pPr>
      <w:r w:rsidRPr="00827738">
        <w:rPr>
          <w:noProof/>
        </w:rPr>
        <w:t>Javaslat</w:t>
      </w:r>
    </w:p>
    <w:p w14:paraId="5162298C" w14:textId="6E76BB6B" w:rsidR="00286E0D" w:rsidRPr="00392E80" w:rsidRDefault="00827738" w:rsidP="00827738">
      <w:pPr>
        <w:pStyle w:val="Typedudocument"/>
        <w:rPr>
          <w:noProof/>
        </w:rPr>
      </w:pPr>
      <w:r w:rsidRPr="00827738">
        <w:rPr>
          <w:noProof/>
        </w:rPr>
        <w:t>AZ EURÓPAI PARLAMENT ÉS A TANÁCS RENDELETE</w:t>
      </w:r>
    </w:p>
    <w:p w14:paraId="3DE0D02D" w14:textId="2B2B8ECF" w:rsidR="00286E0D" w:rsidRPr="00392E80" w:rsidRDefault="00827738" w:rsidP="00827738">
      <w:pPr>
        <w:pStyle w:val="Titreobjet"/>
        <w:rPr>
          <w:noProof/>
        </w:rPr>
      </w:pPr>
      <w:r w:rsidRPr="00827738">
        <w:rPr>
          <w:noProof/>
        </w:rPr>
        <w:t>a schengeni térség, az európai integrált határigazgatás és a közös vízumpolitika uniós támogatásának a 2028–2034-es időszakra történő létrehozásáról</w:t>
      </w:r>
    </w:p>
    <w:p w14:paraId="749F32E6" w14:textId="77777777" w:rsidR="00286E0D" w:rsidRPr="00392E80" w:rsidRDefault="00286E0D" w:rsidP="00286E0D">
      <w:pPr>
        <w:pStyle w:val="Institutionquiagit"/>
        <w:rPr>
          <w:noProof/>
        </w:rPr>
      </w:pPr>
      <w:r w:rsidRPr="00392E80">
        <w:rPr>
          <w:noProof/>
        </w:rPr>
        <w:t>AZ EURÓPAI PARLAMENT ÉS AZ EURÓPAI UNIÓ TANÁCSA,</w:t>
      </w:r>
    </w:p>
    <w:p w14:paraId="1A70989E" w14:textId="77777777" w:rsidR="00286E0D" w:rsidRPr="00392E80" w:rsidRDefault="00286E0D" w:rsidP="00286E0D">
      <w:pPr>
        <w:rPr>
          <w:noProof/>
        </w:rPr>
      </w:pPr>
      <w:r w:rsidRPr="00392E80">
        <w:rPr>
          <w:noProof/>
        </w:rPr>
        <w:t>tekintettel az Európai Unió működéséről szóló szerződésre és különösen annak 77. cikke (2) bekezdésére és 79. cikke (2) bekezdésének c) és d) pontjára,</w:t>
      </w:r>
    </w:p>
    <w:p w14:paraId="6C9BB100" w14:textId="77777777" w:rsidR="00286E0D" w:rsidRPr="00392E80" w:rsidRDefault="00286E0D" w:rsidP="00286E0D">
      <w:pPr>
        <w:rPr>
          <w:noProof/>
        </w:rPr>
      </w:pPr>
      <w:r w:rsidRPr="00392E80">
        <w:rPr>
          <w:noProof/>
        </w:rPr>
        <w:t>tekintettel az Európai Bizottság javaslatára,</w:t>
      </w:r>
    </w:p>
    <w:p w14:paraId="2BE23168" w14:textId="77777777" w:rsidR="00286E0D" w:rsidRPr="00392E80" w:rsidRDefault="00286E0D" w:rsidP="00286E0D">
      <w:pPr>
        <w:rPr>
          <w:noProof/>
        </w:rPr>
      </w:pPr>
      <w:r w:rsidRPr="00392E80">
        <w:rPr>
          <w:noProof/>
        </w:rPr>
        <w:t>a jogalkotási aktus tervezete nemzeti parlamenteknek való megküldését követően,</w:t>
      </w:r>
    </w:p>
    <w:p w14:paraId="1F8E258B" w14:textId="77777777" w:rsidR="00286E0D" w:rsidRPr="00392E80" w:rsidRDefault="00286E0D" w:rsidP="00286E0D">
      <w:pPr>
        <w:rPr>
          <w:i/>
          <w:noProof/>
        </w:rPr>
      </w:pPr>
      <w:r w:rsidRPr="00392E80">
        <w:rPr>
          <w:noProof/>
        </w:rPr>
        <w:t>tekintettel az Európai Gazdasági és Szociális Bizottság véleményére</w:t>
      </w:r>
      <w:r w:rsidRPr="00392E80">
        <w:rPr>
          <w:rStyle w:val="FootnoteReference"/>
          <w:noProof/>
        </w:rPr>
        <w:footnoteReference w:id="4"/>
      </w:r>
      <w:r w:rsidRPr="00392E80">
        <w:rPr>
          <w:noProof/>
        </w:rPr>
        <w:t>,</w:t>
      </w:r>
    </w:p>
    <w:p w14:paraId="2B431944" w14:textId="77777777" w:rsidR="00286E0D" w:rsidRPr="00392E80" w:rsidRDefault="00286E0D" w:rsidP="00286E0D">
      <w:pPr>
        <w:rPr>
          <w:noProof/>
        </w:rPr>
      </w:pPr>
      <w:r w:rsidRPr="00392E80">
        <w:rPr>
          <w:noProof/>
        </w:rPr>
        <w:t>a Régiók Bizottságával folytatott konzultációt követően,</w:t>
      </w:r>
    </w:p>
    <w:p w14:paraId="482D2264" w14:textId="77777777" w:rsidR="00286E0D" w:rsidRPr="00392E80" w:rsidRDefault="00286E0D" w:rsidP="00286E0D">
      <w:pPr>
        <w:rPr>
          <w:noProof/>
        </w:rPr>
      </w:pPr>
      <w:r w:rsidRPr="00392E80">
        <w:rPr>
          <w:noProof/>
        </w:rPr>
        <w:t>rendes jogalkotási eljárás keretében</w:t>
      </w:r>
      <w:r w:rsidRPr="00392E80">
        <w:rPr>
          <w:rStyle w:val="FootnoteReference"/>
          <w:noProof/>
        </w:rPr>
        <w:footnoteReference w:id="5"/>
      </w:r>
      <w:r w:rsidRPr="00392E80">
        <w:rPr>
          <w:noProof/>
        </w:rPr>
        <w:t>,</w:t>
      </w:r>
    </w:p>
    <w:p w14:paraId="068D2442" w14:textId="77777777" w:rsidR="00286E0D" w:rsidRPr="00392E80" w:rsidRDefault="00286E0D" w:rsidP="00286E0D">
      <w:pPr>
        <w:rPr>
          <w:noProof/>
        </w:rPr>
      </w:pPr>
      <w:r w:rsidRPr="00392E80">
        <w:rPr>
          <w:noProof/>
        </w:rPr>
        <w:t>mivel:</w:t>
      </w:r>
    </w:p>
    <w:p w14:paraId="6FB4A7DA" w14:textId="26CAFE74" w:rsidR="00286E0D" w:rsidRPr="00392E80" w:rsidRDefault="003347AC" w:rsidP="003347AC">
      <w:pPr>
        <w:pStyle w:val="ManualConsidrant"/>
        <w:rPr>
          <w:noProof/>
        </w:rPr>
      </w:pPr>
      <w:r w:rsidRPr="00392E80">
        <w:rPr>
          <w:noProof/>
        </w:rPr>
        <w:t>(1)</w:t>
      </w:r>
      <w:r w:rsidRPr="00392E80">
        <w:rPr>
          <w:noProof/>
        </w:rPr>
        <w:tab/>
        <w:t>Az Uniónak az Európai Unió működéséről szóló szerződés (a továbbiakban: EUMSZ) 67. cikkének (1) bekezdése szerinti azon célkitűzését, hogy egy, a szabadságon, a biztonságon és a jog érvényesülésén alapuló térséget alkosson, a külső határok ellenőrzésére vonatkozó közös uniós politika fejlesztésének – többek között az EUMSZ 77. cikke (2) bekezdésének a) pontja szerinti közös vízumpolitikának – az uniós támogatása révén kell megvalósítani.</w:t>
      </w:r>
    </w:p>
    <w:p w14:paraId="00985906" w14:textId="205638BA" w:rsidR="00286E0D" w:rsidRPr="00392E80" w:rsidRDefault="003347AC" w:rsidP="003347AC">
      <w:pPr>
        <w:pStyle w:val="ManualConsidrant"/>
        <w:rPr>
          <w:noProof/>
          <w:szCs w:val="24"/>
        </w:rPr>
      </w:pPr>
      <w:bookmarkStart w:id="12" w:name="_Hlk201766894"/>
      <w:r w:rsidRPr="00392E80">
        <w:rPr>
          <w:noProof/>
        </w:rPr>
        <w:t>(2)</w:t>
      </w:r>
      <w:r w:rsidRPr="00392E80">
        <w:rPr>
          <w:noProof/>
        </w:rPr>
        <w:tab/>
        <w:t>A belső határok nélküli schengeni térség hatékony és eredményes működésének biztosítása érdekében a schengeni térség integritásának és rezilienciájának biztosításához rendkívül fontos a szilárd kormányzási keret, az (EU) 2019/1896 európai parlamenti és tanácsi rendelettel</w:t>
      </w:r>
      <w:r w:rsidR="00286E0D" w:rsidRPr="00392E80">
        <w:rPr>
          <w:rStyle w:val="FootnoteReference"/>
          <w:noProof/>
        </w:rPr>
        <w:footnoteReference w:id="6"/>
      </w:r>
      <w:r w:rsidRPr="00392E80">
        <w:rPr>
          <w:noProof/>
        </w:rPr>
        <w:t xml:space="preserve"> létrehozott Európai Határ- és Parti Őrség által végrehajtott hatékony európai integrált határigazgatás, valamint az uniós vízumpolitika.</w:t>
      </w:r>
    </w:p>
    <w:bookmarkEnd w:id="12"/>
    <w:p w14:paraId="6F9BF459" w14:textId="1D0D3FD3" w:rsidR="00286E0D" w:rsidRPr="00392E80" w:rsidRDefault="003347AC" w:rsidP="003347AC">
      <w:pPr>
        <w:pStyle w:val="ManualConsidrant"/>
        <w:rPr>
          <w:rFonts w:eastAsia="Arial Unicode MS"/>
          <w:noProof/>
          <w:szCs w:val="24"/>
        </w:rPr>
      </w:pPr>
      <w:r w:rsidRPr="00392E80">
        <w:rPr>
          <w:noProof/>
        </w:rPr>
        <w:t>(3)</w:t>
      </w:r>
      <w:r w:rsidRPr="00392E80">
        <w:rPr>
          <w:noProof/>
        </w:rPr>
        <w:tab/>
        <w:t xml:space="preserve">Ezért uniós támogatást kell nyújtani az uniós külső határok védelmére, az illegális határátlépések és a tagállamok közötti jogellenes mozgások megfékezésére, valamint a vízumfeldolgozás korszerűsítésére és általános hatékonyságának javítására, továbbá az uniós vízumrendszerrel való visszaélések megelőzésére irányuló tagállami erőfeszítésekhez. Ezt az uniós támogatást az (EU) [...] rendelettel létrehozott, </w:t>
      </w:r>
      <w:r w:rsidRPr="00392E80">
        <w:rPr>
          <w:noProof/>
          <w:color w:val="000000" w:themeColor="text1"/>
        </w:rPr>
        <w:t>az Európai Gazdasági, Társadalmi és Területi Kohéziós, Mezőgazdasági és Vidékfejlesztési, Halászati és Tengeri, Jóléti és Biztonsági Alap</w:t>
      </w:r>
      <w:r w:rsidRPr="00392E80">
        <w:rPr>
          <w:noProof/>
        </w:rPr>
        <w:t xml:space="preserve"> horizontális szabályaival összhangban kell nyújtani.</w:t>
      </w:r>
    </w:p>
    <w:p w14:paraId="4CF9EAE0" w14:textId="10D21959" w:rsidR="00BE09E6" w:rsidRPr="00392E80" w:rsidRDefault="003347AC" w:rsidP="003347AC">
      <w:pPr>
        <w:pStyle w:val="ManualConsidrant"/>
        <w:rPr>
          <w:noProof/>
          <w:sz w:val="22"/>
        </w:rPr>
      </w:pPr>
      <w:r w:rsidRPr="00392E80">
        <w:rPr>
          <w:noProof/>
        </w:rPr>
        <w:t>(4)</w:t>
      </w:r>
      <w:r w:rsidRPr="00392E80">
        <w:rPr>
          <w:noProof/>
        </w:rPr>
        <w:tab/>
        <w:t>Uniós támogatást kell nyújtani emellett a schengeni keret európai és nemzeti szintű hatékony végrehajtásához, alkalmazásához és fejlesztéséhez is, többek között a schengeni térség megfelelő működése szempontjából létfontosságú hatékony koordinációs struktúrákat és stratégiai folyamatokat felölelő nemzeti schengeni kormányzás megerősítése révén.</w:t>
      </w:r>
    </w:p>
    <w:p w14:paraId="2AB47203" w14:textId="672324F3" w:rsidR="00286E0D" w:rsidRPr="00392E80" w:rsidRDefault="003347AC" w:rsidP="003347AC">
      <w:pPr>
        <w:pStyle w:val="ManualConsidrant"/>
        <w:rPr>
          <w:noProof/>
          <w:szCs w:val="24"/>
        </w:rPr>
      </w:pPr>
      <w:r w:rsidRPr="00392E80">
        <w:rPr>
          <w:noProof/>
        </w:rPr>
        <w:t>(5)</w:t>
      </w:r>
      <w:r w:rsidRPr="00392E80">
        <w:rPr>
          <w:noProof/>
        </w:rPr>
        <w:tab/>
        <w:t xml:space="preserve">Ez a rendelet megállapítja a belső határellenőrzés nélküli, jól működő schengeni térség – többek között az európai integrált határigazgatás – uniós támogatásának, ezen belül is a schengeni térség működéséhez és az európai vízumpolitikához nyújtott támogatásnak (a továbbiakban: </w:t>
      </w:r>
      <w:bookmarkStart w:id="13" w:name="_Hlk201766871"/>
      <w:r w:rsidRPr="00392E80">
        <w:rPr>
          <w:noProof/>
        </w:rPr>
        <w:t>az uniós támogatás) a célkitűzéseit. A tagállamoknak biztosítaniuk kell, hogy nemzeti és regionális partnerségi terveik az e rendeletben meghatározott minden egyes célkitűzéssel foglalkozzanak.</w:t>
      </w:r>
      <w:bookmarkEnd w:id="13"/>
    </w:p>
    <w:p w14:paraId="6786A060" w14:textId="0E5C918F" w:rsidR="007947CD" w:rsidRPr="00392E80" w:rsidRDefault="003347AC" w:rsidP="003347AC">
      <w:pPr>
        <w:pStyle w:val="ManualConsidrant"/>
        <w:rPr>
          <w:noProof/>
          <w:szCs w:val="24"/>
        </w:rPr>
      </w:pPr>
      <w:r w:rsidRPr="00392E80">
        <w:rPr>
          <w:noProof/>
        </w:rPr>
        <w:t>(6)</w:t>
      </w:r>
      <w:r w:rsidRPr="00392E80">
        <w:rPr>
          <w:noProof/>
        </w:rPr>
        <w:tab/>
        <w:t>Litvánia uniós csatlakozási okmányával összhangban a rendelet azzal is foglalkozik, hogy Litvániának támogatásban kell részesülnie a Kalinyingrádi terület és az Oroszországi Föderáció egyéb részei közötti átutazás igazgatásához.</w:t>
      </w:r>
    </w:p>
    <w:p w14:paraId="32C36110" w14:textId="1703F862" w:rsidR="00286E0D" w:rsidRPr="00392E80" w:rsidRDefault="003347AC" w:rsidP="003347AC">
      <w:pPr>
        <w:pStyle w:val="ManualConsidrant"/>
        <w:rPr>
          <w:noProof/>
        </w:rPr>
      </w:pPr>
      <w:r w:rsidRPr="00392E80">
        <w:rPr>
          <w:noProof/>
        </w:rPr>
        <w:t>(7)</w:t>
      </w:r>
      <w:r w:rsidRPr="00392E80">
        <w:rPr>
          <w:noProof/>
        </w:rPr>
        <w:tab/>
        <w:t xml:space="preserve">A tagállamonként allokálandó összegeket a Bizottságnak kell meghatároznia egyetlen végrehajtási határozattal </w:t>
      </w:r>
      <w:r w:rsidRPr="00392E80">
        <w:rPr>
          <w:noProof/>
          <w:color w:val="000000" w:themeColor="text1"/>
        </w:rPr>
        <w:t>az Európai Gazdasági, Társadalmi és Területi Kohéziós, Mezőgazdasági és Vidékfejlesztési, Halászati és Tengeri, Jóléti és Biztonsági Alap létrehozásáról szóló (EU) [...] rendeletben</w:t>
      </w:r>
      <w:r w:rsidRPr="00392E80">
        <w:rPr>
          <w:noProof/>
        </w:rPr>
        <w:t xml:space="preserve"> meghatározott allokációs módszertannal összhangban. Az említett határozatnak főszabályként ki kell terjednie </w:t>
      </w:r>
      <w:r w:rsidRPr="00392E80">
        <w:rPr>
          <w:noProof/>
          <w:color w:val="000000" w:themeColor="text1"/>
        </w:rPr>
        <w:t>az Európai Gazdasági, Társadalmi és Területi Kohéziós, Mezőgazdasági és Vidékfejlesztési, Halászati és Tengeri, Jóléti és Biztonsági Alap létrehozásáról szóló (EU) [...] rendelet</w:t>
      </w:r>
      <w:r w:rsidRPr="00392E80">
        <w:rPr>
          <w:noProof/>
        </w:rPr>
        <w:t>, a menekültügy, a migráció és az integráció uniós támogatásának létrehozásáról szóló (EU) [...] rendelet, valamint a belső biztonság uniós támogatásának létrehozásáról szóló (EU) [...] rendelet szerinti összegekre is.</w:t>
      </w:r>
    </w:p>
    <w:p w14:paraId="0C6F62A8" w14:textId="4A4D7244" w:rsidR="00286E0D" w:rsidRPr="00392E80" w:rsidRDefault="003347AC" w:rsidP="003347AC">
      <w:pPr>
        <w:pStyle w:val="ManualConsidrant"/>
        <w:rPr>
          <w:noProof/>
        </w:rPr>
      </w:pPr>
      <w:r w:rsidRPr="00392E80">
        <w:rPr>
          <w:noProof/>
        </w:rPr>
        <w:t>(8)</w:t>
      </w:r>
      <w:r w:rsidRPr="00392E80">
        <w:rPr>
          <w:noProof/>
        </w:rPr>
        <w:tab/>
        <w:t>Az uniós támogatásnak az előző programozási időszakok következő eredményeire és beruházásaira kell épülnie: i. az 574/2007/EK európai parlamenti és tanácsi határozattal</w:t>
      </w:r>
      <w:r w:rsidR="00286E0D" w:rsidRPr="00392E80">
        <w:rPr>
          <w:rStyle w:val="FootnoteReference"/>
          <w:noProof/>
        </w:rPr>
        <w:footnoteReference w:id="7"/>
      </w:r>
      <w:r w:rsidRPr="00392E80">
        <w:rPr>
          <w:noProof/>
        </w:rPr>
        <w:t xml:space="preserve"> létrehozott, a 2007–2013-as időszakra szóló Külső Határok Alap; ii.</w:t>
      </w:r>
      <w:r w:rsidRPr="00392E80">
        <w:rPr>
          <w:rStyle w:val="FootnoteReference"/>
          <w:noProof/>
        </w:rPr>
        <w:t xml:space="preserve"> </w:t>
      </w:r>
      <w:r w:rsidRPr="00392E80">
        <w:rPr>
          <w:noProof/>
        </w:rPr>
        <w:t>az 515/2014/EU európai parlamenti és tanácsi rendelettel</w:t>
      </w:r>
      <w:r w:rsidR="00286E0D" w:rsidRPr="00392E80">
        <w:rPr>
          <w:rStyle w:val="FootnoteReference"/>
          <w:noProof/>
        </w:rPr>
        <w:footnoteReference w:id="8"/>
      </w:r>
      <w:r w:rsidRPr="00392E80">
        <w:rPr>
          <w:noProof/>
        </w:rPr>
        <w:t xml:space="preserve"> létrehozott, a 2014–2020-as időszakra szóló Belső Biztonsági Alap részét képező, a külső határokra és a vízumügyre vonatkozó eszköz; valamint iii. az (EU) 2021/1148 európai parlamenti és tanácsi rendelettel</w:t>
      </w:r>
      <w:r w:rsidR="00286E0D" w:rsidRPr="00392E80">
        <w:rPr>
          <w:rStyle w:val="FootnoteReference"/>
          <w:noProof/>
          <w:szCs w:val="24"/>
        </w:rPr>
        <w:footnoteReference w:id="9"/>
      </w:r>
      <w:r w:rsidRPr="00392E80">
        <w:rPr>
          <w:noProof/>
        </w:rPr>
        <w:t xml:space="preserve"> létrehozott, a 2021–2027-es időszakra szóló Integrált Határigazgatási Alap részét képező, a határigazgatás és a vízumpolitika pénzügyi támogatására szolgáló eszköz.</w:t>
      </w:r>
    </w:p>
    <w:p w14:paraId="28287138" w14:textId="3E4ABAF4" w:rsidR="00B9223C" w:rsidRPr="00392E80" w:rsidRDefault="003347AC" w:rsidP="003347AC">
      <w:pPr>
        <w:pStyle w:val="ManualConsidrant"/>
        <w:rPr>
          <w:rFonts w:eastAsia="Arial Unicode MS"/>
          <w:noProof/>
          <w:szCs w:val="24"/>
        </w:rPr>
      </w:pPr>
      <w:r w:rsidRPr="00392E80">
        <w:rPr>
          <w:noProof/>
        </w:rPr>
        <w:t>(9)</w:t>
      </w:r>
      <w:r w:rsidRPr="00392E80">
        <w:rPr>
          <w:noProof/>
        </w:rPr>
        <w:tab/>
        <w:t>Tekintettel a változó globális környezetre és a növekvő instabilitásra, az Uniónak és tagállamainak egyesíteniük kell erőforrásaikat az Unió külső határainak hatékony védelme – többek között az irreguláris migráció, a migránscsempészés és az emberkereskedelem kezelése – érdekében, továbbá fokozniuk kell az irreguláris migrációt mesterségesen létrehozó és elősegítő, a migrációs áramlásokat eszközként, politikai célokra felhasználó, valamint a hibrid hadviselési taktikákat – például a migrációt fegyverként</w:t>
      </w:r>
      <w:r w:rsidR="00BA3EDB" w:rsidRPr="00392E80">
        <w:rPr>
          <w:rStyle w:val="FootnoteReference"/>
          <w:noProof/>
        </w:rPr>
        <w:footnoteReference w:id="10"/>
      </w:r>
      <w:r w:rsidRPr="00392E80">
        <w:rPr>
          <w:noProof/>
        </w:rPr>
        <w:t xml:space="preserve"> – az Európai Unió és tagállamai destabilizálása érdekében alkalmazó állami szereplőkkel szembeni reagálást. A schengeni térség egészének szolidaritása érdekében és az Unió külső határainak védelméért viselt közös felelősség szellemében a tagállamok nemzeti és regionális partnerségi tervének megfelelően kezelnie kell az azonosított kihívásokat, mindenekelőtt az európai integrált határigazgatási stratégia, az európai vízumpolitikai stratégia és – a külső határok és a biztonság igazgatása céljából telepített nagy méretű információtechnológiai rendszerekre, valamint e rendszerek interoperabilitására támaszkodó – új schengeni informatikai architektúra keretében. Emellett a határellenőrzési küldetés támogatása érdekében fontolóra kell venni technológiák és digitális megoldások bevezetését.</w:t>
      </w:r>
    </w:p>
    <w:p w14:paraId="748664DD" w14:textId="5916F529" w:rsidR="00FA5BBE" w:rsidRPr="00392E80" w:rsidRDefault="003347AC" w:rsidP="003347AC">
      <w:pPr>
        <w:pStyle w:val="ManualConsidrant"/>
        <w:rPr>
          <w:noProof/>
        </w:rPr>
      </w:pPr>
      <w:r w:rsidRPr="00392E80">
        <w:rPr>
          <w:noProof/>
        </w:rPr>
        <w:t>(10)</w:t>
      </w:r>
      <w:r w:rsidRPr="00392E80">
        <w:rPr>
          <w:noProof/>
        </w:rPr>
        <w:tab/>
        <w:t>Az uniós támogatásnak hozzá kell járulnia az Unió belső és külső szakpolitikái közötti összhang, koherencia, szinergiák és egymást kiegészítő jelleg biztosításához. Nagyobb koherenciára van szükség a migrációs, a menekültügyi, a visszaküldési és a külső politikák között, és fontos biztosítani, hogy az e rendelet szerinti uniós külső támogatás és uniós támogatás hozzájáruljon a migráció összehangolt, holisztikus és strukturált megközelítéséhez, maximalizálva a szinergiákat és növelve a multiplikátorhatást. Az e rendelet szerinti uniós támogatás kellően indokolt esetekben kiterjedhet az uniós küldöttségek vonatkozó erőforrásainak támogatására is, és azt koordinálni lehet a tagállamok és a Bizottság között a programozási és a végrehajtási szakaszban.</w:t>
      </w:r>
    </w:p>
    <w:p w14:paraId="46F16C80" w14:textId="2DCE2966" w:rsidR="00DC6F83" w:rsidRPr="00392E80" w:rsidRDefault="003347AC" w:rsidP="003347AC">
      <w:pPr>
        <w:pStyle w:val="ManualConsidrant"/>
        <w:rPr>
          <w:noProof/>
        </w:rPr>
      </w:pPr>
      <w:r w:rsidRPr="00392E80">
        <w:rPr>
          <w:noProof/>
        </w:rPr>
        <w:t>(11)</w:t>
      </w:r>
      <w:r w:rsidRPr="00392E80">
        <w:rPr>
          <w:noProof/>
        </w:rPr>
        <w:tab/>
        <w:t>Európának meg kell védenie biztonsági érdekeit azon beszállítókkal szemben, amelyek a harmadik országok esetleges jogosulatlan beavatkozása és kiberbiztonsági gyakorlatai miatt tartós biztonsági kockázatot jelenthetnek. Ezért a belső piacon csökkenteni kell a magas kockázatú beszállítóktól való tartós függőség kockázatát, mivel azok Unió-szerte súlyosan veszélyeztethetik a felhasználók, a vállalatok és a hatóságok biztonságát, valamint az EU kritikus infrastruktúráját az adatok és szolgáltatások integritása, továbbá a szolgáltatások rendelkezésre állása tekintetében. Ennek a kizárásnak arányos kockázatértékelésen, valamint az uniós szakpolitikákban és jogszabályokban meghatározott kapcsolódó kockázatcsökkentő intézkedéseken kell alapulnia.</w:t>
      </w:r>
    </w:p>
    <w:p w14:paraId="36DC56FF" w14:textId="4044E33B" w:rsidR="00286E0D" w:rsidRPr="00392E80" w:rsidRDefault="003347AC" w:rsidP="003347AC">
      <w:pPr>
        <w:pStyle w:val="ManualConsidrant"/>
        <w:rPr>
          <w:rFonts w:eastAsia="Arial Unicode MS"/>
          <w:noProof/>
          <w:szCs w:val="24"/>
        </w:rPr>
      </w:pPr>
      <w:r w:rsidRPr="00392E80">
        <w:rPr>
          <w:noProof/>
        </w:rPr>
        <w:t>(12)</w:t>
      </w:r>
      <w:r w:rsidRPr="00392E80">
        <w:rPr>
          <w:noProof/>
        </w:rPr>
        <w:tab/>
        <w:t xml:space="preserve">Mivel a határigazgatás és a vízumpolitika területén folyamatosan változnak a kihívások, szükséges az uniós támogatás allokációját hozzáigazítani a külső határok igazgatására és a vízumpolitikára vonatkozó prioritások változásaihoz – ideértve a határon jelentkező megnövekedett nyomás eredményeként bekövetkező változásokat is –, továbbá a finanszírozást a legmagasabb uniós hozzáadott értéket képviselő prioritások felé kell irányítani. A sürgető igényekre, valamint a szakpolitikában és az uniós prioritásokban bekövetkező változásokra való reagálás, továbbá a finanszírozás magas szintű uniós hozzáadott értékkel rendelkező intézkedések felé történő terelése céljából az uniós támogatás egy részét közvetlen, megosztott és közvetett irányítás keretében kell végrehajtani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alapján létrehozott Uniós Támogatási Eszközön keresztül. Az Uniós Támogatási Eszköz rugalmasságot biztosít az uniós támogatás irányítása terén, és megosztott irányítás esetén azt a tagállamok nemzeti és regionális partnerségi terveinek keretében kell végrehajtani.</w:t>
      </w:r>
    </w:p>
    <w:p w14:paraId="3E024F13" w14:textId="33F10476" w:rsidR="00286E0D" w:rsidRPr="00392E80" w:rsidRDefault="003347AC" w:rsidP="003347AC">
      <w:pPr>
        <w:pStyle w:val="ManualConsidrant"/>
        <w:rPr>
          <w:rFonts w:eastAsia="Arial Unicode MS"/>
          <w:noProof/>
          <w:szCs w:val="24"/>
        </w:rPr>
      </w:pPr>
      <w:r w:rsidRPr="00392E80">
        <w:rPr>
          <w:noProof/>
        </w:rPr>
        <w:t>(13)</w:t>
      </w:r>
      <w:r w:rsidRPr="00392E80">
        <w:rPr>
          <w:noProof/>
        </w:rPr>
        <w:tab/>
        <w:t>A Bizottságnak és a tagállamoknak gondoskodniuk kell arról, hogy az intézkedések végrehajtása vagy a migrációkezeléssel, a határellenőrzéssel és -igazgatással és a belső biztonsággal kapcsolatos kihívások kezelése során figyelembe vegyék az érintett uniós szervek, hivatalok és ügynökségek tudását és tapasztalatait. Adott esetben a Bizottság számára továbbá lehetővé kell tenni, hogy bevonja az érintett uniós szerveket, hivatalokat és ügynökségeket az arra irányuló tevékenységekbe, hogy az uniós támogatással elősegített intézkedések megfeleljenek a vonatkozó uniós vívmányoknak és az elfogadott uniós prioritásoknak.</w:t>
      </w:r>
    </w:p>
    <w:p w14:paraId="79A06EF4" w14:textId="53F2ED0B" w:rsidR="00286E0D" w:rsidRPr="00392E80" w:rsidRDefault="003347AC" w:rsidP="003347AC">
      <w:pPr>
        <w:pStyle w:val="ManualConsidrant"/>
        <w:rPr>
          <w:noProof/>
        </w:rPr>
      </w:pPr>
      <w:r w:rsidRPr="00392E80">
        <w:rPr>
          <w:noProof/>
        </w:rPr>
        <w:t>(14)</w:t>
      </w:r>
      <w:r w:rsidRPr="00392E80">
        <w:rPr>
          <w:noProof/>
        </w:rPr>
        <w:tab/>
        <w:t>Az uniós támogatásnak az európai integrált határigazgatás végrehajtásának részeként támogatnia kell a schengeni vívmányokat alkalmazó országok területén a külső határok ellenőrzéséhez kapcsolódó intézkedéseket, ami megerősíti a schengeni térség általános működését. A schengeni vívmányok végrehajtásához, alkalmazásához és továbbfejlesztéséhez társult országoknak az uniós támogatásban való részvétele jellegének és módjainak meghatározása érdekében az Unió és ezen országok közötti társulási megállapodások releváns rendelkezései alapján további megállapodásokat kell kötni az Unió és az említett országok között.</w:t>
      </w:r>
    </w:p>
    <w:p w14:paraId="1ACD8BCA" w14:textId="7A46241F" w:rsidR="00286E0D" w:rsidRPr="00392E80" w:rsidRDefault="003347AC" w:rsidP="003347AC">
      <w:pPr>
        <w:pStyle w:val="ManualConsidrant"/>
        <w:rPr>
          <w:noProof/>
        </w:rPr>
      </w:pPr>
      <w:r w:rsidRPr="00392E80">
        <w:rPr>
          <w:noProof/>
        </w:rPr>
        <w:t>(15)</w:t>
      </w:r>
      <w:r w:rsidRPr="00392E80">
        <w:rPr>
          <w:noProof/>
        </w:rPr>
        <w:tab/>
        <w:t>Az uniós támogatásnak továbbra is hozzá kell járulnia a schengeni térség végrehajtásához, fejlesztéséhez és kormányzásához a belső határellenőrzés nélküli térség előmozdítása érdekében. Az európai integrált határigazgatás végrehajtásának részeként továbbra is támogatnia kell a schengeni vívmányokat alkalmazó országok területén a külső határok ellenőrzéséhez kapcsolódó intézkedéseket, ami megerősíti a schengeni térség általános működését.</w:t>
      </w:r>
    </w:p>
    <w:p w14:paraId="5A7895AE" w14:textId="175385F1" w:rsidR="00286E0D" w:rsidRPr="00392E80" w:rsidRDefault="003347AC" w:rsidP="003347AC">
      <w:pPr>
        <w:pStyle w:val="ManualConsidrant"/>
        <w:rPr>
          <w:noProof/>
        </w:rPr>
      </w:pPr>
      <w:r w:rsidRPr="00392E80">
        <w:rPr>
          <w:noProof/>
        </w:rPr>
        <w:t>(16)</w:t>
      </w:r>
      <w:r w:rsidRPr="00392E80">
        <w:rPr>
          <w:noProof/>
        </w:rPr>
        <w:tab/>
        <w:t>Az uniós támogatásnak hozzá kell járulnia a vízumfeldolgozás korszerűsítéséhez és hatékonyságának javításához a biztonsági és irreguláris migrációs kockázatok felderítése és értékelése tekintetében, biztosítva a Vízumkódex hatékony végrehajtását. Így különösen az uniós támogatásnak hozzá kell járulnia a vízumkérelmek feldolgozásának digitalizációjához azzal a célkitűzéssel, hogy gyors, biztonságos és ügyfélbarát vízumeljárásokat biztosítson mind a vízumkérelmezők, mind a konzulátusok javára. Az uniós támogatásnak a vízumkérelmezők számára nyújtott szolgáltatások javítását is szolgálnia kell, többek között a konzuli szolgáltatások világszintű lefedettségének kiterjesztése révén.</w:t>
      </w:r>
    </w:p>
    <w:p w14:paraId="5F13111F" w14:textId="7964490E" w:rsidR="00286E0D" w:rsidRPr="00392E80" w:rsidRDefault="003347AC" w:rsidP="003347AC">
      <w:pPr>
        <w:pStyle w:val="ManualConsidrant"/>
        <w:rPr>
          <w:noProof/>
        </w:rPr>
      </w:pPr>
      <w:bookmarkStart w:id="14" w:name="_Hlk201962914"/>
      <w:r w:rsidRPr="00392E80">
        <w:rPr>
          <w:noProof/>
        </w:rPr>
        <w:t>(17)</w:t>
      </w:r>
      <w:r w:rsidRPr="00392E80">
        <w:rPr>
          <w:noProof/>
        </w:rPr>
        <w:tab/>
        <w:t>Az irányítási megközelítés folytonosságának biztosítása érdekében a tagállamok az uniós támogatás végrehajtása során építhetnek a partnerség elvére.</w:t>
      </w:r>
      <w:bookmarkEnd w:id="14"/>
    </w:p>
    <w:p w14:paraId="7984B517" w14:textId="297CA700" w:rsidR="00286E0D" w:rsidRPr="00392E80" w:rsidRDefault="003347AC" w:rsidP="003347AC">
      <w:pPr>
        <w:pStyle w:val="ManualConsidrant"/>
        <w:rPr>
          <w:noProof/>
        </w:rPr>
      </w:pPr>
      <w:r w:rsidRPr="00392E80">
        <w:rPr>
          <w:noProof/>
        </w:rPr>
        <w:t>(18)</w:t>
      </w:r>
      <w:r w:rsidRPr="00392E80">
        <w:rPr>
          <w:noProof/>
        </w:rPr>
        <w:tab/>
        <w:t>Az (EU) 2018/1240 európai parlamenti és tanácsi rendelet</w:t>
      </w:r>
      <w:r w:rsidR="00286E0D" w:rsidRPr="00392E80">
        <w:rPr>
          <w:rStyle w:val="FootnoteReference"/>
          <w:noProof/>
          <w:szCs w:val="24"/>
        </w:rPr>
        <w:footnoteReference w:id="11"/>
      </w:r>
      <w:r w:rsidRPr="00392E80">
        <w:rPr>
          <w:noProof/>
        </w:rPr>
        <w:t xml:space="preserve"> 86. cikke értelmében az Európai Utasinformációs és Engedélyezési Rendszer (a továbbiakban: ETIAS) működési költségeit az utazási engedély díjából származó bevételekből kell fedezni. E rendeletben szabályokat kell megállapítani annak érdekében, hogy a tagállamok rendelkezésére bocsássák az ETIAS-díjak megfelelő részét a vonatkozó működési költségeik fedezésére, ideértve az </w:t>
      </w:r>
      <w:bookmarkStart w:id="15" w:name="_Hlk202881236"/>
      <w:r w:rsidRPr="00392E80">
        <w:rPr>
          <w:noProof/>
        </w:rPr>
        <w:t>olyan esetekre vonatkozó szabályokat is, amikor a működési költségeik teljes összege egy adott évben meghaladja az ETIAS rendszerből származó bevételeket</w:t>
      </w:r>
      <w:bookmarkEnd w:id="15"/>
      <w:r w:rsidRPr="00392E80">
        <w:rPr>
          <w:noProof/>
        </w:rPr>
        <w:t>.</w:t>
      </w:r>
    </w:p>
    <w:p w14:paraId="73242398" w14:textId="7DC173D4" w:rsidR="00286E0D" w:rsidRPr="00392E80" w:rsidRDefault="003347AC" w:rsidP="003347AC">
      <w:pPr>
        <w:pStyle w:val="ManualConsidrant"/>
        <w:rPr>
          <w:noProof/>
        </w:rPr>
      </w:pPr>
      <w:r w:rsidRPr="00392E80">
        <w:rPr>
          <w:noProof/>
        </w:rPr>
        <w:t>(19)</w:t>
      </w:r>
      <w:r w:rsidRPr="00392E80">
        <w:rPr>
          <w:noProof/>
        </w:rPr>
        <w:tab/>
        <w:t>Mivel a migrációs nyomásnak kitett tagállamok számára lehetővé kell tenni, hogy uniós támogatásra támaszkodjanak, e rendeletben szabályokat kell megállapítani annak érdekében, hogy a kedvezményezett tagállamok rendelkezésére bocsássák az (EU) 2024/1351 rendelettel</w:t>
      </w:r>
      <w:r w:rsidR="00286E0D" w:rsidRPr="00392E80">
        <w:rPr>
          <w:rStyle w:val="FootnoteReference"/>
          <w:rFonts w:eastAsia="Arial Unicode MS"/>
          <w:noProof/>
          <w:szCs w:val="24"/>
          <w:lang w:eastAsia="en-IE"/>
        </w:rPr>
        <w:footnoteReference w:id="12"/>
      </w:r>
      <w:r w:rsidRPr="00392E80">
        <w:rPr>
          <w:noProof/>
        </w:rPr>
        <w:t xml:space="preserve"> létrehozott éves szolidaritási vállalásalapban foglalt pénzügyi hozzájárulások megfelelő részét.</w:t>
      </w:r>
    </w:p>
    <w:p w14:paraId="4C768251" w14:textId="3AE1A69C" w:rsidR="006866F6" w:rsidRPr="00392E80" w:rsidRDefault="003347AC" w:rsidP="003347AC">
      <w:pPr>
        <w:pStyle w:val="ManualConsidrant"/>
        <w:rPr>
          <w:noProof/>
        </w:rPr>
      </w:pPr>
      <w:bookmarkStart w:id="16" w:name="_Hlk202881260"/>
      <w:r w:rsidRPr="00392E80">
        <w:rPr>
          <w:noProof/>
        </w:rPr>
        <w:t>(20)</w:t>
      </w:r>
      <w:r w:rsidRPr="00392E80">
        <w:rPr>
          <w:noProof/>
        </w:rPr>
        <w:tab/>
        <w:t>Az e rendelet szerinti uniós támogatásnak megfelelően elősegített valamennyi intézkedést az uniós vívmányokban és az Európai Unió Alapjogi Chartájában foglalt jogokkal és elvekkel összhangban kell végrehajtani, és azoknak összhangban kell lenniük az Unió és a tagállamok azon nemzetközi jogi eszközökből eredő nemzetközi kötelezettségeivel, amelyeknek részes felei.</w:t>
      </w:r>
    </w:p>
    <w:bookmarkEnd w:id="16"/>
    <w:p w14:paraId="79724041" w14:textId="1336DDA4" w:rsidR="00286E0D" w:rsidRPr="00392E80" w:rsidRDefault="003347AC" w:rsidP="003347AC">
      <w:pPr>
        <w:pStyle w:val="ManualConsidrant"/>
        <w:rPr>
          <w:noProof/>
        </w:rPr>
      </w:pPr>
      <w:r w:rsidRPr="00392E80">
        <w:rPr>
          <w:noProof/>
        </w:rPr>
        <w:t>(21)</w:t>
      </w:r>
      <w:r w:rsidRPr="00392E80">
        <w:rPr>
          <w:noProof/>
        </w:rPr>
        <w:tab/>
        <w:t>A 2003. évi csatlakozási okmánynak a Kalinyingrádi terület és az Oroszországi Föderáció egyéb részei közötti, szárazföldi úton történő átutazásról szóló 5. jegyzőkönyvével</w:t>
      </w:r>
      <w:r w:rsidR="00286E0D" w:rsidRPr="00392E80">
        <w:rPr>
          <w:rStyle w:val="FootnoteReference"/>
          <w:noProof/>
          <w:szCs w:val="24"/>
        </w:rPr>
        <w:footnoteReference w:id="13"/>
      </w:r>
      <w:r w:rsidRPr="00392E80">
        <w:rPr>
          <w:noProof/>
        </w:rPr>
        <w:t xml:space="preserve"> összhangban az Unió segíti Litvániát a Kalinyingrádi terület és az Oroszországi Föderáció egyéb részei közötti átutazás igazgatásában és különösen visel minden esetleges többletköltséget, amely az ilyen átutazásra vonatkozó közösségi vívmányok rendelkezéseinek végrehajtása következtében felmerül. Ezért e rendeletben meg kell állapítani a 693/2003/EK tanácsi rendelettel</w:t>
      </w:r>
      <w:r w:rsidR="00286E0D" w:rsidRPr="00392E80">
        <w:rPr>
          <w:rStyle w:val="FootnoteReference"/>
          <w:noProof/>
          <w:szCs w:val="24"/>
        </w:rPr>
        <w:footnoteReference w:id="14"/>
      </w:r>
      <w:r w:rsidRPr="00392E80">
        <w:rPr>
          <w:noProof/>
        </w:rPr>
        <w:t xml:space="preserve"> meghatározott különleges átutazási rendszer pénzügyi támogatásának szabályait.</w:t>
      </w:r>
    </w:p>
    <w:p w14:paraId="2F17EDDB" w14:textId="10F49CFA" w:rsidR="00286E0D" w:rsidRPr="00392E80" w:rsidRDefault="003347AC" w:rsidP="003347AC">
      <w:pPr>
        <w:pStyle w:val="ManualConsidrant"/>
        <w:rPr>
          <w:noProof/>
        </w:rPr>
      </w:pPr>
      <w:r w:rsidRPr="00392E80">
        <w:rPr>
          <w:noProof/>
        </w:rPr>
        <w:t>(22)</w:t>
      </w:r>
      <w:r w:rsidRPr="00392E80">
        <w:rPr>
          <w:noProof/>
        </w:rPr>
        <w:tab/>
        <w:t>Izland és Norvégia tekintetében ez a rendelet az Európai Unió Tanácsa, valamint az Izlandi Köztársaság és a Norvég Királyság közötti, az utóbbiaknak a schengeni vívmányok végrehajtására, alkalmazására és fejlesztésére irányuló társulásáról szóló megállapodás</w:t>
      </w:r>
      <w:r w:rsidR="00286E0D" w:rsidRPr="00392E80">
        <w:rPr>
          <w:rStyle w:val="FootnoteReference"/>
          <w:noProof/>
          <w:szCs w:val="24"/>
        </w:rPr>
        <w:footnoteReference w:id="15"/>
      </w:r>
      <w:r w:rsidRPr="00392E80">
        <w:rPr>
          <w:noProof/>
        </w:rPr>
        <w:t xml:space="preserve"> értelmében a schengeni vívmányok azon rendelkezéseinek továbbfejlesztését képezi, amelyek az 1999/437/EK tanácsi határozat</w:t>
      </w:r>
      <w:r w:rsidR="00286E0D" w:rsidRPr="00392E80">
        <w:rPr>
          <w:rStyle w:val="FootnoteReference"/>
          <w:noProof/>
          <w:szCs w:val="24"/>
        </w:rPr>
        <w:footnoteReference w:id="16"/>
      </w:r>
      <w:r w:rsidRPr="00392E80">
        <w:rPr>
          <w:noProof/>
        </w:rPr>
        <w:t xml:space="preserve"> 1. cikkének A. és B. pontjában említett területhez tartoznak.</w:t>
      </w:r>
    </w:p>
    <w:p w14:paraId="440CC84B" w14:textId="600DEAC6" w:rsidR="00286E0D" w:rsidRPr="00392E80" w:rsidRDefault="003347AC" w:rsidP="003347AC">
      <w:pPr>
        <w:pStyle w:val="ManualConsidrant"/>
        <w:rPr>
          <w:noProof/>
        </w:rPr>
      </w:pPr>
      <w:r w:rsidRPr="00392E80">
        <w:rPr>
          <w:noProof/>
        </w:rPr>
        <w:t>(23)</w:t>
      </w:r>
      <w:r w:rsidRPr="00392E80">
        <w:rPr>
          <w:noProof/>
        </w:rPr>
        <w:tab/>
        <w:t>Svájc tekintetében ez a rendelet az Európai Unió, az Európai Közösség és a Svájci Államszövetség közötti, a Svájci Államszövetségnek a schengeni vívmányok végrehajtására, alkalmazására és fejlesztésére irányuló társulásáról szóló megállapodás</w:t>
      </w:r>
      <w:r w:rsidR="00286E0D" w:rsidRPr="00392E80">
        <w:rPr>
          <w:rStyle w:val="FootnoteReference"/>
          <w:noProof/>
          <w:szCs w:val="24"/>
        </w:rPr>
        <w:footnoteReference w:id="17"/>
      </w:r>
      <w:r w:rsidRPr="00392E80">
        <w:rPr>
          <w:noProof/>
        </w:rPr>
        <w:t xml:space="preserve"> értelmében a schengeni vívmányok azon rendelkezéseinek továbbfejlesztését képezi, amelyek az 1999/437/EK határozatnak a 2008/146/EK tanácsi határozat</w:t>
      </w:r>
      <w:r w:rsidR="00286E0D" w:rsidRPr="00392E80">
        <w:rPr>
          <w:rStyle w:val="FootnoteReference"/>
          <w:noProof/>
          <w:szCs w:val="24"/>
        </w:rPr>
        <w:footnoteReference w:id="18"/>
      </w:r>
      <w:r w:rsidRPr="00392E80">
        <w:rPr>
          <w:noProof/>
        </w:rPr>
        <w:t xml:space="preserve"> 3. cikkével együtt értelmezett 1. cikke A. és B. pontjában említett területhez tartoznak.</w:t>
      </w:r>
    </w:p>
    <w:p w14:paraId="396CC801" w14:textId="2CEB75AB" w:rsidR="00286E0D" w:rsidRPr="00392E80" w:rsidRDefault="003347AC" w:rsidP="003347AC">
      <w:pPr>
        <w:pStyle w:val="ManualConsidrant"/>
        <w:rPr>
          <w:noProof/>
        </w:rPr>
      </w:pPr>
      <w:r w:rsidRPr="00392E80">
        <w:rPr>
          <w:noProof/>
        </w:rPr>
        <w:t>(24)</w:t>
      </w:r>
      <w:r w:rsidRPr="00392E80">
        <w:rPr>
          <w:noProof/>
        </w:rPr>
        <w:tab/>
        <w:t>Liechtenstein tekintetében ez a rendelet az Európai Unió, az Európai Közösség, a Svájci Államszövetség és a Liechtensteini Hercegség közötti, a Liechtensteini Hercegségnek az Európai Unió, az Európai Közösség és a Svájci Államszövetség közötti, a Svájci Államszövetségnek a schengeni vívmányok végrehajtására, alkalmazására és fejlesztésére irányuló társulásáról szóló megállapodáshoz való csatlakozásáról szóló jegyzőkönyv</w:t>
      </w:r>
      <w:r w:rsidR="00286E0D" w:rsidRPr="00392E80">
        <w:rPr>
          <w:rStyle w:val="FootnoteReference"/>
          <w:noProof/>
          <w:szCs w:val="24"/>
        </w:rPr>
        <w:footnoteReference w:id="19"/>
      </w:r>
      <w:r w:rsidRPr="00392E80">
        <w:rPr>
          <w:noProof/>
        </w:rPr>
        <w:t xml:space="preserve"> értelmében a schengeni vívmányok azon rendelkezéseinek továbbfejlesztését képezi, amelyek az 1999/437/EK határozatnak a 2011/350/EU tanácsi határozat </w:t>
      </w:r>
      <w:r w:rsidR="00286E0D" w:rsidRPr="00392E80">
        <w:rPr>
          <w:rStyle w:val="FootnoteReference"/>
          <w:noProof/>
          <w:szCs w:val="24"/>
        </w:rPr>
        <w:footnoteReference w:id="20"/>
      </w:r>
      <w:r w:rsidRPr="00392E80">
        <w:rPr>
          <w:noProof/>
        </w:rPr>
        <w:t>3. cikkével együtt értelmezett 1. cikkének A. és B. pontjában említett területekhez tartoznak.</w:t>
      </w:r>
    </w:p>
    <w:p w14:paraId="1D419147" w14:textId="7F099022" w:rsidR="00806AC4" w:rsidRPr="00392E80" w:rsidRDefault="003347AC" w:rsidP="003347AC">
      <w:pPr>
        <w:pStyle w:val="ManualConsidrant"/>
        <w:rPr>
          <w:noProof/>
        </w:rPr>
      </w:pPr>
      <w:r w:rsidRPr="00392E80">
        <w:rPr>
          <w:noProof/>
        </w:rPr>
        <w:t>(25)</w:t>
      </w:r>
      <w:r w:rsidRPr="00392E80">
        <w:rPr>
          <w:noProof/>
        </w:rPr>
        <w:tab/>
        <w:t>Az EUSZ-hez és az EUMSZ-hez csatolt, Dánia helyzetéről szóló 22. jegyzőkönyv 1. és 2. cikke értelmében Dánia nem vesz részt ennek a rendeletnek az elfogadásában, az rá nézve nem kötelező és nem alkalmazandó. Mivel e rendelet a schengeni vívmányokon alapul, Dániának az említett jegyzőkönyv 4. cikkének megfelelően az e rendeletről szóló tanácsi döntést követő hat hónapos időszakon belül határoznia kell arról, hogy azt nemzeti jogában végrehajtja-e.</w:t>
      </w:r>
    </w:p>
    <w:p w14:paraId="776F0C22" w14:textId="398D5BDA" w:rsidR="00286E0D" w:rsidRPr="00392E80" w:rsidRDefault="003347AC" w:rsidP="003347AC">
      <w:pPr>
        <w:pStyle w:val="ManualConsidrant"/>
        <w:rPr>
          <w:noProof/>
        </w:rPr>
      </w:pPr>
      <w:r w:rsidRPr="00392E80">
        <w:rPr>
          <w:noProof/>
        </w:rPr>
        <w:t>(26)</w:t>
      </w:r>
      <w:r w:rsidRPr="00392E80">
        <w:rPr>
          <w:noProof/>
        </w:rPr>
        <w:tab/>
        <w:t>Ez a rendelet a schengeni vívmányok azon rendelkezéseinek továbbfejlesztését képezi, amelyek alkalmazásában Írország a 2002/192/EK tanácsi határozattal</w:t>
      </w:r>
      <w:r w:rsidR="00286E0D" w:rsidRPr="00392E80">
        <w:rPr>
          <w:rStyle w:val="FootnoteReference"/>
          <w:noProof/>
          <w:szCs w:val="24"/>
        </w:rPr>
        <w:footnoteReference w:id="21"/>
      </w:r>
      <w:r w:rsidRPr="00392E80">
        <w:rPr>
          <w:noProof/>
        </w:rPr>
        <w:t xml:space="preserve"> összhangban nem vesz részt. Ennélfogva Írország nem vesz részt a rendeletnek az elfogadásában, az rá nézve nem kötelező és nem alkalmazandó,</w:t>
      </w:r>
    </w:p>
    <w:p w14:paraId="7A316F28" w14:textId="77777777" w:rsidR="00286E0D" w:rsidRPr="00392E80" w:rsidRDefault="00286E0D" w:rsidP="00286E0D">
      <w:pPr>
        <w:pStyle w:val="Formuledadoption"/>
        <w:rPr>
          <w:noProof/>
        </w:rPr>
      </w:pPr>
      <w:r w:rsidRPr="00392E80">
        <w:rPr>
          <w:noProof/>
        </w:rPr>
        <w:t>ELFOGADTA EZT A RENDELETET:</w:t>
      </w:r>
    </w:p>
    <w:p w14:paraId="558246A5" w14:textId="77777777" w:rsidR="00286E0D" w:rsidRPr="00392E80" w:rsidRDefault="00286E0D" w:rsidP="00286E0D">
      <w:pPr>
        <w:pStyle w:val="Titrearticle"/>
        <w:rPr>
          <w:noProof/>
        </w:rPr>
      </w:pPr>
      <w:r w:rsidRPr="00392E80">
        <w:rPr>
          <w:noProof/>
        </w:rPr>
        <w:t>1. cikk</w:t>
      </w:r>
    </w:p>
    <w:p w14:paraId="01DCFE30" w14:textId="77777777" w:rsidR="00286E0D" w:rsidRPr="00392E80" w:rsidRDefault="00286E0D" w:rsidP="00286E0D">
      <w:pPr>
        <w:pStyle w:val="Titrearticle"/>
        <w:rPr>
          <w:b/>
          <w:bCs/>
          <w:noProof/>
        </w:rPr>
      </w:pPr>
      <w:r w:rsidRPr="00392E80">
        <w:rPr>
          <w:b/>
          <w:noProof/>
        </w:rPr>
        <w:t>Tárgy</w:t>
      </w:r>
    </w:p>
    <w:p w14:paraId="16102D8A" w14:textId="2E1F62F9" w:rsidR="00B9223C" w:rsidRPr="00392E80" w:rsidRDefault="00B9223C" w:rsidP="00B9223C">
      <w:pPr>
        <w:rPr>
          <w:noProof/>
          <w:szCs w:val="24"/>
        </w:rPr>
      </w:pPr>
      <w:r w:rsidRPr="00392E80">
        <w:rPr>
          <w:noProof/>
        </w:rPr>
        <w:t>Ez a rendelet meghatározza az európai integrált határigazgatás és az európai vízumpolitika 2028. január 1. és 2034. december 31. közötti időszakra szóló uniós támogatásának célkitűzéseit és finanszírozását. Az uniós támogatásnak hozzá kell járulnia a schengeni térség működéséhez, a külső határok hatékony igazgatásához és a vízumpolitika hatékonyságához – többek között a migrációs és menekültügyi paktum vonatkozó elemeinek végrehajtásához, megerősítéséhez és fejlesztéséhez nyújtott támogatás révén –, valamint az Unión belüli magas szintű belső biztonsághoz, megőrizve azt, hogy a belső határok átlépésekor a személyek mentesüljenek mindenfajta ellenőrzés alól.</w:t>
      </w:r>
    </w:p>
    <w:p w14:paraId="05AFC029" w14:textId="53D595F0" w:rsidR="00286E0D" w:rsidRPr="00392E80" w:rsidRDefault="00286E0D" w:rsidP="00A257BB">
      <w:pPr>
        <w:rPr>
          <w:noProof/>
          <w:szCs w:val="24"/>
        </w:rPr>
      </w:pPr>
      <w:r w:rsidRPr="00392E80">
        <w:rPr>
          <w:noProof/>
        </w:rPr>
        <w:t xml:space="preserve">Ezt az uniós támogatást az (EU) [...] rendelettel létrehozott, </w:t>
      </w:r>
      <w:r w:rsidRPr="00392E80">
        <w:rPr>
          <w:noProof/>
          <w:color w:val="000000" w:themeColor="text1"/>
        </w:rPr>
        <w:t>az Európai Gazdasági, Társadalmi és Területi Kohéziós, Mezőgazdasági és Vidékfejlesztési, Halászati és Tengeri, Jóléti és Biztonsági Alap</w:t>
      </w:r>
      <w:r w:rsidRPr="00392E80">
        <w:rPr>
          <w:noProof/>
        </w:rPr>
        <w:t xml:space="preserve"> horizontális szabályaival összhangban kell nyújtani.</w:t>
      </w:r>
    </w:p>
    <w:p w14:paraId="426B91C7" w14:textId="77777777" w:rsidR="00286E0D" w:rsidRPr="00392E80" w:rsidRDefault="00286E0D" w:rsidP="00286E0D">
      <w:pPr>
        <w:pStyle w:val="Titrearticle"/>
        <w:rPr>
          <w:noProof/>
        </w:rPr>
      </w:pPr>
      <w:r w:rsidRPr="00392E80">
        <w:rPr>
          <w:noProof/>
        </w:rPr>
        <w:t>2. cikk</w:t>
      </w:r>
    </w:p>
    <w:p w14:paraId="33C45191" w14:textId="77777777" w:rsidR="00286E0D" w:rsidRPr="00392E80" w:rsidRDefault="00286E0D" w:rsidP="00286E0D">
      <w:pPr>
        <w:pStyle w:val="Titrearticle"/>
        <w:rPr>
          <w:b/>
          <w:bCs/>
          <w:noProof/>
        </w:rPr>
      </w:pPr>
      <w:r w:rsidRPr="00392E80">
        <w:rPr>
          <w:b/>
          <w:noProof/>
        </w:rPr>
        <w:t>Fogalommeghatározások</w:t>
      </w:r>
    </w:p>
    <w:p w14:paraId="0D79EC17" w14:textId="77777777" w:rsidR="00286E0D" w:rsidRPr="00392E80" w:rsidRDefault="00286E0D" w:rsidP="00286E0D">
      <w:pPr>
        <w:rPr>
          <w:noProof/>
          <w:color w:val="000000"/>
          <w:szCs w:val="24"/>
        </w:rPr>
      </w:pPr>
      <w:r w:rsidRPr="00392E80">
        <w:rPr>
          <w:noProof/>
          <w:color w:val="000000"/>
        </w:rPr>
        <w:t>E rendelet alkalmazásában:</w:t>
      </w:r>
    </w:p>
    <w:p w14:paraId="1962DB9D" w14:textId="3332A915" w:rsidR="00286E0D" w:rsidRPr="00392E80" w:rsidRDefault="003347AC" w:rsidP="003347AC">
      <w:pPr>
        <w:pStyle w:val="Point0"/>
        <w:rPr>
          <w:noProof/>
        </w:rPr>
      </w:pPr>
      <w:r w:rsidRPr="00392E80">
        <w:rPr>
          <w:noProof/>
        </w:rPr>
        <w:t>1.</w:t>
      </w:r>
      <w:r w:rsidRPr="00392E80">
        <w:rPr>
          <w:noProof/>
        </w:rPr>
        <w:tab/>
        <w:t>„határátkelőhely”: az (EU) 2016/399 rendelet</w:t>
      </w:r>
      <w:r w:rsidR="00286E0D" w:rsidRPr="00392E80">
        <w:rPr>
          <w:rStyle w:val="FootnoteReference"/>
          <w:noProof/>
          <w:szCs w:val="24"/>
        </w:rPr>
        <w:footnoteReference w:id="22"/>
      </w:r>
      <w:r w:rsidRPr="00392E80">
        <w:rPr>
          <w:noProof/>
        </w:rPr>
        <w:t xml:space="preserve"> 2. cikkének 8. pontjában meghatározott határátkelőhely;</w:t>
      </w:r>
    </w:p>
    <w:p w14:paraId="008FE4CA" w14:textId="2C9A36BD" w:rsidR="00286E0D" w:rsidRPr="00392E80" w:rsidRDefault="003347AC" w:rsidP="003347AC">
      <w:pPr>
        <w:pStyle w:val="Point0"/>
        <w:rPr>
          <w:noProof/>
        </w:rPr>
      </w:pPr>
      <w:r w:rsidRPr="00392E80">
        <w:rPr>
          <w:noProof/>
        </w:rPr>
        <w:t>2.</w:t>
      </w:r>
      <w:r w:rsidRPr="00392E80">
        <w:rPr>
          <w:noProof/>
        </w:rPr>
        <w:tab/>
        <w:t>„európai integrált határigazgatás”: az (EU) 2019/1896 rendelet</w:t>
      </w:r>
      <w:r w:rsidR="00286E0D" w:rsidRPr="00392E80">
        <w:rPr>
          <w:rStyle w:val="FootnoteReference"/>
          <w:noProof/>
          <w:szCs w:val="24"/>
        </w:rPr>
        <w:footnoteReference w:id="23"/>
      </w:r>
      <w:r w:rsidRPr="00392E80">
        <w:rPr>
          <w:noProof/>
        </w:rPr>
        <w:t xml:space="preserve"> 3. cikkében említett európai integrált határigazgatás;</w:t>
      </w:r>
    </w:p>
    <w:p w14:paraId="2B48C930" w14:textId="436C4B86" w:rsidR="00286E0D" w:rsidRPr="00392E80" w:rsidRDefault="003347AC" w:rsidP="003347AC">
      <w:pPr>
        <w:pStyle w:val="Point0"/>
        <w:rPr>
          <w:noProof/>
        </w:rPr>
      </w:pPr>
      <w:r w:rsidRPr="00392E80">
        <w:rPr>
          <w:noProof/>
        </w:rPr>
        <w:t>3.</w:t>
      </w:r>
      <w:r w:rsidRPr="00392E80">
        <w:rPr>
          <w:noProof/>
        </w:rPr>
        <w:tab/>
        <w:t>„külső határok”: az (EU) 2016/399 rendelet</w:t>
      </w:r>
      <w:r w:rsidR="00286E0D" w:rsidRPr="00392E80">
        <w:rPr>
          <w:rStyle w:val="FootnoteReference"/>
          <w:noProof/>
          <w:szCs w:val="24"/>
        </w:rPr>
        <w:footnoteReference w:id="24"/>
      </w:r>
      <w:r w:rsidRPr="00392E80">
        <w:rPr>
          <w:noProof/>
        </w:rPr>
        <w:t xml:space="preserve"> 2. cikkének 2. pontjában meghatározott külső határok és azon belső határok, amelyeken még nem szüntették meg a határellenőrzést;</w:t>
      </w:r>
    </w:p>
    <w:p w14:paraId="225B0BEF" w14:textId="0E4D380F" w:rsidR="00286E0D" w:rsidRPr="00392E80" w:rsidRDefault="003347AC" w:rsidP="003347AC">
      <w:pPr>
        <w:pStyle w:val="Point0"/>
        <w:rPr>
          <w:noProof/>
        </w:rPr>
      </w:pPr>
      <w:r w:rsidRPr="00392E80">
        <w:rPr>
          <w:noProof/>
        </w:rPr>
        <w:t>4.</w:t>
      </w:r>
      <w:r w:rsidRPr="00392E80">
        <w:rPr>
          <w:noProof/>
        </w:rPr>
        <w:tab/>
        <w:t>„külső határszakasz”: az (EU) 2019/1896 rendelet</w:t>
      </w:r>
      <w:r w:rsidR="00286E0D" w:rsidRPr="00392E80">
        <w:rPr>
          <w:rStyle w:val="FootnoteReference"/>
          <w:noProof/>
          <w:szCs w:val="24"/>
        </w:rPr>
        <w:footnoteReference w:id="25"/>
      </w:r>
      <w:r w:rsidRPr="00392E80">
        <w:rPr>
          <w:noProof/>
        </w:rPr>
        <w:t xml:space="preserve"> 2. cikkének 11. pontjában meghatározott külső határszakasz;</w:t>
      </w:r>
    </w:p>
    <w:p w14:paraId="19E59878" w14:textId="1371C2DC" w:rsidR="00286E0D" w:rsidRPr="00392E80" w:rsidRDefault="003347AC" w:rsidP="003347AC">
      <w:pPr>
        <w:pStyle w:val="Point0"/>
        <w:rPr>
          <w:noProof/>
        </w:rPr>
      </w:pPr>
      <w:r w:rsidRPr="00392E80">
        <w:rPr>
          <w:noProof/>
        </w:rPr>
        <w:t>5.</w:t>
      </w:r>
      <w:r w:rsidRPr="00392E80">
        <w:rPr>
          <w:noProof/>
        </w:rPr>
        <w:tab/>
        <w:t>„belső határok, amelyeken még nem szüntették meg a határellenőrzést”:</w:t>
      </w:r>
    </w:p>
    <w:p w14:paraId="1816FE1D" w14:textId="1AE66307" w:rsidR="00286E0D" w:rsidRPr="00392E80" w:rsidRDefault="003347AC" w:rsidP="003347AC">
      <w:pPr>
        <w:pStyle w:val="Point1"/>
        <w:rPr>
          <w:noProof/>
        </w:rPr>
      </w:pPr>
      <w:r w:rsidRPr="00392E80">
        <w:rPr>
          <w:noProof/>
        </w:rPr>
        <w:t>a)</w:t>
      </w:r>
      <w:r w:rsidRPr="00392E80">
        <w:rPr>
          <w:noProof/>
        </w:rPr>
        <w:tab/>
        <w:t>egy, a schengeni vívmányokat teljeskörűen végrehajtó tagállam és egy olyan tagállam közös határa, amely a csatlakozási okmányával összhangban a schengeni vívmányok teljes körű alkalmazására kötelezett, de amelynek esetében az említett vívmányok teljes körű alkalmazására felhatalmazó, releváns tanácsi határozat még nem lépett hatályba;</w:t>
      </w:r>
    </w:p>
    <w:p w14:paraId="451F5771" w14:textId="7F81354A" w:rsidR="00286E0D" w:rsidRPr="00392E80" w:rsidRDefault="003347AC" w:rsidP="003347AC">
      <w:pPr>
        <w:pStyle w:val="Point1"/>
        <w:rPr>
          <w:noProof/>
        </w:rPr>
      </w:pPr>
      <w:r w:rsidRPr="00392E80">
        <w:rPr>
          <w:noProof/>
        </w:rPr>
        <w:t>b)</w:t>
      </w:r>
      <w:r w:rsidRPr="00392E80">
        <w:rPr>
          <w:noProof/>
        </w:rPr>
        <w:tab/>
        <w:t>két olyan tagállam közös határa, amelyek a saját csatlakozási okmányukkal összhangban a schengeni vívmányok teljes körű alkalmazására kötelezettek, de amelyek esetében az említett vívmányok teljes körű alkalmazására felhatalmazó, releváns tanácsi határozat még nem lépett hatályba;</w:t>
      </w:r>
    </w:p>
    <w:p w14:paraId="5E6A7562" w14:textId="76DFB720" w:rsidR="00286E0D" w:rsidRPr="00392E80" w:rsidRDefault="003347AC" w:rsidP="003347AC">
      <w:pPr>
        <w:pStyle w:val="Point0"/>
        <w:rPr>
          <w:noProof/>
        </w:rPr>
      </w:pPr>
      <w:r w:rsidRPr="00392E80">
        <w:rPr>
          <w:noProof/>
        </w:rPr>
        <w:t>6.</w:t>
      </w:r>
      <w:r w:rsidRPr="00392E80">
        <w:rPr>
          <w:noProof/>
        </w:rPr>
        <w:tab/>
        <w:t>„kedvezményezett tagállam”: az (EU) 2024/1351 rendelet 2. cikkének 19. pontjában meghatározott kedvezményezett tagállam;</w:t>
      </w:r>
    </w:p>
    <w:p w14:paraId="35262557" w14:textId="3A660522" w:rsidR="00F0474E" w:rsidRPr="00392E80" w:rsidRDefault="003347AC" w:rsidP="003347AC">
      <w:pPr>
        <w:pStyle w:val="Point0"/>
        <w:rPr>
          <w:noProof/>
        </w:rPr>
      </w:pPr>
      <w:r w:rsidRPr="00392E80">
        <w:rPr>
          <w:noProof/>
        </w:rPr>
        <w:t>7.</w:t>
      </w:r>
      <w:r w:rsidRPr="00392E80">
        <w:rPr>
          <w:noProof/>
        </w:rPr>
        <w:tab/>
        <w:t>„hozzájáruló tagállam”: az (EU) 2024/1351 rendelet 2. cikkének 20. pontjában meghatározott hozzájáruló tagállam;</w:t>
      </w:r>
    </w:p>
    <w:p w14:paraId="1373544C" w14:textId="0524B83D" w:rsidR="00286E0D" w:rsidRPr="00392E80" w:rsidRDefault="003347AC" w:rsidP="003347AC">
      <w:pPr>
        <w:pStyle w:val="Point0"/>
        <w:rPr>
          <w:noProof/>
        </w:rPr>
      </w:pPr>
      <w:r w:rsidRPr="00392E80">
        <w:rPr>
          <w:noProof/>
        </w:rPr>
        <w:t>8.</w:t>
      </w:r>
      <w:r w:rsidRPr="00392E80">
        <w:rPr>
          <w:noProof/>
        </w:rPr>
        <w:tab/>
        <w:t>„pénzügyi hozzájárulások”: az (EU) 2024/1351 rendelet 56. cikke (2) bekezdésének b) pontja szerinti pénzügyi hozzájárulások.</w:t>
      </w:r>
    </w:p>
    <w:p w14:paraId="4A75AB58" w14:textId="77777777" w:rsidR="00286E0D" w:rsidRPr="00392E80" w:rsidRDefault="00286E0D" w:rsidP="00286E0D">
      <w:pPr>
        <w:pStyle w:val="Titrearticle"/>
        <w:rPr>
          <w:noProof/>
        </w:rPr>
      </w:pPr>
      <w:r w:rsidRPr="00392E80">
        <w:rPr>
          <w:noProof/>
        </w:rPr>
        <w:t>3. cikk</w:t>
      </w:r>
    </w:p>
    <w:p w14:paraId="1F3B309A" w14:textId="77777777" w:rsidR="00286E0D" w:rsidRPr="00392E80" w:rsidRDefault="00286E0D" w:rsidP="00286E0D">
      <w:pPr>
        <w:pStyle w:val="Titrearticle"/>
        <w:rPr>
          <w:b/>
          <w:bCs/>
          <w:noProof/>
        </w:rPr>
      </w:pPr>
      <w:bookmarkStart w:id="17" w:name="_Hlk202174420"/>
      <w:r w:rsidRPr="00392E80">
        <w:rPr>
          <w:b/>
          <w:noProof/>
        </w:rPr>
        <w:t>A schengeni térség, a külső határok európai integrált határigazgatása és a közös vízumpolitika uniós támogatásának célkitűzései</w:t>
      </w:r>
    </w:p>
    <w:bookmarkEnd w:id="17"/>
    <w:p w14:paraId="3CC4516C" w14:textId="15FD5E6D" w:rsidR="00286E0D" w:rsidRPr="00392E80" w:rsidRDefault="003347AC" w:rsidP="003347AC">
      <w:pPr>
        <w:pStyle w:val="ManualNumPar1"/>
        <w:rPr>
          <w:noProof/>
        </w:rPr>
      </w:pPr>
      <w:r w:rsidRPr="00392E80">
        <w:rPr>
          <w:noProof/>
        </w:rPr>
        <w:t>(1)</w:t>
      </w:r>
      <w:r w:rsidRPr="00392E80">
        <w:rPr>
          <w:noProof/>
        </w:rPr>
        <w:tab/>
        <w:t>A külső határok erős és hatékony európai integrált határigazgatása, a jól működő schengeni térség és a hatékony vízumpolitika biztosítása érdekében az uniós támogatásnak hozzá kell járulnia a következő célkitűzések mindegyikéhez:</w:t>
      </w:r>
    </w:p>
    <w:p w14:paraId="52746F08" w14:textId="0F6AF9C9" w:rsidR="0058101A" w:rsidRPr="00392E80" w:rsidRDefault="003347AC" w:rsidP="003347AC">
      <w:pPr>
        <w:pStyle w:val="Point1"/>
        <w:rPr>
          <w:rFonts w:eastAsiaTheme="minorEastAsia" w:cstheme="majorHAnsi"/>
          <w:noProof/>
          <w:szCs w:val="20"/>
        </w:rPr>
      </w:pPr>
      <w:r w:rsidRPr="00392E80">
        <w:rPr>
          <w:noProof/>
        </w:rPr>
        <w:t>a)</w:t>
      </w:r>
      <w:r w:rsidRPr="00392E80">
        <w:rPr>
          <w:noProof/>
        </w:rPr>
        <w:tab/>
        <w:t>a schengeni keret hatékony végrehajtásának, alkalmazásának és fejlesztésének a támogatása, valamint a belső határok nélküli schengeni térség kormányzásának, integritásának és biztonságának a megerősítése;</w:t>
      </w:r>
    </w:p>
    <w:p w14:paraId="57D454BB" w14:textId="5676320D" w:rsidR="00286E0D" w:rsidRPr="00392E80" w:rsidRDefault="003347AC" w:rsidP="003347AC">
      <w:pPr>
        <w:pStyle w:val="Point1"/>
        <w:rPr>
          <w:rStyle w:val="Instructions"/>
          <w:rFonts w:eastAsiaTheme="minorEastAsia"/>
          <w:i w:val="0"/>
          <w:iCs w:val="0"/>
          <w:noProof/>
          <w:color w:val="auto"/>
        </w:rPr>
      </w:pPr>
      <w:r w:rsidRPr="00392E80">
        <w:rPr>
          <w:rStyle w:val="Instructions"/>
          <w:rFonts w:eastAsiaTheme="minorHAnsi"/>
          <w:i w:val="0"/>
          <w:iCs w:val="0"/>
          <w:noProof/>
        </w:rPr>
        <w:t>b)</w:t>
      </w:r>
      <w:r w:rsidRPr="00392E80">
        <w:rPr>
          <w:rStyle w:val="Instructions"/>
          <w:rFonts w:eastAsiaTheme="minorHAnsi"/>
          <w:i w:val="0"/>
          <w:iCs w:val="0"/>
          <w:noProof/>
        </w:rPr>
        <w:tab/>
      </w:r>
      <w:r w:rsidRPr="00392E80">
        <w:rPr>
          <w:noProof/>
        </w:rPr>
        <w:t>az Európai Határ- és Parti Őrség által a külső határokon végrehajtott, az Európai Határ- és Partvédelmi Ügynökség és a határigazgatásért felelős nemzeti hatóságok megosztott felelősségébe tartozó, hatékony európai integrált határigazgatás támogatása – egyebek mellett innovatív módszerek és új technológiák révén – a jogszerű határátlépések megkönnyítése, az illegális bevándorlás és a határokon átnyúló bűnözés, valamint az irreguláris migráció eszközként, illetve fegyverként való felhasználásának megelőzése és felderítése, továbbá a tényleges visszaküldésekhez való hozzájárulás érdekében;</w:t>
      </w:r>
    </w:p>
    <w:p w14:paraId="07C36713" w14:textId="25EE2425" w:rsidR="00286E0D" w:rsidRPr="00392E80" w:rsidRDefault="003347AC" w:rsidP="003347AC">
      <w:pPr>
        <w:pStyle w:val="Point1"/>
        <w:rPr>
          <w:rFonts w:eastAsiaTheme="minorEastAsia" w:cstheme="majorHAnsi"/>
          <w:noProof/>
          <w:szCs w:val="20"/>
        </w:rPr>
      </w:pPr>
      <w:r w:rsidRPr="00392E80">
        <w:rPr>
          <w:noProof/>
        </w:rPr>
        <w:t>c)</w:t>
      </w:r>
      <w:r w:rsidRPr="00392E80">
        <w:rPr>
          <w:noProof/>
        </w:rPr>
        <w:tab/>
        <w:t>a közös vízumpolitika támogatása az időben történő vízumkiadás tekintetében egy összehangolt megközelítés biztosítása és a jogszerű utazás megkönnyítése érdekében, megelőzve egyúttal a migrációs és biztonsági kockázatokat, valamint hozzájárulva a schengeni térség biztonságához és megfelelő működéséhez.</w:t>
      </w:r>
    </w:p>
    <w:p w14:paraId="6E55EEE9" w14:textId="68EA180C" w:rsidR="00286E0D" w:rsidRPr="00392E80" w:rsidRDefault="00286E0D" w:rsidP="00A257BB">
      <w:pPr>
        <w:ind w:left="720"/>
        <w:rPr>
          <w:noProof/>
          <w:szCs w:val="24"/>
        </w:rPr>
      </w:pPr>
      <w:bookmarkStart w:id="18" w:name="_Hlk201962005"/>
      <w:r w:rsidRPr="00392E80">
        <w:rPr>
          <w:noProof/>
        </w:rPr>
        <w:t xml:space="preserve">Az uniós támogatást </w:t>
      </w:r>
      <w:r w:rsidRPr="00392E80">
        <w:rPr>
          <w:noProof/>
          <w:color w:val="000000" w:themeColor="text1"/>
        </w:rPr>
        <w:t>az Európai Gazdasági, Társadalmi és Területi Kohéziós, Mezőgazdasági és Vidékfejlesztési, Halászati és Tengeri, Jóléti és Biztonsági Alap</w:t>
      </w:r>
      <w:r w:rsidRPr="00392E80">
        <w:rPr>
          <w:noProof/>
        </w:rPr>
        <w:t xml:space="preserve"> létrehozásáról szóló (EU) [...] rendeletben meghatározott célkitűzésekkel teljes összhangban kell végrehajtani.</w:t>
      </w:r>
      <w:bookmarkEnd w:id="18"/>
    </w:p>
    <w:p w14:paraId="71BB4485" w14:textId="5233BD33" w:rsidR="00286E0D" w:rsidRPr="00392E80" w:rsidRDefault="003347AC" w:rsidP="003347AC">
      <w:pPr>
        <w:pStyle w:val="ManualNumPar1"/>
        <w:rPr>
          <w:noProof/>
          <w:szCs w:val="24"/>
        </w:rPr>
      </w:pPr>
      <w:r w:rsidRPr="00392E80">
        <w:rPr>
          <w:noProof/>
        </w:rPr>
        <w:t>(2)</w:t>
      </w:r>
      <w:r w:rsidRPr="00392E80">
        <w:rPr>
          <w:noProof/>
        </w:rPr>
        <w:tab/>
        <w:t>Az uniós támogatást a vonatkozó uniós vívmányokkal, valamint az Unió és a tagállamok azon nemzetközi jogi eszközökből eredő nemzetközi kötelezettségeivel összhangban kell végrehajtani, amelyeknek részes felei.</w:t>
      </w:r>
    </w:p>
    <w:p w14:paraId="3840A777" w14:textId="132A20A9" w:rsidR="00286E0D" w:rsidRPr="00392E80" w:rsidRDefault="003347AC" w:rsidP="003347AC">
      <w:pPr>
        <w:pStyle w:val="ManualNumPar1"/>
        <w:rPr>
          <w:noProof/>
          <w:szCs w:val="24"/>
        </w:rPr>
      </w:pPr>
      <w:r w:rsidRPr="00392E80">
        <w:rPr>
          <w:noProof/>
        </w:rPr>
        <w:t>(3)</w:t>
      </w:r>
      <w:r w:rsidRPr="00392E80">
        <w:rPr>
          <w:noProof/>
        </w:rPr>
        <w:tab/>
        <w:t>A tagállamok biztosítják, hogy nemzeti és regionális partnerségi terveik prioritásai intézkedéseket tartalmazzanak az e rendelet szerinti uniós támogatás minden egyes célkitűzésének megvalósítására, valamint hogy a célkitűzések közötti forráselosztás arányos legyen az azonosított kihívásokkal és a szükségletekkel.</w:t>
      </w:r>
    </w:p>
    <w:p w14:paraId="23655188" w14:textId="77777777" w:rsidR="00286E0D" w:rsidRPr="00392E80" w:rsidRDefault="00286E0D" w:rsidP="00286E0D">
      <w:pPr>
        <w:pStyle w:val="Titrearticle"/>
        <w:rPr>
          <w:noProof/>
        </w:rPr>
      </w:pPr>
      <w:r w:rsidRPr="00392E80">
        <w:rPr>
          <w:noProof/>
        </w:rPr>
        <w:t>4. cikk</w:t>
      </w:r>
    </w:p>
    <w:p w14:paraId="00F584F5" w14:textId="77777777" w:rsidR="00286E0D" w:rsidRPr="00392E80" w:rsidRDefault="00286E0D" w:rsidP="00286E0D">
      <w:pPr>
        <w:pStyle w:val="Titrearticle"/>
        <w:rPr>
          <w:b/>
          <w:bCs/>
          <w:noProof/>
        </w:rPr>
      </w:pPr>
      <w:r w:rsidRPr="00392E80">
        <w:rPr>
          <w:b/>
          <w:noProof/>
        </w:rPr>
        <w:t>Finanszírozás</w:t>
      </w:r>
    </w:p>
    <w:p w14:paraId="3C31D26E" w14:textId="5A3B8181" w:rsidR="005507F3" w:rsidRPr="00392E80" w:rsidRDefault="003347AC" w:rsidP="003347AC">
      <w:pPr>
        <w:pStyle w:val="ManualNumPar1"/>
        <w:rPr>
          <w:noProof/>
        </w:rPr>
      </w:pPr>
      <w:r w:rsidRPr="00392E80">
        <w:rPr>
          <w:noProof/>
        </w:rPr>
        <w:t>(1)</w:t>
      </w:r>
      <w:r w:rsidRPr="00392E80">
        <w:rPr>
          <w:noProof/>
        </w:rPr>
        <w:tab/>
        <w:t xml:space="preserve">A 3. cikkben meghatározott célkitűzéseknek a 2028 és 2034 közötti időszakban történő végrehajtására szánt indikatív pénzügyi keretösszeg folyó árakon 15 396 750 000 EUR. Az említett összeget </w:t>
      </w:r>
      <w:r w:rsidRPr="00392E80">
        <w:rPr>
          <w:noProof/>
          <w:color w:val="000000" w:themeColor="text1"/>
        </w:rPr>
        <w:t>az Európai Gazdasági, Társadalmi és Területi Kohéziós, Mezőgazdasági és Vidékfejlesztési, Halászati és Tengeri, Jóléti és Biztonsági Alap létrehozásáról szóló (EU) [...] rendeletben</w:t>
      </w:r>
      <w:r w:rsidRPr="00392E80">
        <w:rPr>
          <w:noProof/>
        </w:rPr>
        <w:t xml:space="preserve"> </w:t>
      </w:r>
      <w:r w:rsidRPr="00392E80">
        <w:rPr>
          <w:rFonts w:asciiTheme="majorBidi" w:hAnsiTheme="majorBidi"/>
          <w:noProof/>
        </w:rPr>
        <w:t>a nemzeti és regionális partnerségi tervekre vonatkozóan meghatározott horizontális szabályokkal összhangban kell végrehajtani.</w:t>
      </w:r>
    </w:p>
    <w:p w14:paraId="73B43C2B" w14:textId="1F933790" w:rsidR="00623F90" w:rsidRPr="00392E80" w:rsidRDefault="003347AC" w:rsidP="003347AC">
      <w:pPr>
        <w:pStyle w:val="ManualNumPar1"/>
        <w:rPr>
          <w:noProof/>
        </w:rPr>
      </w:pPr>
      <w:r w:rsidRPr="00392E80">
        <w:rPr>
          <w:noProof/>
        </w:rPr>
        <w:t>(2)</w:t>
      </w:r>
      <w:r w:rsidRPr="00392E80">
        <w:rPr>
          <w:noProof/>
        </w:rPr>
        <w:tab/>
        <w:t xml:space="preserve">A Bizottság végrehajtási jogi aktust fogad el a tagállamonkénti összegnek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I. mellékletének B. szakaszában rögzített allokációs módszer alkalmazásával történő meghatározása érdekében.</w:t>
      </w:r>
    </w:p>
    <w:p w14:paraId="5E629589" w14:textId="25F76966" w:rsidR="005507F3" w:rsidRPr="00392E80" w:rsidRDefault="003347AC" w:rsidP="003347AC">
      <w:pPr>
        <w:pStyle w:val="ManualNumPar1"/>
        <w:rPr>
          <w:noProof/>
        </w:rPr>
      </w:pPr>
      <w:r w:rsidRPr="00392E80">
        <w:rPr>
          <w:noProof/>
        </w:rPr>
        <w:t>(3)</w:t>
      </w:r>
      <w:r w:rsidRPr="00392E80">
        <w:rPr>
          <w:noProof/>
        </w:rPr>
        <w:tab/>
        <w:t xml:space="preserve">Ezen túlmenően az e rendelet 3. cikkében meghatározott célkitűzésekre vonatkozó,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IV. címe szerinti Uniós Támogatási Eszköz révén végrehajtott költségvetési előirányzatokat az EUMSZ 314. cikkében előírt költségvetési eljárás keretében kell megállapítani.</w:t>
      </w:r>
    </w:p>
    <w:p w14:paraId="070F7EDE" w14:textId="37E42913" w:rsidR="005507F3" w:rsidRPr="00392E80" w:rsidRDefault="003347AC" w:rsidP="003347AC">
      <w:pPr>
        <w:pStyle w:val="ManualNumPar1"/>
        <w:rPr>
          <w:noProof/>
        </w:rPr>
      </w:pPr>
      <w:r w:rsidRPr="00392E80">
        <w:rPr>
          <w:noProof/>
        </w:rPr>
        <w:t>(4)</w:t>
      </w:r>
      <w:r w:rsidRPr="00392E80">
        <w:rPr>
          <w:noProof/>
        </w:rPr>
        <w:tab/>
        <w:t xml:space="preserve">Az e rendelet 3. cikkében meghatározott célkitűzésekhez kapcsolódó intézkedések esetében, amennyiben a Bizottság megállapítja, hogy az említett intézkedések megfelelnek az e rendeletben, valamint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rendeletben meghatározott követelményeknek, és amennyiben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23. cikkében foglalt eljárásnak megfelelően javaslatot tesz az érintett tagállam nemzeti és regionális partnerségi tervének jóváhagyásáról szóló tanácsi végrehajtási határozatra, a Bizottság előterjeszti az említett intézkedések jóváhagyásáról szóló tanácsi végrehajtási határozatra irányuló javaslatot.</w:t>
      </w:r>
    </w:p>
    <w:p w14:paraId="6930FE95" w14:textId="12E1F33E" w:rsidR="005507F3" w:rsidRPr="00392E80" w:rsidRDefault="003347AC" w:rsidP="003347AC">
      <w:pPr>
        <w:pStyle w:val="ManualNumPar1"/>
        <w:rPr>
          <w:noProof/>
        </w:rPr>
      </w:pPr>
      <w:r w:rsidRPr="00392E80">
        <w:rPr>
          <w:noProof/>
        </w:rPr>
        <w:t>(5)</w:t>
      </w:r>
      <w:r w:rsidRPr="00392E80">
        <w:rPr>
          <w:noProof/>
        </w:rPr>
        <w:tab/>
        <w:t xml:space="preserve">Az e rendelet 3. cikkében meghatározott célkitűzésekhez kapcsolódó intézkedésekre vonatkozó tanácsi végrehajtási határozatra irányuló javaslat előterjesztésekor a Bizottság a 3. cikkben meghatározott célkitűzések tekintetében a javaslatában meghatározza az </w:t>
      </w:r>
      <w:r w:rsidRPr="00392E80">
        <w:rPr>
          <w:noProof/>
          <w:color w:val="000000" w:themeColor="text1"/>
        </w:rPr>
        <w:t>Európai Gazdasági, Társadalmi és Területi Kohéziós, Mezőgazdasági és Vidékfejlesztési, Halászati és Tengeri, Jóléti és Biztonsági Alap létrehozásáról</w:t>
      </w:r>
      <w:r w:rsidRPr="00392E80">
        <w:rPr>
          <w:noProof/>
        </w:rPr>
        <w:t xml:space="preserve"> szóló (EU) [...] rendelet 23. cikkének (4) bekezdésében említett elemeket.</w:t>
      </w:r>
    </w:p>
    <w:p w14:paraId="1388C5B4" w14:textId="5EDB01D3" w:rsidR="00596698" w:rsidRPr="00392E80" w:rsidRDefault="003347AC" w:rsidP="003347AC">
      <w:pPr>
        <w:pStyle w:val="ManualNumPar1"/>
        <w:rPr>
          <w:noProof/>
        </w:rPr>
      </w:pPr>
      <w:r w:rsidRPr="00392E80">
        <w:rPr>
          <w:noProof/>
        </w:rPr>
        <w:t>(6)</w:t>
      </w:r>
      <w:r w:rsidRPr="00392E80">
        <w:rPr>
          <w:noProof/>
        </w:rPr>
        <w:tab/>
        <w:t>A Tanács a (4) bekezdésben említett végrehajtási határozatot főszabály szerint a bizottsági javaslat elfogadásától számított négy héten belül és az Európai Gazdasági, Társadalmi és Területi Kohéziós, Mezőgazdasági és Vidékfejlesztési, Halászati és Tengeri, Jóléti és Biztonsági Alap létrehozásáról szóló (EU) [...] rendelet 23. cikkének [</w:t>
      </w:r>
      <w:r w:rsidRPr="00392E80">
        <w:rPr>
          <w:i/>
          <w:noProof/>
        </w:rPr>
        <w:t>Bizottsági javaslat és tanácsi végrehajtási határozat</w:t>
      </w:r>
      <w:r w:rsidRPr="00392E80">
        <w:rPr>
          <w:noProof/>
        </w:rPr>
        <w:t>] (1) bekezdésében említett végrehajtási határozatokkal együtt fogadja el.</w:t>
      </w:r>
    </w:p>
    <w:p w14:paraId="256B33DF" w14:textId="0BE8C5E2" w:rsidR="00623F90" w:rsidRPr="00392E80" w:rsidRDefault="003347AC" w:rsidP="003347AC">
      <w:pPr>
        <w:pStyle w:val="ManualNumPar1"/>
        <w:rPr>
          <w:noProof/>
        </w:rPr>
      </w:pPr>
      <w:r w:rsidRPr="00392E80">
        <w:rPr>
          <w:noProof/>
        </w:rPr>
        <w:t>(7)</w:t>
      </w:r>
      <w:r w:rsidRPr="00392E80">
        <w:rPr>
          <w:noProof/>
        </w:rPr>
        <w:tab/>
      </w:r>
      <w:r w:rsidRPr="00392E80">
        <w:rPr>
          <w:rFonts w:asciiTheme="majorBidi" w:hAnsiTheme="majorBidi"/>
          <w:noProof/>
        </w:rPr>
        <w:t>Az Európai Gazdasági, Társadalmi és Területi Kohéziós, Mezőgazdasági és Vidékfejlesztési, Halászati és Tengeri, Jóléti és Biztonsági Alap létrehozásáról szóló (EU) [...] rendeletnek a tervek módosításáról szóló 24. cikke alkalmazandó, feltéve, hogy a Bizottság javaslata és a 23. cikk (4) bekezdésében felsorolt elemek módosításait jóváhagyó tanácsi végrehajtási határozat csak az e rendelet 3. cikkében említett célkitűzésekre terjed ki.</w:t>
      </w:r>
    </w:p>
    <w:p w14:paraId="51868DA9" w14:textId="66115ED7" w:rsidR="00596698" w:rsidRPr="00392E80" w:rsidRDefault="00596698" w:rsidP="00596698">
      <w:pPr>
        <w:pStyle w:val="Titrearticle"/>
        <w:rPr>
          <w:noProof/>
        </w:rPr>
      </w:pPr>
      <w:r w:rsidRPr="00392E80">
        <w:rPr>
          <w:noProof/>
        </w:rPr>
        <w:t>5. cikk</w:t>
      </w:r>
    </w:p>
    <w:p w14:paraId="31F56137" w14:textId="0DDFC603" w:rsidR="00596698" w:rsidRPr="00392E80" w:rsidRDefault="00596698" w:rsidP="00596698">
      <w:pPr>
        <w:pStyle w:val="Titrearticle"/>
        <w:rPr>
          <w:noProof/>
          <w:szCs w:val="24"/>
        </w:rPr>
      </w:pPr>
      <w:r w:rsidRPr="00392E80">
        <w:rPr>
          <w:b/>
          <w:noProof/>
        </w:rPr>
        <w:t>Schengeni társult országok</w:t>
      </w:r>
    </w:p>
    <w:p w14:paraId="5F98EE1A" w14:textId="4DD41066" w:rsidR="00286E0D" w:rsidRPr="00392E80" w:rsidRDefault="00596698" w:rsidP="00287E8A">
      <w:pPr>
        <w:pStyle w:val="Text1"/>
        <w:ind w:left="0"/>
        <w:rPr>
          <w:rStyle w:val="eop"/>
          <w:rFonts w:eastAsiaTheme="majorEastAsia"/>
          <w:noProof/>
        </w:rPr>
      </w:pPr>
      <w:r w:rsidRPr="00392E80">
        <w:rPr>
          <w:noProof/>
        </w:rPr>
        <w:t>A schengeni vívmányok végrehajtásához, alkalmazásához és továbbfejlesztéséhez társult országok ezen uniós támogatásban való részvétele jellegének és módjainak meghatározása érdekében – a vonatkozó társulási megállapodásuk releváns rendelkezéseivel összhangban – megállapodásokat kell kötni. Azt követően, hogy az érintett ország értesítést küldött azon döntéséről, hogy elfogadja az uniós támogatás tartalmát, és azt belső jogrendjében végrehajtja, a vonatkozó társulási megállapodással összhangban, a Bizottság az EUMSZ 218. cikkének (3) bekezdése alapján mielőbb ajánlást nyújt be a Tanácsnak az említett megállapodásra irányuló tárgyalások megkezdésére vonatkozóan. Az ajánlás kézhezvételét követően a Tanács késedelem nélkül határoz az említett tárgyalások megkezdésére való felhatalmazásról. Az említett országoktól származó pénzügyi hozzájárulásokat hozzá kell adni a 4. cikkben említett pénzügyi keretösszegből rendelkezésre álló összes forráshoz.</w:t>
      </w:r>
    </w:p>
    <w:p w14:paraId="08F346E5" w14:textId="15F26995" w:rsidR="00286E0D" w:rsidRPr="00392E80" w:rsidRDefault="00286E0D" w:rsidP="007D3199">
      <w:pPr>
        <w:pStyle w:val="Titrearticle"/>
        <w:rPr>
          <w:noProof/>
        </w:rPr>
      </w:pPr>
      <w:r w:rsidRPr="00392E80">
        <w:rPr>
          <w:noProof/>
        </w:rPr>
        <w:t>6. cikk</w:t>
      </w:r>
    </w:p>
    <w:p w14:paraId="77F384CC" w14:textId="77777777" w:rsidR="00286E0D" w:rsidRPr="00392E80" w:rsidRDefault="00286E0D" w:rsidP="00286E0D">
      <w:pPr>
        <w:pStyle w:val="Titrearticle"/>
        <w:rPr>
          <w:b/>
          <w:bCs/>
          <w:noProof/>
          <w:szCs w:val="24"/>
        </w:rPr>
      </w:pPr>
      <w:bookmarkStart w:id="19" w:name="_Hlk195020056"/>
      <w:r w:rsidRPr="00392E80">
        <w:rPr>
          <w:b/>
          <w:noProof/>
        </w:rPr>
        <w:t>A különleges átutazási rendszer támogatása</w:t>
      </w:r>
    </w:p>
    <w:p w14:paraId="543A7C7F" w14:textId="3CC5D0D1" w:rsidR="00286E0D" w:rsidRPr="00392E80" w:rsidRDefault="003347AC" w:rsidP="003347AC">
      <w:pPr>
        <w:pStyle w:val="ManualNumPar1"/>
        <w:rPr>
          <w:noProof/>
        </w:rPr>
      </w:pPr>
      <w:r w:rsidRPr="00392E80">
        <w:rPr>
          <w:noProof/>
        </w:rPr>
        <w:t>(1)</w:t>
      </w:r>
      <w:r w:rsidRPr="00392E80">
        <w:rPr>
          <w:noProof/>
        </w:rPr>
        <w:tab/>
        <w:t xml:space="preserve">Litvániának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szerinti nemzeti és regionális partnerségi terve számára legfeljebb 450 000 000 EUR-t kell allokálni az egyszerűsített átutazási okmány (a továbbiakban: FTD) és az egyszerűsített vasúti átutazási okmány (a továbbiakban: FRTD) rendszerének a 693/2003/EK tanácsi rendelet és az (EU) 2023/2667 európai parlamenti és tanácsi rendelettel módosított 694/2003/EK rendelet szerinti végrehajtása során a rövid távú tartózkodásra jogosító vízumok feldolgozásával kapcsolatos jövedelemkiesés, valamint felmerülő többletköltségek támogatása céljából.</w:t>
      </w:r>
    </w:p>
    <w:p w14:paraId="62C6EDAD" w14:textId="4708975E" w:rsidR="00286E0D" w:rsidRPr="00392E80" w:rsidRDefault="003347AC" w:rsidP="003347AC">
      <w:pPr>
        <w:pStyle w:val="ManualNumPar1"/>
        <w:rPr>
          <w:noProof/>
        </w:rPr>
      </w:pPr>
      <w:r w:rsidRPr="00392E80">
        <w:rPr>
          <w:noProof/>
        </w:rPr>
        <w:t>(2)</w:t>
      </w:r>
      <w:r w:rsidRPr="00392E80">
        <w:rPr>
          <w:noProof/>
        </w:rPr>
        <w:tab/>
        <w:t>Az (1) bekezdés alkalmazásában a jövedelemkiesésre nyújtott uniós támogatásnak az FTD-k és az FRTD-k kiadásán kell alapulnia. A támogatás felső határa 100 000 000 EUR.</w:t>
      </w:r>
    </w:p>
    <w:p w14:paraId="0498E203" w14:textId="70EB88D9" w:rsidR="00286E0D" w:rsidRPr="00392E80" w:rsidRDefault="003347AC" w:rsidP="003347AC">
      <w:pPr>
        <w:pStyle w:val="ManualNumPar1"/>
        <w:rPr>
          <w:noProof/>
        </w:rPr>
      </w:pPr>
      <w:r w:rsidRPr="00392E80">
        <w:rPr>
          <w:noProof/>
        </w:rPr>
        <w:t>(3)</w:t>
      </w:r>
      <w:r w:rsidRPr="00392E80">
        <w:rPr>
          <w:noProof/>
        </w:rPr>
        <w:tab/>
        <w:t>Az (1) bekezdés alkalmazásában az Unió által nyújtott támogatás azokat a közvetlenül a különleges átutazási rendszer végrehajtásával kapcsolatos egyedi követelményekből eredő becsült többletköltségeket fedezi, amelyek nem a 810/2009/EK európai parlamenti és tanácsi rendelet(</w:t>
      </w:r>
      <w:r w:rsidR="00286E0D" w:rsidRPr="00392E80">
        <w:rPr>
          <w:rStyle w:val="FootnoteReference"/>
          <w:noProof/>
        </w:rPr>
        <w:footnoteReference w:id="26"/>
      </w:r>
      <w:r w:rsidRPr="00392E80">
        <w:rPr>
          <w:noProof/>
        </w:rPr>
        <w:t>) szerinti vízumkiadás eredményeként keletkeznek.</w:t>
      </w:r>
    </w:p>
    <w:p w14:paraId="78235099" w14:textId="79CB3179" w:rsidR="00286E0D" w:rsidRPr="00392E80" w:rsidRDefault="00286E0D" w:rsidP="006B174B">
      <w:pPr>
        <w:ind w:left="850"/>
        <w:rPr>
          <w:noProof/>
          <w:color w:val="000000"/>
          <w:szCs w:val="24"/>
        </w:rPr>
      </w:pPr>
      <w:r w:rsidRPr="00392E80">
        <w:rPr>
          <w:noProof/>
          <w:color w:val="000000"/>
        </w:rPr>
        <w:t>Az általános költségvetés maximális hozzájárulása a teljes becsült költség 100 %-át teszi ki. E támogatás felső határa 350 000 000 EUR.</w:t>
      </w:r>
    </w:p>
    <w:p w14:paraId="7DD7F0AB" w14:textId="2FA3C658" w:rsidR="00286E0D" w:rsidRPr="00392E80" w:rsidRDefault="00286E0D" w:rsidP="006B174B">
      <w:pPr>
        <w:ind w:left="346" w:firstLine="504"/>
        <w:rPr>
          <w:noProof/>
          <w:szCs w:val="24"/>
        </w:rPr>
      </w:pPr>
      <w:r w:rsidRPr="00392E80">
        <w:rPr>
          <w:noProof/>
          <w:color w:val="000000"/>
        </w:rPr>
        <w:t>A becsült többletköltségek mindenekelőtt a következőkkel kapcsolatosak:</w:t>
      </w:r>
    </w:p>
    <w:p w14:paraId="6038D052" w14:textId="0BDC97AB" w:rsidR="00286E0D" w:rsidRPr="00392E80" w:rsidRDefault="00392E80" w:rsidP="00392E80">
      <w:pPr>
        <w:pStyle w:val="Point1"/>
        <w:rPr>
          <w:rFonts w:eastAsia="Aptos"/>
          <w:noProof/>
          <w:color w:val="000000"/>
          <w:kern w:val="2"/>
          <w:szCs w:val="24"/>
        </w:rPr>
      </w:pPr>
      <w:r w:rsidRPr="00392E80">
        <w:rPr>
          <w:noProof/>
        </w:rPr>
        <w:t>a)</w:t>
      </w:r>
      <w:r w:rsidRPr="00392E80">
        <w:rPr>
          <w:noProof/>
        </w:rPr>
        <w:tab/>
      </w:r>
      <w:r w:rsidR="00286E0D" w:rsidRPr="00392E80">
        <w:rPr>
          <w:noProof/>
        </w:rPr>
        <w:t>a különleges átutazási rendszer működéséhez szükséges infrastruktúrákba, közlekedési eszközökbe, IKT-rendszerekbe és berendezésekbe történő beruházások;</w:t>
      </w:r>
    </w:p>
    <w:p w14:paraId="7E9CD1E5" w14:textId="28B33531" w:rsidR="00286E0D" w:rsidRPr="00392E80" w:rsidRDefault="00392E80" w:rsidP="00392E80">
      <w:pPr>
        <w:pStyle w:val="Point1"/>
        <w:rPr>
          <w:rFonts w:eastAsia="Aptos"/>
          <w:noProof/>
          <w:kern w:val="2"/>
          <w:szCs w:val="24"/>
        </w:rPr>
      </w:pPr>
      <w:r w:rsidRPr="00392E80">
        <w:rPr>
          <w:noProof/>
        </w:rPr>
        <w:t>b)</w:t>
      </w:r>
      <w:r w:rsidRPr="00392E80">
        <w:rPr>
          <w:noProof/>
        </w:rPr>
        <w:tab/>
      </w:r>
      <w:r w:rsidR="00286E0D" w:rsidRPr="00392E80">
        <w:rPr>
          <w:noProof/>
        </w:rPr>
        <w:t>a különleges átutazási rendszert végrehajtó személyzet képzése;</w:t>
      </w:r>
    </w:p>
    <w:p w14:paraId="612D44E9" w14:textId="3D467E62" w:rsidR="00286E0D" w:rsidRPr="00392E80" w:rsidRDefault="00392E80" w:rsidP="00392E80">
      <w:pPr>
        <w:pStyle w:val="Point1"/>
        <w:rPr>
          <w:rFonts w:eastAsia="Aptos"/>
          <w:noProof/>
          <w:kern w:val="2"/>
          <w:szCs w:val="24"/>
        </w:rPr>
      </w:pPr>
      <w:r w:rsidRPr="00392E80">
        <w:rPr>
          <w:noProof/>
        </w:rPr>
        <w:t>c)</w:t>
      </w:r>
      <w:r w:rsidRPr="00392E80">
        <w:rPr>
          <w:noProof/>
        </w:rPr>
        <w:tab/>
      </w:r>
      <w:r w:rsidR="00286E0D" w:rsidRPr="00392E80">
        <w:rPr>
          <w:noProof/>
        </w:rPr>
        <w:t>további működési költségek, ideértve a különleges átutazási rendszer végrehajtásával kapcsolatos személyzeti költségeket is.</w:t>
      </w:r>
    </w:p>
    <w:p w14:paraId="20B98F44" w14:textId="04D816B3" w:rsidR="00286E0D" w:rsidRPr="00392E80" w:rsidRDefault="003347AC" w:rsidP="003347AC">
      <w:pPr>
        <w:pStyle w:val="ManualNumPar1"/>
        <w:rPr>
          <w:noProof/>
        </w:rPr>
      </w:pPr>
      <w:r w:rsidRPr="00392E80">
        <w:rPr>
          <w:noProof/>
        </w:rPr>
        <w:t>(4)</w:t>
      </w:r>
      <w:r w:rsidRPr="00392E80">
        <w:rPr>
          <w:noProof/>
        </w:rPr>
        <w:tab/>
        <w:t>A Bizottság és Litvánia felülvizsgálja e cikk alkalmazását olyan előre nem látható körülmények esetén, amelyek hatással vannak a különleges átutazási rendszer fennállására vagy működésére.</w:t>
      </w:r>
    </w:p>
    <w:p w14:paraId="09B9D768" w14:textId="18982B82" w:rsidR="00286E0D" w:rsidRPr="00392E80" w:rsidRDefault="003347AC" w:rsidP="003347AC">
      <w:pPr>
        <w:pStyle w:val="ManualNumPar1"/>
        <w:rPr>
          <w:noProof/>
        </w:rPr>
      </w:pPr>
      <w:r w:rsidRPr="00392E80">
        <w:rPr>
          <w:noProof/>
        </w:rPr>
        <w:t>(5)</w:t>
      </w:r>
      <w:r w:rsidRPr="00392E80">
        <w:rPr>
          <w:noProof/>
        </w:rPr>
        <w:tab/>
        <w:t xml:space="preserve">A (2) és (3) bekezdésben említett összegeket Litvánia nemzeti és regionális partnerségi terve számára kell allokálni. Az említett összegek nem használhatók fel a terv részét képező más intézkedésekre, kivéve kellően indokolt körülmények között, ha azt a Bizottság az említett tervnek </w:t>
      </w:r>
      <w:r w:rsidRPr="00392E80">
        <w:rPr>
          <w:noProof/>
          <w:color w:val="000000" w:themeColor="text1"/>
        </w:rPr>
        <w:t>az Európai Gazdasági, Társadalmi és Területi Kohéziós, Mezőgazdasági és Vidékfejlesztési, Halászati és Tengeri, Jóléti és Biztonsági Alap létrehozásáról</w:t>
      </w:r>
      <w:r w:rsidRPr="00392E80">
        <w:rPr>
          <w:noProof/>
        </w:rPr>
        <w:t xml:space="preserve"> szóló (EU) [...] rendelet 24. cikke szerinti módosítása útján jóváhagyja.</w:t>
      </w:r>
    </w:p>
    <w:p w14:paraId="398970FF" w14:textId="10C76A9D" w:rsidR="00286E0D" w:rsidRPr="00392E80" w:rsidRDefault="00286E0D" w:rsidP="0042042F">
      <w:pPr>
        <w:rPr>
          <w:noProof/>
        </w:rPr>
      </w:pPr>
      <w:r w:rsidRPr="00392E80">
        <w:rPr>
          <w:noProof/>
        </w:rPr>
        <w:t>Litvánia indokolással ellátott kérelmét követően a (3) bekezdésben említett összeg az Európai Gazdasági, Társadalmi és Területi Kohéziós, Mezőgazdasági és Vidékfejlesztési, Halászati és Tengeri, Jóléti és Biztonsági Alap létrehozásáról szóló (EU) [...] rendelet 31. cikke szerinti utolsó munkaprogram elfogadása előtt felülvizsgálható és szükség esetén kiigazítható. Az Európai Gazdasági, Társadalmi és Területi Kohéziós, Mezőgazdasági és Vidékfejlesztési, Halászati és Tengeri, Jóléti és Biztonsági Alap létrehozásáról szóló (EU) [...] rendelet 31. cikkének (7) bekezdésével összhangban minden további összeget Litvánia nemzeti és regionális partnerségi terve számára allokálnak.</w:t>
      </w:r>
    </w:p>
    <w:bookmarkEnd w:id="19"/>
    <w:p w14:paraId="68C0B3A9" w14:textId="13E23B66" w:rsidR="00286E0D" w:rsidRPr="00392E80" w:rsidRDefault="00286E0D" w:rsidP="00286E0D">
      <w:pPr>
        <w:pStyle w:val="Titrearticle"/>
        <w:rPr>
          <w:noProof/>
        </w:rPr>
      </w:pPr>
      <w:r w:rsidRPr="00392E80">
        <w:rPr>
          <w:noProof/>
        </w:rPr>
        <w:t>7. cikk</w:t>
      </w:r>
    </w:p>
    <w:p w14:paraId="43B9501B" w14:textId="77777777" w:rsidR="00286E0D" w:rsidRPr="00392E80" w:rsidRDefault="00286E0D" w:rsidP="00286E0D">
      <w:pPr>
        <w:pStyle w:val="Titrearticle"/>
        <w:rPr>
          <w:b/>
          <w:bCs/>
          <w:noProof/>
        </w:rPr>
      </w:pPr>
      <w:r w:rsidRPr="00392E80">
        <w:rPr>
          <w:b/>
          <w:noProof/>
        </w:rPr>
        <w:t>Az Európai Utasinformációs és Engedélyezési Rendszer (ETIAS) működési költségeihez biztosított források</w:t>
      </w:r>
    </w:p>
    <w:p w14:paraId="3743035C" w14:textId="20C9CB28" w:rsidR="00286E0D" w:rsidRPr="00392E80" w:rsidRDefault="003347AC" w:rsidP="003347AC">
      <w:pPr>
        <w:pStyle w:val="ManualNumPar1"/>
        <w:rPr>
          <w:noProof/>
        </w:rPr>
      </w:pPr>
      <w:r w:rsidRPr="00392E80">
        <w:rPr>
          <w:noProof/>
        </w:rPr>
        <w:t>(1)</w:t>
      </w:r>
      <w:r w:rsidRPr="00392E80">
        <w:rPr>
          <w:noProof/>
        </w:rPr>
        <w:tab/>
        <w:t>Minden tagállam hatékony és megbízható rendszert hoz létre, amely biztosítja az adott tagállamnál az (EU) 2018/1240 rendelet 85. cikkének (2) és (3) bekezdése alapján felmerült működési költségek megfelelő azonosítását és nyilvántartását. A tagállamok minden év január 31-ig, első alkalommal pedig 2029. január 31-ig közlik a Bizottsággal az előző évben felmerült működési költségek teljes összegét.</w:t>
      </w:r>
    </w:p>
    <w:p w14:paraId="20E4BB50" w14:textId="78838875" w:rsidR="00F0474E" w:rsidRPr="00392E80" w:rsidRDefault="003347AC" w:rsidP="003347AC">
      <w:pPr>
        <w:pStyle w:val="ManualNumPar1"/>
        <w:rPr>
          <w:noProof/>
        </w:rPr>
      </w:pPr>
      <w:r w:rsidRPr="00392E80">
        <w:rPr>
          <w:noProof/>
        </w:rPr>
        <w:t>(2)</w:t>
      </w:r>
      <w:r w:rsidRPr="00392E80">
        <w:rPr>
          <w:noProof/>
        </w:rPr>
        <w:tab/>
        <w:t>A tagállamok által az (1) bekezdéssel összhangban közölt információk alapján a Bizottság megállapítja az ETIAS-díjakból származó, a tagállamoknál felmerülő működési költségek fedezésére az (EU) 2018/1240 rendelet 86. cikkének második mondatával összhangban fordítandó bevételek összegét. A Bizottság minden tagállam rendelkezésére bocsátja az ezen összegből rá eső hányadot.</w:t>
      </w:r>
    </w:p>
    <w:p w14:paraId="55C50CF3" w14:textId="560E024F" w:rsidR="00286E0D" w:rsidRPr="00392E80" w:rsidRDefault="003347AC" w:rsidP="003347AC">
      <w:pPr>
        <w:pStyle w:val="ManualNumPar1"/>
        <w:rPr>
          <w:noProof/>
        </w:rPr>
      </w:pPr>
      <w:r w:rsidRPr="00392E80">
        <w:rPr>
          <w:noProof/>
        </w:rPr>
        <w:t>(3)</w:t>
      </w:r>
      <w:r w:rsidRPr="00392E80">
        <w:rPr>
          <w:noProof/>
        </w:rPr>
        <w:tab/>
        <w:t>Amennyiben a tagállamok által az (1) bekezdés szerint közölt működési költségek teljes összege meghaladja az ETIAS rendszerből származó bevételeket, vagy amennyiben az ETIAS alkalmazásával összefüggésben a határforgalom-ellenőrzések testre szabása és automatizálása céljából felmerülő költségek összege meghaladja az (EU) 2018/1240 rendelet 85. cikkének (3) bekezdésében meghatározott határokat, a Bizottság ezen összegek arányos csökkentését alkalmazza.</w:t>
      </w:r>
    </w:p>
    <w:p w14:paraId="038E99C1" w14:textId="18ECF8B5" w:rsidR="00DD664E" w:rsidRPr="00392E80" w:rsidRDefault="003347AC" w:rsidP="003347AC">
      <w:pPr>
        <w:pStyle w:val="ManualNumPar1"/>
        <w:rPr>
          <w:noProof/>
        </w:rPr>
      </w:pPr>
      <w:bookmarkStart w:id="20" w:name="_Hlk202881652"/>
      <w:r w:rsidRPr="00392E80">
        <w:rPr>
          <w:noProof/>
        </w:rPr>
        <w:t>(4)</w:t>
      </w:r>
      <w:r w:rsidRPr="00392E80">
        <w:rPr>
          <w:noProof/>
        </w:rPr>
        <w:tab/>
        <w:t>Amennyiben egy adott évben a működési költségek teljes összege meghaladja az ETIAS rendszerből származó bevételeket, a Bizottság azt követően az ETIAS-díjakból származó bevételekből a tagállamok rendelkezésére bocsátja a teljes működési költségeik arányos csökkentésének megfelelő összeget.</w:t>
      </w:r>
    </w:p>
    <w:bookmarkEnd w:id="20"/>
    <w:p w14:paraId="10AD3292" w14:textId="060D27B2" w:rsidR="00286E0D" w:rsidRPr="00392E80" w:rsidRDefault="00286E0D" w:rsidP="00286E0D">
      <w:pPr>
        <w:pStyle w:val="Titrearticle"/>
        <w:rPr>
          <w:noProof/>
          <w:szCs w:val="24"/>
        </w:rPr>
      </w:pPr>
      <w:r w:rsidRPr="00392E80">
        <w:rPr>
          <w:noProof/>
        </w:rPr>
        <w:t>8. cikk</w:t>
      </w:r>
    </w:p>
    <w:p w14:paraId="5F79BA04" w14:textId="77777777" w:rsidR="00286E0D" w:rsidRPr="00392E80" w:rsidRDefault="006866F6" w:rsidP="00286E0D">
      <w:pPr>
        <w:pStyle w:val="Titrearticle"/>
        <w:rPr>
          <w:noProof/>
          <w:szCs w:val="24"/>
        </w:rPr>
      </w:pPr>
      <w:r w:rsidRPr="00392E80">
        <w:rPr>
          <w:b/>
          <w:noProof/>
        </w:rPr>
        <w:t>Pénzügyi hozzájárulások az éves szolidaritási vállalásalaphoz</w:t>
      </w:r>
    </w:p>
    <w:p w14:paraId="0E0DC514" w14:textId="07076A59" w:rsidR="00286E0D" w:rsidRPr="00392E80" w:rsidRDefault="006866F6" w:rsidP="00653241">
      <w:pPr>
        <w:rPr>
          <w:noProof/>
          <w:szCs w:val="24"/>
        </w:rPr>
      </w:pPr>
      <w:r w:rsidRPr="00392E80">
        <w:rPr>
          <w:noProof/>
        </w:rPr>
        <w:t>A Bizottság kiszámítja és az egyes kedvezményezett tagállamok rendelkezésére bocsátja az (EU) 2024/1351 rendelet 64. cikkének (1) bekezdésével összhangban a hozzájáruló tagállamok által az (EU) 2024/1351 rendelet 56. cikke (2) bekezdésének b) pontjában meghatározott intézkedések végrehajtása céljából átcsoportosított pénzügyi hozzájárulások részarányát.</w:t>
      </w:r>
    </w:p>
    <w:p w14:paraId="414E4803" w14:textId="2814B288" w:rsidR="00286E0D" w:rsidRPr="00392E80" w:rsidRDefault="00286E0D" w:rsidP="00286E0D">
      <w:pPr>
        <w:pStyle w:val="Titrearticle"/>
        <w:rPr>
          <w:noProof/>
        </w:rPr>
      </w:pPr>
      <w:r w:rsidRPr="00392E80">
        <w:rPr>
          <w:noProof/>
        </w:rPr>
        <w:t xml:space="preserve">9. cikk </w:t>
      </w:r>
    </w:p>
    <w:p w14:paraId="732D7A52" w14:textId="77777777" w:rsidR="00286E0D" w:rsidRPr="00392E80" w:rsidRDefault="00286E0D" w:rsidP="00286E0D">
      <w:pPr>
        <w:pStyle w:val="Titrearticle"/>
        <w:rPr>
          <w:i w:val="0"/>
          <w:noProof/>
        </w:rPr>
      </w:pPr>
      <w:r w:rsidRPr="00392E80">
        <w:rPr>
          <w:b/>
          <w:noProof/>
        </w:rPr>
        <w:t>Átmeneti rendelkezések</w:t>
      </w:r>
    </w:p>
    <w:p w14:paraId="32BA96D3" w14:textId="6427F63E" w:rsidR="00286E0D" w:rsidRPr="00392E80" w:rsidRDefault="00631DBC" w:rsidP="00A257BB">
      <w:pPr>
        <w:rPr>
          <w:noProof/>
        </w:rPr>
      </w:pPr>
      <w:r w:rsidRPr="00392E80">
        <w:rPr>
          <w:noProof/>
        </w:rPr>
        <w:t>Ez a rendelet nem érinti az (EU) 2021/1148 rendelet szerint megkezdett intézkedések folytatását vagy módosítását, és az továbbra is alkalmazandó az érintett intézkedésekre azok lezárásáig.</w:t>
      </w:r>
    </w:p>
    <w:p w14:paraId="3B38DA05" w14:textId="09D4A97E" w:rsidR="00286E0D" w:rsidRPr="00392E80" w:rsidRDefault="00286E0D" w:rsidP="00286E0D">
      <w:pPr>
        <w:pStyle w:val="Titrearticle"/>
        <w:rPr>
          <w:noProof/>
        </w:rPr>
      </w:pPr>
      <w:r w:rsidRPr="00392E80">
        <w:rPr>
          <w:noProof/>
        </w:rPr>
        <w:t>10. cikk</w:t>
      </w:r>
    </w:p>
    <w:p w14:paraId="0F10C298" w14:textId="77777777" w:rsidR="00286E0D" w:rsidRPr="00392E80" w:rsidRDefault="00286E0D" w:rsidP="00286E0D">
      <w:pPr>
        <w:pStyle w:val="Titrearticle"/>
        <w:rPr>
          <w:b/>
          <w:bCs/>
          <w:noProof/>
        </w:rPr>
      </w:pPr>
      <w:r w:rsidRPr="00392E80">
        <w:rPr>
          <w:b/>
          <w:noProof/>
        </w:rPr>
        <w:t>Hatálybalépés és alkalmazás</w:t>
      </w:r>
    </w:p>
    <w:p w14:paraId="1105ED5B" w14:textId="77777777" w:rsidR="00286E0D" w:rsidRPr="00392E80" w:rsidRDefault="00286E0D" w:rsidP="00286E0D">
      <w:pPr>
        <w:rPr>
          <w:noProof/>
          <w:szCs w:val="24"/>
        </w:rPr>
      </w:pPr>
      <w:r w:rsidRPr="00392E80">
        <w:rPr>
          <w:noProof/>
        </w:rPr>
        <w:t xml:space="preserve">Ez a rendelet az </w:t>
      </w:r>
      <w:r w:rsidRPr="00392E80">
        <w:rPr>
          <w:i/>
          <w:noProof/>
        </w:rPr>
        <w:t>Európai Unió Hivatalos Lapjában</w:t>
      </w:r>
      <w:r w:rsidRPr="00392E80">
        <w:rPr>
          <w:noProof/>
        </w:rPr>
        <w:t xml:space="preserve"> való kihirdetését követő [huszadik napon] lép hatályba.</w:t>
      </w:r>
    </w:p>
    <w:p w14:paraId="2B6F6F03" w14:textId="6A003581" w:rsidR="00286E0D" w:rsidRPr="00392E80" w:rsidRDefault="00286E0D" w:rsidP="00A257BB">
      <w:pPr>
        <w:rPr>
          <w:noProof/>
        </w:rPr>
      </w:pPr>
      <w:r w:rsidRPr="00392E80">
        <w:rPr>
          <w:noProof/>
        </w:rPr>
        <w:t xml:space="preserve">Ezt a rendeletet </w:t>
      </w:r>
      <w:r w:rsidRPr="00392E80">
        <w:rPr>
          <w:noProof/>
          <w:color w:val="000000" w:themeColor="text1"/>
        </w:rPr>
        <w:t>az Európai Gazdasági, Társadalmi és Területi Kohéziós, Mezőgazdasági és Vidékfejlesztési, Halászati és Tengeri, Jóléti és Biztonsági Alap 2028–2034 közötti időszakra történő létrehozásáról</w:t>
      </w:r>
      <w:r w:rsidRPr="00392E80">
        <w:rPr>
          <w:noProof/>
        </w:rPr>
        <w:t xml:space="preserve"> szóló (EU) [...] rendelet alkalmazásának kezdőnapjától kell alkalmazni.</w:t>
      </w:r>
    </w:p>
    <w:p w14:paraId="6D028D58" w14:textId="77777777" w:rsidR="00286E0D" w:rsidRPr="00392E80" w:rsidRDefault="00286E0D" w:rsidP="00286E0D">
      <w:pPr>
        <w:pStyle w:val="Applicationdirecte"/>
        <w:spacing w:before="120"/>
        <w:rPr>
          <w:noProof/>
          <w:szCs w:val="24"/>
        </w:rPr>
      </w:pPr>
      <w:r w:rsidRPr="00392E80">
        <w:rPr>
          <w:noProof/>
        </w:rPr>
        <w:t>Ez a rendelet a Szerződéseknek megfelelően teljes egészében kötelező és közvetlenül alkalmazandó a tagállamokban.</w:t>
      </w:r>
    </w:p>
    <w:p w14:paraId="15F55F35" w14:textId="2BD9B79F" w:rsidR="00286E0D" w:rsidRPr="00392E80" w:rsidRDefault="00827738" w:rsidP="00554EDD">
      <w:pPr>
        <w:pStyle w:val="Fait"/>
        <w:rPr>
          <w:noProof/>
        </w:rPr>
      </w:pPr>
      <w:r>
        <w:rPr>
          <w:noProof/>
        </w:rPr>
        <w:t>Kelt Brüsszelben, -án/-én.</w:t>
      </w:r>
    </w:p>
    <w:p w14:paraId="50B73B1B" w14:textId="77777777" w:rsidR="00363133" w:rsidRPr="00392E80" w:rsidRDefault="00363133" w:rsidP="00554EDD">
      <w:pPr>
        <w:pStyle w:val="Institutionquisigne"/>
        <w:rPr>
          <w:noProof/>
        </w:rPr>
      </w:pPr>
      <w:r w:rsidRPr="00392E80">
        <w:rPr>
          <w:noProof/>
        </w:rPr>
        <w:t>az Európai Parlament részéről</w:t>
      </w:r>
      <w:r w:rsidRPr="00392E80">
        <w:rPr>
          <w:noProof/>
        </w:rPr>
        <w:tab/>
        <w:t>a Tanács részéről</w:t>
      </w:r>
    </w:p>
    <w:p w14:paraId="20635673" w14:textId="77777777" w:rsidR="00363133" w:rsidRPr="00392E80" w:rsidRDefault="00363133" w:rsidP="00363133">
      <w:pPr>
        <w:pStyle w:val="Personnequisigne"/>
        <w:rPr>
          <w:noProof/>
        </w:rPr>
      </w:pPr>
      <w:r w:rsidRPr="00392E80">
        <w:rPr>
          <w:noProof/>
        </w:rPr>
        <w:t>az elnök</w:t>
      </w:r>
      <w:r w:rsidRPr="00392E80">
        <w:rPr>
          <w:noProof/>
        </w:rPr>
        <w:tab/>
        <w:t>az elnök</w:t>
      </w:r>
    </w:p>
    <w:sectPr w:rsidR="00363133" w:rsidRPr="00392E80" w:rsidSect="00192D20">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E3C1" w14:textId="77777777" w:rsidR="00DE4B8E" w:rsidRDefault="00DE4B8E" w:rsidP="00286E0D">
      <w:pPr>
        <w:spacing w:before="0" w:after="0"/>
      </w:pPr>
      <w:r>
        <w:separator/>
      </w:r>
    </w:p>
  </w:endnote>
  <w:endnote w:type="continuationSeparator" w:id="0">
    <w:p w14:paraId="1C0FADCC" w14:textId="77777777" w:rsidR="00DE4B8E" w:rsidRDefault="00DE4B8E"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F47C" w14:textId="64C23629" w:rsidR="00192D20" w:rsidRPr="00192D20" w:rsidRDefault="00192D20" w:rsidP="00192D20">
    <w:pPr>
      <w:pStyle w:val="Footer"/>
      <w:rPr>
        <w:rFonts w:ascii="Arial" w:hAnsi="Arial" w:cs="Arial"/>
        <w:b/>
        <w:sz w:val="48"/>
      </w:rPr>
    </w:pPr>
    <w:r w:rsidRPr="00192D20">
      <w:rPr>
        <w:rFonts w:ascii="Arial" w:hAnsi="Arial" w:cs="Arial"/>
        <w:b/>
        <w:sz w:val="48"/>
      </w:rPr>
      <w:t>HU</w:t>
    </w:r>
    <w:r w:rsidRPr="00192D20">
      <w:rPr>
        <w:rFonts w:ascii="Arial" w:hAnsi="Arial" w:cs="Arial"/>
        <w:b/>
        <w:sz w:val="48"/>
      </w:rPr>
      <w:tab/>
    </w:r>
    <w:r w:rsidRPr="00192D20">
      <w:rPr>
        <w:rFonts w:ascii="Arial" w:hAnsi="Arial" w:cs="Arial"/>
        <w:b/>
        <w:sz w:val="48"/>
      </w:rPr>
      <w:tab/>
    </w:r>
    <w:r w:rsidRPr="00192D20">
      <w:tab/>
    </w:r>
    <w:r w:rsidRPr="00192D20">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59EE" w14:textId="4E1D2B24" w:rsidR="00192D20" w:rsidRPr="00192D20" w:rsidRDefault="00192D20" w:rsidP="00192D20">
    <w:pPr>
      <w:pStyle w:val="Footer"/>
      <w:rPr>
        <w:rFonts w:ascii="Arial" w:hAnsi="Arial" w:cs="Arial"/>
        <w:b/>
        <w:sz w:val="48"/>
      </w:rPr>
    </w:pPr>
    <w:r w:rsidRPr="00192D20">
      <w:rPr>
        <w:rFonts w:ascii="Arial" w:hAnsi="Arial" w:cs="Arial"/>
        <w:b/>
        <w:sz w:val="48"/>
      </w:rPr>
      <w:t>HU</w:t>
    </w:r>
    <w:r w:rsidRPr="00192D20">
      <w:rPr>
        <w:rFonts w:ascii="Arial" w:hAnsi="Arial" w:cs="Arial"/>
        <w:b/>
        <w:sz w:val="48"/>
      </w:rPr>
      <w:tab/>
    </w:r>
    <w:r w:rsidRPr="00192D20">
      <w:rPr>
        <w:rFonts w:ascii="Arial" w:hAnsi="Arial" w:cs="Arial"/>
        <w:b/>
        <w:sz w:val="48"/>
      </w:rPr>
      <w:tab/>
    </w:r>
    <w:r w:rsidRPr="00192D20">
      <w:tab/>
    </w:r>
    <w:r w:rsidRPr="00192D20">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A2D5" w14:textId="77777777" w:rsidR="00192D20" w:rsidRDefault="00192D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9CD9" w14:textId="1E3A4926" w:rsidR="00192D20" w:rsidRPr="00192D20" w:rsidRDefault="00192D20" w:rsidP="00192D20">
    <w:pPr>
      <w:pStyle w:val="Footer"/>
      <w:rPr>
        <w:rFonts w:ascii="Arial" w:hAnsi="Arial" w:cs="Arial"/>
        <w:b/>
        <w:sz w:val="48"/>
      </w:rPr>
    </w:pPr>
    <w:r w:rsidRPr="00192D20">
      <w:rPr>
        <w:rFonts w:ascii="Arial" w:hAnsi="Arial" w:cs="Arial"/>
        <w:b/>
        <w:sz w:val="48"/>
      </w:rPr>
      <w:t>HU</w:t>
    </w:r>
    <w:r w:rsidRPr="00192D20">
      <w:rPr>
        <w:rFonts w:ascii="Arial" w:hAnsi="Arial" w:cs="Arial"/>
        <w:b/>
        <w:sz w:val="48"/>
      </w:rPr>
      <w:tab/>
    </w:r>
    <w:r>
      <w:fldChar w:fldCharType="begin"/>
    </w:r>
    <w:r>
      <w:instrText xml:space="preserve"> PAGE  \* MERGEFORMAT </w:instrText>
    </w:r>
    <w:r>
      <w:fldChar w:fldCharType="separate"/>
    </w:r>
    <w:r w:rsidR="00554EDD">
      <w:rPr>
        <w:noProof/>
      </w:rPr>
      <w:t>19</w:t>
    </w:r>
    <w:r>
      <w:fldChar w:fldCharType="end"/>
    </w:r>
    <w:r>
      <w:tab/>
    </w:r>
    <w:r w:rsidRPr="00192D20">
      <w:tab/>
    </w:r>
    <w:r w:rsidRPr="00192D20">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018C" w14:textId="77777777" w:rsidR="00192D20" w:rsidRDefault="00192D20" w:rsidP="0019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2D7D" w14:textId="77777777" w:rsidR="00DE4B8E" w:rsidRDefault="00DE4B8E" w:rsidP="00286E0D">
      <w:pPr>
        <w:spacing w:before="0" w:after="0"/>
      </w:pPr>
      <w:r>
        <w:separator/>
      </w:r>
    </w:p>
  </w:footnote>
  <w:footnote w:type="continuationSeparator" w:id="0">
    <w:p w14:paraId="3546CB52" w14:textId="77777777" w:rsidR="00DE4B8E" w:rsidRDefault="00DE4B8E" w:rsidP="00286E0D">
      <w:pPr>
        <w:spacing w:before="0" w:after="0"/>
      </w:pPr>
      <w:r>
        <w:continuationSeparator/>
      </w:r>
    </w:p>
  </w:footnote>
  <w:footnote w:id="1">
    <w:p w14:paraId="70CC9307" w14:textId="0B3DA6E9" w:rsidR="008C306E" w:rsidRPr="00FA3905" w:rsidRDefault="008C306E" w:rsidP="008C306E">
      <w:pPr>
        <w:pStyle w:val="FootnoteText"/>
      </w:pPr>
      <w:r>
        <w:rPr>
          <w:rStyle w:val="FootnoteReference"/>
        </w:rPr>
        <w:footnoteRef/>
      </w:r>
      <w:r>
        <w:tab/>
        <w:t>Az Európai Parlament és a Tanács rendelete (2024. május 14.) a harmadik országbeli állampolgárok külső határokon történő előszűrésének bevezetéséről, valamint a 767/2008/EK, az (EU) 2017/2226, az (EU) 2018/1240 és az (EU) 2019/817 rendelet módosításáról (HL L, 2024/1356, 2024.5.22., ELI: </w:t>
      </w:r>
      <w:hyperlink r:id="rId1" w:tgtFrame="_blank" w:tooltip="Az ELI (európai jogszabály-azonosító) URI-hivatkozása révén biztosít hozzáférést a dokumentumhoz." w:history="1">
        <w:r>
          <w:rPr>
            <w:rStyle w:val="Hyperlink"/>
          </w:rPr>
          <w:t>http://data.europa.eu/eli/reg/2024/1356/oj</w:t>
        </w:r>
      </w:hyperlink>
      <w:r>
        <w:t>).</w:t>
      </w:r>
    </w:p>
  </w:footnote>
  <w:footnote w:id="2">
    <w:p w14:paraId="7331594B" w14:textId="5738F4E3" w:rsidR="00EB6497" w:rsidRPr="002F57CD" w:rsidRDefault="00EB6497" w:rsidP="00EB6497">
      <w:pPr>
        <w:pStyle w:val="FootnoteText"/>
      </w:pPr>
      <w:r>
        <w:rPr>
          <w:rStyle w:val="FootnoteReference"/>
        </w:rPr>
        <w:footnoteRef/>
      </w:r>
      <w:r>
        <w:tab/>
        <w:t>Az Európai Parlament és a Tanács (EU) 2021/1148 rendelete (2021. július 7.) a határigazgatás és a vízumpolitika pénzügyi támogatására szolgáló eszköznek az Integrált Határigazgatási Alap részeként történő létrehozásáról.</w:t>
      </w:r>
    </w:p>
  </w:footnote>
  <w:footnote w:id="3">
    <w:p w14:paraId="6343CBFD" w14:textId="77777777" w:rsidR="00970B74" w:rsidRPr="00970B74" w:rsidRDefault="00653241" w:rsidP="00970B74">
      <w:pPr>
        <w:pStyle w:val="FootnoteText"/>
        <w:rPr>
          <w:b/>
          <w:bCs/>
        </w:rPr>
      </w:pPr>
      <w:r>
        <w:rPr>
          <w:rStyle w:val="FootnoteReference"/>
        </w:rPr>
        <w:footnoteRef/>
      </w:r>
      <w:r>
        <w:tab/>
        <w:t>Az Európai Parlament és a Tanács (EU) 2024/1351 rendelete (2024. május 14.) a menekültügy és a migráció kezeléséről, az (EU) 2021/1147 és az (EU) 2021/1060 rendelet módosításáról, valamint a 604/2013/EU rendelet hatályon kívül helyezéséről (HL L, 2024/1351, 2024.5.22., ELI:</w:t>
      </w:r>
      <w:r>
        <w:rPr>
          <w:b/>
        </w:rPr>
        <w:t> </w:t>
      </w:r>
      <w:hyperlink r:id="rId2" w:tgtFrame="_blank" w:tooltip="Az ELI (európai jogszabály-azonosító) URI-hivatkozása révén biztosít hozzáférést a dokumentumhoz." w:history="1">
        <w:r>
          <w:rPr>
            <w:rStyle w:val="Hyperlink"/>
            <w:b/>
          </w:rPr>
          <w:t>http://data.europa.eu/eli/reg/2024/1351/oj</w:t>
        </w:r>
      </w:hyperlink>
      <w:r>
        <w:t>).</w:t>
      </w:r>
    </w:p>
    <w:p w14:paraId="473B85DC" w14:textId="3AF592A2" w:rsidR="00286E0D" w:rsidRPr="00112A8A" w:rsidRDefault="00286E0D" w:rsidP="00D274F9">
      <w:pPr>
        <w:pStyle w:val="FootnoteText"/>
        <w:rPr>
          <w:lang w:val="en-IE"/>
        </w:rPr>
      </w:pPr>
    </w:p>
  </w:footnote>
  <w:footnote w:id="4">
    <w:p w14:paraId="518B2D40" w14:textId="77777777" w:rsidR="00286E0D" w:rsidRPr="00431333" w:rsidRDefault="00286E0D" w:rsidP="00286E0D">
      <w:pPr>
        <w:pStyle w:val="FootnoteText"/>
      </w:pPr>
      <w:r>
        <w:rPr>
          <w:rStyle w:val="FootnoteReference"/>
        </w:rPr>
        <w:footnoteRef/>
      </w:r>
      <w:r>
        <w:tab/>
        <w:t>HL C , , o. .</w:t>
      </w:r>
    </w:p>
  </w:footnote>
  <w:footnote w:id="5">
    <w:p w14:paraId="6353D267" w14:textId="77777777" w:rsidR="00286E0D" w:rsidRPr="008B2F77" w:rsidRDefault="00286E0D" w:rsidP="00286E0D">
      <w:pPr>
        <w:pStyle w:val="FootnoteText"/>
      </w:pPr>
      <w:r>
        <w:rPr>
          <w:rStyle w:val="FootnoteReference"/>
        </w:rPr>
        <w:footnoteRef/>
      </w:r>
      <w:r>
        <w:tab/>
        <w:t>Az Európai Parlament …-i álláspontja és a Tanács …-i álláspontja.</w:t>
      </w:r>
    </w:p>
  </w:footnote>
  <w:footnote w:id="6">
    <w:p w14:paraId="21BBB7AD" w14:textId="77777777" w:rsidR="00286E0D" w:rsidRPr="00A60815" w:rsidRDefault="00286E0D" w:rsidP="00286E0D">
      <w:pPr>
        <w:pStyle w:val="FootnoteText"/>
      </w:pPr>
      <w:r>
        <w:rPr>
          <w:rStyle w:val="FootnoteReference"/>
        </w:rPr>
        <w:footnoteRef/>
      </w:r>
      <w:r>
        <w:tab/>
        <w:t>Az Európai Parlament és a Tanács (EU) 2019/1896 rendelete (2019. november 13.) az Európai Határ- és Parti Őrségről, valamint az 1052/2013/EU és az (EU) 2016/1624 rendelet hatályon kívül helyezéséről (HL L 295., 2019.11.14., 1. o.,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HL L 144., 2007.6.6., 22. o.</w:t>
      </w:r>
    </w:p>
  </w:footnote>
  <w:footnote w:id="8">
    <w:p w14:paraId="4428EE6F" w14:textId="77777777" w:rsidR="00286E0D" w:rsidRPr="003A4850" w:rsidRDefault="00286E0D" w:rsidP="00286E0D">
      <w:pPr>
        <w:pStyle w:val="FootnoteText"/>
      </w:pPr>
      <w:r>
        <w:rPr>
          <w:rStyle w:val="FootnoteReference"/>
        </w:rPr>
        <w:footnoteRef/>
      </w:r>
      <w:r>
        <w:tab/>
        <w:t xml:space="preserve">Az Európai Parlament és a Tanács 515/2014/EU rendelete (2014. április 16.) a Belső Biztonsági Alap részét képező, a külső határok és a vízumügy pénzügyi támogatására szolgáló eszköz létrehozásáról és az 574/2007/EK határozat hatályon kívül helyezéséről (HL L 150., 2014.5.20., 143. o.,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Az Európai Parlament és a Tanács (EU) 2021/1148 rendelete (2021. július 7.) a határigazgatás és a vízumpolitika pénzügyi támogatására szolgáló eszköznek az Integrált Határigazgatási Alap részeként történő létrehozásáról (HL L 251., 2021.7.15., 48. o.,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A Bizottság közleménye az Európai Parlamentnek és a Tanácsnak a migráció fegyverként való felhasználásából eredő hibrid fenyegetésekkel szembeni fellépésről és az EU külső határai biztonságának megerősítéséről (COM(2024) 570 final, 2024.12.11.).</w:t>
      </w:r>
    </w:p>
  </w:footnote>
  <w:footnote w:id="11">
    <w:p w14:paraId="2178D4C2" w14:textId="77777777" w:rsidR="00286E0D" w:rsidRPr="009D6D48" w:rsidRDefault="00286E0D" w:rsidP="00286E0D">
      <w:pPr>
        <w:pStyle w:val="FootnoteText"/>
      </w:pPr>
      <w:r>
        <w:rPr>
          <w:rStyle w:val="FootnoteReference"/>
        </w:rPr>
        <w:footnoteRef/>
      </w:r>
      <w:r>
        <w:tab/>
        <w:t xml:space="preserve">Az Európai Parlament és a Tanács (EU) 2018/1240 rendelete (2018. szeptember 12.) az Európai Utasinformációs és Engedélyezési Rendszer (ETIAS) létrehozásáról, valamint az 1077/2011/EU rendelet, az 515/2014/EU rendelet, az (EU) 2016/399 rendelet, az (EU) 2016/1624 rendelet és az (EU) 2017/2226 rendelet módosításáról (HL L 236., 2018.9.19., 1. o.,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Az Európai Parlament és a Tanács (EU) 2024/1351 rendelete (2024. május 14.) a menekültügy és a migráció kezeléséről, az (EU) 2021/1147 és az (EU) 2021/1060 rendelet módosításáról, valamint a 604/2013/EU rendelet hatályon kívül helyezéséről (HL L, 2024/1351, 2024.5.22.,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 Cseh Köztársaság, az Észt Köztársaság, a Ciprusi Köztársaság, a Lett Köztársaság, a Litván Köztársaság, a Magyar Köztársaság, a Máltai Köztársaság, a Lengyel Köztársaság, a Szlovén Köztársaság és a Szlovák Köztársaság csatlakozásának feltételeiről, valamint az Európai Unió alapját képező szerződések kiigazításáról szóló okmány (HL L 236., 2003.9.23., 955. o.,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A Tanács 693/2003/EK rendelete (2003. április 14.) egyszerűsített átutazási okmány (FTD) és egyszerűsített vasúti átutazási okmány (FRTD) létrehozásáról, valamint a Közös Konzuli Utasítás és a Közös Kézikönyv módosításáról (HL L 99., 2003.4.17., 8. o.,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HL L 176., 1999.7.10., 36. o.</w:t>
      </w:r>
    </w:p>
  </w:footnote>
  <w:footnote w:id="16">
    <w:p w14:paraId="0ED6C216" w14:textId="77777777" w:rsidR="00286E0D" w:rsidRPr="009D6D48" w:rsidRDefault="00286E0D" w:rsidP="00286E0D">
      <w:pPr>
        <w:pStyle w:val="FootnoteText"/>
      </w:pPr>
      <w:r>
        <w:rPr>
          <w:rStyle w:val="FootnoteReference"/>
        </w:rPr>
        <w:footnoteRef/>
      </w:r>
      <w:r>
        <w:tab/>
        <w:t xml:space="preserve">A Tanács 1999/437/EK határozata (1999. május 17.) az Európai Unió Tanácsa, valamint az Izlandi Köztársaság és a Norvég Királyság között, e két államnak a schengeni vívmányok végrehajtására, alkalmazására és fejlesztésére irányuló társulásáról kötött megállapodás alkalmazását szolgáló egyes szabályokról (HL L 176., 1999.7.10., 31. o.,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HL L 53., 2008.2.27., 52. o.</w:t>
      </w:r>
    </w:p>
  </w:footnote>
  <w:footnote w:id="18">
    <w:p w14:paraId="41D47FF0" w14:textId="77777777" w:rsidR="00286E0D" w:rsidRPr="009D6D48" w:rsidRDefault="00286E0D" w:rsidP="00286E0D">
      <w:pPr>
        <w:pStyle w:val="FootnoteText"/>
      </w:pPr>
      <w:r>
        <w:rPr>
          <w:rStyle w:val="FootnoteReference"/>
        </w:rPr>
        <w:footnoteRef/>
      </w:r>
      <w:r>
        <w:tab/>
        <w:t xml:space="preserve">A Tanács 2008/146/EK határozata (2008. január 28.) az Európai Unió, az Európai Közösség és a Svájci Államszövetség közötti, a Svájci Államszövetségnek a schengeni vívmányok végrehajtására, alkalmazására és fejlesztésére irányuló társulásáról szóló megállapodásnak az Európai Közösség nevében történő megkötéséről (HL L 53., 2008.2.27., 1. o.,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HL L 160., 2011.6.18., 21. o.,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A Tanács 2011/350/EU határozata (2011. március 7.) az Európai Unió, az Európai Közösség, a Svájci Államszövetség és a Liechtensteini Hercegség közötti, a Liechtensteini Hercegségnek az Európai Unió, az Európai Közösség és a Svájci Államszövetség közötti, a Svájci Államszövetségnek a schengeni vívmányok végrehajtására, alkalmazására és fejlesztésére irányuló, különösen a belső határokon történő ellenőrzés megszüntetéséhez és a személyek mozgásához kapcsolódó társulásáról szóló megállapodáshoz való csatlakozásáról szóló jegyzőkönyvnek az Európai Unió nevében történő megkötéséről (HL L 160., 2011.6.18., 19. o.,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A Tanács 2002/192/EK határozata (2002. február 28.) Írországnak a schengeni vívmányok egyes rendelkezései alkalmazásában való részvételére vonatkozó kéréséről (HL L 64., 2002.3.7., 20. o.,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Az Európai Parlament és a Tanács (EU) 2016/399 rendelete (2016. március 9.) a személyek határátlépésére irányadó szabályok uniós kódexéről (Schengeni határellenőrzési kódex) (kodifikált szöveg) (HL L 77., 2016.3.23., 1. o.,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Az Európai Parlament és a Tanács (EU) 2019/1896 rendelete (2019. november 13.) az Európai Határ- és Parti Őrségről, valamint az 1052/2013/EU és az (EU) 2016/1624 rendelet hatályon kívül helyezéséről (HL L 295., 2019.11.14., 1. o.).</w:t>
      </w:r>
    </w:p>
  </w:footnote>
  <w:footnote w:id="24">
    <w:p w14:paraId="37F054DE" w14:textId="77777777" w:rsidR="00286E0D" w:rsidRPr="009D63A2" w:rsidRDefault="00286E0D" w:rsidP="00286E0D">
      <w:pPr>
        <w:pStyle w:val="FootnoteText"/>
      </w:pPr>
      <w:r>
        <w:rPr>
          <w:rStyle w:val="FootnoteReference"/>
        </w:rPr>
        <w:footnoteRef/>
      </w:r>
      <w:r>
        <w:tab/>
        <w:t>Az Európai Parlament és a Tanács (EU) 2016/399 rendelete (2016. március 9.) a személyek határátlépésére irányadó szabályok uniós kódexéről (Schengeni határellenőrzési kódex) (kodifikált szöveg) (HL L 77., 2016.3.23., 1. o.)</w:t>
      </w:r>
    </w:p>
  </w:footnote>
  <w:footnote w:id="25">
    <w:p w14:paraId="19F49142" w14:textId="77777777" w:rsidR="00286E0D" w:rsidRPr="009D63A2" w:rsidRDefault="00286E0D" w:rsidP="00286E0D">
      <w:pPr>
        <w:pStyle w:val="FootnoteText"/>
      </w:pPr>
      <w:r>
        <w:rPr>
          <w:rStyle w:val="FootnoteReference"/>
        </w:rPr>
        <w:footnoteRef/>
      </w:r>
      <w:r>
        <w:tab/>
        <w:t>Az Európai Parlament és a Tanács (EU) 2019/1896 rendelete (2019. november 13.) az Európai Határ- és Parti Őrségről, valamint az 1052/2013/EU és az (EU) 2016/1624 rendelet hatályon kívül helyezéséről (HL L 295., 2019.11.14., 1. o.).</w:t>
      </w:r>
    </w:p>
  </w:footnote>
  <w:footnote w:id="26">
    <w:p w14:paraId="567544D3" w14:textId="77777777" w:rsidR="00286E0D" w:rsidRPr="008665C8" w:rsidRDefault="00286E0D" w:rsidP="00D274F9">
      <w:pPr>
        <w:pStyle w:val="FootnoteText"/>
      </w:pPr>
      <w:r>
        <w:rPr>
          <w:rStyle w:val="FootnoteReference"/>
        </w:rPr>
        <w:footnoteRef/>
      </w:r>
      <w:r>
        <w:tab/>
        <w:t>Az Európai Parlament és a Tanács 810/2009/EK rendelete (2009. július 13.) a Közösségi Vízumkódex létrehozásáról (vízumkódex) (HL L 243., 2009.9.15., 1. o.,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4B5A" w14:textId="77777777" w:rsidR="00192D20" w:rsidRDefault="0019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2508" w14:textId="77777777" w:rsidR="00192D20" w:rsidRDefault="00192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3"/>
  </w:num>
  <w:num w:numId="18">
    <w:abstractNumId w:val="12"/>
  </w:num>
  <w:num w:numId="19">
    <w:abstractNumId w:val="26"/>
  </w:num>
  <w:num w:numId="20">
    <w:abstractNumId w:val="6"/>
  </w:num>
  <w:num w:numId="21">
    <w:abstractNumId w:val="13"/>
  </w:num>
  <w:num w:numId="22">
    <w:abstractNumId w:val="14"/>
  </w:num>
  <w:num w:numId="23">
    <w:abstractNumId w:val="4"/>
  </w:num>
  <w:num w:numId="24">
    <w:abstractNumId w:val="25"/>
  </w:num>
  <w:num w:numId="25">
    <w:abstractNumId w:val="3"/>
  </w:num>
  <w:num w:numId="26">
    <w:abstractNumId w:val="15"/>
  </w:num>
  <w:num w:numId="27">
    <w:abstractNumId w:val="21"/>
  </w:num>
  <w:num w:numId="28">
    <w:abstractNumId w:val="22"/>
  </w:num>
  <w:num w:numId="29">
    <w:abstractNumId w:val="5"/>
  </w:num>
  <w:num w:numId="30">
    <w:abstractNumId w:val="19"/>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1A9074E-45A6-4CFF-8C10-325EE08D4691"/>
    <w:docVar w:name="LW_COVERPAGE_TYPE" w:val="1"/>
    <w:docVar w:name="LW_CreatedUtc" w:val="2025-06-30T13:55:55.3687810Z"/>
    <w:docVar w:name="LW_CROSSREFERENCE" w:val="&lt;UNUSED&gt;"/>
    <w:docVar w:name="LW_DocType" w:val="COM"/>
    <w:docVar w:name="LW_EMISSION" w:val="2025.7.16."/>
    <w:docVar w:name="LW_EMISSION_ISODATE" w:val="2025-07-16"/>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schengeni térség, az európai integrált határigazgatás és a közös vízumpolitika uniós támogatásának a 2028\u8211?2034-es id\u337?szakra történ\u337? létrehozásáról"/>
    <w:docVar w:name="LW_TYPE.DOC.CP" w:val="AZ EURÓPAI PARLAMENT ÉS A TANÁCS RENDELETE"/>
    <w:docVar w:name="LwApiVersions" w:val="LW4CoDe 1.24.5.0; LW 9.0, Build 20240221"/>
  </w:docVars>
  <w:rsids>
    <w:rsidRoot w:val="00286E0D"/>
    <w:rsid w:val="000004BB"/>
    <w:rsid w:val="000011DD"/>
    <w:rsid w:val="00010C77"/>
    <w:rsid w:val="00015B47"/>
    <w:rsid w:val="0002201E"/>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1459"/>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1D88"/>
    <w:rsid w:val="001925FD"/>
    <w:rsid w:val="00192D20"/>
    <w:rsid w:val="001968BA"/>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02F3"/>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2E80"/>
    <w:rsid w:val="003950D1"/>
    <w:rsid w:val="00395DD3"/>
    <w:rsid w:val="003A026B"/>
    <w:rsid w:val="003A13B3"/>
    <w:rsid w:val="003A1ADE"/>
    <w:rsid w:val="003A2F49"/>
    <w:rsid w:val="003A7625"/>
    <w:rsid w:val="003B4DFC"/>
    <w:rsid w:val="003B5028"/>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4FB8"/>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4E30"/>
    <w:rsid w:val="00525087"/>
    <w:rsid w:val="00530FD2"/>
    <w:rsid w:val="00535056"/>
    <w:rsid w:val="005422CD"/>
    <w:rsid w:val="00544046"/>
    <w:rsid w:val="0054414F"/>
    <w:rsid w:val="005507F3"/>
    <w:rsid w:val="00550BA8"/>
    <w:rsid w:val="0055181F"/>
    <w:rsid w:val="00554EDD"/>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A6DE8"/>
    <w:rsid w:val="005B1EB6"/>
    <w:rsid w:val="005B37BB"/>
    <w:rsid w:val="005B50B9"/>
    <w:rsid w:val="005B5BB7"/>
    <w:rsid w:val="005B6996"/>
    <w:rsid w:val="005C0A02"/>
    <w:rsid w:val="005C2118"/>
    <w:rsid w:val="005D0FC0"/>
    <w:rsid w:val="005E1147"/>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208F"/>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4EF8"/>
    <w:rsid w:val="006A7E7F"/>
    <w:rsid w:val="006B174B"/>
    <w:rsid w:val="006B3F48"/>
    <w:rsid w:val="006B76EE"/>
    <w:rsid w:val="006C107E"/>
    <w:rsid w:val="006C7EF4"/>
    <w:rsid w:val="006D4B5A"/>
    <w:rsid w:val="006D73C5"/>
    <w:rsid w:val="006F4E07"/>
    <w:rsid w:val="007021E5"/>
    <w:rsid w:val="00705404"/>
    <w:rsid w:val="00714637"/>
    <w:rsid w:val="00714D60"/>
    <w:rsid w:val="00715604"/>
    <w:rsid w:val="00720922"/>
    <w:rsid w:val="007241DB"/>
    <w:rsid w:val="00727B12"/>
    <w:rsid w:val="0073110B"/>
    <w:rsid w:val="00731D25"/>
    <w:rsid w:val="00737284"/>
    <w:rsid w:val="00750A27"/>
    <w:rsid w:val="007517F9"/>
    <w:rsid w:val="007571EF"/>
    <w:rsid w:val="00762310"/>
    <w:rsid w:val="00763746"/>
    <w:rsid w:val="00763BC2"/>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27738"/>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D7885"/>
    <w:rsid w:val="008E2F96"/>
    <w:rsid w:val="008E4D8E"/>
    <w:rsid w:val="008E5E5A"/>
    <w:rsid w:val="008F1C03"/>
    <w:rsid w:val="00911349"/>
    <w:rsid w:val="00912E63"/>
    <w:rsid w:val="0091314F"/>
    <w:rsid w:val="009135FC"/>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0E39"/>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A5284"/>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4D45"/>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047D"/>
    <w:rsid w:val="00D611FB"/>
    <w:rsid w:val="00D614DF"/>
    <w:rsid w:val="00D62300"/>
    <w:rsid w:val="00D72D1D"/>
    <w:rsid w:val="00D74F63"/>
    <w:rsid w:val="00D807C8"/>
    <w:rsid w:val="00D810BE"/>
    <w:rsid w:val="00D81B8C"/>
    <w:rsid w:val="00D8537E"/>
    <w:rsid w:val="00D91D9C"/>
    <w:rsid w:val="00D94093"/>
    <w:rsid w:val="00D94EBC"/>
    <w:rsid w:val="00DA0406"/>
    <w:rsid w:val="00DA0DFC"/>
    <w:rsid w:val="00DA3916"/>
    <w:rsid w:val="00DA7ED9"/>
    <w:rsid w:val="00DA7F4E"/>
    <w:rsid w:val="00DB12DF"/>
    <w:rsid w:val="00DB1D6F"/>
    <w:rsid w:val="00DB5CDB"/>
    <w:rsid w:val="00DC6F83"/>
    <w:rsid w:val="00DD664E"/>
    <w:rsid w:val="00DE01C6"/>
    <w:rsid w:val="00DE4B8E"/>
    <w:rsid w:val="00DE6516"/>
    <w:rsid w:val="00DE6BD0"/>
    <w:rsid w:val="00DF0C86"/>
    <w:rsid w:val="00DF12F9"/>
    <w:rsid w:val="00DF5074"/>
    <w:rsid w:val="00E247E3"/>
    <w:rsid w:val="00E24956"/>
    <w:rsid w:val="00E24A6F"/>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3F01"/>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0113"/>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E4329"/>
    <w:rsid w:val="00FF0E45"/>
    <w:rsid w:val="00FF4C9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hu-HU"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hu-HU"/>
    </w:rPr>
  </w:style>
  <w:style w:type="character" w:customStyle="1" w:styleId="FooterCoverPageChar">
    <w:name w:val="Footer Cover Page Char"/>
    <w:link w:val="FooterCoverPage"/>
    <w:rsid w:val="00286E0D"/>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hu-HU" w:eastAsia="en-GB"/>
    </w:rPr>
  </w:style>
  <w:style w:type="character" w:customStyle="1" w:styleId="FooterSensitivityChar">
    <w:name w:val="Footer Sensitivity Char"/>
    <w:rsid w:val="00286E0D"/>
    <w:rPr>
      <w:rFonts w:ascii="Times New Roman" w:hAnsi="Times New Roman" w:cs="Times New Roman"/>
      <w:b/>
      <w:sz w:val="32"/>
      <w:lang w:val="hu-HU"/>
    </w:rPr>
  </w:style>
  <w:style w:type="character" w:customStyle="1" w:styleId="HeaderSensitivityChar">
    <w:name w:val="Header Sensitivity Char"/>
    <w:rsid w:val="00286E0D"/>
    <w:rPr>
      <w:rFonts w:ascii="Times New Roman" w:hAnsi="Times New Roman" w:cs="Times New Roman"/>
      <w:b/>
      <w:sz w:val="32"/>
      <w:lang w:val="hu-HU"/>
    </w:rPr>
  </w:style>
  <w:style w:type="character" w:customStyle="1" w:styleId="HeaderSensitivityRightChar">
    <w:name w:val="Header Sensitivity Right Char"/>
    <w:rsid w:val="00286E0D"/>
    <w:rPr>
      <w:rFonts w:ascii="Times New Roman" w:hAnsi="Times New Roman" w:cs="Times New Roman"/>
      <w:sz w:val="28"/>
      <w:lang w:val="hu-HU"/>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hu-HU"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192D20"/>
    <w:rPr>
      <w:rFonts w:ascii="Times New Roman" w:hAnsi="Times New Roman" w:cs="Times New Roman"/>
      <w:sz w:val="24"/>
      <w:lang w:val="hu-HU"/>
    </w:rPr>
  </w:style>
  <w:style w:type="character" w:customStyle="1" w:styleId="FooterChar">
    <w:name w:val="Footer Char"/>
    <w:basedOn w:val="DefaultParagraphFont"/>
    <w:link w:val="Footer"/>
    <w:uiPriority w:val="99"/>
    <w:rsid w:val="00192D20"/>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2D2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2D20"/>
    <w:pPr>
      <w:spacing w:before="0"/>
      <w:jc w:val="right"/>
    </w:pPr>
    <w:rPr>
      <w:sz w:val="28"/>
    </w:rPr>
  </w:style>
  <w:style w:type="paragraph" w:customStyle="1" w:styleId="FooterSensitivity">
    <w:name w:val="Footer Sensitivity"/>
    <w:basedOn w:val="Normal"/>
    <w:rsid w:val="00192D2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92D20"/>
    <w:pPr>
      <w:tabs>
        <w:tab w:val="center" w:pos="4535"/>
        <w:tab w:val="right" w:pos="9071"/>
      </w:tabs>
      <w:spacing w:before="0"/>
    </w:pPr>
  </w:style>
  <w:style w:type="paragraph" w:customStyle="1" w:styleId="HeaderLandscape">
    <w:name w:val="HeaderLandscape"/>
    <w:basedOn w:val="Normal"/>
    <w:rsid w:val="00192D20"/>
    <w:pPr>
      <w:tabs>
        <w:tab w:val="center" w:pos="7285"/>
        <w:tab w:val="right" w:pos="14003"/>
      </w:tabs>
      <w:spacing w:before="0"/>
    </w:pPr>
  </w:style>
  <w:style w:type="paragraph" w:styleId="Footer">
    <w:name w:val="footer"/>
    <w:basedOn w:val="Normal"/>
    <w:link w:val="FooterChar"/>
    <w:uiPriority w:val="99"/>
    <w:unhideWhenUsed/>
    <w:rsid w:val="00192D2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92D2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AA26-93E4-4078-8B8A-99E0978E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63</TotalTime>
  <Pages>11</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45</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