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0B9C2724" w:rsidR="00286E0D" w:rsidRPr="00C60498" w:rsidRDefault="00D15DC8" w:rsidP="00D15DC8">
      <w:pPr>
        <w:pStyle w:val="Pagedecouverture"/>
        <w:rPr>
          <w:noProof/>
        </w:rPr>
      </w:pPr>
      <w:r>
        <w:rPr>
          <w:noProof/>
        </w:rPr>
        <w:pict w14:anchorId="6857C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F3D3B2D-B7DF-4803-8EE5-F954565EB3CA" style="width:455.25pt;height:369.75pt">
            <v:imagedata r:id="rId8" o:title=""/>
          </v:shape>
        </w:pict>
      </w:r>
    </w:p>
    <w:p w14:paraId="0D2B0620" w14:textId="77777777" w:rsidR="00286E0D" w:rsidRPr="00C60498" w:rsidRDefault="00286E0D" w:rsidP="00286E0D">
      <w:pPr>
        <w:rPr>
          <w:noProof/>
        </w:rPr>
        <w:sectPr w:rsidR="00286E0D" w:rsidRPr="00C60498" w:rsidSect="00D15DC8">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C60498" w:rsidRDefault="00286E0D" w:rsidP="00286E0D">
      <w:pPr>
        <w:pStyle w:val="Exposdesmotifstitre"/>
        <w:rPr>
          <w:noProof/>
        </w:rPr>
      </w:pPr>
      <w:bookmarkStart w:id="0" w:name="_GoBack"/>
      <w:bookmarkEnd w:id="0"/>
      <w:r w:rsidRPr="00C60498">
        <w:rPr>
          <w:noProof/>
        </w:rPr>
        <w:lastRenderedPageBreak/>
        <w:t>ΑΙΤΙΟΛΟΓΙΚΗ ΕΚΘΕΣΗ</w:t>
      </w:r>
    </w:p>
    <w:p w14:paraId="1D44F294" w14:textId="77777777" w:rsidR="00286E0D" w:rsidRPr="00C60498" w:rsidRDefault="00286E0D" w:rsidP="00286E0D">
      <w:pPr>
        <w:rPr>
          <w:noProof/>
        </w:rPr>
      </w:pPr>
    </w:p>
    <w:p w14:paraId="791ACC5D" w14:textId="77777777" w:rsidR="00286E0D" w:rsidRPr="00C60498" w:rsidRDefault="00286E0D" w:rsidP="00286E0D">
      <w:pPr>
        <w:pStyle w:val="ManualHeading1"/>
        <w:rPr>
          <w:noProof/>
        </w:rPr>
      </w:pPr>
      <w:r w:rsidRPr="00C60498">
        <w:rPr>
          <w:noProof/>
        </w:rPr>
        <w:t>1.</w:t>
      </w:r>
      <w:r w:rsidRPr="00C60498">
        <w:rPr>
          <w:noProof/>
        </w:rPr>
        <w:tab/>
        <w:t>ΠΛΑΙΣΙΟ ΤΗΣ ΠΡΟΤΑΣΗΣ</w:t>
      </w:r>
    </w:p>
    <w:p w14:paraId="141EF942" w14:textId="77777777" w:rsidR="00286E0D" w:rsidRPr="00C60498" w:rsidRDefault="00286E0D" w:rsidP="00286E0D">
      <w:pPr>
        <w:pStyle w:val="ManualHeading2"/>
        <w:rPr>
          <w:rFonts w:eastAsia="Arial Unicode MS"/>
          <w:noProof/>
        </w:rPr>
      </w:pPr>
      <w:r w:rsidRPr="00C60498">
        <w:rPr>
          <w:noProof/>
          <w:color w:val="000000"/>
          <w:u w:color="000000"/>
          <w:bdr w:val="nil"/>
        </w:rPr>
        <w:t>•</w:t>
      </w:r>
      <w:r w:rsidRPr="00C60498">
        <w:rPr>
          <w:noProof/>
        </w:rPr>
        <w:tab/>
        <w:t xml:space="preserve">Αιτιολόγηση και στόχοι </w:t>
      </w:r>
    </w:p>
    <w:p w14:paraId="034D1AFE" w14:textId="77777777" w:rsidR="004D75E7" w:rsidRPr="00C60498" w:rsidRDefault="00B9223C" w:rsidP="004D75E7">
      <w:pPr>
        <w:rPr>
          <w:noProof/>
        </w:rPr>
      </w:pPr>
      <w:r w:rsidRPr="00C60498">
        <w:rPr>
          <w:noProof/>
        </w:rPr>
        <w:t xml:space="preserve">Οι πολιτικές κατευθύνσεις της Επιτροπής για την περίοδο 2024-2029 τονίζουν την ανάγκη να διασφαλιστεί ένας ολοκληρωμένος και πλήρως λειτουργικός χώρος Σένγκεν χωρίς ελέγχους στα εσωτερικά σύνορα μέσω ασφαλέστερων εξωτερικών συνόρων, με προτεραιότητα στην ασφάλεια, στη διαχείριση της μετανάστευσης και στην αποδοτικότητα. Η ευρωπαϊκή ολοκληρωμένη διαχείριση των συνόρων βρίσκεται στο επίκεντρο αυτών των προσπαθειών, διασφαλίζοντας τη συνοχή μεταξύ διασυνδεδεμένων τομέων πολιτικής, όπως των συνόρων, των επιστροφών και της επιτήρησης, καθώς και μεταξύ του Frontex και των εθνικών αρχών που είναι αρμόδιες για τη διαχείριση των εξωτερικών συνόρων της ΕΕ. Όσον αφορά την εφαρμογή, το πλαίσιο διακυβέρνησης Σένγκεν, το οποίο υποστηρίζεται από τις αξιολογήσεις Σένγκεν, παρέχει πολιτική και στρατηγική καθοδήγηση για την ανάπτυξη του χώρου Σένγκεν, διασφαλίζοντας ότι εφαρμόζονται βασικές πρωτοβουλίες, όπως η διαλειτουργικότητα των συστημάτων τεχνολογίας πληροφοριών (στο εξής: ΤΠ) και οι σχετικοί κανόνες, και ότι εντοπίζονται και διορθώνονται οι συστηματικές ελλείψεις. Αυτό αναμένεται να δημιουργήσει ένα ισχυρό αίσθημα κοινής ευθύνης και αμοιβαίας εμπιστοσύνης μεταξύ των κρατών μελών και των συνδεδεμένων χωρών Σένγκεν. </w:t>
      </w:r>
    </w:p>
    <w:p w14:paraId="401136B9" w14:textId="77777777" w:rsidR="00D81B8C" w:rsidRPr="00C60498" w:rsidRDefault="00B9223C" w:rsidP="00B9223C">
      <w:pPr>
        <w:rPr>
          <w:noProof/>
        </w:rPr>
      </w:pPr>
      <w:r w:rsidRPr="00C60498">
        <w:rPr>
          <w:noProof/>
        </w:rPr>
        <w:t xml:space="preserve">Το γεωπολιτικό πλαίσιο της Ευρώπης έχει αλλάξει σημαντικά, επηρεάζοντας σοβαρά τη διαχείριση των εξωτερικών συνόρων της Ένωσης. Η αύξηση των </w:t>
      </w:r>
      <w:bookmarkStart w:id="1" w:name="_Hlk202820988"/>
      <w:r w:rsidRPr="00C60498">
        <w:rPr>
          <w:noProof/>
        </w:rPr>
        <w:t xml:space="preserve">υβριδικών και άλλων απειλών για την ασφάλεια, συμπεριλαμβανομένης της χρήσης της μετανάστευσης ως όπλου, </w:t>
      </w:r>
      <w:bookmarkEnd w:id="1"/>
      <w:r w:rsidRPr="00C60498">
        <w:rPr>
          <w:noProof/>
        </w:rPr>
        <w:t xml:space="preserve">καθιστά ακόμη πιο επείγουσα την προστασία των εξωτερικών συνόρων. Στο μεταξύ, </w:t>
      </w:r>
      <w:bookmarkStart w:id="2" w:name="_Hlk202822882"/>
      <w:r w:rsidRPr="00C60498">
        <w:rPr>
          <w:noProof/>
        </w:rPr>
        <w:t>η αντικανονική μετανάστευση εξακολουθεί να αποτελεί σημαντικό παράγοντα, γεγονός που τονίζει την ανάγκη να διασφαλιστεί αποτελεσματική συνεργασία με τρίτες χώρες σε συνδυασμό με συνολικές εταιρικές σχέσεις με τις χώρες καταγωγής και διέλευσης που θα υποστηρίζονται μέσω του κανονισμού (ΕΕ) [...] [Παγκόσμια Ευρώπη].</w:t>
      </w:r>
      <w:bookmarkEnd w:id="2"/>
      <w:r w:rsidRPr="00C60498">
        <w:rPr>
          <w:noProof/>
        </w:rPr>
        <w:t xml:space="preserve"> Η παράνομη διακίνηση μεταναστών αποτελεί επικερδή επιχείρηση για εγκληματικά δίκτυα με διακινητές που χρησιμοποιούν χερσαίες, θαλάσσιες και αεροπορικές οδούς για να διευκολύνουν την αντικανονική μετανάστευση τόσο προς την Ευρωπαϊκή Ένωση όσο και εντός αυτής. Συνδέεται ολοένα και περισσότερο με σοβαρές παραβιάσεις των ανθρωπίνων δικαιωμάτων και θανάτους, ιδίως όταν πραγματοποιείται δια θαλάσσης. Οι θάνατοι μεταναστών εξαιτίας διακινητών στη Μεσόγειο Θάλασσα τονίζουν πόσο επιτακτική είναι η ανάγκη να αντιμετωπιστεί η παράνομη διακίνηση μεταναστών, με τη χρήση όλων των διαθέσιμων νομικών, επιχειρησιακών και διοικητικών μέσων. </w:t>
      </w:r>
    </w:p>
    <w:p w14:paraId="6F6D36BE" w14:textId="77777777" w:rsidR="00B9223C" w:rsidRPr="00C60498" w:rsidRDefault="00B9223C" w:rsidP="00FA3905">
      <w:pPr>
        <w:rPr>
          <w:noProof/>
        </w:rPr>
      </w:pPr>
      <w:r w:rsidRPr="00C60498">
        <w:rPr>
          <w:noProof/>
        </w:rPr>
        <w:t>Τα κράτη μέλη πρέπει να είναι σε θέση να ανταποκρίνονται με ταχύτητα και αποτελεσματικότητα στις εξελίξεις και να λαμβάνουν ενωσιακή στήριξη για τον σκοπό αυτόν.</w:t>
      </w:r>
    </w:p>
    <w:p w14:paraId="4BD9F834" w14:textId="77777777" w:rsidR="00BE09E6" w:rsidRPr="00C60498" w:rsidRDefault="00E57952" w:rsidP="00FA3905">
      <w:pPr>
        <w:rPr>
          <w:noProof/>
        </w:rPr>
      </w:pPr>
      <w:r w:rsidRPr="00C60498">
        <w:rPr>
          <w:noProof/>
        </w:rPr>
        <w:t>Είναι σημαντικό να διασφαλιστεί η ανάπτυξη και η ασφαλής λειτουργία και συντήρηση συστημάτων ΤΠ μεγάλης κλίμακας</w:t>
      </w:r>
      <w:r w:rsidRPr="00C60498">
        <w:rPr>
          <w:i/>
          <w:noProof/>
        </w:rPr>
        <w:t xml:space="preserve"> </w:t>
      </w:r>
      <w:r w:rsidRPr="00C60498">
        <w:rPr>
          <w:noProof/>
        </w:rPr>
        <w:t>σύμφωνα με το ενωσιακό δίκαιο στον τομέα της διαχείρισης των συνόρων, και συγκεκριμένα του Συστήματος Πληροφοριών Σένγκεν (SIS), του Συστήματος Πληροφοριών για τις Θεωρήσεις (VIS), του Eurodac, του Συστήματος Εισόδου/Εξόδου (ΣΕΕ) και του Ευρωπαϊκού Συστήματος Πληροφοριών και Αδειοδότησης Ταξιδιού (ETIAS), συμπεριλαμβανομένης της διαλειτουργικότητάς τους, καθώς και της υποδομής επικοινωνιών. Η σχετική πράξη θα πρέπει επίσης να συμβάλει σε δράσεις για τη βελτίωση της ποιότητας των δεδομένων και της παροχής πληροφοριών.</w:t>
      </w:r>
    </w:p>
    <w:p w14:paraId="0413D35D" w14:textId="77777777" w:rsidR="008C306E" w:rsidRPr="00C60498" w:rsidRDefault="008C306E" w:rsidP="00D81B8C">
      <w:pPr>
        <w:rPr>
          <w:noProof/>
        </w:rPr>
      </w:pPr>
      <w:bookmarkStart w:id="3" w:name="_Hlk202880202"/>
      <w:r w:rsidRPr="00C60498">
        <w:rPr>
          <w:noProof/>
        </w:rPr>
        <w:t>Θα πρέπει επίσης να διατίθεται ενωσιακή στήριξη στα κράτη μέλη προκειμένου να αναπτύξουν την απαραίτητη εμπειρογνωσία και επιχειρησιακή ικανότητα για την εφαρμογή των σχετικών στοιχείων του συμφώνου για τη μετανάστευση και το άσυλο, και συγκεκριμένα του κανονισμού (ΕΕ) 2024/1356</w:t>
      </w:r>
      <w:r w:rsidRPr="00C60498">
        <w:rPr>
          <w:rStyle w:val="FootnoteReference"/>
          <w:noProof/>
        </w:rPr>
        <w:footnoteReference w:id="1"/>
      </w:r>
      <w:r w:rsidRPr="00C60498">
        <w:rPr>
          <w:noProof/>
        </w:rPr>
        <w:t xml:space="preserve"> (κανονισμός για τον έλεγχο διαλογής), ο οποίος συμβάλλει στην αποτελεσματική διαχείριση των συνόρων</w:t>
      </w:r>
      <w:bookmarkEnd w:id="3"/>
      <w:r w:rsidRPr="00C60498">
        <w:rPr>
          <w:noProof/>
        </w:rPr>
        <w:t xml:space="preserve">. </w:t>
      </w:r>
    </w:p>
    <w:p w14:paraId="07A03C8E" w14:textId="77777777" w:rsidR="00D81B8C" w:rsidRPr="00C60498" w:rsidRDefault="00D81B8C" w:rsidP="00D81B8C">
      <w:pPr>
        <w:rPr>
          <w:noProof/>
        </w:rPr>
      </w:pPr>
      <w:r w:rsidRPr="00C60498">
        <w:rPr>
          <w:noProof/>
        </w:rPr>
        <w:t>Τόσο οι πολίτες της ΕΕ όσο και οι πολίτες τρίτων χωρών υπόκεινται σε συστηματικούς ελέγχους κατά τη διέλευση των εξωτερικών συνόρων της ΕΕ. Δεδομένου ότι καταγράφηκαν σχεδόν 600 εκατομμύρια διελεύσεις μόνο το 2023 και ο αριθμός αυτός αναμένεται να εξακολουθήσει να αυξάνεται τα επόμενα έτη, υπάρχει σαφής ανάγκη να διενεργούνται οι έλεγχοι με ταχύτητα και αποδοτικότητα, με τη βοήθεια συστημάτων ΤΠ, ενώ παράλληλα διασφαλίζεται υψηλό επίπεδο ασφάλειας, ώστε να είναι βέβαιο ότι ελέγχονται ανεξαιρέτως όλοι οι ταξιδιώτες.</w:t>
      </w:r>
    </w:p>
    <w:p w14:paraId="293FB5AE" w14:textId="77777777" w:rsidR="00B9223C" w:rsidRPr="00C60498" w:rsidRDefault="00B9223C" w:rsidP="00B9223C">
      <w:pPr>
        <w:rPr>
          <w:noProof/>
        </w:rPr>
      </w:pPr>
      <w:r w:rsidRPr="00C60498">
        <w:rPr>
          <w:noProof/>
        </w:rPr>
        <w:t>Τα κράτη μέλη θα πρέπει να συνεργάζονται στενά με τους αρμόδιους οργανισμούς της ΕΕ, συμπεριλαμβανομένων του Frontex και του eu-LISA, οι οποίοι θα πρέπει να παρέχουν την τεχνική εμπειρογνωσία και τα τεχνολογικά μέσα που απαιτούνται για την επιτήρηση και την επίγνωση της κατάστασης. Γενικότερα, η Επιτροπή θα πρέπει να διασφαλίζει τη συμμετοχή των αρμόδιων ενωσιακών οργάνων, υπηρεσιών και οργανισμών σε σχετικές δραστηριότητες που έχουν σκοπό να διασφαλίσουν ότι τα μέτρα που υποστηρίζονται από την Ένωση συμμορφώνονται με το σχετικό κεκτημένο και τις συμφωνηθείσες προτεραιότητες της Ένωσης.</w:t>
      </w:r>
    </w:p>
    <w:p w14:paraId="0C29A07E" w14:textId="77777777" w:rsidR="00B9223C" w:rsidRPr="00C60498" w:rsidRDefault="00B9223C" w:rsidP="00B9223C">
      <w:pPr>
        <w:rPr>
          <w:noProof/>
        </w:rPr>
      </w:pPr>
      <w:r w:rsidRPr="00C60498">
        <w:rPr>
          <w:noProof/>
        </w:rPr>
        <w:t>Η εφαρμογή στιβαρής ενωσιακής πολιτικής θεωρήσεων είναι επίσης καίριας σημασίας για τη βελτίωση της ασφάλειας των συνόρων και της διαχείρισης της μετανάστευσης. Η ενωσιακή στήριξη θα πρέπει ιδίως να βοηθά τα κράτη μέλη να βελτιώσουν την αποδοτικότητα της διεκπεραίωσης των θεωρήσεων και να αποτρέπουν την κατάχρηση του ενωσιακού καθεστώτος θεωρήσεων. Η ενωσιακή στήριξη είναι αναγκαία όσον αφορά την ψηφιοποίηση της διεκπεραίωσης των θεωρήσεων, καθώς και όσον αφορά τη βελτίωση της κάλυψης των προξενικών υπηρεσιών σε ολόκληρο τον κόσμο και της εξυπηρέτησης των αιτούντων.</w:t>
      </w:r>
    </w:p>
    <w:p w14:paraId="33FEB1CE" w14:textId="335F2A4B" w:rsidR="00B9223C" w:rsidRPr="00C60498" w:rsidRDefault="00B9223C" w:rsidP="001F3E4C">
      <w:pPr>
        <w:rPr>
          <w:noProof/>
        </w:rPr>
      </w:pPr>
      <w:r w:rsidRPr="00C60498">
        <w:rPr>
          <w:noProof/>
        </w:rPr>
        <w:t xml:space="preserve">Η πρόταση αποσκοπεί στην αντιμετώπιση της ανάγκης για μεγαλύτερη ευελιξία στη διαχείριση της ενωσιακής στήριξης, συμπεριλαμβανομένου ισχυρότερου προσανατολισμού στις επιδόσεις, καθώς και για αυξημένη απλούστευση για όλους τους φορείς που συμμετέχουν στην εφαρμογή της. Για τον σκοπό αυτόν, επιβάλλεται αυστηρή συμπληρωματικότητα με την πρόταση κανονισμού (ΕΕ) [...] 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 που εισάγει νέους μηχανισμούς για τη χορήγηση χρηματοδότησης για επιμερισμένη, άμεση και έμμεση διαχείριση. Καθώς οι προκλήσεις στον τομέα της διαχείρισης των συνόρων και της μετανάστευσης εξελίσσονται συνεχώς, είναι επίσης αναγκαίο να αντιμετωπιστούν πιεστικές ανάγκες και αλλαγές στην πολιτική και τις προτεραιότητες της Ένωσης, </w:t>
      </w:r>
      <w:bookmarkStart w:id="4" w:name="_Hlk202775281"/>
      <w:r w:rsidRPr="00C60498">
        <w:rPr>
          <w:noProof/>
        </w:rPr>
        <w:t xml:space="preserve">να αντιμετωπιστούν οι ελλείψεις που εντοπίζονται μέσω των αξιολογήσεων Σένγκεν </w:t>
      </w:r>
      <w:bookmarkEnd w:id="4"/>
      <w:r w:rsidRPr="00C60498">
        <w:rPr>
          <w:noProof/>
        </w:rPr>
        <w:t>και της αξιολόγησης τρωτότητας του Frontex και να κατευθυνθεί η χρηματοδότηση προς δράσεις με υψηλό επίπεδο ενωσιακής προστιθέμενης αξίας, ιδίως μέσω ενός μηχανισμού της ΕΕ που θα προσφέρει ευελιξία στη διαχείριση της ενωσιακής στήριξης.</w:t>
      </w:r>
    </w:p>
    <w:p w14:paraId="4CF7EFDF" w14:textId="64E65124" w:rsidR="00EB6497" w:rsidRPr="00C60498" w:rsidRDefault="00EB6497" w:rsidP="001F3E4C">
      <w:pPr>
        <w:pBdr>
          <w:top w:val="nil"/>
          <w:left w:val="nil"/>
          <w:bottom w:val="nil"/>
          <w:right w:val="nil"/>
          <w:between w:val="nil"/>
          <w:bar w:val="nil"/>
        </w:pBdr>
        <w:rPr>
          <w:rFonts w:eastAsia="Arial Unicode MS"/>
          <w:noProof/>
        </w:rPr>
      </w:pPr>
      <w:r w:rsidRPr="00C60498">
        <w:rPr>
          <w:noProof/>
        </w:rPr>
        <w:t xml:space="preserve">Η παρούσα πρόταση, μαζί με την πρόταση κανονισμού σχετικά με τη θέσπιση της ενωσιακής στήριξης στον τομέα του ασύλου, της μετανάστευσης και της ένταξης και την πρόταση κανονισμού σχετικά με τη θέσπιση της ενωσιακής στήριξης στον τομέα της εσωτερικής ασφάλειας, παρέχουν το ειδικό νομικό πλαίσιο για τη δράση της Ένωσης στους τομείς της ευρωπαϊκής ολοκληρωμένης διαχείρισης των συνόρων στα εξωτερικά σύνορα, της εύρυθμης λειτουργίας του χώρου Σένγκεν και της ευρωπαϊκής πολιτικής θεωρήσεων, της αποτελεσματικής διαχείρισης των μεταναστευτικών ροών και της εσωτερικής ασφάλειας. Οι τρεις αυτοί κανονισμοί αλληλοσυμπληρώνονται και συμπληρώνουν τον κανονισμό (ΕΕ) [...] 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 μέσω του οποίου θα εφαρμοστούν, ενώ συμβάλλουν επίσης στην επίτευξη των στόχων του εν λόγω κανονισμού. </w:t>
      </w:r>
    </w:p>
    <w:p w14:paraId="5EBA1527" w14:textId="77777777" w:rsidR="00EB6497" w:rsidRPr="00C60498" w:rsidRDefault="00EB6497" w:rsidP="00EB6497">
      <w:pPr>
        <w:rPr>
          <w:noProof/>
        </w:rPr>
      </w:pPr>
      <w:r w:rsidRPr="00C60498">
        <w:rPr>
          <w:noProof/>
        </w:rPr>
        <w:t>Ο προτεινόμενος κανονισμός βασίζεται στον κανονισμό (ΕΕ) 2021/1148</w:t>
      </w:r>
      <w:r w:rsidRPr="00C60498">
        <w:rPr>
          <w:rStyle w:val="FootnoteReference"/>
          <w:rFonts w:eastAsia="Arial Unicode MS"/>
          <w:noProof/>
        </w:rPr>
        <w:footnoteReference w:id="2"/>
      </w:r>
      <w:r w:rsidRPr="00C60498">
        <w:rPr>
          <w:noProof/>
        </w:rPr>
        <w:t>, λαμβάνοντας παράλληλα υπόψη τις νέες εξελίξεις πολιτικής και την ανάγκη για ευέλικτη αντίδραση στις εξελισσόμενες προκλήσεις που επηρεάζουν την ευρωπαϊκή ολοκληρωμένη διαχείριση των συνόρων, συμπεριλαμβανομένης της εύρυθμης λειτουργίας του χώρου Σένγκεν, και την ενωσιακή πολιτική θεωρήσεων.</w:t>
      </w:r>
    </w:p>
    <w:p w14:paraId="23CA5C86" w14:textId="77777777" w:rsidR="00286E0D" w:rsidRPr="00C60498" w:rsidRDefault="00286E0D" w:rsidP="00286E0D">
      <w:pPr>
        <w:pStyle w:val="ManualHeading2"/>
        <w:rPr>
          <w:rFonts w:eastAsia="Arial Unicode MS"/>
          <w:noProof/>
          <w:color w:val="000000"/>
          <w:u w:color="000000"/>
          <w:bdr w:val="nil"/>
        </w:rPr>
      </w:pPr>
      <w:r w:rsidRPr="00C60498">
        <w:rPr>
          <w:noProof/>
          <w:color w:val="000000"/>
          <w:u w:color="000000"/>
          <w:bdr w:val="nil"/>
        </w:rPr>
        <w:t>•</w:t>
      </w:r>
      <w:r w:rsidRPr="00C60498">
        <w:rPr>
          <w:noProof/>
        </w:rPr>
        <w:tab/>
        <w:t>Συνέπεια με τις ισχύουσες διατάξεις στον τομέα πολιτικής</w:t>
      </w:r>
    </w:p>
    <w:p w14:paraId="254C54FA" w14:textId="77777777" w:rsidR="00286E0D" w:rsidRPr="00C60498" w:rsidRDefault="00286E0D" w:rsidP="00286E0D">
      <w:pPr>
        <w:pBdr>
          <w:top w:val="nil"/>
          <w:left w:val="nil"/>
          <w:bottom w:val="nil"/>
          <w:right w:val="nil"/>
          <w:between w:val="nil"/>
          <w:bar w:val="nil"/>
        </w:pBdr>
        <w:rPr>
          <w:rFonts w:eastAsia="Arial Unicode MS"/>
          <w:noProof/>
        </w:rPr>
      </w:pPr>
      <w:r w:rsidRPr="00C60498">
        <w:rPr>
          <w:noProof/>
        </w:rPr>
        <w:t>Η ενωσιακή στήριξη για την ευρωπαϊκή ολοκληρωμένη διαχείριση των συνόρων και την ευρωπαϊκή πολιτική θεωρήσεων θα λειτουργεί αυστηρά συμπληρωματικά προς τις άλλες πολιτικές που εμπίπτουν στο πεδίο εφαρμογής των εθνικών και περιφερειακών σχεδίων εταιρικής σχέσης, ενισχύοντας έτσι τις συνέργειες μεταξύ των πολιτικών αυτών. Ομοίως, πρέπει να επιδιωχθούν συνέργειες και συμπληρωματικότητες ιδίως με το κεκτημένο του Σένγκεν και τη δέσμη νομοθετικών μέτρων στην οποία βασίζεται το σύμφωνο για τη μετανάστευση και το άσυλο, το οποίο άρχισε να ισχύει στις 11 Ιουνίου 2024. Ωστόσο, για ενισχυθεί η πολιτική της ΕΕ για την ευρωπαϊκή ολοκληρωμένη διαχείριση των συνόρων και την ενωσιακή πολιτική θεωρήσεων, απαιτείται δράση με όλο το φάσμα των εργαλείων που έχει στη διάθεσή της η ΕΕ, συμπεριλαμβανομένων των δραστηριοτήτων των σχετικών αποκεντρωμένων οργανισμών της Ένωσης.</w:t>
      </w:r>
    </w:p>
    <w:p w14:paraId="7C64BB8E" w14:textId="77777777" w:rsidR="00EB6497" w:rsidRPr="00C60498" w:rsidRDefault="00EB6497" w:rsidP="00286E0D">
      <w:pPr>
        <w:pBdr>
          <w:top w:val="nil"/>
          <w:left w:val="nil"/>
          <w:bottom w:val="nil"/>
          <w:right w:val="nil"/>
          <w:between w:val="nil"/>
          <w:bar w:val="nil"/>
        </w:pBdr>
        <w:rPr>
          <w:rFonts w:eastAsia="Arial Unicode MS"/>
          <w:noProof/>
        </w:rPr>
      </w:pPr>
      <w:bookmarkStart w:id="5" w:name="_Hlk202880469"/>
      <w:r w:rsidRPr="00C60498">
        <w:rPr>
          <w:noProof/>
          <w:color w:val="000000" w:themeColor="text1"/>
        </w:rPr>
        <w:t>Οι έξι αποκεντρωμένοι οργανισμοί εσωτερικών υποθέσεων [Ευρωπαϊκός Οργανισμός Συνοριοφυλακής και Ακτοφυλακής (Frontex), Οργανισμός της Ευρωπαϊκής Ένωσης για τη Συνεργασία στον Τομέα της Επιβολής του Νόμου (Ευρωπόλ), Οργανισμός της Ευρωπαϊκής Ένωσης για το Άσυλο (EUAA), Οργανισμός της Ευρωπαϊκής Ένωσης για τη Λειτουργική Διαχείριση Συστημάτων ΤΠ Μεγάλης Κλίμακας στον Χώρο Ελευθερίας, Ασφάλειας και Δικαιοσύνης (eu-LISA), Οργανισμός της Ευρωπαϊκής Ένωσης για τα Ναρκωτικά (EUDA), Οργανισμός της Ευρωπαϊκής Ένωσης για την Κατάρτιση στον Τομέα της Επιβολής του Νόμου (CEPOL)] διαδραματίζουν σημαντικό και αυξανόμενο ρόλο στην εφαρμογή των πολιτικών στον τομέα των εσωτερικών υποθέσεων. Είναι σημαντικό να διασφαλιστεί η συνοχή μεταξύ των στρατηγικών πολιτικής που καθορίζονται σε επίπεδο ΕΕ και των επιχειρησιακών δραστηριοτήτων των αποκεντρωμένων οργανισμών, ώστε να διασφαλιστεί ότι η ενωσιακή χρηματοδότηση που παρέχεται στους αποκεντρωμένους οργανισμούς θα συμβάλλει όσο το δυνατόν περισσότερο στην επίτευξη των στόχων πολιτικής της ΕΕ. Ο επιχειρησιακός ρόλος των αποκεντρωμένων οργανισμών ίσως απαιτεί περαιτέρω ενίσχυση, συνοδευόμενη από αντίστοιχη αύξηση της χρηματοδότησης.</w:t>
      </w:r>
    </w:p>
    <w:bookmarkEnd w:id="5"/>
    <w:p w14:paraId="3F7C3464" w14:textId="77777777" w:rsidR="00286E0D" w:rsidRPr="00C60498" w:rsidRDefault="00286E0D" w:rsidP="00336FEB">
      <w:pPr>
        <w:pStyle w:val="ManualHeading2"/>
        <w:ind w:left="851" w:hanging="851"/>
        <w:rPr>
          <w:rFonts w:eastAsia="Arial Unicode MS"/>
          <w:noProof/>
        </w:rPr>
      </w:pPr>
      <w:r w:rsidRPr="00C60498">
        <w:rPr>
          <w:noProof/>
          <w:color w:val="000000"/>
          <w:u w:color="000000"/>
          <w:bdr w:val="nil"/>
        </w:rPr>
        <w:t>•</w:t>
      </w:r>
      <w:r w:rsidRPr="00C60498">
        <w:rPr>
          <w:noProof/>
        </w:rPr>
        <w:tab/>
        <w:t>Συνέπεια με άλλες πολιτικές της Ένωσης</w:t>
      </w:r>
    </w:p>
    <w:p w14:paraId="1AF2B945" w14:textId="77777777" w:rsidR="0031749A" w:rsidRPr="00C60498" w:rsidRDefault="00286E0D" w:rsidP="00286E0D">
      <w:pPr>
        <w:pBdr>
          <w:top w:val="nil"/>
          <w:left w:val="nil"/>
          <w:bottom w:val="nil"/>
          <w:right w:val="nil"/>
          <w:between w:val="nil"/>
          <w:bar w:val="nil"/>
        </w:pBdr>
        <w:rPr>
          <w:rFonts w:eastAsia="Arial Unicode MS"/>
          <w:noProof/>
          <w:color w:val="000000" w:themeColor="text1"/>
        </w:rPr>
      </w:pPr>
      <w:r w:rsidRPr="00C60498">
        <w:rPr>
          <w:noProof/>
        </w:rPr>
        <w:t xml:space="preserve">Η ευρωπαϊκή ολοκληρωμένη διαχείριση των συνόρων και η πολιτική θεωρήσεων βασίζονται στις συνέργειες και στη συνοχή με συναφείς ενωσιακές πολιτικές, όπως αυτές που αφορούν το άσυλο και τη μετανάστευση, καθώς και την εσωτερική ασφάλεια, και τις εξωτερικές ενωσιακές πολιτικές για τη στήριξη τρίτων χωρών, ιδίως στο πλαίσιο του κανονισμού (ΕΕ) [...] [Παγκόσμια Ευρώπη], οι οποίες </w:t>
      </w:r>
      <w:r w:rsidRPr="00C60498">
        <w:rPr>
          <w:noProof/>
          <w:color w:val="000000" w:themeColor="text1"/>
        </w:rPr>
        <w:t>καλύπτουν ευρύ φάσμα τομέων που παρουσιάζουν σημαντικούς δεσμούς με τις εσωτερικές πολιτικές, συμπεριλαμβανομένης της πολιτικής για τη διαχείριση των συνόρων και της πολιτικής θεωρήσεων. Ιδίως, είναι σημαντικό να διασφαλιστεί αυξημένη συνοχή με την ενωσιακή στήριξη για τη συνεργασία στον τομέα της διαχείρισης των συνόρων με χώρες εταίρους στο πλαίσιο του κανονισμού «Παγκόσμια Ευρώπη», με σκοπό τη συμβολή σε μια συντονισμένη, ολιστική και διαρθρωμένη προσέγγιση που μεγιστοποιεί τις συνέργειες και εφαρμόζει την αναγκαία μόχλευση. Στο πλαίσιο αυτό, η στήριξη της διασυνοριακής συνεργασίας στο πλαίσιο του κανονισμού «Παγκόσμια Ευρώπη» είναι ιδιαίτερα σημαντική για την ενίσχυση της διαχείρισης των συνόρων και τη συνέχιση των προσπαθειών για την πρόληψη της αντικανονικής μετανάστευσης.</w:t>
      </w:r>
    </w:p>
    <w:p w14:paraId="6CBA56D8" w14:textId="77777777" w:rsidR="00286E0D" w:rsidRPr="00C60498" w:rsidRDefault="00286E0D" w:rsidP="0031749A">
      <w:pPr>
        <w:pBdr>
          <w:top w:val="nil"/>
          <w:left w:val="nil"/>
          <w:bottom w:val="nil"/>
          <w:right w:val="nil"/>
          <w:between w:val="nil"/>
          <w:bar w:val="nil"/>
        </w:pBdr>
        <w:rPr>
          <w:noProof/>
          <w:szCs w:val="24"/>
        </w:rPr>
      </w:pPr>
      <w:r w:rsidRPr="00C60498">
        <w:rPr>
          <w:noProof/>
        </w:rPr>
        <w:t>Για τη στήριξη του θεματολογίου ανταγωνιστικότητας, θα πρέπει επίσης να εξεταστούν επενδύσεις που βασίζονται σε καινοτόμες μεθόδους ή νέες τεχνολογίες, συμπεριλαμβανομένων μέτρων που αποσκοπούν στη δοκιμή και την επικύρωση των αποτελεσμάτων ερευνητικών έργων που χρηματοδοτούνται από την Ένωση.</w:t>
      </w:r>
    </w:p>
    <w:p w14:paraId="43A280F3" w14:textId="77777777" w:rsidR="00B9223C" w:rsidRPr="00C60498" w:rsidRDefault="00AD5AEE" w:rsidP="00AD5AEE">
      <w:pPr>
        <w:pStyle w:val="ManualHeading2"/>
        <w:ind w:left="851" w:hanging="851"/>
        <w:rPr>
          <w:rFonts w:eastAsia="Arial Unicode MS"/>
          <w:noProof/>
          <w:color w:val="000000"/>
          <w:u w:color="000000"/>
          <w:bdr w:val="nil"/>
        </w:rPr>
      </w:pPr>
      <w:r w:rsidRPr="00C60498">
        <w:rPr>
          <w:noProof/>
          <w:color w:val="000000"/>
          <w:u w:color="000000"/>
          <w:bdr w:val="nil"/>
        </w:rPr>
        <w:t>•</w:t>
      </w:r>
      <w:r w:rsidRPr="00C60498">
        <w:rPr>
          <w:noProof/>
        </w:rPr>
        <w:tab/>
      </w:r>
      <w:r w:rsidRPr="00C60498">
        <w:rPr>
          <w:noProof/>
          <w:color w:val="000000"/>
          <w:u w:color="000000"/>
          <w:bdr w:val="nil"/>
        </w:rPr>
        <w:t>Μεταβλητή γεωμετρία</w:t>
      </w:r>
    </w:p>
    <w:p w14:paraId="4C39B415" w14:textId="77777777" w:rsidR="00C244F7" w:rsidRPr="00C60498" w:rsidRDefault="00B9223C" w:rsidP="00B9223C">
      <w:pPr>
        <w:rPr>
          <w:rFonts w:eastAsia="Arial Unicode MS"/>
          <w:noProof/>
        </w:rPr>
      </w:pPr>
      <w:r w:rsidRPr="00C60498">
        <w:rPr>
          <w:noProof/>
        </w:rPr>
        <w:t>Ο παρών κανονισμός αποτελεί ανάπτυξη του κεκτημένου του Σένγκεν. Κατά συνέπεια, η εφαρμογή του κανονισμού στη Δανία και την Ιρλανδία υπόκειται σε ειδικές διατάξεις που προβλέπονται στο πρωτόκολλο αριθ. 19 και στο πρωτόκολλο αριθ. 22 που προσαρτώνται στη Συνθήκη για την Ευρωπαϊκή Ένωση (στο εξής: ΣΕΕ) και στη Συνθήκη για τη λειτουργία της Ευρωπαϊκής Ένωσης (στο εξής: ΣΛΕΕ).</w:t>
      </w:r>
    </w:p>
    <w:p w14:paraId="5CBE603F" w14:textId="77777777" w:rsidR="00C244F7" w:rsidRPr="00C60498" w:rsidRDefault="00C244F7" w:rsidP="00B9223C">
      <w:pPr>
        <w:rPr>
          <w:rFonts w:eastAsia="Times New Roman"/>
          <w:noProof/>
          <w:color w:val="000000" w:themeColor="text1"/>
        </w:rPr>
      </w:pPr>
      <w:r w:rsidRPr="00C60498">
        <w:rPr>
          <w:noProof/>
        </w:rPr>
        <w:t>Σύμφωνα με τα άρθρα 1 και 2 του πρωτοκόλλου αριθ. 22, ο κανονισμός δεν είναι δεσμευτικός για τη Δανία ούτε εφαρμόζεται σε αυτήν. Ωστόσο, σύμφωνα με το άρθρο 4 του πρωτοκόλλου αριθ. 22, η Δανία πρέπει να αποφασίσει αν θα εφαρμόσει μέτρα που βασίζονται στο κεκτημένο του Σένγκεν και αν θα δεσμεύεται από αυτά.</w:t>
      </w:r>
      <w:r w:rsidRPr="00C60498">
        <w:rPr>
          <w:i/>
          <w:noProof/>
          <w:color w:val="000000" w:themeColor="text1"/>
        </w:rPr>
        <w:t xml:space="preserve"> </w:t>
      </w:r>
      <w:r w:rsidRPr="00C60498">
        <w:rPr>
          <w:noProof/>
          <w:color w:val="000000" w:themeColor="text1"/>
        </w:rPr>
        <w:t>Εάν αποφασίσει να εφαρμόσει ένα μέτρο και να δεσμεύεται από αυτό, το εν λόγο μέτρο θα δημιουργήσει υποχρέωση διεθνούς δικαίου μεταξύ της Δανίας και των άλλων κρατών μελών.</w:t>
      </w:r>
    </w:p>
    <w:p w14:paraId="0E7F29D4" w14:textId="77777777" w:rsidR="00B9223C" w:rsidRPr="00C60498" w:rsidRDefault="00C244F7" w:rsidP="00FA3905">
      <w:pPr>
        <w:rPr>
          <w:rFonts w:eastAsia="Times New Roman"/>
          <w:noProof/>
          <w:color w:val="000000" w:themeColor="text1"/>
        </w:rPr>
      </w:pPr>
      <w:r w:rsidRPr="00C60498">
        <w:rPr>
          <w:noProof/>
          <w:color w:val="000000" w:themeColor="text1"/>
        </w:rPr>
        <w:t xml:space="preserve">Δυνάμει του άρθρου 4 του πρωτοκόλλου αριθ. 19, η Ιρλανδία μπορεί ανά πάσα στιγμή να ζητήσει να συμμετάσχει σε μερικές ή σε όλες τις διατάξεις του κεκτημένου του Σένγκεν. Μολονότι η Ιρλανδία συμμετέχει σε ορισμένα μέρη του κεκτημένου του Σένγκεν, ο παρών κανονισμός δεν αφορά μέρη του κεκτημένου του Σένγκεν στα οποία συμμετέχει η Ιρλανδία. </w:t>
      </w:r>
      <w:r w:rsidRPr="00C60498">
        <w:rPr>
          <w:noProof/>
        </w:rPr>
        <w:t>Ως μέτρο που συνιστά ανάπτυξη του κεκτημένου του Σένγκεν, ο κανονισμός πρέπει να κοινοποιηθεί σε τέσσερις χώρες (Βασίλειο της Νορβηγίας, Ελβετική Συνομοσπονδία, Ισλανδία και Πριγκιπάτο του Λιχτενστάιν), οι οποίες δεν είναι κράτη μέλη της Ένωσης, αλλά συμμετέχουν στον χώρο Σένγκεν χωρίς ελέγχους στα εσωτερικά σύνορα βάσει συμφωνιών σύνδεσης που έχουν συνάψει με την Ένωση. Μετά την κοινοποίηση, οι τέσσερις συνδεδεμένες χώρες Σένγκεν θα πρέπει να επιβεβαιώσουν την αποδοχή του περιεχομένου του κανονισμού και να το μεταφέρουν στο εθνικό τους δίκαιο. Κατά συνέπεια, τα προτεινόμενα μέτρα θα ισχύουν και για τις τέσσερις αυτές χώρες.</w:t>
      </w:r>
    </w:p>
    <w:p w14:paraId="3F7474CB" w14:textId="77777777" w:rsidR="00286E0D" w:rsidRPr="00C60498" w:rsidRDefault="00286E0D" w:rsidP="00286E0D">
      <w:pPr>
        <w:pStyle w:val="ManualHeading1"/>
        <w:rPr>
          <w:noProof/>
        </w:rPr>
      </w:pPr>
      <w:r w:rsidRPr="00C60498">
        <w:rPr>
          <w:noProof/>
        </w:rPr>
        <w:t>2.</w:t>
      </w:r>
      <w:r w:rsidRPr="00C60498">
        <w:rPr>
          <w:noProof/>
        </w:rPr>
        <w:tab/>
        <w:t>ΝΟΜΙΚΗ ΒΑΣΗ, ΕΠΙΚΟΥΡΙΚΟΤΗΤΑ ΚΑΙ ΑΝΑΛΟΓΙΚΟΤΗΤΑ</w:t>
      </w:r>
    </w:p>
    <w:p w14:paraId="71B17439" w14:textId="77777777" w:rsidR="00286E0D" w:rsidRPr="00C60498" w:rsidRDefault="00286E0D" w:rsidP="00286E0D">
      <w:pPr>
        <w:pStyle w:val="ManualHeading2"/>
        <w:rPr>
          <w:rFonts w:eastAsia="Arial Unicode MS"/>
          <w:noProof/>
          <w:u w:color="000000"/>
          <w:bdr w:val="nil"/>
        </w:rPr>
      </w:pPr>
      <w:r w:rsidRPr="00C60498">
        <w:rPr>
          <w:noProof/>
          <w:u w:color="000000"/>
          <w:bdr w:val="nil"/>
        </w:rPr>
        <w:t>•</w:t>
      </w:r>
      <w:r w:rsidRPr="00C60498">
        <w:rPr>
          <w:noProof/>
        </w:rPr>
        <w:tab/>
      </w:r>
      <w:r w:rsidRPr="00C60498">
        <w:rPr>
          <w:noProof/>
          <w:u w:color="000000"/>
          <w:bdr w:val="nil"/>
        </w:rPr>
        <w:t>Νομική βάση</w:t>
      </w:r>
    </w:p>
    <w:p w14:paraId="3FC49ECD" w14:textId="77777777" w:rsidR="00286E0D" w:rsidRPr="00C60498" w:rsidRDefault="00286E0D" w:rsidP="00286E0D">
      <w:pPr>
        <w:pBdr>
          <w:top w:val="nil"/>
          <w:left w:val="nil"/>
          <w:bottom w:val="nil"/>
          <w:right w:val="nil"/>
          <w:between w:val="nil"/>
          <w:bar w:val="nil"/>
        </w:pBdr>
        <w:rPr>
          <w:rFonts w:eastAsia="Arial Unicode MS"/>
          <w:noProof/>
        </w:rPr>
      </w:pPr>
      <w:r w:rsidRPr="00C60498">
        <w:rPr>
          <w:noProof/>
        </w:rPr>
        <w:t>Το άρθρο 3 παράγραφος 2 της ΣΕΕ προβλέπει ότι «η Ένωση παρέχει στους πολίτες της χώρο ελευθερίας, ασφάλειας και δικαιοσύνης χωρίς εσωτερικά σύνορα, μέσα στον οποίο εξασφαλίζεται η ελεύθερη κυκλοφορία των προσώπων σε συνδυασμό με κατάλληλα μέτρα όσον αφορά τους ελέγχους στα εξωτερικά σύνορα, το άσυλο, τη μετανάστευση και την πρόληψη και καταστολή της εγκληματικότητας». Η νομική βάση της παρούσας πρότασης έγκειται στα μέτρα που αναφέρονται στο άρθρο 77 παράγραφος 2 και στο άρθρο 79 παράγραφος 2 στοιχεία γ) και δ) της ΣΛΕΕ.</w:t>
      </w:r>
    </w:p>
    <w:p w14:paraId="750CEE1E" w14:textId="77777777" w:rsidR="00286E0D" w:rsidRPr="00C60498" w:rsidRDefault="00286E0D" w:rsidP="00286E0D">
      <w:pPr>
        <w:pStyle w:val="ManualHeading2"/>
        <w:rPr>
          <w:rFonts w:eastAsia="Arial Unicode MS"/>
          <w:noProof/>
          <w:u w:color="000000"/>
          <w:bdr w:val="nil"/>
        </w:rPr>
      </w:pPr>
      <w:r w:rsidRPr="00C60498">
        <w:rPr>
          <w:noProof/>
          <w:u w:color="000000"/>
          <w:bdr w:val="nil"/>
        </w:rPr>
        <w:t>•</w:t>
      </w:r>
      <w:r w:rsidRPr="00C60498">
        <w:rPr>
          <w:noProof/>
        </w:rPr>
        <w:tab/>
      </w:r>
      <w:r w:rsidRPr="00C60498">
        <w:rPr>
          <w:noProof/>
          <w:u w:color="000000"/>
          <w:bdr w:val="nil"/>
        </w:rPr>
        <w:t xml:space="preserve">Επικουρικότητα (σε περίπτωση μη αποκλειστικής αρμοδιότητας) </w:t>
      </w:r>
    </w:p>
    <w:p w14:paraId="0C17F853" w14:textId="77777777" w:rsidR="00286E0D" w:rsidRPr="00C60498" w:rsidRDefault="0031749A" w:rsidP="00D35A81">
      <w:pPr>
        <w:pBdr>
          <w:top w:val="nil"/>
          <w:left w:val="nil"/>
          <w:bottom w:val="nil"/>
          <w:right w:val="nil"/>
          <w:between w:val="nil"/>
          <w:bar w:val="nil"/>
        </w:pBdr>
        <w:rPr>
          <w:rFonts w:eastAsia="Arial Unicode MS"/>
          <w:noProof/>
        </w:rPr>
      </w:pPr>
      <w:r w:rsidRPr="00C60498">
        <w:rPr>
          <w:noProof/>
          <w:color w:val="000000" w:themeColor="text1"/>
        </w:rPr>
        <w:t xml:space="preserve">Οι στόχοι της πρότασης δεν μπορούν να επιτευχθούν εάν τα κράτη μέλη ενεργήσουν μεμονωμένα, δεδομένου ότι οι προκλήσεις έχουν διασυνοριακό χαρακτήρα και δεν περιορίζονται σε ένα μόνο κράτος μέλος ή σε ένα υποσύνολο κρατών μελών. </w:t>
      </w:r>
      <w:r w:rsidRPr="00C60498">
        <w:rPr>
          <w:noProof/>
        </w:rPr>
        <w:t>Η ενωσιακή στήριξη δημιουργεί προστιθέμενη αξία προωθώντας κοινή προσέγγιση σε όλα τα κράτη μέλη κατά την εφαρμογή του κεκτημένου και των προτύπων της ΕΕ και προάγοντας τη συνεργασία μεταξύ των κρατών μελών σε διακρατικά ζητήματα.</w:t>
      </w:r>
    </w:p>
    <w:p w14:paraId="0E9E52B6" w14:textId="77777777" w:rsidR="00286E0D" w:rsidRPr="00C60498" w:rsidRDefault="00286E0D" w:rsidP="00286E0D">
      <w:pPr>
        <w:pStyle w:val="ManualHeading2"/>
        <w:rPr>
          <w:rFonts w:eastAsia="Arial Unicode MS"/>
          <w:noProof/>
          <w:u w:color="000000"/>
          <w:bdr w:val="nil"/>
        </w:rPr>
      </w:pPr>
      <w:r w:rsidRPr="00C60498">
        <w:rPr>
          <w:noProof/>
          <w:u w:color="000000"/>
          <w:bdr w:val="nil"/>
        </w:rPr>
        <w:t>•</w:t>
      </w:r>
      <w:r w:rsidRPr="00C60498">
        <w:rPr>
          <w:noProof/>
        </w:rPr>
        <w:tab/>
      </w:r>
      <w:r w:rsidRPr="00C60498">
        <w:rPr>
          <w:noProof/>
          <w:u w:color="000000"/>
          <w:bdr w:val="nil"/>
        </w:rPr>
        <w:t>Αναλογικότητα</w:t>
      </w:r>
    </w:p>
    <w:p w14:paraId="6AD7B953" w14:textId="77777777" w:rsidR="00286E0D" w:rsidRPr="00C60498" w:rsidRDefault="0031749A" w:rsidP="00FA3905">
      <w:pPr>
        <w:pBdr>
          <w:top w:val="nil"/>
          <w:left w:val="nil"/>
          <w:bottom w:val="nil"/>
          <w:right w:val="nil"/>
          <w:between w:val="nil"/>
          <w:bar w:val="nil"/>
        </w:pBdr>
        <w:rPr>
          <w:rFonts w:eastAsia="Arial Unicode MS"/>
          <w:noProof/>
          <w:color w:val="000000" w:themeColor="text1"/>
        </w:rPr>
      </w:pPr>
      <w:r w:rsidRPr="00C60498">
        <w:rPr>
          <w:noProof/>
          <w:color w:val="000000" w:themeColor="text1"/>
        </w:rPr>
        <w:t>Η πρόταση δεν υπερβαίνει τα αναγκαία όρια για την επίτευξη των στόχων που αναφέρονται στην ενότητα 1. Εμπίπτει στο πεδίο εφαρμογής της δράσης στον τομέα της ελευθερίας, της ασφάλειας και της δικαιοσύνης, όπως ορίζεται στο τρίτο μέρος τίτλος V της ΣΛΕΕ. Οι στόχοι και η αντίστοιχη ενωσιακή στήριξη είναι αναλογικά προς τους στόχους της πράξης.</w:t>
      </w:r>
    </w:p>
    <w:p w14:paraId="70EDA19B" w14:textId="77777777" w:rsidR="00286E0D" w:rsidRPr="00C60498" w:rsidRDefault="00286E0D" w:rsidP="00286E0D">
      <w:pPr>
        <w:pStyle w:val="ManualHeading2"/>
        <w:rPr>
          <w:rFonts w:eastAsia="Arial Unicode MS"/>
          <w:noProof/>
          <w:u w:color="000000"/>
          <w:bdr w:val="nil"/>
        </w:rPr>
      </w:pPr>
      <w:r w:rsidRPr="00C60498">
        <w:rPr>
          <w:noProof/>
          <w:u w:color="000000"/>
          <w:bdr w:val="nil"/>
        </w:rPr>
        <w:t>•</w:t>
      </w:r>
      <w:r w:rsidRPr="00C60498">
        <w:rPr>
          <w:noProof/>
        </w:rPr>
        <w:tab/>
      </w:r>
      <w:r w:rsidRPr="00C60498">
        <w:rPr>
          <w:noProof/>
          <w:u w:color="000000"/>
          <w:bdr w:val="nil"/>
        </w:rPr>
        <w:t>Επιλογή της νομικής πράξης</w:t>
      </w:r>
    </w:p>
    <w:p w14:paraId="675DAC45" w14:textId="5D8E2C52" w:rsidR="0031749A" w:rsidRPr="00C60498" w:rsidRDefault="0031749A" w:rsidP="001F3E4C">
      <w:pPr>
        <w:pBdr>
          <w:top w:val="nil"/>
          <w:left w:val="nil"/>
          <w:bottom w:val="nil"/>
          <w:right w:val="nil"/>
          <w:between w:val="nil"/>
          <w:bar w:val="nil"/>
        </w:pBdr>
        <w:rPr>
          <w:rFonts w:eastAsia="Arial Unicode MS"/>
          <w:noProof/>
          <w:color w:val="000000" w:themeColor="text1"/>
        </w:rPr>
      </w:pPr>
      <w:r w:rsidRPr="00C60498">
        <w:rPr>
          <w:noProof/>
          <w:color w:val="000000" w:themeColor="text1"/>
        </w:rPr>
        <w:t>Η καταλληλότερη πράξη για την εφαρμογή της παρούσας πρότασης είναι κανονισμός του Ευρωπαϊκού Κοινοβουλίου και του Συμβουλίου σχετικά με τη θέσπιση της ενωσιακής στήριξης για τη διαχείριση των συνόρων για την περίοδο από την 1η Ιανουαρίου 2028 έως την 31η Δεκεμβρίου 2034, ο οποίος θα συμπληρώνει την πρόταση</w:t>
      </w:r>
      <w:r w:rsidRPr="00C60498">
        <w:rPr>
          <w:noProof/>
        </w:rPr>
        <w:t xml:space="preserve"> </w:t>
      </w:r>
      <w:r w:rsidRPr="00C60498">
        <w:rPr>
          <w:noProof/>
          <w:color w:val="000000" w:themeColor="text1"/>
        </w:rPr>
        <w:t>κανονισμού (ΕΕ) [...] 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p>
    <w:p w14:paraId="0FA6C1BD" w14:textId="77777777" w:rsidR="00286E0D" w:rsidRPr="00C60498" w:rsidRDefault="00286E0D" w:rsidP="00286E0D">
      <w:pPr>
        <w:pStyle w:val="ManualHeading1"/>
        <w:rPr>
          <w:noProof/>
        </w:rPr>
      </w:pPr>
      <w:r w:rsidRPr="00C60498">
        <w:rPr>
          <w:noProof/>
        </w:rPr>
        <w:t>3.</w:t>
      </w:r>
      <w:r w:rsidRPr="00C60498">
        <w:rPr>
          <w:noProof/>
        </w:rPr>
        <w:tab/>
        <w:t>ΑΠΟΤΕΛΕΣΜΑΤΑ ΤΩΝ ΕΚ ΤΩΝ ΥΣΤΕΡΩΝ ΑΞΙΟΛΟΓΗΣΕΩΝ, ΤΩΝ ΔΙΑΒΟΥΛΕΥΣΕΩΝ ΜΕ ΤΑ ΕΝΔΙΑΦΕΡΟΜΕΝΑ ΜΕΡΗ ΚΑΙ ΤΩΝ ΕΚΤΙΜΗΣΕΩΝ ΕΠΙΠΤΩΣΕΩΝ</w:t>
      </w:r>
    </w:p>
    <w:p w14:paraId="0B632E01" w14:textId="77777777" w:rsidR="00286E0D" w:rsidRPr="00C60498" w:rsidRDefault="00286E0D" w:rsidP="00286E0D">
      <w:pPr>
        <w:pStyle w:val="ManualHeading2"/>
        <w:rPr>
          <w:rFonts w:eastAsia="Arial Unicode MS"/>
          <w:noProof/>
          <w:u w:color="000000"/>
          <w:bdr w:val="nil"/>
        </w:rPr>
      </w:pPr>
      <w:r w:rsidRPr="00C60498">
        <w:rPr>
          <w:noProof/>
          <w:u w:color="000000"/>
          <w:bdr w:val="nil"/>
        </w:rPr>
        <w:t>•</w:t>
      </w:r>
      <w:r w:rsidRPr="00C60498">
        <w:rPr>
          <w:noProof/>
        </w:rPr>
        <w:tab/>
      </w:r>
      <w:r w:rsidRPr="00C60498">
        <w:rPr>
          <w:noProof/>
          <w:u w:color="000000"/>
          <w:bdr w:val="nil"/>
        </w:rPr>
        <w:t>Εκ των υστέρων αξιολογήσεις / έλεγχοι καταλληλότητας της ισχύουσας νομοθεσίας</w:t>
      </w:r>
    </w:p>
    <w:p w14:paraId="76E894A2" w14:textId="77777777" w:rsidR="00286E0D" w:rsidRPr="00C60498" w:rsidRDefault="00286E0D" w:rsidP="00EB6497">
      <w:pPr>
        <w:pBdr>
          <w:top w:val="nil"/>
          <w:left w:val="nil"/>
          <w:bottom w:val="nil"/>
          <w:right w:val="nil"/>
          <w:between w:val="nil"/>
          <w:bar w:val="nil"/>
        </w:pBdr>
        <w:rPr>
          <w:rFonts w:eastAsia="Arial Unicode MS"/>
          <w:noProof/>
        </w:rPr>
      </w:pPr>
      <w:r w:rsidRPr="00C60498">
        <w:rPr>
          <w:noProof/>
        </w:rPr>
        <w:t xml:space="preserve">Τα προκαταρκτικά αποτελέσματα της υπό εξέλιξη εκ των υστέρων αξιολόγησης του Ταμείου Εσωτερικής Ασφάλειας — Σύνορα και θεωρήσεις (ΤΕΑ — Σύνορα και Θεωρήσεις) για την περίοδο προγραμματισμού 2014-2020 επιβεβαιώνουν ότι το ΤΕΑ — Σύνορα και Θεωρήσεις ήταν αποτελεσματικό όσον αφορά τη στήριξη των κρατών μελών για την επίτευξη των στόχων τους στους τομείς της πολιτικής θεωρήσεων και της διαχείρισης των εξωτερικών συνόρων. Η θέσπιση πολυετούς προγραμματισμού και εθνικών κανόνων επιλεξιμότητας συνέβαλε στη μείωση του διοικητικού φόρτου. Εκεί όπου εφαρμόστηκαν, οι απλουστευμένες επιλογές κόστους κατάφεραν να μειώσουν τον διοικητικό φόρτο, αλλά δεν υιοθετήθηκαν ευρέως. Το ΤΕΑ — Σύνορα και Θεωρήσεις κατέδειξε διαφορετικούς βαθμούς οικονομικής αποδοτικότητας και αποδοτικότητας. Το ΤΕΑ — Σύνορα και Θεωρήσεις ήταν συνεκτικό στο πλαίσιο των συνιστωσών του οικείου Ταμείου και άλλων ταμείων της ΕΕ, αλλά η συνοχή με το πρόγραμμα «Ορίζων Ευρώπη» και η συνοχή μεταξύ των εθνικών προγραμμάτων και των δράσεων της Ένωσης θα μπορούσε να ενισχυθεί περαιτέρω. Το ΤΕΑ — Σύνορα και Θεωρήσεις συνέβαλε σημαντικά στην ενωσιακή προστιθέμενη αξία. </w:t>
      </w:r>
      <w:bookmarkStart w:id="6" w:name="_Hlk202880568"/>
      <w:r w:rsidRPr="00C60498">
        <w:rPr>
          <w:noProof/>
        </w:rPr>
        <w:t>Η εκ των υστέρων αξιολόγηση οδηγεί στο προκαταρκτικό συμπέρασμα ότι η απλούστευση των απαιτήσεων υποβολής εκθέσεων και των διοικητικών διαδικασιών, χωρίς να υποβαθμίζεται η ποιότητα και η ποσότητα των πληροφοριών που απαιτούνται για την παρακολούθηση της εφαρμογής, μπορεί να ενισχύσει σημαντικά την αποδοτικότητα. Η προσέγγιση αυτή αναμένεται να ελαχιστοποιήσει τον διοικητικό φόρτο και να δώσει τη δυνατότητα στα ενδιαφερόμενα μέρη να εστιάσουν στην επίτευξη αποτελεσμάτων και όχι στην εκτέλεση γραφειοκρατικών διαδικασιών.</w:t>
      </w:r>
      <w:bookmarkEnd w:id="6"/>
    </w:p>
    <w:p w14:paraId="539AF480" w14:textId="77777777" w:rsidR="00286E0D" w:rsidRPr="00C60498" w:rsidRDefault="00286E0D" w:rsidP="00EB6497">
      <w:pPr>
        <w:pBdr>
          <w:top w:val="nil"/>
          <w:left w:val="nil"/>
          <w:bottom w:val="nil"/>
          <w:right w:val="nil"/>
          <w:between w:val="nil"/>
          <w:bar w:val="nil"/>
        </w:pBdr>
        <w:rPr>
          <w:rFonts w:eastAsia="Arial Unicode MS"/>
          <w:i/>
          <w:noProof/>
        </w:rPr>
      </w:pPr>
      <w:r w:rsidRPr="00C60498">
        <w:rPr>
          <w:noProof/>
        </w:rPr>
        <w:t xml:space="preserve">Τα προκαταρκτικά αποτελέσματα της ενδιάμεσης αξιολόγησης του Μέσου για τη Διαχείριση των Συνόρων και τις Θεωρήσεις (στο εξής: ΜΔΣΘ) για την περίοδο προγραμματισμού 2021-2027 επιβεβαιώνουν ότι έχουν σημειωθεί σημαντικές βελτιώσεις στο πλαίσιο παρακολούθησης και αξιολόγησης για το ΜΔΣΘ σε σύγκριση με την περίοδο προγραμματισμού 2014-2020. Τα κράτη μέλη και οι δικαιούχοι επισήμαναν ανησυχίες σχετικά με τον διοικητικό φόρτο. Μέχρι στιγμής, οι διαχειριστικές αρχές έχουν χρησιμοποιήσει σε περιορισμένο βαθμό απλουστευμένες επιλογές κόστους και χρηματοδότηση που δεν συνδέεται με το κόστος, παράγοντες που θα μπορούσαν να μειώσουν τον διοικητικό φόρτο. Τα προγράμματα των κρατών μελών και τα προγράμματα εργασίας της Επιτροπής για το θεματικό μέσο συνάδουν με άλλα εθνικά και ενωσιακά χρηματοδοτικά μέσα. Ωστόσο, θα μπορούσε να έχει ενισχυθεί περαιτέρω η συνοχή μεταξύ των δράσεων της Ένωσης και των προγραμμάτων των κρατών μελών, καθώς και με το πρόγραμμα «Ορίζων Ευρώπη», ώστε να αυξηθεί η υιοθέτηση καινοτόμων τεχνολογικών λύσεων. Τέλος, το ΜΔΣΘ προώθησε τη συνεργασία, διασφαλίζει τη συμμόρφωση με τα πρότυπα της ΕΕ και ενίσχυσε το πλαίσιο συλλογικής διαχείρισης των συνόρων και πολιτικής θεωρήσεων της ΕΕ. </w:t>
      </w:r>
      <w:bookmarkStart w:id="7" w:name="_Hlk202880726"/>
      <w:r w:rsidRPr="00C60498">
        <w:rPr>
          <w:noProof/>
        </w:rPr>
        <w:t>Τα ενδιαφερόμενα μέρη εκτίμησαν ιδιαίτερα τις ειδικές δράσεις λόγω της ευελιξίας τους και της παροχής ad hoc πρόσθετης χρηματοδότησης για ειδικές προτεραιότητες. Η ενδιάμεση αξιολόγηση τονίζει επίσης πόσο σημαντικό είναι να απλουστευθεί περαιτέρω η παροχή χρηματοδότησης και να εξηγηθεί καλύτερα στις διαχειριστικές αρχές ο τρόπος με τον οποίον το πλαίσιο επιδόσεων μπορεί να συμβάλει στην αποτελεσματική διαχείριση των προγραμμάτων, πέραν της καθαρά τυπικής υποβολής εκθέσεων που απαιτεί ο κανονισμός</w:t>
      </w:r>
      <w:bookmarkEnd w:id="7"/>
      <w:r w:rsidRPr="00C60498">
        <w:rPr>
          <w:noProof/>
        </w:rPr>
        <w:t>.</w:t>
      </w:r>
    </w:p>
    <w:p w14:paraId="7AA2B0D5" w14:textId="77777777" w:rsidR="00286E0D" w:rsidRPr="00C60498" w:rsidRDefault="00286E0D" w:rsidP="00286E0D">
      <w:pPr>
        <w:pStyle w:val="ManualHeading2"/>
        <w:rPr>
          <w:rFonts w:eastAsia="Arial Unicode MS"/>
          <w:noProof/>
          <w:u w:color="000000"/>
          <w:bdr w:val="nil"/>
        </w:rPr>
      </w:pPr>
      <w:r w:rsidRPr="00C60498">
        <w:rPr>
          <w:noProof/>
          <w:u w:color="000000"/>
          <w:bdr w:val="nil"/>
        </w:rPr>
        <w:t>•</w:t>
      </w:r>
      <w:r w:rsidRPr="00C60498">
        <w:rPr>
          <w:noProof/>
        </w:rPr>
        <w:tab/>
      </w:r>
      <w:r w:rsidRPr="00C60498">
        <w:rPr>
          <w:noProof/>
          <w:u w:color="000000"/>
          <w:bdr w:val="nil"/>
        </w:rPr>
        <w:t>Διαβουλεύσεις με τα ενδιαφερόμενα μέρη</w:t>
      </w:r>
    </w:p>
    <w:p w14:paraId="4E66CF84" w14:textId="32471CB5" w:rsidR="00286E0D" w:rsidRPr="00C60498" w:rsidRDefault="00286E0D" w:rsidP="001F3E4C">
      <w:pPr>
        <w:pBdr>
          <w:top w:val="nil"/>
          <w:left w:val="nil"/>
          <w:bottom w:val="nil"/>
          <w:right w:val="nil"/>
          <w:between w:val="nil"/>
          <w:bar w:val="nil"/>
        </w:pBdr>
        <w:rPr>
          <w:rFonts w:eastAsia="Arial Unicode MS"/>
          <w:noProof/>
        </w:rPr>
      </w:pPr>
      <w:r w:rsidRPr="00C60498">
        <w:rPr>
          <w:noProof/>
        </w:rPr>
        <w:t xml:space="preserve">Η Επιτροπή συνεργάστηκε ενεργά με τα ενδιαφερόμενα μέρη κατά την εξέλιξη της πρωτοβουλίας, ιδίως μέσω ειδικών εκδηλώσεων και δραστηριοτήτων δημόσιας διαβούλευσης, όπως </w:t>
      </w:r>
      <w:bookmarkStart w:id="8" w:name="_Hlk202112428"/>
      <w:r w:rsidRPr="00C60498">
        <w:rPr>
          <w:noProof/>
        </w:rPr>
        <w:t xml:space="preserve">περιγράφεται λεπτομερώς στο αντίστοιχο κεφάλαιο της αιτιολογικής έκθεσης της </w:t>
      </w:r>
      <w:bookmarkStart w:id="9" w:name="_Hlk201931196"/>
      <w:r w:rsidRPr="00C60498">
        <w:rPr>
          <w:noProof/>
          <w:color w:val="000000" w:themeColor="text1"/>
        </w:rPr>
        <w:t>πρότασης κανονισμού (ΕΕ) [...] 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bookmarkEnd w:id="8"/>
      <w:bookmarkEnd w:id="9"/>
      <w:r w:rsidRPr="00C60498">
        <w:rPr>
          <w:noProof/>
        </w:rPr>
        <w:t xml:space="preserve">. </w:t>
      </w:r>
    </w:p>
    <w:p w14:paraId="5933E9C5" w14:textId="77777777" w:rsidR="00286E0D" w:rsidRPr="00C60498" w:rsidRDefault="00286E0D" w:rsidP="00286E0D">
      <w:pPr>
        <w:pStyle w:val="ManualHeading2"/>
        <w:rPr>
          <w:rFonts w:eastAsia="Arial Unicode MS"/>
          <w:noProof/>
          <w:u w:color="000000"/>
          <w:bdr w:val="nil"/>
        </w:rPr>
      </w:pPr>
      <w:r w:rsidRPr="00C60498">
        <w:rPr>
          <w:noProof/>
          <w:u w:color="000000"/>
          <w:bdr w:val="nil"/>
        </w:rPr>
        <w:t>•</w:t>
      </w:r>
      <w:r w:rsidRPr="00C60498">
        <w:rPr>
          <w:noProof/>
        </w:rPr>
        <w:tab/>
      </w:r>
      <w:r w:rsidRPr="00C60498">
        <w:rPr>
          <w:noProof/>
          <w:u w:color="000000"/>
          <w:bdr w:val="nil"/>
        </w:rPr>
        <w:t>Εξωτερική εμπειρογνωσία</w:t>
      </w:r>
    </w:p>
    <w:p w14:paraId="379C1D35" w14:textId="03883662" w:rsidR="00286E0D" w:rsidRPr="00C60498" w:rsidRDefault="00286E0D" w:rsidP="00286E0D">
      <w:pPr>
        <w:pBdr>
          <w:top w:val="nil"/>
          <w:left w:val="nil"/>
          <w:bottom w:val="nil"/>
          <w:right w:val="nil"/>
          <w:between w:val="nil"/>
          <w:bar w:val="nil"/>
        </w:pBdr>
        <w:rPr>
          <w:rFonts w:eastAsia="Arial Unicode MS"/>
          <w:noProof/>
        </w:rPr>
      </w:pPr>
      <w:r w:rsidRPr="00C60498">
        <w:rPr>
          <w:noProof/>
        </w:rPr>
        <w:t xml:space="preserve">Πληροφορίες σχετικά με τη χρήση εξωτερικής εμπειρογνωσίας από την Επιτροπή παρέχονται στο αντίστοιχο κεφάλαιο της αιτιολογικής έκθεσης της </w:t>
      </w:r>
      <w:r w:rsidRPr="00C60498">
        <w:rPr>
          <w:noProof/>
          <w:color w:val="000000" w:themeColor="text1"/>
        </w:rPr>
        <w:t>πρότασης κανονισμού (ΕΕ) [...] 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p>
    <w:p w14:paraId="7B1950A5" w14:textId="77777777" w:rsidR="00286E0D" w:rsidRPr="00C60498" w:rsidRDefault="00286E0D" w:rsidP="00286E0D">
      <w:pPr>
        <w:pStyle w:val="ManualHeading2"/>
        <w:rPr>
          <w:rFonts w:eastAsia="Arial Unicode MS"/>
          <w:noProof/>
          <w:u w:color="000000"/>
          <w:bdr w:val="nil"/>
        </w:rPr>
      </w:pPr>
      <w:r w:rsidRPr="00C60498">
        <w:rPr>
          <w:noProof/>
          <w:u w:color="000000"/>
          <w:bdr w:val="nil"/>
        </w:rPr>
        <w:t>•</w:t>
      </w:r>
      <w:r w:rsidRPr="00C60498">
        <w:rPr>
          <w:noProof/>
        </w:rPr>
        <w:tab/>
      </w:r>
      <w:r w:rsidRPr="00C60498">
        <w:rPr>
          <w:noProof/>
          <w:u w:color="000000"/>
          <w:bdr w:val="nil"/>
        </w:rPr>
        <w:t>Εκτίμηση επιπτώσεων</w:t>
      </w:r>
    </w:p>
    <w:p w14:paraId="1537B458" w14:textId="1B9AF564" w:rsidR="00286E0D" w:rsidRPr="00C60498" w:rsidRDefault="00286E0D" w:rsidP="00286E0D">
      <w:pPr>
        <w:pBdr>
          <w:top w:val="nil"/>
          <w:left w:val="nil"/>
          <w:bottom w:val="nil"/>
          <w:right w:val="nil"/>
          <w:between w:val="nil"/>
          <w:bar w:val="nil"/>
        </w:pBdr>
        <w:rPr>
          <w:rFonts w:eastAsia="Arial Unicode MS"/>
          <w:noProof/>
        </w:rPr>
      </w:pPr>
      <w:bookmarkStart w:id="10" w:name="_Hlk201931214"/>
      <w:r w:rsidRPr="00C60498">
        <w:rPr>
          <w:noProof/>
        </w:rPr>
        <w:t xml:space="preserve">Πληροφορίες σχετικά με την εκτίμηση επιπτώσεων της Επιτροπής παρέχονται στο αντίστοιχο κεφάλαιο της αιτιολογικής έκθεσης της </w:t>
      </w:r>
      <w:r w:rsidRPr="00C60498">
        <w:rPr>
          <w:noProof/>
          <w:color w:val="000000" w:themeColor="text1"/>
        </w:rPr>
        <w:t>πρότασης κανονισμού (ΕΕ) [...] 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bookmarkEnd w:id="10"/>
      <w:r w:rsidRPr="00C60498">
        <w:rPr>
          <w:noProof/>
        </w:rPr>
        <w:t>.</w:t>
      </w:r>
    </w:p>
    <w:p w14:paraId="150E44C0" w14:textId="77777777" w:rsidR="00286E0D" w:rsidRPr="00C60498" w:rsidRDefault="00286E0D" w:rsidP="00286E0D">
      <w:pPr>
        <w:pStyle w:val="ManualHeading2"/>
        <w:rPr>
          <w:rFonts w:eastAsia="Arial Unicode MS"/>
          <w:noProof/>
          <w:u w:color="000000"/>
          <w:bdr w:val="nil"/>
        </w:rPr>
      </w:pPr>
      <w:r w:rsidRPr="00C60498">
        <w:rPr>
          <w:noProof/>
          <w:u w:color="000000"/>
          <w:bdr w:val="nil"/>
        </w:rPr>
        <w:t>•</w:t>
      </w:r>
      <w:r w:rsidRPr="00C60498">
        <w:rPr>
          <w:noProof/>
        </w:rPr>
        <w:tab/>
      </w:r>
      <w:r w:rsidRPr="00C60498">
        <w:rPr>
          <w:noProof/>
          <w:u w:color="000000"/>
          <w:bdr w:val="nil"/>
        </w:rPr>
        <w:t>Απλούστευση</w:t>
      </w:r>
    </w:p>
    <w:p w14:paraId="5F7036BD" w14:textId="2B3428DA" w:rsidR="00286E0D" w:rsidRPr="00C60498" w:rsidRDefault="00286E0D" w:rsidP="00286E0D">
      <w:pPr>
        <w:pBdr>
          <w:top w:val="nil"/>
          <w:left w:val="nil"/>
          <w:bottom w:val="nil"/>
          <w:right w:val="nil"/>
          <w:between w:val="nil"/>
          <w:bar w:val="nil"/>
        </w:pBdr>
        <w:rPr>
          <w:rFonts w:eastAsia="Calibri"/>
          <w:noProof/>
        </w:rPr>
      </w:pPr>
      <w:r w:rsidRPr="00C60498">
        <w:rPr>
          <w:noProof/>
        </w:rPr>
        <w:t xml:space="preserve">Η πρωτοβουλία αναμένεται να συμβάλει στη σημαντική μείωση του διοικητικού φόρτου και του κόστους, καθώς και στη βελτίωση της αποδοτικότητας κατά την εφαρμογή της ενωσιακής στήριξης. Βλ. επίσης το αντίστοιχο κεφάλαιο της αιτιολογικής έκθεσης της </w:t>
      </w:r>
      <w:r w:rsidRPr="00C60498">
        <w:rPr>
          <w:noProof/>
          <w:color w:val="000000" w:themeColor="text1"/>
        </w:rPr>
        <w:t>πρότασης κανονισμού (ΕΕ) [...] 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p>
    <w:p w14:paraId="6EF0EB51" w14:textId="77777777" w:rsidR="00286E0D" w:rsidRPr="00C60498" w:rsidRDefault="00286E0D" w:rsidP="00286E0D">
      <w:pPr>
        <w:pStyle w:val="ManualHeading2"/>
        <w:rPr>
          <w:rFonts w:eastAsia="Arial Unicode MS"/>
          <w:noProof/>
          <w:u w:color="000000"/>
          <w:bdr w:val="nil"/>
        </w:rPr>
      </w:pPr>
      <w:r w:rsidRPr="00C60498">
        <w:rPr>
          <w:noProof/>
          <w:u w:color="000000"/>
          <w:bdr w:val="nil"/>
        </w:rPr>
        <w:t>•</w:t>
      </w:r>
      <w:r w:rsidRPr="00C60498">
        <w:rPr>
          <w:noProof/>
        </w:rPr>
        <w:tab/>
      </w:r>
      <w:r w:rsidRPr="00C60498">
        <w:rPr>
          <w:noProof/>
          <w:u w:color="000000"/>
          <w:bdr w:val="nil"/>
        </w:rPr>
        <w:t>Θεμελιώδη δικαιώματα</w:t>
      </w:r>
    </w:p>
    <w:p w14:paraId="2B806987" w14:textId="4EBE1154" w:rsidR="00286E0D" w:rsidRPr="00C60498" w:rsidRDefault="00286E0D" w:rsidP="00286E0D">
      <w:pPr>
        <w:pBdr>
          <w:top w:val="nil"/>
          <w:left w:val="nil"/>
          <w:bottom w:val="nil"/>
          <w:right w:val="nil"/>
          <w:between w:val="nil"/>
          <w:bar w:val="nil"/>
        </w:pBdr>
        <w:rPr>
          <w:rFonts w:eastAsia="Arial Unicode MS"/>
          <w:noProof/>
        </w:rPr>
      </w:pPr>
      <w:r w:rsidRPr="00C60498">
        <w:rPr>
          <w:noProof/>
        </w:rPr>
        <w:t xml:space="preserve">Η ενωσιακή στήριξη θα υλοποιηθεί σύμφωνα με τον Χάρτη των Θεμελιωδών Δικαιωμάτων της Ευρωπαϊκής Ένωσης και την αρχή του κράτους δικαίου, όπως ορίζεται στο άρθρο 2 στοιχείο α) του κανονισμού (ΕΕ, Ευρατόμ) 2020/2092. Βλ. επίσης την αντίστοιχη ενότητα της αιτιολογικής έκθεσης που συνοδεύει την πρόταση της Επιτροπής για </w:t>
      </w:r>
      <w:r w:rsidRPr="00C60498">
        <w:rPr>
          <w:noProof/>
          <w:color w:val="000000" w:themeColor="text1"/>
        </w:rPr>
        <w:t>κανονισμό (ΕΕ) [...] σχετικά με τη σύσταση του Ευρωπαϊκού Ταμείου για την οικονομική, εδαφική, κοινωνική, γεωργική και θαλάσσια βιώσιμη ευημερία και ασφάλεια.</w:t>
      </w:r>
    </w:p>
    <w:p w14:paraId="785D377B" w14:textId="77777777" w:rsidR="00286E0D" w:rsidRPr="00C60498" w:rsidRDefault="00286E0D" w:rsidP="00286E0D">
      <w:pPr>
        <w:pStyle w:val="ManualHeading1"/>
        <w:rPr>
          <w:noProof/>
        </w:rPr>
      </w:pPr>
      <w:r w:rsidRPr="00C60498">
        <w:rPr>
          <w:noProof/>
        </w:rPr>
        <w:t>4.</w:t>
      </w:r>
      <w:r w:rsidRPr="00C60498">
        <w:rPr>
          <w:noProof/>
        </w:rPr>
        <w:tab/>
        <w:t>ΔΗΜΟΣΙΟΝΟΜΙΚΕΣ ΕΠΙΠΤΩΣΕΙΣ</w:t>
      </w:r>
    </w:p>
    <w:p w14:paraId="3E5D695D" w14:textId="406E1912" w:rsidR="00401265" w:rsidRPr="00C60498" w:rsidRDefault="00401265" w:rsidP="00401265">
      <w:pPr>
        <w:pBdr>
          <w:top w:val="nil"/>
          <w:left w:val="nil"/>
          <w:bottom w:val="nil"/>
          <w:right w:val="nil"/>
          <w:between w:val="nil"/>
          <w:bar w:val="nil"/>
        </w:pBdr>
        <w:rPr>
          <w:rFonts w:eastAsia="Arial Unicode MS"/>
          <w:noProof/>
          <w:color w:val="000000" w:themeColor="text1"/>
        </w:rPr>
      </w:pPr>
      <w:r w:rsidRPr="00C60498">
        <w:rPr>
          <w:noProof/>
          <w:color w:val="000000" w:themeColor="text1"/>
        </w:rPr>
        <w:t xml:space="preserve">Το ενδεικτικό χρηματοδοτικό κονδύλιο για την υλοποίηση των στόχων στο πλαίσιο της ενωσιακής στήριξης ορίζεται σε </w:t>
      </w:r>
      <w:r w:rsidRPr="00C60498">
        <w:rPr>
          <w:noProof/>
        </w:rPr>
        <w:t>15 396 750 000 EUR</w:t>
      </w:r>
      <w:r w:rsidRPr="00C60498">
        <w:rPr>
          <w:noProof/>
          <w:color w:val="000000" w:themeColor="text1"/>
        </w:rPr>
        <w:t xml:space="preserve"> για την περίοδο από το 2028 έως το 2034 σε τρέχουσες τιμές. Εκτελείται σύμφωνα με τους οριζόντιους κανόνες για τα εθνικά και περιφερειακά σχέδια εταιρικής σχέσης που ορίζονται στον κανονισμό (ΕΕ) [...] 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p>
    <w:p w14:paraId="2B2668EA" w14:textId="42F468FB" w:rsidR="00286E0D" w:rsidRPr="00C60498"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C60498" w:rsidRDefault="00286E0D" w:rsidP="00286E0D">
      <w:pPr>
        <w:pStyle w:val="ManualHeading1"/>
        <w:rPr>
          <w:noProof/>
        </w:rPr>
      </w:pPr>
      <w:r w:rsidRPr="00C60498">
        <w:rPr>
          <w:noProof/>
        </w:rPr>
        <w:t>5.</w:t>
      </w:r>
      <w:r w:rsidRPr="00C60498">
        <w:rPr>
          <w:noProof/>
        </w:rPr>
        <w:tab/>
        <w:t>ΛΟΙΠΑ ΣΤΟΙΧΕΙΑ</w:t>
      </w:r>
    </w:p>
    <w:p w14:paraId="68F9A644" w14:textId="77777777" w:rsidR="00286E0D" w:rsidRPr="00C60498" w:rsidRDefault="00286E0D" w:rsidP="00286E0D">
      <w:pPr>
        <w:pStyle w:val="ManualHeading2"/>
        <w:rPr>
          <w:rFonts w:eastAsia="Arial Unicode MS"/>
          <w:noProof/>
          <w:u w:color="000000"/>
          <w:bdr w:val="nil"/>
        </w:rPr>
      </w:pPr>
      <w:r w:rsidRPr="00C60498">
        <w:rPr>
          <w:noProof/>
          <w:u w:color="000000"/>
          <w:bdr w:val="nil"/>
        </w:rPr>
        <w:t>•</w:t>
      </w:r>
      <w:r w:rsidRPr="00C60498">
        <w:rPr>
          <w:noProof/>
        </w:rPr>
        <w:tab/>
      </w:r>
      <w:r w:rsidRPr="00C60498">
        <w:rPr>
          <w:noProof/>
          <w:u w:color="000000"/>
          <w:bdr w:val="nil"/>
        </w:rPr>
        <w:t>Σχέδια εφαρμογής και ρυθμίσεις παρακολούθησης, αξιολόγησης και υποβολής εκθέσεων</w:t>
      </w:r>
    </w:p>
    <w:p w14:paraId="4C6C6654" w14:textId="78D78654" w:rsidR="00286E0D" w:rsidRPr="00C60498" w:rsidRDefault="00286E0D" w:rsidP="00B86814">
      <w:pPr>
        <w:pBdr>
          <w:top w:val="nil"/>
          <w:left w:val="nil"/>
          <w:bottom w:val="nil"/>
          <w:right w:val="nil"/>
          <w:between w:val="nil"/>
          <w:bar w:val="nil"/>
        </w:pBdr>
        <w:rPr>
          <w:rFonts w:eastAsia="Arial Unicode MS"/>
          <w:noProof/>
        </w:rPr>
      </w:pPr>
      <w:r w:rsidRPr="00C60498">
        <w:rPr>
          <w:noProof/>
        </w:rPr>
        <w:t>Η ενωσιακή στήριξη στο πλαίσιο της παρούσας πρότασης θα υλοποιηθεί μέσω επιμερισμένης διαχείρισης από τα κράτη μέλη και άμεσης και έμμεσης διαχείρισης από την Επιτροπή. Η υλοποίηση της ενωσιακής στήριξης θα παρακολουθείται μέσω του πλαισίου επιδόσεων που ισχύει για το πολυετές δημοσιονομικό πλαίσιο 2028-2034, το οποίο ορίζεται στην πρόταση κανονισμού (ΕΕ) [...] για τη θέσπιση πλαισίου παρακολούθησης των δαπανών και επιδόσεων του προϋπολογισμού και άλλων οριζόντιων κανόνων για τα προγράμματα και τις δραστηριότητες της Ένωσης.</w:t>
      </w:r>
    </w:p>
    <w:p w14:paraId="759E865E" w14:textId="77777777" w:rsidR="00286E0D" w:rsidRPr="00C60498" w:rsidRDefault="00286E0D" w:rsidP="00286E0D">
      <w:pPr>
        <w:pStyle w:val="ManualHeading2"/>
        <w:rPr>
          <w:rFonts w:eastAsia="Arial Unicode MS"/>
          <w:noProof/>
          <w:u w:color="000000"/>
          <w:bdr w:val="nil"/>
        </w:rPr>
      </w:pPr>
      <w:r w:rsidRPr="00C60498">
        <w:rPr>
          <w:noProof/>
          <w:u w:color="000000"/>
          <w:bdr w:val="nil"/>
        </w:rPr>
        <w:t>•</w:t>
      </w:r>
      <w:r w:rsidRPr="00C60498">
        <w:rPr>
          <w:noProof/>
        </w:rPr>
        <w:tab/>
      </w:r>
      <w:r w:rsidRPr="00C60498">
        <w:rPr>
          <w:noProof/>
          <w:u w:color="000000"/>
          <w:bdr w:val="nil"/>
        </w:rPr>
        <w:t>Αναλυτική επεξήγηση των επιμέρους διατάξεων της πρότασης</w:t>
      </w:r>
    </w:p>
    <w:p w14:paraId="5D95CCE4" w14:textId="35B09D1E" w:rsidR="002779C4" w:rsidRPr="00C60498" w:rsidRDefault="00286E0D" w:rsidP="002779C4">
      <w:pPr>
        <w:pBdr>
          <w:top w:val="nil"/>
          <w:left w:val="nil"/>
          <w:bottom w:val="nil"/>
          <w:right w:val="nil"/>
          <w:between w:val="nil"/>
          <w:bar w:val="nil"/>
        </w:pBdr>
        <w:rPr>
          <w:rFonts w:eastAsia="Arial Unicode MS"/>
          <w:noProof/>
        </w:rPr>
      </w:pPr>
      <w:r w:rsidRPr="00C60498">
        <w:rPr>
          <w:noProof/>
        </w:rPr>
        <w:t xml:space="preserve"> Ο προτεινόμενος κανονισμός ορίζει στο άρθρο 1 το πεδίο εφαρμογής της ενωσιακής στήριξης για την ολοκληρωμένη διαχείριση των συνόρων και την ενωσιακή πολιτική θεωρήσεων για την περίοδο από την 1η Ιανουαρίου 2028 έως την 31η Δεκεμβρίου 2034. Για τον σκοπό αυτόν, στο άρθρο 2 παρέχονται βασικοί ορισμοί και στο άρθρο 3 καθορίζονται οι στόχοι, οι οποίοι συνάδουν με την ενωσιακή στήριξη που θα παρέχεται στο πλαίσιο των οριζόντιων κανόνων του </w:t>
      </w:r>
      <w:r w:rsidRPr="00C60498">
        <w:rPr>
          <w:noProof/>
          <w:color w:val="000000" w:themeColor="text1"/>
        </w:rPr>
        <w:t>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noProof/>
        </w:rPr>
        <w:t xml:space="preserve"> που θεσπίζεται με τον κανονισμό (ΕΕ) [...].  </w:t>
      </w:r>
    </w:p>
    <w:p w14:paraId="56E233B3" w14:textId="5502E0FB" w:rsidR="002779C4" w:rsidRPr="00C60498" w:rsidRDefault="002779C4" w:rsidP="00286E0D">
      <w:pPr>
        <w:pBdr>
          <w:top w:val="nil"/>
          <w:left w:val="nil"/>
          <w:bottom w:val="nil"/>
          <w:right w:val="nil"/>
          <w:between w:val="nil"/>
          <w:bar w:val="nil"/>
        </w:pBdr>
        <w:rPr>
          <w:rFonts w:eastAsia="Arial Unicode MS"/>
          <w:noProof/>
        </w:rPr>
      </w:pPr>
      <w:r w:rsidRPr="00C60498">
        <w:rPr>
          <w:noProof/>
        </w:rPr>
        <w:t xml:space="preserve">Στο άρθρο 4, η πρόταση θεσπίζει διατάξεις για τη χρηματοδότηση της ενωσιακής στήριξης, στο άρθρο 5 διατάξεις για τις συνδεδεμένες χώρες Σένγκεν και στο άρθρο 6 διατάξεις για την εφαρμογή της πράξης του ειδικού καθεστώτος διέλευσης στη Λιθουανία. </w:t>
      </w:r>
    </w:p>
    <w:p w14:paraId="3EE630F2" w14:textId="0FA4DF22" w:rsidR="00286E0D" w:rsidRPr="00C60498" w:rsidRDefault="00286E0D" w:rsidP="00286E0D">
      <w:pPr>
        <w:pBdr>
          <w:top w:val="nil"/>
          <w:left w:val="nil"/>
          <w:bottom w:val="nil"/>
          <w:right w:val="nil"/>
          <w:between w:val="nil"/>
          <w:bar w:val="nil"/>
        </w:pBdr>
        <w:rPr>
          <w:rFonts w:eastAsia="Arial Unicode MS"/>
          <w:noProof/>
        </w:rPr>
      </w:pPr>
      <w:r w:rsidRPr="00C60498">
        <w:rPr>
          <w:noProof/>
        </w:rPr>
        <w:t xml:space="preserve">Ο προτεινόμενος κανονισμός καθορίζει επίσης στο άρθρο 7 τους κανόνες για τη δημοσιονομική μεταχείριση των πόρων για τις λειτουργικές δαπάνες του Ευρωπαϊκού Συστήματος Πληροφοριών και Αδειοδότησης Ταξιδιού σύμφωνα με τον κανονισμό (ΕΕ) 2018/1240 και στο άρθρο 8 τους κανόνες για τη δημοσιονομική μεταχείριση των χρηματοδοτικών συνεισφορών των κρατών μελών για τους σκοπούς της ετήσιας δεξαμενής αλληλεγγύης που θεσπίστηκε με τον </w:t>
      </w:r>
      <w:bookmarkStart w:id="11" w:name="_Hlk201927609"/>
      <w:r w:rsidRPr="00C60498">
        <w:rPr>
          <w:noProof/>
        </w:rPr>
        <w:t xml:space="preserve">κανονισμό (ΕΕ) 2024/1351 </w:t>
      </w:r>
      <w:bookmarkEnd w:id="11"/>
      <w:r w:rsidRPr="00C60498">
        <w:rPr>
          <w:noProof/>
        </w:rPr>
        <w:t>του Ευρωπαϊκού Κοινοβουλίου και του Συμβουλίου της 14ης Μαΐου 2024</w:t>
      </w:r>
      <w:r w:rsidRPr="00C60498">
        <w:rPr>
          <w:rStyle w:val="FootnoteReference"/>
          <w:noProof/>
        </w:rPr>
        <w:footnoteReference w:id="3"/>
      </w:r>
      <w:r w:rsidRPr="00C60498">
        <w:rPr>
          <w:noProof/>
        </w:rPr>
        <w:t>.</w:t>
      </w:r>
    </w:p>
    <w:p w14:paraId="1FF0825E" w14:textId="72B484A4" w:rsidR="00286E0D" w:rsidRPr="00C60498" w:rsidRDefault="00631DBC" w:rsidP="00286E0D">
      <w:pPr>
        <w:pBdr>
          <w:top w:val="nil"/>
          <w:left w:val="nil"/>
          <w:bottom w:val="nil"/>
          <w:right w:val="nil"/>
          <w:between w:val="nil"/>
          <w:bar w:val="nil"/>
        </w:pBdr>
        <w:rPr>
          <w:noProof/>
        </w:rPr>
      </w:pPr>
      <w:r w:rsidRPr="00C60498">
        <w:rPr>
          <w:noProof/>
        </w:rPr>
        <w:t>Το άρθρο 9 ορίζει τις μεταβατικές διατάξεις. Στο άρθρο 10 καθορίζεται η ημερομηνία έναρξης ισχύος του προτεινόμενου κανονισμού και ορίζεται επίσης ότι ο κανονισμός θα είναι δεσμευτικός ως προς όλα τα μέρη του και θα ισχύει άμεσα σε κάθε κράτος μέλος σύμφωνα με τις Συνθήκες από την 1η Ιανουαρίου 2028.</w:t>
      </w:r>
    </w:p>
    <w:p w14:paraId="68C60A71" w14:textId="77777777" w:rsidR="00286E0D" w:rsidRPr="00C60498" w:rsidRDefault="00286E0D" w:rsidP="00286E0D">
      <w:pPr>
        <w:spacing w:before="0" w:after="200" w:line="276" w:lineRule="auto"/>
        <w:jc w:val="left"/>
        <w:rPr>
          <w:rFonts w:eastAsia="Arial Unicode MS"/>
          <w:noProof/>
          <w:color w:val="000000" w:themeColor="text1"/>
        </w:rPr>
      </w:pPr>
      <w:r w:rsidRPr="00C60498">
        <w:rPr>
          <w:noProof/>
        </w:rPr>
        <w:br w:type="page"/>
      </w:r>
    </w:p>
    <w:p w14:paraId="567EEDE0" w14:textId="51C5E148" w:rsidR="00835316" w:rsidRPr="00C60498" w:rsidRDefault="00C60498" w:rsidP="00C60498">
      <w:pPr>
        <w:pStyle w:val="Rfrenceinterinstitutionnelle"/>
        <w:rPr>
          <w:noProof/>
        </w:rPr>
      </w:pPr>
      <w:r>
        <w:rPr>
          <w:noProof/>
        </w:rPr>
        <w:t>2025/0541 (COD)</w:t>
      </w:r>
    </w:p>
    <w:p w14:paraId="108B7708" w14:textId="1F284BCD" w:rsidR="00286E0D" w:rsidRPr="00C60498" w:rsidRDefault="00C60498" w:rsidP="00C60498">
      <w:pPr>
        <w:pStyle w:val="Statut"/>
        <w:rPr>
          <w:noProof/>
        </w:rPr>
      </w:pPr>
      <w:r w:rsidRPr="00C60498">
        <w:rPr>
          <w:noProof/>
        </w:rPr>
        <w:t>Πρόταση</w:t>
      </w:r>
    </w:p>
    <w:p w14:paraId="5162298C" w14:textId="1BF6E31C" w:rsidR="00286E0D" w:rsidRPr="00C60498" w:rsidRDefault="00C60498" w:rsidP="00C60498">
      <w:pPr>
        <w:pStyle w:val="Typedudocument"/>
        <w:rPr>
          <w:noProof/>
        </w:rPr>
      </w:pPr>
      <w:r w:rsidRPr="00C60498">
        <w:rPr>
          <w:noProof/>
        </w:rPr>
        <w:t>ΚΑΝΟΝΙΣΜΟΣ ΤΟΥ ΕΥΡΩΠΑΪΚΟΥ ΚΟΙΝΟΒΟΥΛΙΟΥ ΚΑΙ ΤΟΥ ΣΥΜΒΟΥΛΙΟΥ</w:t>
      </w:r>
    </w:p>
    <w:p w14:paraId="3DE0D02D" w14:textId="0A59F69C" w:rsidR="00286E0D" w:rsidRPr="00C60498" w:rsidRDefault="00C60498" w:rsidP="00C60498">
      <w:pPr>
        <w:pStyle w:val="Titreobjet"/>
        <w:rPr>
          <w:noProof/>
        </w:rPr>
      </w:pPr>
      <w:r w:rsidRPr="00C60498">
        <w:rPr>
          <w:noProof/>
        </w:rPr>
        <w:t>σχετικά με τη θέσπιση της ενωσιακής στήριξης για τον χώρο Σένγκεν, για την ευρωπαϊκή ολοκληρωμένη διαχείριση των συνόρων και για την κοινή πολιτική θεωρήσεων για την περίοδο από το 2028 έως το 2034</w:t>
      </w:r>
    </w:p>
    <w:p w14:paraId="749F32E6" w14:textId="77777777" w:rsidR="00286E0D" w:rsidRPr="00C60498" w:rsidRDefault="00286E0D" w:rsidP="00286E0D">
      <w:pPr>
        <w:pStyle w:val="Institutionquiagit"/>
        <w:rPr>
          <w:noProof/>
        </w:rPr>
      </w:pPr>
      <w:r w:rsidRPr="00C60498">
        <w:rPr>
          <w:noProof/>
        </w:rPr>
        <w:t>ΤΟ ΕΥΡΩΠΑΪΚΟ ΚΟΙΝΟΒΟΥΛΙΟ ΚΑΙ ΤΟ ΣΥΜΒΟΥΛΙΟ ΤΗΣ ΕΥΡΩΠΑΪΚΗΣ ΕΝΩΣΗΣ,</w:t>
      </w:r>
    </w:p>
    <w:p w14:paraId="1A70989E" w14:textId="77777777" w:rsidR="00286E0D" w:rsidRPr="00C60498" w:rsidRDefault="00286E0D" w:rsidP="00286E0D">
      <w:pPr>
        <w:rPr>
          <w:noProof/>
        </w:rPr>
      </w:pPr>
      <w:r w:rsidRPr="00C60498">
        <w:rPr>
          <w:noProof/>
        </w:rPr>
        <w:t>Έχοντας υπόψη τη Συνθήκη για τη λειτουργία της Ευρωπαϊκής Ένωσης και ιδίως το άρθρο 77 παράγραφος 2 και το άρθρο 79 παράγραφος 2 στοιχεία γ) και δ),</w:t>
      </w:r>
    </w:p>
    <w:p w14:paraId="6C9BB100" w14:textId="77777777" w:rsidR="00286E0D" w:rsidRPr="00C60498" w:rsidRDefault="00286E0D" w:rsidP="00286E0D">
      <w:pPr>
        <w:rPr>
          <w:noProof/>
        </w:rPr>
      </w:pPr>
      <w:r w:rsidRPr="00C60498">
        <w:rPr>
          <w:noProof/>
        </w:rPr>
        <w:t>Έχοντας υπόψη την πρόταση της Ευρωπαϊκής Επιτροπής,</w:t>
      </w:r>
    </w:p>
    <w:p w14:paraId="2BE23168" w14:textId="77777777" w:rsidR="00286E0D" w:rsidRPr="00C60498" w:rsidRDefault="00286E0D" w:rsidP="00286E0D">
      <w:pPr>
        <w:rPr>
          <w:noProof/>
        </w:rPr>
      </w:pPr>
      <w:r w:rsidRPr="00C60498">
        <w:rPr>
          <w:noProof/>
        </w:rPr>
        <w:t>Κατόπιν διαβίβασης του σχεδίου νομοθετικής πράξης στα εθνικά κοινοβούλια,</w:t>
      </w:r>
    </w:p>
    <w:p w14:paraId="1F8E258B" w14:textId="77777777" w:rsidR="00286E0D" w:rsidRPr="00C60498" w:rsidRDefault="00286E0D" w:rsidP="00286E0D">
      <w:pPr>
        <w:rPr>
          <w:i/>
          <w:noProof/>
        </w:rPr>
      </w:pPr>
      <w:r w:rsidRPr="00C60498">
        <w:rPr>
          <w:noProof/>
        </w:rPr>
        <w:t>Έχοντας υπόψη τη γνώμη της Ευρωπαϊκής Οικονομικής και Κοινωνικής Επιτροπής</w:t>
      </w:r>
      <w:r w:rsidRPr="00C60498">
        <w:rPr>
          <w:rStyle w:val="FootnoteReference"/>
          <w:noProof/>
        </w:rPr>
        <w:footnoteReference w:id="4"/>
      </w:r>
      <w:r w:rsidRPr="00C60498">
        <w:rPr>
          <w:noProof/>
        </w:rPr>
        <w:t>,</w:t>
      </w:r>
    </w:p>
    <w:p w14:paraId="2B431944" w14:textId="77777777" w:rsidR="00286E0D" w:rsidRPr="00C60498" w:rsidRDefault="00286E0D" w:rsidP="00286E0D">
      <w:pPr>
        <w:rPr>
          <w:noProof/>
        </w:rPr>
      </w:pPr>
      <w:r w:rsidRPr="00C60498">
        <w:rPr>
          <w:noProof/>
        </w:rPr>
        <w:t>Αφού ζήτησαν τη γνώμη της Επιτροπής των Περιφερειών,</w:t>
      </w:r>
    </w:p>
    <w:p w14:paraId="482D2264" w14:textId="77777777" w:rsidR="00286E0D" w:rsidRPr="00C60498" w:rsidRDefault="00286E0D" w:rsidP="00286E0D">
      <w:pPr>
        <w:rPr>
          <w:noProof/>
        </w:rPr>
      </w:pPr>
      <w:r w:rsidRPr="00C60498">
        <w:rPr>
          <w:noProof/>
        </w:rPr>
        <w:t>Αποφασίζοντας σύμφωνα με τη συνήθη νομοθετική διαδικασία</w:t>
      </w:r>
      <w:r w:rsidRPr="00C60498">
        <w:rPr>
          <w:rStyle w:val="FootnoteReference"/>
          <w:noProof/>
        </w:rPr>
        <w:footnoteReference w:id="5"/>
      </w:r>
      <w:r w:rsidRPr="00C60498">
        <w:rPr>
          <w:noProof/>
        </w:rPr>
        <w:t>,</w:t>
      </w:r>
    </w:p>
    <w:p w14:paraId="068D2442" w14:textId="77777777" w:rsidR="00286E0D" w:rsidRPr="00C60498" w:rsidRDefault="00286E0D" w:rsidP="00286E0D">
      <w:pPr>
        <w:rPr>
          <w:noProof/>
        </w:rPr>
      </w:pPr>
      <w:r w:rsidRPr="00C60498">
        <w:rPr>
          <w:noProof/>
        </w:rPr>
        <w:t>Εκτιμώντας τα ακόλουθα:</w:t>
      </w:r>
    </w:p>
    <w:p w14:paraId="6FB4A7DA" w14:textId="26CAFE74" w:rsidR="00286E0D" w:rsidRPr="00C60498" w:rsidRDefault="003347AC" w:rsidP="003347AC">
      <w:pPr>
        <w:pStyle w:val="ManualConsidrant"/>
        <w:rPr>
          <w:noProof/>
        </w:rPr>
      </w:pPr>
      <w:r w:rsidRPr="00C60498">
        <w:rPr>
          <w:noProof/>
        </w:rPr>
        <w:t>(1)</w:t>
      </w:r>
      <w:r w:rsidRPr="00C60498">
        <w:rPr>
          <w:noProof/>
        </w:rPr>
        <w:tab/>
        <w:t>Ο στόχος της Ένωσης για τη συγκρότηση χώρου ελευθερίας, ασφάλειας και δικαιοσύνης σύμφωνα με το άρθρο 67 παράγραφος 1 της Συνθήκης για τη λειτουργία της Ευρωπαϊκής Ένωσης (στο εξής: ΣΛΕΕ) θα πρέπει να επιτευχθεί μέσω της παροχής ενωσιακής στήριξης για την ανάπτυξη της κοινής ενωσιακής πολιτικής στον τομέα του ελέγχου των εξωτερικών συνόρων, συμπεριλαμβανομένης της κοινής πολιτικής θεωρήσεων σύμφωνα με το άρθρο 77 παράγραφος 2 στοιχείο α) της ΣΛΕΕ.</w:t>
      </w:r>
    </w:p>
    <w:p w14:paraId="00985906" w14:textId="205638BA" w:rsidR="00286E0D" w:rsidRPr="00C60498" w:rsidRDefault="003347AC" w:rsidP="003347AC">
      <w:pPr>
        <w:pStyle w:val="ManualConsidrant"/>
        <w:rPr>
          <w:noProof/>
          <w:szCs w:val="24"/>
        </w:rPr>
      </w:pPr>
      <w:bookmarkStart w:id="12" w:name="_Hlk201766894"/>
      <w:r w:rsidRPr="00C60498">
        <w:rPr>
          <w:noProof/>
        </w:rPr>
        <w:t>(2)</w:t>
      </w:r>
      <w:r w:rsidRPr="00C60498">
        <w:rPr>
          <w:noProof/>
        </w:rPr>
        <w:tab/>
        <w:t>Προκειμένου να διασφαλιστεί η αποτελεσματική και αποδοτική λειτουργία του χώρου Σένγκεν χωρίς εσωτερικά σύνορα, είναι υψίστης σημασίας η ύπαρξη ισχυρού πλαισίου διακυβέρνησης, αποτελεσματικής ευρωπαϊκής ολοκληρωμένης διαχείρισης των συνόρων, υλοποιούμενης από την Ευρωπαϊκή Συνοριοφυλακή και Ακτοφυλακή, η οποία συστάθηκε με τον κανονισμό (ΕΕ) 2019/1896 του Ευρωπαϊκού Κοινοβουλίου και του Συμβουλίου</w:t>
      </w:r>
      <w:r w:rsidRPr="00C60498">
        <w:rPr>
          <w:rStyle w:val="FootnoteReference"/>
          <w:noProof/>
        </w:rPr>
        <w:footnoteReference w:id="6"/>
      </w:r>
      <w:r w:rsidRPr="00C60498">
        <w:rPr>
          <w:noProof/>
        </w:rPr>
        <w:t>, και ενωσιακής πολιτικής θεωρήσεων ώστε να διασφαλίζεται η ακεραιότητα και η ανθεκτικότητα του χώρου Σένγκεν.</w:t>
      </w:r>
    </w:p>
    <w:bookmarkEnd w:id="12"/>
    <w:p w14:paraId="6F9BF459" w14:textId="1D0D3FD3" w:rsidR="00286E0D" w:rsidRPr="00C60498" w:rsidRDefault="003347AC" w:rsidP="003347AC">
      <w:pPr>
        <w:pStyle w:val="ManualConsidrant"/>
        <w:rPr>
          <w:rFonts w:eastAsia="Arial Unicode MS"/>
          <w:noProof/>
          <w:szCs w:val="24"/>
        </w:rPr>
      </w:pPr>
      <w:r w:rsidRPr="00C60498">
        <w:rPr>
          <w:noProof/>
        </w:rPr>
        <w:t>(3)</w:t>
      </w:r>
      <w:r w:rsidRPr="00C60498">
        <w:rPr>
          <w:noProof/>
        </w:rPr>
        <w:tab/>
        <w:t xml:space="preserve">Ως εκ τούτου, θα πρέπει να παρέχεται ενωσιακή στήριξη για τις προσπάθειες των κρατών μελών που αποσκοπούν στην προστασία των εξωτερικών συνόρων της Ένωσης, στον περιορισμό των παράνομων διελεύσεων των συνόρων και των μη επιτρεπόμενων μετακινήσεων μεταξύ των κρατών μελών, καθώς επίσης στον εκσυγχρονισμό και τη βελτίωση της συνολικής αποδοτικότητας της διεκπεραίωσης των θεωρήσεων και στην πρόληψη της κατάχρησης του ενωσιακού καθεστώτος θεωρήσεων. Η εν λόγω ενωσιακή στήριξη θα πρέπει να παρέχεται βάσει των </w:t>
      </w:r>
      <w:r w:rsidRPr="00C60498">
        <w:rPr>
          <w:noProof/>
          <w:color w:val="000000" w:themeColor="text1"/>
        </w:rPr>
        <w:t>οριζόντιων κανόνων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 που θεσπίζεται με τον κανονισμό (ΕΕ) [...]</w:t>
      </w:r>
      <w:r w:rsidRPr="00C60498">
        <w:rPr>
          <w:noProof/>
        </w:rPr>
        <w:t>.</w:t>
      </w:r>
    </w:p>
    <w:p w14:paraId="4CF9EAE0" w14:textId="55BF0AC6" w:rsidR="00BE09E6" w:rsidRPr="00C60498" w:rsidRDefault="003347AC" w:rsidP="003347AC">
      <w:pPr>
        <w:pStyle w:val="ManualConsidrant"/>
        <w:rPr>
          <w:noProof/>
          <w:sz w:val="22"/>
        </w:rPr>
      </w:pPr>
      <w:r w:rsidRPr="00C60498">
        <w:rPr>
          <w:noProof/>
        </w:rPr>
        <w:t>(4)</w:t>
      </w:r>
      <w:r w:rsidRPr="00C60498">
        <w:rPr>
          <w:noProof/>
        </w:rPr>
        <w:tab/>
        <w:t xml:space="preserve">Θα πρέπει επίσης να παρέχεται ενωσιακή στήριξη για την αποτελεσματική υλοποίηση, εφαρμογή και ανάπτυξη του πλαισίου Σένγκεν σε ευρωπαϊκό και εθνικό επίπεδο, μεταξύ άλλων μέσω της ενίσχυσης της εθνικής διακυβέρνησης Σένγκεν που περιλαμβάνει τις αποτελεσματικές δομές συντονισμού και στρατηγικές διαδικασίες που είναι ζωτικής σημασίας για την εύρυθμη λειτουργία του χώρου Σένγκεν. </w:t>
      </w:r>
    </w:p>
    <w:p w14:paraId="2AB47203" w14:textId="1048D925" w:rsidR="00286E0D" w:rsidRPr="00C60498" w:rsidRDefault="003347AC" w:rsidP="003347AC">
      <w:pPr>
        <w:pStyle w:val="ManualConsidrant"/>
        <w:rPr>
          <w:noProof/>
          <w:szCs w:val="24"/>
        </w:rPr>
      </w:pPr>
      <w:r w:rsidRPr="00C60498">
        <w:rPr>
          <w:noProof/>
        </w:rPr>
        <w:t>(5)</w:t>
      </w:r>
      <w:r w:rsidRPr="00C60498">
        <w:rPr>
          <w:noProof/>
        </w:rPr>
        <w:tab/>
        <w:t>Ο παρών κανονισμός καθορίζει τους στόχους της ενωσιακής στήριξης για την εύρυθμη λειτουργία του χώρου Σένγκεν χωρίς ελέγχους στα εσωτερικά σύνορα, συμπεριλαμβανομένης της στήριξης για την ευρωπαϊκή ολοκληρωμένη διαχείριση των συνόρων και της στήριξης για τη λειτουργία του χώρου Σένγκεν, και για την ευρωπαϊκή πολιτική θεωρήσεων</w:t>
      </w:r>
      <w:bookmarkStart w:id="13" w:name="_Hlk201766871"/>
      <w:r w:rsidRPr="00C60498">
        <w:rPr>
          <w:noProof/>
        </w:rPr>
        <w:t xml:space="preserve"> (στο εξής: ενωσιακή στήριξη). Τα κράτη μέλη θα πρέπει να διασφαλίζουν ότι τα οικεία εθνικά και περιφερειακά σχέδια εταιρικής σχέσης ανταποκρίνονται σε καθέναν από τους στόχους που ορίζονται στον παρόντα κανονισμό. </w:t>
      </w:r>
      <w:bookmarkEnd w:id="13"/>
    </w:p>
    <w:p w14:paraId="6786A060" w14:textId="0E5C918F" w:rsidR="007947CD" w:rsidRPr="00C60498" w:rsidRDefault="003347AC" w:rsidP="003347AC">
      <w:pPr>
        <w:pStyle w:val="ManualConsidrant"/>
        <w:rPr>
          <w:noProof/>
          <w:szCs w:val="24"/>
        </w:rPr>
      </w:pPr>
      <w:r w:rsidRPr="00C60498">
        <w:rPr>
          <w:noProof/>
        </w:rPr>
        <w:t>(6)</w:t>
      </w:r>
      <w:r w:rsidRPr="00C60498">
        <w:rPr>
          <w:noProof/>
        </w:rPr>
        <w:tab/>
        <w:t>Σύμφωνα με την πράξη προσχώρησης της Λιθουανίας στην ΕΕ, ο κανονισμός καλύπτει επίσης την ανάγκη στήριξης της Λιθουανίας για τη διαχείριση της διέλευσης προσώπων μεταξύ της περιοχής του Καλίνινγκραντ και άλλων περιοχών της Ρωσικής Ομοσπονδίας.</w:t>
      </w:r>
    </w:p>
    <w:p w14:paraId="32C36110" w14:textId="1703F862" w:rsidR="00286E0D" w:rsidRPr="00C60498" w:rsidRDefault="003347AC" w:rsidP="003347AC">
      <w:pPr>
        <w:pStyle w:val="ManualConsidrant"/>
        <w:rPr>
          <w:noProof/>
        </w:rPr>
      </w:pPr>
      <w:r w:rsidRPr="00C60498">
        <w:rPr>
          <w:noProof/>
        </w:rPr>
        <w:t>(7)</w:t>
      </w:r>
      <w:r w:rsidRPr="00C60498">
        <w:rPr>
          <w:noProof/>
        </w:rPr>
        <w:tab/>
        <w:t xml:space="preserve">Τα ποσά που θα διατεθούν ανά κράτος μέλος θα πρέπει να καθοριστούν από την Επιτροπή σύμφωνα με τη μεθοδολογία κατανομής που ορίζεται στον κανονισμό (ΕΕ) [...] </w:t>
      </w:r>
      <w:r w:rsidRPr="00C60498">
        <w:rPr>
          <w:noProof/>
          <w:color w:val="000000" w:themeColor="text1"/>
        </w:rPr>
        <w:t>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noProof/>
        </w:rPr>
        <w:t xml:space="preserve"> μέσω ενιαίας εκτελεστικής απόφασης. Η εν λόγω απόφαση θα πρέπει κατά κανόνα να καλύπτει επίσης τα ποσά που διατίθενται στο πλαίσιο του κανονισμού (ΕΕ) [...] </w:t>
      </w:r>
      <w:r w:rsidRPr="00C60498">
        <w:rPr>
          <w:noProof/>
          <w:color w:val="000000" w:themeColor="text1"/>
        </w:rPr>
        <w:t>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noProof/>
        </w:rPr>
        <w:t>, του κανονισμού (ΕΕ) [...] σχετικά με τη θέσπιση της ενωσιακής στήριξης στον τομέα του ασύλου, της μετανάστευσης και της ένταξης και του κανονισμού (ΕΕ) [...] σχετικά με τη θέσπιση της ενωσιακής στήριξης στον τομέα της εσωτερικής ασφάλειας.</w:t>
      </w:r>
    </w:p>
    <w:p w14:paraId="0C6F62A8" w14:textId="75D56802" w:rsidR="00286E0D" w:rsidRPr="00C60498" w:rsidRDefault="003347AC" w:rsidP="003347AC">
      <w:pPr>
        <w:pStyle w:val="ManualConsidrant"/>
        <w:rPr>
          <w:noProof/>
        </w:rPr>
      </w:pPr>
      <w:r w:rsidRPr="00C60498">
        <w:rPr>
          <w:noProof/>
        </w:rPr>
        <w:t>(8)</w:t>
      </w:r>
      <w:r w:rsidRPr="00C60498">
        <w:rPr>
          <w:noProof/>
        </w:rPr>
        <w:tab/>
        <w:t>Η ενωσιακή στήριξη θα πρέπει να βασίζεται στα αποτελέσματα και τις επενδύσεις από τις προηγούμενες περιόδους προγραμματισμού: i) το Ταμείο Εξωτερικών Συνόρων για την περίοδο 2007-2013, που συστάθηκε με την απόφαση 574/2007/ΕΚ του Ευρωπαϊκού Κοινοβουλίου και του Συμβουλίου</w:t>
      </w:r>
      <w:r w:rsidRPr="00C60498">
        <w:rPr>
          <w:rStyle w:val="FootnoteReference"/>
          <w:noProof/>
        </w:rPr>
        <w:footnoteReference w:id="7"/>
      </w:r>
      <w:r w:rsidRPr="00C60498">
        <w:rPr>
          <w:noProof/>
        </w:rPr>
        <w:t>· ii)</w:t>
      </w:r>
      <w:r w:rsidRPr="00C60498">
        <w:rPr>
          <w:rStyle w:val="FootnoteReference"/>
          <w:noProof/>
        </w:rPr>
        <w:t xml:space="preserve"> </w:t>
      </w:r>
      <w:r w:rsidRPr="00C60498">
        <w:rPr>
          <w:noProof/>
        </w:rPr>
        <w:t>το μέσο για τα εξωτερικά σύνορα και τις θεωρήσεις στο πλαίσιο του Ταμείου Εσωτερικής Ασφάλειας για την περίοδο 2014-2020, που συστάθηκε με τον κανονισμό (ΕΕ) αριθ. 515/2014 του Ευρωπαϊκού Κοινοβουλίου και του Συμβουλίου</w:t>
      </w:r>
      <w:r w:rsidRPr="00C60498">
        <w:rPr>
          <w:rStyle w:val="FootnoteReference"/>
          <w:noProof/>
        </w:rPr>
        <w:footnoteReference w:id="8"/>
      </w:r>
      <w:r w:rsidRPr="00C60498">
        <w:rPr>
          <w:noProof/>
        </w:rPr>
        <w:t>· και iii) το Μέσο Χρηματοδοτικής Στήριξης της Διαχείρισης των Συνόρων και την Πολιτική Θεωρήσεων στο πλαίσιο του Ταμείου για την Ολοκληρωμένη Διαχείριση των Συνόρων για την περίοδο 2021-2027, που συστάθηκε με τον κανονισμό (ΕΕ) 2021/1148 του Ευρωπαϊκού Κοινοβουλίου και του Συμβουλίου</w:t>
      </w:r>
      <w:r w:rsidRPr="00C60498">
        <w:rPr>
          <w:rStyle w:val="FootnoteReference"/>
          <w:noProof/>
          <w:szCs w:val="24"/>
        </w:rPr>
        <w:footnoteReference w:id="9"/>
      </w:r>
      <w:r w:rsidRPr="00C60498">
        <w:rPr>
          <w:noProof/>
        </w:rPr>
        <w:t xml:space="preserve">. </w:t>
      </w:r>
    </w:p>
    <w:p w14:paraId="28287138" w14:textId="60C80E31" w:rsidR="00B9223C" w:rsidRPr="00C60498" w:rsidRDefault="003347AC" w:rsidP="003347AC">
      <w:pPr>
        <w:pStyle w:val="ManualConsidrant"/>
        <w:rPr>
          <w:rFonts w:eastAsia="Arial Unicode MS"/>
          <w:noProof/>
          <w:szCs w:val="24"/>
        </w:rPr>
      </w:pPr>
      <w:r w:rsidRPr="00C60498">
        <w:rPr>
          <w:noProof/>
        </w:rPr>
        <w:t>(9)</w:t>
      </w:r>
      <w:r w:rsidRPr="00C60498">
        <w:rPr>
          <w:noProof/>
        </w:rPr>
        <w:tab/>
        <w:t>Ενόψει του μεταβαλλόμενου παγκόσμιου τοπίου και της αυξανόμενης αστάθειας, η Ένωση και τα κράτη μέλη της οφείλουν να συνδυάσουν τους πόρους τους προκειμένου να προστατεύσουν αποτελεσματικά τα εξωτερικά σύνορα της Ένωσης, μεταξύ άλλων για να αντιμετωπίσουν την αντικανονική μετανάστευση, την παράνομη διακίνηση μεταναστών και την εμπορία ανθρώπων, καθώς επίσης για να αντιμετωπίσουν κρατικούς παράγοντες που δημιουργούν και διευκολύνουν τεχνητά την αντικανονική μετανάστευση, χρησιμοποιούν τις μεταναστευτικές ροές ως εργαλείο για πολιτικούς σκοπούς και καταφεύγουν σε τακτικές υβριδικού πολέμου, όπως η χρήση της μετανάστευσης ως όπλου</w:t>
      </w:r>
      <w:r w:rsidRPr="00C60498">
        <w:rPr>
          <w:rStyle w:val="FootnoteReference"/>
          <w:noProof/>
        </w:rPr>
        <w:footnoteReference w:id="10"/>
      </w:r>
      <w:r w:rsidRPr="00C60498">
        <w:rPr>
          <w:noProof/>
        </w:rPr>
        <w:t xml:space="preserve">, για την αποσταθεροποίηση της Ευρωπαϊκής Ένωσης και των κρατών μελών της. Προς το συμφέρον της αλληλεγγύης στο σύνολο του χώρου Σένγκεν και με πνεύμα κοινής ευθύνης για την προστασία των εξωτερικών συνόρων της Ένωσης, το εθνικό και περιφερειακό σχέδιο εταιρικής σχέσης του κράτους μέλους θα πρέπει να αντιμετωπίζει επαρκώς τις προκλήσεις που εντοπίζονται, ιδίως στο πλαίσιο της στρατηγικής για την ευρωπαϊκή ολοκληρωμένη διαχείριση των συνόρων, της στρατηγικής για την ευρωπαϊκή πολιτική θεωρήσεων και της νέας αρχιτεκτονικής τεχνολογίας πληροφοριών (στο εξής: ΤΠ) Σένγκεν η οποία βασίζεται στα μεγάλης κλίμακας συστήματα ΤΠ που έχουν αναπτυχθεί για τη διαχείριση των εξωτερικών συνόρων και της ασφάλειας, καθώς και στη διαλειτουργικότητα των εν λόγω συστημάτων. Επιπλέον, προκειμένου να υποστηριχθεί η αποστολή για τον έλεγχο των συνόρων, θα πρέπει να εξεταστεί το ενδεχόμενο ανάπτυξης τεχνολογίας και ψηφιακών λύσεων.   </w:t>
      </w:r>
    </w:p>
    <w:p w14:paraId="748664DD" w14:textId="5916F529" w:rsidR="00FA5BBE" w:rsidRPr="00C60498" w:rsidRDefault="003347AC" w:rsidP="003347AC">
      <w:pPr>
        <w:pStyle w:val="ManualConsidrant"/>
        <w:rPr>
          <w:noProof/>
        </w:rPr>
      </w:pPr>
      <w:r w:rsidRPr="00C60498">
        <w:rPr>
          <w:noProof/>
        </w:rPr>
        <w:t>(10)</w:t>
      </w:r>
      <w:r w:rsidRPr="00C60498">
        <w:rPr>
          <w:noProof/>
        </w:rPr>
        <w:tab/>
        <w:t>Η ενωσιακή στήριξη θα πρέπει να συμβάλλει στη διασφάλιση της συνέπειας, της συνοχής, των συνεργειών και της συμπληρωματικότητας μεταξύ των εσωτερικών και εξωτερικών πολιτικών της Ένωσης. Απαιτείται αυξημένη συνοχή μεταξύ της πολιτικής για τη μετανάστευση, το άσυλο και την επιστροφή και της εξωτερικής πολιτικής, και είναι σημαντικό να διασφαλιστεί ότι η εξωτερική βοήθεια της Ένωσης και η ενωσιακή στήριξη που παρέχονται στο πλαίσιο του παρόντος κανονισμού συμβάλλουν σε μια συντονισμένη, ολιστική και διαρθρωμένη προσέγγιση για τη μετανάστευση, ώστε να μεγιστοποιούνται οι συνέργειες και να αυξάνεται η μόχλευση. Η ενωσιακή στήριξη στο πλαίσιο του παρόντος κανονισμού μπορεί επίσης να περιλαμβάνει στήριξη των σχετικών πόρων των αντιπροσωπειών της ΕΕ σε δεόντως αιτιολογημένες περιπτώσεις και να συντονίζεται μεταξύ των κρατών μελών και της Επιτροπής κατά τα στάδια του προγραμματισμού και της υλοποίησης.</w:t>
      </w:r>
    </w:p>
    <w:p w14:paraId="46F16C80" w14:textId="2DCE2966" w:rsidR="00DC6F83" w:rsidRPr="00C60498" w:rsidRDefault="003347AC" w:rsidP="003347AC">
      <w:pPr>
        <w:pStyle w:val="ManualConsidrant"/>
        <w:rPr>
          <w:noProof/>
        </w:rPr>
      </w:pPr>
      <w:r w:rsidRPr="00C60498">
        <w:rPr>
          <w:noProof/>
        </w:rPr>
        <w:t>(11)</w:t>
      </w:r>
      <w:r w:rsidRPr="00C60498">
        <w:rPr>
          <w:noProof/>
        </w:rPr>
        <w:tab/>
        <w:t>Η Ευρώπη πρέπει να προστατεύσει τα συμφέροντά της στον τομέα της ασφάλειας έναντι προμηθευτών που θα μπορούσαν να αποτελέσουν διαρκή κίνδυνο για την ασφάλεια λόγω δυνητικών παρεμβάσεων από τρίτες χώρες, καθώς και των πρακτικών τους στον τομέα της κυβερνοασφάλειας. Ως εκ τούτου, είναι αναγκαίο να μειωθεί ο κίνδυνος της συνεχιζόμενης εξάρτησης από προμηθευτές υψηλού κινδύνου στην εσωτερική αγορά, καθώς αυτοί θα μπορούσαν να έχουν δυνητικά σοβαρές αρνητικές επιπτώσεις στην ασφάλεια για τους χρήστες, τις εταιρείες και τις αρχές σε ολόκληρη την ΕΕ και για τις υποδομές ζωτικής σημασίας της ΕΕ όσον αφορά την ακεραιότητα των δεδομένων και των υπηρεσιών, καθώς και τη διαθεσιμότητα των υπηρεσιών. Ο αποκλεισμός αυτός θα πρέπει να βασίζεται σε αναλογική εκτίμηση κινδύνου και σε συναφή μέτρα μετριασμού, όπως ορίζονται στις πολιτικές και τη νομοθεσία της Ένωσης.</w:t>
      </w:r>
    </w:p>
    <w:p w14:paraId="36DC56FF" w14:textId="4044E33B" w:rsidR="00286E0D" w:rsidRPr="00C60498" w:rsidRDefault="003347AC" w:rsidP="003347AC">
      <w:pPr>
        <w:pStyle w:val="ManualConsidrant"/>
        <w:rPr>
          <w:rFonts w:eastAsia="Arial Unicode MS"/>
          <w:noProof/>
          <w:szCs w:val="24"/>
        </w:rPr>
      </w:pPr>
      <w:r w:rsidRPr="00C60498">
        <w:rPr>
          <w:noProof/>
        </w:rPr>
        <w:t>(12)</w:t>
      </w:r>
      <w:r w:rsidRPr="00C60498">
        <w:rPr>
          <w:noProof/>
        </w:rPr>
        <w:tab/>
        <w:t xml:space="preserve">Δεδομένου ότι οι προκλήσεις στον τομέα της διαχείρισης των συνόρων και της πολιτικής θεωρήσεων εξελίσσονται συνεχώς, είναι αναγκαίο η κατανομή της ενωσιακής στήριξης να προσαρμοστεί στις αλλαγές των προτεραιοτήτων της διαχείρισης των εξωτερικών συνόρων και της πολιτικής θεωρήσεων, συμπεριλαμβανομένων των αλλαγών που απορρέουν από την αυξημένη πίεση στα σύνορα, καθώς και η χρηματοδότηση να προσανατολιστεί προς τις προτεραιότητες με την υψηλότερη ενωσιακή προστιθέμενη αξία. Προκειμένου να αντιμετωπιστούν οι πιεστικές ανάγκες και οι αλλαγές στην πολιτική και στις προτεραιότητες της Ένωσης και να κατευθυνθεί η χρηματοδότηση προς δράσεις με υψηλό επίπεδο ενωσιακής προστιθέμενης αξίας, μέρος της ενωσιακής στήριξης θα πρέπει να υλοποιείται υπό άμεση, επιμερισμένη και έμμεση διαχείριση μέσω του μηχανισμού της ΕΕ που θεσπίστηκε σύμφωνα με τον κανονισμό (ΕΕ) [...] </w:t>
      </w:r>
      <w:r w:rsidRPr="00C60498">
        <w:rPr>
          <w:noProof/>
          <w:color w:val="000000" w:themeColor="text1"/>
        </w:rPr>
        <w:t>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noProof/>
        </w:rPr>
        <w:t>. Ο μηχανισμός της ΕΕ προσφέρει ευελιξία στη διαχείριση της ενωσιακής στήριξης και, όταν πρόκειται για επιμερισμένη διαχείριση, θα πρέπει να υλοποιείται μέσω των εθνικών και περιφερειακών σχεδίων εταιρικής σχέσης των κρατών μελών.</w:t>
      </w:r>
    </w:p>
    <w:p w14:paraId="3E024F13" w14:textId="33F10476" w:rsidR="00286E0D" w:rsidRPr="00C60498" w:rsidRDefault="003347AC" w:rsidP="003347AC">
      <w:pPr>
        <w:pStyle w:val="ManualConsidrant"/>
        <w:rPr>
          <w:rFonts w:eastAsia="Arial Unicode MS"/>
          <w:noProof/>
          <w:szCs w:val="24"/>
        </w:rPr>
      </w:pPr>
      <w:r w:rsidRPr="00C60498">
        <w:rPr>
          <w:noProof/>
        </w:rPr>
        <w:t>(13)</w:t>
      </w:r>
      <w:r w:rsidRPr="00C60498">
        <w:rPr>
          <w:noProof/>
        </w:rPr>
        <w:tab/>
        <w:t>Η Επιτροπή και τα κράτη μέλη θα πρέπει να διασφαλίζουν ότι οι γνώσεις και η πείρα των οργάνων, υπηρεσιών και οργανισμών της Ένωσης λαμβάνονται υπόψη κατά την εφαρμογή μέτρων ή την αντιμετώπιση προκλήσεων σε σχέση με τη διαχείριση της μετανάστευσης, τον έλεγχο και τη διαχείριση των συνόρων και την εσωτερική ασφάλεια. Όπου αρμόζει, η Επιτροπή θα πρέπει επίσης να μπορεί να εξασφαλίζει τη συμβολή των συναφών οργάνων, υπηρεσιών και οργανισμών της Ένωσης σε δραστηριότητες που έχουν σκοπό να διασφαλίσουν ότι τα μέτρα που λαμβάνουν ενωσιακή στήριξη συμμορφώνονται με το σχετικό ενωσιακό κεκτημένο και με τις συμφωνηθείσες ενωσιακές προτεραιότητες.</w:t>
      </w:r>
    </w:p>
    <w:p w14:paraId="79A06EF4" w14:textId="6FE4B497" w:rsidR="00286E0D" w:rsidRPr="00C60498" w:rsidRDefault="003347AC" w:rsidP="003347AC">
      <w:pPr>
        <w:pStyle w:val="ManualConsidrant"/>
        <w:rPr>
          <w:noProof/>
        </w:rPr>
      </w:pPr>
      <w:r w:rsidRPr="00C60498">
        <w:rPr>
          <w:noProof/>
        </w:rPr>
        <w:t>(14)</w:t>
      </w:r>
      <w:r w:rsidRPr="00C60498">
        <w:rPr>
          <w:noProof/>
        </w:rPr>
        <w:tab/>
        <w:t xml:space="preserve">Η ενωσιακή στήριξη θα πρέπει να στηρίζει μέτρα που συνδέονται με τους ελέγχους των εξωτερικών συνόρων στο έδαφος των χωρών που εφαρμόζουν το κεκτημένο του Σένγκεν, στο πλαίσιο της εφαρμογής της Ευρωπαϊκής ολοκληρωμένης διαχείρισης των συνόρων, οι οποίοι ενισχύουν τη συνολική λειτουργία του χώρου Σένγκεν. Προκειμένου να προσδιοριστούν η φύση και οι τρόποι συμμετοχής στην ενωσιακή στήριξη χωρών που συνδέονται με την υλοποίηση, την εφαρμογή και την ανάπτυξη του κεκτημένου του Σένγκεν, θα πρέπει να συναφθούν περαιτέρω ρυθμίσεις μεταξύ της Ένωσης και των εν λόγω χωρών στο πλαίσιο των οικείων διατάξεων των αντίστοιχων συμφωνιών σύνδεσης που έχουν υπογραφεί μεταξύ των εν λόγω χωρών και της Ένωσης. </w:t>
      </w:r>
    </w:p>
    <w:p w14:paraId="1ACD8BCA" w14:textId="7A46241F" w:rsidR="00286E0D" w:rsidRPr="00C60498" w:rsidRDefault="003347AC" w:rsidP="003347AC">
      <w:pPr>
        <w:pStyle w:val="ManualConsidrant"/>
        <w:rPr>
          <w:noProof/>
        </w:rPr>
      </w:pPr>
      <w:r w:rsidRPr="00C60498">
        <w:rPr>
          <w:noProof/>
        </w:rPr>
        <w:t>(15)</w:t>
      </w:r>
      <w:r w:rsidRPr="00C60498">
        <w:rPr>
          <w:noProof/>
        </w:rPr>
        <w:tab/>
        <w:t>Η ενωσιακή στήριξη θα πρέπει να εξακολουθήσει να συμβάλλει στην εφαρμογή, στην ανάπτυξη και στη διακυβέρνηση του χώρου Σένγκεν με σκοπό την προώθηση ενός χώρου χωρίς ελέγχους στα εσωτερικά σύνορα. Θα πρέπει να στηρίζει μέτρα που συνδέονται με τους ελέγχους εξωτερικών συνόρων στο έδαφος των χωρών που εφαρμόζουν το κεκτημένο του Σένγκεν, στο πλαίσιο της εφαρμογής της Ευρωπαϊκής ολοκληρωμένης διαχείρισης των συνόρων, οι οποίοι ενισχύουν τη συνολική λειτουργία του χώρου Σένγκεν.</w:t>
      </w:r>
    </w:p>
    <w:p w14:paraId="5A7895AE" w14:textId="175385F1" w:rsidR="00286E0D" w:rsidRPr="00C60498" w:rsidRDefault="003347AC" w:rsidP="003347AC">
      <w:pPr>
        <w:pStyle w:val="ManualConsidrant"/>
        <w:rPr>
          <w:noProof/>
        </w:rPr>
      </w:pPr>
      <w:r w:rsidRPr="00C60498">
        <w:rPr>
          <w:noProof/>
        </w:rPr>
        <w:t>(16)</w:t>
      </w:r>
      <w:r w:rsidRPr="00C60498">
        <w:rPr>
          <w:noProof/>
        </w:rPr>
        <w:tab/>
        <w:t>Η ενωσιακή στήριξη θα πρέπει να συμβάλει στον εκσυγχρονισμό και τη βελτίωση της αποδοτικότητας στη διεκπεραίωση των θεωρήσεων όσον αφορά τον εντοπισμό και την αξιολόγηση των κινδύνων για την ασφάλεια και όσον αφορά την αντικανονική μετανάστευση, διασφαλίζοντας την αποτελεσματική εφαρμογή του κώδικα θεωρήσεων. Ειδικότερα, η ενωσιακή στήριξη θα πρέπει να συμβάλλει στην ψηφιοποίηση της διεκπεραίωσης των θεωρήσεων, με στόχο την παροχή γρήγορων, ασφαλών και φιλικών προς τον πελάτη διαδικασιών θεωρήσεων προς όφελος τόσο των αιτούντων θεώρηση όσο και των προξενείων. Η ενωσιακή στήριξη θα πρέπει επίσης να συμβάλει στη βελτίωση της εξυπηρέτησης των αιτούντων θεώρηση, μεταξύ άλλων μέσω βελτιωμένης κάλυψης των προξενικών υπηρεσιών σε ολόκληρο τον κόσμο.</w:t>
      </w:r>
    </w:p>
    <w:p w14:paraId="5F13111F" w14:textId="7964490E" w:rsidR="00286E0D" w:rsidRPr="00C60498" w:rsidRDefault="003347AC" w:rsidP="003347AC">
      <w:pPr>
        <w:pStyle w:val="ManualConsidrant"/>
        <w:rPr>
          <w:noProof/>
        </w:rPr>
      </w:pPr>
      <w:bookmarkStart w:id="14" w:name="_Hlk201962914"/>
      <w:r w:rsidRPr="00C60498">
        <w:rPr>
          <w:noProof/>
        </w:rPr>
        <w:t>(17)</w:t>
      </w:r>
      <w:r w:rsidRPr="00C60498">
        <w:rPr>
          <w:noProof/>
        </w:rPr>
        <w:tab/>
        <w:t>Τα κράτη μέλη μπορούν να βασίζονται στην αρχή της εταιρικής σχέσης κατά την εφαρμογή της ενωσιακής στήριξης ώστε να διασφαλίζουν τη συνέχεια της προσέγγισης όσον αφορά τη διακυβέρνηση.</w:t>
      </w:r>
      <w:bookmarkEnd w:id="14"/>
    </w:p>
    <w:p w14:paraId="7984B517" w14:textId="01857EF6" w:rsidR="00286E0D" w:rsidRPr="00C60498" w:rsidRDefault="003347AC" w:rsidP="003347AC">
      <w:pPr>
        <w:pStyle w:val="ManualConsidrant"/>
        <w:rPr>
          <w:noProof/>
        </w:rPr>
      </w:pPr>
      <w:r w:rsidRPr="00C60498">
        <w:rPr>
          <w:noProof/>
        </w:rPr>
        <w:t>(18)</w:t>
      </w:r>
      <w:r w:rsidRPr="00C60498">
        <w:rPr>
          <w:noProof/>
        </w:rPr>
        <w:tab/>
        <w:t>Σύμφωνα με το άρθρο 86 του κανονισμού (ΕΕ) 2018/1240 του Ευρωπαϊκού Κοινοβουλίου και του Συμβουλίου</w:t>
      </w:r>
      <w:r w:rsidRPr="00C60498">
        <w:rPr>
          <w:rStyle w:val="FootnoteReference"/>
          <w:noProof/>
          <w:szCs w:val="24"/>
        </w:rPr>
        <w:footnoteReference w:id="11"/>
      </w:r>
      <w:r w:rsidRPr="00C60498">
        <w:rPr>
          <w:noProof/>
        </w:rPr>
        <w:t xml:space="preserve">, οι δαπάνες λειτουργίας του Ευρωπαϊκού Συστήματος Πληροφοριών και Αδειοδότησης Ταξιδιού (στο εξής: ETIAS) θα πρέπει να καλύπτονται από τα έσοδα που προκύπτουν από τα τέλη έκδοσης των αδειών ταξιδιού. Ο παρών κανονισμός θα πρέπει να θεσπίσει κανόνες προκειμένου να αποδίδεται στα κράτη μέλη το αντίστοιχο ποσοστό τους επί των τελών του ETIAS για την κάλυψη των σχετικών λειτουργικών δαπανών τους, </w:t>
      </w:r>
      <w:bookmarkStart w:id="15" w:name="_Hlk202881236"/>
      <w:r w:rsidRPr="00C60498">
        <w:rPr>
          <w:noProof/>
        </w:rPr>
        <w:t>συμπεριλαμβανομένων ρυθμίσεων για τις περιπτώσεις στις οποίες οι συνολικές λειτουργικές δαπάνες τους σε ένα δεδομένο έτος υπερβαίνουν τα διαθέσιμα έσοδα του ETIAS</w:t>
      </w:r>
      <w:bookmarkEnd w:id="15"/>
      <w:r w:rsidRPr="00C60498">
        <w:rPr>
          <w:noProof/>
        </w:rPr>
        <w:t xml:space="preserve">. </w:t>
      </w:r>
    </w:p>
    <w:p w14:paraId="73242398" w14:textId="7DC173D4" w:rsidR="00286E0D" w:rsidRPr="00C60498" w:rsidRDefault="003347AC" w:rsidP="003347AC">
      <w:pPr>
        <w:pStyle w:val="ManualConsidrant"/>
        <w:rPr>
          <w:noProof/>
        </w:rPr>
      </w:pPr>
      <w:r w:rsidRPr="00C60498">
        <w:rPr>
          <w:noProof/>
        </w:rPr>
        <w:t>(19)</w:t>
      </w:r>
      <w:r w:rsidRPr="00C60498">
        <w:rPr>
          <w:noProof/>
        </w:rPr>
        <w:tab/>
        <w:t>Δεδομένου ότι τα κράτη μέλη που υφίστανται μεταναστευτικές πιέσεις θα πρέπει να μπορούν να βασίζονται στην ενωσιακή στήριξη, ο παρών κανονισμός θα πρέπει να καθορίζει τους κανόνες προκειμένου να διατίθεται στα επωφελούμενα κράτη μέλη το αντίστοιχο ποσοστό των χρηματοδοτικών συνεισφορών που περιλαμβάνονται στην ετήσια δεξαμενή αλληλεγγύης η οποία θεσπίστηκε με τον κανονισμό (ΕΕ) 2024/1351</w:t>
      </w:r>
      <w:r w:rsidRPr="00C60498">
        <w:rPr>
          <w:rStyle w:val="FootnoteReference"/>
          <w:rFonts w:eastAsia="Arial Unicode MS"/>
          <w:noProof/>
          <w:szCs w:val="24"/>
          <w:lang w:eastAsia="en-IE"/>
        </w:rPr>
        <w:footnoteReference w:id="12"/>
      </w:r>
      <w:r w:rsidRPr="00C60498">
        <w:rPr>
          <w:noProof/>
        </w:rPr>
        <w:t>.</w:t>
      </w:r>
    </w:p>
    <w:p w14:paraId="4C768251" w14:textId="3AE1A69C" w:rsidR="006866F6" w:rsidRPr="00C60498" w:rsidRDefault="003347AC" w:rsidP="003347AC">
      <w:pPr>
        <w:pStyle w:val="ManualConsidrant"/>
        <w:rPr>
          <w:noProof/>
        </w:rPr>
      </w:pPr>
      <w:bookmarkStart w:id="16" w:name="_Hlk202881260"/>
      <w:r w:rsidRPr="00C60498">
        <w:rPr>
          <w:noProof/>
        </w:rPr>
        <w:t>(20)</w:t>
      </w:r>
      <w:r w:rsidRPr="00C60498">
        <w:rPr>
          <w:noProof/>
        </w:rPr>
        <w:tab/>
        <w:t>Όλες οι δράσεις που λαμβάνουν ενωσιακή στήριξη με βάση τον παρόντα κανονισμό θα πρέπει να υλοποιούνται σύμφωνα με τα δικαιώματα και τις αρχές που κατοχυρώνονται στο κεκτημένο της Ένωσης και στον Χάρτη των Θεμελιωδών Δικαιωμάτων της Ευρωπαϊκής Ένωσης, και θα πρέπει να συνάδουν με τις διεθνείς υποχρεώσεις της Ένωσης και των κρατών μελών που απορρέουν από τις διεθνείς πράξεις στις οποίες είναι συμβαλλόμενα μέρη.</w:t>
      </w:r>
    </w:p>
    <w:bookmarkEnd w:id="16"/>
    <w:p w14:paraId="79724041" w14:textId="1336DDA4" w:rsidR="00286E0D" w:rsidRPr="00C60498" w:rsidRDefault="003347AC" w:rsidP="003347AC">
      <w:pPr>
        <w:pStyle w:val="ManualConsidrant"/>
        <w:rPr>
          <w:noProof/>
        </w:rPr>
      </w:pPr>
      <w:r w:rsidRPr="00C60498">
        <w:rPr>
          <w:noProof/>
        </w:rPr>
        <w:t>(21)</w:t>
      </w:r>
      <w:r w:rsidRPr="00C60498">
        <w:rPr>
          <w:noProof/>
        </w:rPr>
        <w:tab/>
        <w:t>Σύμφωνα με το πρωτόκολλο αριθ. 5 της πράξης προσχώρησης του 2003 σχετικά με τη χερσαία διέλευση προσώπων μεταξύ της περιοχής του Καλίνινγκραντ και άλλων τμημάτων της Ρωσικής Ομοσπονδίας</w:t>
      </w:r>
      <w:r w:rsidRPr="00C60498">
        <w:rPr>
          <w:rStyle w:val="FootnoteReference"/>
          <w:noProof/>
          <w:szCs w:val="24"/>
        </w:rPr>
        <w:footnoteReference w:id="13"/>
      </w:r>
      <w:r w:rsidRPr="00C60498">
        <w:rPr>
          <w:noProof/>
        </w:rPr>
        <w:t>, η Ένωση επικουρεί τη Λιθουανία στη διαχείριση της διέλευσης προσώπων μεταξύ της περιοχής του Καλίνινγκραντ και των άλλων τμημάτων της Ρωσικής Ομοσπονδίας και αναλαμβάνει, ιδίως, τυχόν πρόσθετες δαπάνες που προκύπτουν από την εφαρμογή των ειδικών διατάξεων του κεκτημένου που προβλέπουν την εν λόγω διέλευση. Ως εκ τούτου, ο παρών κανονισμός θα πρέπει να θεσπίσει τους κανόνες για τη χρηματοδοτική στήριξη σχετικά με το ειδικό καθεστώς διέλευσης που ορίζεται στον κανονισμό (ΕΚ) αριθ. 693/2003 του Συμβουλίου</w:t>
      </w:r>
      <w:r w:rsidRPr="00C60498">
        <w:rPr>
          <w:rStyle w:val="FootnoteReference"/>
          <w:noProof/>
          <w:szCs w:val="24"/>
        </w:rPr>
        <w:footnoteReference w:id="14"/>
      </w:r>
      <w:r w:rsidRPr="00C60498">
        <w:rPr>
          <w:noProof/>
        </w:rPr>
        <w:t>.</w:t>
      </w:r>
    </w:p>
    <w:p w14:paraId="2F17EDDB" w14:textId="10F49CFA" w:rsidR="00286E0D" w:rsidRPr="00C60498" w:rsidRDefault="003347AC" w:rsidP="003347AC">
      <w:pPr>
        <w:pStyle w:val="ManualConsidrant"/>
        <w:rPr>
          <w:noProof/>
        </w:rPr>
      </w:pPr>
      <w:r w:rsidRPr="00C60498">
        <w:rPr>
          <w:noProof/>
        </w:rPr>
        <w:t>(22)</w:t>
      </w:r>
      <w:r w:rsidRPr="00C60498">
        <w:rPr>
          <w:noProof/>
        </w:rPr>
        <w:tab/>
        <w:t>Όσον αφορά την Ισλανδία και τη Νορβηγία, ο παρών κανονισμός αποτελεί ανάπτυξη των διατάξεων του κεκτημένου του Σένγκεν, κατά την έννοια της συμφωνίας η οποία συνάφθηκε από το Συμβούλιο της Ευρωπαϊκής Ένωσης, αφενός, και από τη Δημοκρατία της Ισλανδίας και το Βασίλειο της Νορβηγίας, αφετέρου, σχετικά με τη σύνδεση των δύο αυτών κρατών με την υλοποίηση, την εφαρμογή και την ανάπτυξη του κεκτημένου του Σένγκεν</w:t>
      </w:r>
      <w:r w:rsidRPr="00C60498">
        <w:rPr>
          <w:rStyle w:val="FootnoteReference"/>
          <w:noProof/>
          <w:szCs w:val="24"/>
        </w:rPr>
        <w:footnoteReference w:id="15"/>
      </w:r>
      <w:r w:rsidRPr="00C60498">
        <w:rPr>
          <w:noProof/>
        </w:rPr>
        <w:t>, οι οποίες διατάξεις εμπίπτουν στον τομέα στον οποίον αναφέρεται το άρθρο 1 στοιχεία Α και Β της απόφασης 1999/437/ΕΚ του Συμβουλίου</w:t>
      </w:r>
      <w:r w:rsidRPr="00C60498">
        <w:rPr>
          <w:rStyle w:val="FootnoteReference"/>
          <w:noProof/>
          <w:szCs w:val="24"/>
        </w:rPr>
        <w:footnoteReference w:id="16"/>
      </w:r>
      <w:r w:rsidRPr="00C60498">
        <w:rPr>
          <w:noProof/>
        </w:rPr>
        <w:t>.</w:t>
      </w:r>
    </w:p>
    <w:p w14:paraId="440CC84B" w14:textId="600DEAC6" w:rsidR="00286E0D" w:rsidRPr="00C60498" w:rsidRDefault="003347AC" w:rsidP="003347AC">
      <w:pPr>
        <w:pStyle w:val="ManualConsidrant"/>
        <w:rPr>
          <w:noProof/>
        </w:rPr>
      </w:pPr>
      <w:r w:rsidRPr="00C60498">
        <w:rPr>
          <w:noProof/>
        </w:rPr>
        <w:t>(23)</w:t>
      </w:r>
      <w:r w:rsidRPr="00C60498">
        <w:rPr>
          <w:noProof/>
        </w:rPr>
        <w:tab/>
        <w:t>Όσον αφορά την Ελβετία, ο παρών κανονισμός αποτελεί ανάπτυξη των διατάξεων του κεκτημένου του Σένγκεν, κατά την έννοια της συμφωνίας μεταξύ της Ευρωπαϊκής Ένωσης, της Ευρωπαϊκής Κοινότητας και της Ελβετικής Συνομοσπονδίας σχετικά με τη σύνδεση της Ελβετικής Συνομοσπονδίας με την υλοποίηση, την εφαρμογή και την ανάπτυξη του κεκτημένου του Σένγκεν</w:t>
      </w:r>
      <w:r w:rsidRPr="00C60498">
        <w:rPr>
          <w:rStyle w:val="FootnoteReference"/>
          <w:noProof/>
          <w:szCs w:val="24"/>
        </w:rPr>
        <w:footnoteReference w:id="17"/>
      </w:r>
      <w:r w:rsidRPr="00C60498">
        <w:rPr>
          <w:noProof/>
        </w:rPr>
        <w:t>, οι οποίες διατάξεις εμπίπτουν στον τομέα στον οποίον αναφέρεται το άρθρο 1 στοιχεία Α και Β της απόφασης 1999/437/ΕΚ, σε συνδυασμό με το άρθρο 3 της απόφασης 2008/146/ΕΚ του Συμβουλίου</w:t>
      </w:r>
      <w:r w:rsidRPr="00C60498">
        <w:rPr>
          <w:rStyle w:val="FootnoteReference"/>
          <w:noProof/>
          <w:szCs w:val="24"/>
        </w:rPr>
        <w:footnoteReference w:id="18"/>
      </w:r>
      <w:r w:rsidRPr="00C60498">
        <w:rPr>
          <w:noProof/>
        </w:rPr>
        <w:t>.</w:t>
      </w:r>
    </w:p>
    <w:p w14:paraId="396CC801" w14:textId="2CEB75AB" w:rsidR="00286E0D" w:rsidRPr="00C60498" w:rsidRDefault="003347AC" w:rsidP="003347AC">
      <w:pPr>
        <w:pStyle w:val="ManualConsidrant"/>
        <w:rPr>
          <w:noProof/>
        </w:rPr>
      </w:pPr>
      <w:r w:rsidRPr="00C60498">
        <w:rPr>
          <w:noProof/>
        </w:rPr>
        <w:t>(24)</w:t>
      </w:r>
      <w:r w:rsidRPr="00C60498">
        <w:rPr>
          <w:noProof/>
        </w:rPr>
        <w:tab/>
        <w:t>Όσον αφορά το Λιχτενστάιν, ο παρών κανονισμός αποτελεί ανάπτυξη των διατάξεων του κεκτημένου του Σένγκεν, κατά την έννοια του πρωτοκόλλου μεταξύ της Ευρωπαϊκής Ένωσης, της Ευρωπαϊκής Κοινότητας, της Ελβετικής Συνομοσπονδίας και του Πριγκιπάτου του Λιχτενστάιν για την προσχώρηση του Πριγκιπάτου του Λιχτενστάιν στη συμφωνία μεταξύ της Ευρωπαϊκής Ένωσης, της Ευρωπαϊκής Κοινότητας και της Ελβετικής Συνομοσπονδίας σχετικά με τη σύνδεση της Ελβετικής Συνομοσπονδίας προς τη θέση σε ισχύ, την εφαρμογή και την ανάπτυξη του κεκτημένου του Σένγκεν</w:t>
      </w:r>
      <w:r w:rsidRPr="00C60498">
        <w:rPr>
          <w:rStyle w:val="FootnoteReference"/>
          <w:noProof/>
          <w:szCs w:val="24"/>
        </w:rPr>
        <w:footnoteReference w:id="19"/>
      </w:r>
      <w:r w:rsidRPr="00C60498">
        <w:rPr>
          <w:noProof/>
        </w:rPr>
        <w:t>, οι οποίες διατάξεις εμπίπτουν στους τομείς στους οποίους αναφέρεται το άρθρο 1 στοιχεία Α και Β της απόφασης 1999/437/ΕΚ σε συνδυασμό με το άρθρο 3 της απόφασης 2011/350/ΕΕ του Συμβουλίου</w:t>
      </w:r>
      <w:r w:rsidRPr="00C60498">
        <w:rPr>
          <w:rStyle w:val="FootnoteReference"/>
          <w:noProof/>
          <w:szCs w:val="24"/>
        </w:rPr>
        <w:footnoteReference w:id="20"/>
      </w:r>
      <w:r w:rsidRPr="00C60498">
        <w:rPr>
          <w:noProof/>
        </w:rPr>
        <w:t>.</w:t>
      </w:r>
    </w:p>
    <w:p w14:paraId="1D419147" w14:textId="7F099022" w:rsidR="00806AC4" w:rsidRPr="00C60498" w:rsidRDefault="003347AC" w:rsidP="003347AC">
      <w:pPr>
        <w:pStyle w:val="ManualConsidrant"/>
        <w:rPr>
          <w:noProof/>
        </w:rPr>
      </w:pPr>
      <w:r w:rsidRPr="00C60498">
        <w:rPr>
          <w:noProof/>
        </w:rPr>
        <w:t>(25)</w:t>
      </w:r>
      <w:r w:rsidRPr="00C60498">
        <w:rPr>
          <w:noProof/>
        </w:rPr>
        <w:tab/>
        <w:t>Σύμφωνα με τα άρθρα 1 και 2 του πρωτοκόλλου αριθ. 22 σχετικά με τη θέση της Δανίας, το οποίο προσαρτάται στη Συνθήκη για την Ευρωπαϊκή Ένωση (ΣΕΕ) και στη ΣΛΕΕ, η Δανία δεν συμμετέχει στη θέσπιση του παρόντος κανονισμού και δεν δεσμεύεται από αυτόν ούτε υπόκειται στην εφαρμογή του. Δεδομένου ότι ο παρών κανονισμός αναπτύσσει περαιτέρω το κεκτημένο του Σένγκεν, η Δανία, σύμφωνα με το άρθρο 4 του εν λόγω πρωτοκόλλου, θα πρέπει να αποφασίσει εντός έξι μηνών αφότου το Συμβούλιο λάβει θέση για τον παρόντα κανονισμό, αν θα τον ενσωματώσει στο εθνικό της δίκαιο.</w:t>
      </w:r>
    </w:p>
    <w:p w14:paraId="776F0C22" w14:textId="398D5BDA" w:rsidR="00286E0D" w:rsidRPr="00C60498" w:rsidRDefault="003347AC" w:rsidP="003347AC">
      <w:pPr>
        <w:pStyle w:val="ManualConsidrant"/>
        <w:rPr>
          <w:noProof/>
        </w:rPr>
      </w:pPr>
      <w:r w:rsidRPr="00C60498">
        <w:rPr>
          <w:noProof/>
        </w:rPr>
        <w:t>(26)</w:t>
      </w:r>
      <w:r w:rsidRPr="00C60498">
        <w:rPr>
          <w:noProof/>
        </w:rPr>
        <w:tab/>
        <w:t>Ο παρών κανονισμός συνιστά ανάπτυξη των διατάξεων του κεκτημένου του Σένγκεν στις οποίες δεν συμμετέχει η Ιρλανδία, σύμφωνα με την απόφαση 2002/192/ΕΚ του Συμβουλίου</w:t>
      </w:r>
      <w:r w:rsidRPr="00C60498">
        <w:rPr>
          <w:rStyle w:val="FootnoteReference"/>
          <w:noProof/>
          <w:szCs w:val="24"/>
        </w:rPr>
        <w:footnoteReference w:id="21"/>
      </w:r>
      <w:r w:rsidRPr="00C60498">
        <w:rPr>
          <w:noProof/>
        </w:rPr>
        <w:t>. Ως εκ τούτου, η Ιρλανδία δεν συμμετέχει στην έκδοση του παρόντος κανονισμού και δεν δεσμεύεται από αυτόν ούτε υπόκειται στην εφαρμογή του,</w:t>
      </w:r>
    </w:p>
    <w:p w14:paraId="7A316F28" w14:textId="77777777" w:rsidR="00286E0D" w:rsidRPr="00C60498" w:rsidRDefault="00286E0D" w:rsidP="00286E0D">
      <w:pPr>
        <w:pStyle w:val="Formuledadoption"/>
        <w:rPr>
          <w:noProof/>
        </w:rPr>
      </w:pPr>
      <w:r w:rsidRPr="00C60498">
        <w:rPr>
          <w:noProof/>
        </w:rPr>
        <w:t>ΕΞΕΔΩΣΑΝ ΤΟΝ ΠΑΡΟΝΤΑ ΚΑΝΟΝΙΣΜΟ:</w:t>
      </w:r>
    </w:p>
    <w:p w14:paraId="558246A5" w14:textId="77777777" w:rsidR="00286E0D" w:rsidRPr="00C60498" w:rsidRDefault="00286E0D" w:rsidP="00286E0D">
      <w:pPr>
        <w:pStyle w:val="Titrearticle"/>
        <w:rPr>
          <w:noProof/>
        </w:rPr>
      </w:pPr>
      <w:r w:rsidRPr="00C60498">
        <w:rPr>
          <w:noProof/>
        </w:rPr>
        <w:t>Άρθρο 1</w:t>
      </w:r>
    </w:p>
    <w:p w14:paraId="01DCFE30" w14:textId="77777777" w:rsidR="00286E0D" w:rsidRPr="00C60498" w:rsidRDefault="00286E0D" w:rsidP="00286E0D">
      <w:pPr>
        <w:pStyle w:val="Titrearticle"/>
        <w:rPr>
          <w:b/>
          <w:bCs/>
          <w:noProof/>
        </w:rPr>
      </w:pPr>
      <w:r w:rsidRPr="00C60498">
        <w:rPr>
          <w:b/>
          <w:noProof/>
        </w:rPr>
        <w:t>Αντικείμενο</w:t>
      </w:r>
    </w:p>
    <w:p w14:paraId="16102D8A" w14:textId="77777777" w:rsidR="00B9223C" w:rsidRPr="00C60498" w:rsidRDefault="00B9223C" w:rsidP="00B9223C">
      <w:pPr>
        <w:rPr>
          <w:noProof/>
          <w:szCs w:val="24"/>
        </w:rPr>
      </w:pPr>
      <w:r w:rsidRPr="00C60498">
        <w:rPr>
          <w:noProof/>
        </w:rPr>
        <w:t xml:space="preserve">Ο παρών κανονισμός καθορίζει τους στόχους και τη χρηματοδότηση της ενωσιακής στήριξης για την ευρωπαϊκή ολοκληρωμένη διαχείριση των συνόρων και την ευρωπαϊκή πολιτική θεωρήσεων για την περίοδο από την 1η Ιανουαρίου 2028 έως την 31η Δεκεμβρίου 2034. Η ενωσιακή στήριξη συμβάλλει στη λειτουργία του χώρου Σένγκεν, στην αποδοτική διαχείριση των εξωτερικών συνόρων και στην αποδοτικότητα της πολιτικής θεωρήσεων, μεταξύ άλλων παρέχοντας στήριξη για την εφαρμογή, την ενίσχυση και την ανάπτυξη των σχετικών στοιχείων του συμφώνου για τη μετανάστευση και το άσυλο, καθώς και στη διασφάλιση υψηλού επιπέδου εσωτερικής ασφάλειας στο εσωτερικό της Ένωσης, διατηρώντας τη μη διενέργεια ελέγχων σε πρόσωπα κατά τη διέλευση των εσωτερικών συνόρων. </w:t>
      </w:r>
    </w:p>
    <w:p w14:paraId="05AFC029" w14:textId="53D595F0" w:rsidR="00286E0D" w:rsidRPr="00C60498" w:rsidRDefault="00286E0D" w:rsidP="00A257BB">
      <w:pPr>
        <w:rPr>
          <w:noProof/>
          <w:szCs w:val="24"/>
        </w:rPr>
      </w:pPr>
      <w:r w:rsidRPr="00C60498">
        <w:rPr>
          <w:noProof/>
        </w:rPr>
        <w:t xml:space="preserve">Η εν λόγω ενωσιακή στήριξη παρέχεται βάσει των </w:t>
      </w:r>
      <w:r w:rsidRPr="00C60498">
        <w:rPr>
          <w:noProof/>
          <w:color w:val="000000" w:themeColor="text1"/>
        </w:rPr>
        <w:t>οριζόντιων κανόνων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 που θεσπίζεται με τον κανονισμό (ΕΕ) [...]</w:t>
      </w:r>
      <w:r w:rsidRPr="00C60498">
        <w:rPr>
          <w:noProof/>
        </w:rPr>
        <w:t>.</w:t>
      </w:r>
    </w:p>
    <w:p w14:paraId="426B91C7" w14:textId="77777777" w:rsidR="00286E0D" w:rsidRPr="00C60498" w:rsidRDefault="00286E0D" w:rsidP="00286E0D">
      <w:pPr>
        <w:pStyle w:val="Titrearticle"/>
        <w:rPr>
          <w:noProof/>
        </w:rPr>
      </w:pPr>
      <w:r w:rsidRPr="00C60498">
        <w:rPr>
          <w:noProof/>
        </w:rPr>
        <w:t>Άρθρο 2</w:t>
      </w:r>
    </w:p>
    <w:p w14:paraId="33C45191" w14:textId="77777777" w:rsidR="00286E0D" w:rsidRPr="00C60498" w:rsidRDefault="00286E0D" w:rsidP="00286E0D">
      <w:pPr>
        <w:pStyle w:val="Titrearticle"/>
        <w:rPr>
          <w:b/>
          <w:bCs/>
          <w:noProof/>
        </w:rPr>
      </w:pPr>
      <w:r w:rsidRPr="00C60498">
        <w:rPr>
          <w:b/>
          <w:noProof/>
        </w:rPr>
        <w:t>Ορισμοί</w:t>
      </w:r>
    </w:p>
    <w:p w14:paraId="0D79EC17" w14:textId="77777777" w:rsidR="00286E0D" w:rsidRPr="00C60498" w:rsidRDefault="00286E0D" w:rsidP="00286E0D">
      <w:pPr>
        <w:rPr>
          <w:noProof/>
          <w:color w:val="000000"/>
          <w:szCs w:val="24"/>
        </w:rPr>
      </w:pPr>
      <w:r w:rsidRPr="00C60498">
        <w:rPr>
          <w:noProof/>
          <w:color w:val="000000"/>
        </w:rPr>
        <w:t>Για τους σκοπούς του παρόντος κανονισμού, ισχύουν οι ακόλουθοι ορισμοί:</w:t>
      </w:r>
    </w:p>
    <w:p w14:paraId="1962DB9D" w14:textId="3332A915" w:rsidR="00286E0D" w:rsidRPr="00C60498" w:rsidRDefault="003347AC" w:rsidP="003347AC">
      <w:pPr>
        <w:pStyle w:val="Point0"/>
        <w:rPr>
          <w:noProof/>
        </w:rPr>
      </w:pPr>
      <w:r w:rsidRPr="00C60498">
        <w:rPr>
          <w:noProof/>
        </w:rPr>
        <w:t>1)</w:t>
      </w:r>
      <w:r w:rsidRPr="00C60498">
        <w:rPr>
          <w:noProof/>
        </w:rPr>
        <w:tab/>
        <w:t>«συνοριακό σημείο διέλευσης»: συνοριακό σημείο διέλευσης όπως ορίζεται στο άρθρο 2 σημείο 8) του κανονισμού (ΕΕ) 2016/399</w:t>
      </w:r>
      <w:r w:rsidRPr="00C60498">
        <w:rPr>
          <w:rStyle w:val="FootnoteReference"/>
          <w:noProof/>
          <w:szCs w:val="24"/>
        </w:rPr>
        <w:footnoteReference w:id="22"/>
      </w:r>
      <w:r w:rsidRPr="00C60498">
        <w:rPr>
          <w:noProof/>
        </w:rPr>
        <w:t>·</w:t>
      </w:r>
    </w:p>
    <w:p w14:paraId="008FE4CA" w14:textId="2C9A36BD" w:rsidR="00286E0D" w:rsidRPr="00C60498" w:rsidRDefault="003347AC" w:rsidP="003347AC">
      <w:pPr>
        <w:pStyle w:val="Point0"/>
        <w:rPr>
          <w:noProof/>
        </w:rPr>
      </w:pPr>
      <w:r w:rsidRPr="00C60498">
        <w:rPr>
          <w:noProof/>
        </w:rPr>
        <w:t>2)</w:t>
      </w:r>
      <w:r w:rsidRPr="00C60498">
        <w:rPr>
          <w:noProof/>
        </w:rPr>
        <w:tab/>
        <w:t>«ευρωπαϊκή ολοκληρωμένη διαχείριση των συνόρων»: η ευρωπαϊκή ολοκληρωμένη διαχείριση των συνόρων όπως προβλέπεται στο άρθρο 3 του κανονισμού (ΕΕ) 2019/1896</w:t>
      </w:r>
      <w:r w:rsidRPr="00C60498">
        <w:rPr>
          <w:rStyle w:val="FootnoteReference"/>
          <w:noProof/>
          <w:szCs w:val="24"/>
        </w:rPr>
        <w:footnoteReference w:id="23"/>
      </w:r>
      <w:r w:rsidRPr="00C60498">
        <w:rPr>
          <w:noProof/>
        </w:rPr>
        <w:t>·</w:t>
      </w:r>
    </w:p>
    <w:p w14:paraId="2B48C930" w14:textId="436C4B86" w:rsidR="00286E0D" w:rsidRPr="00C60498" w:rsidRDefault="003347AC" w:rsidP="003347AC">
      <w:pPr>
        <w:pStyle w:val="Point0"/>
        <w:rPr>
          <w:noProof/>
        </w:rPr>
      </w:pPr>
      <w:r w:rsidRPr="00C60498">
        <w:rPr>
          <w:noProof/>
        </w:rPr>
        <w:t>3)</w:t>
      </w:r>
      <w:r w:rsidRPr="00C60498">
        <w:rPr>
          <w:noProof/>
        </w:rPr>
        <w:tab/>
        <w:t>«εξωτερικά σύνορα»: τα εξωτερικά σύνορα όπως ορίζονται στο άρθρο 2 σημείο 2) του κανονισμού (ΕΕ) 2016/399</w:t>
      </w:r>
      <w:r w:rsidRPr="00C60498">
        <w:rPr>
          <w:rStyle w:val="FootnoteReference"/>
          <w:noProof/>
          <w:szCs w:val="24"/>
        </w:rPr>
        <w:footnoteReference w:id="24"/>
      </w:r>
      <w:r w:rsidRPr="00C60498">
        <w:rPr>
          <w:noProof/>
        </w:rPr>
        <w:t xml:space="preserve"> και τα εσωτερικά σύνορα στα οποία οι έλεγχοι δεν έχουν ακόμη αρθεί·</w:t>
      </w:r>
    </w:p>
    <w:p w14:paraId="225B0BEF" w14:textId="0E4D380F" w:rsidR="00286E0D" w:rsidRPr="00C60498" w:rsidRDefault="003347AC" w:rsidP="003347AC">
      <w:pPr>
        <w:pStyle w:val="Point0"/>
        <w:rPr>
          <w:noProof/>
        </w:rPr>
      </w:pPr>
      <w:r w:rsidRPr="00C60498">
        <w:rPr>
          <w:noProof/>
        </w:rPr>
        <w:t>4)</w:t>
      </w:r>
      <w:r w:rsidRPr="00C60498">
        <w:rPr>
          <w:noProof/>
        </w:rPr>
        <w:tab/>
        <w:t>«τμήμα εξωτερικών συνόρων»: το τμήμα των εξωτερικών συνόρων όπως ορίζεται στο άρθρο 2 σημείο 11) του κανονισμού (ΕΕ) 2019/1896</w:t>
      </w:r>
      <w:r w:rsidRPr="00C60498">
        <w:rPr>
          <w:rStyle w:val="FootnoteReference"/>
          <w:noProof/>
          <w:szCs w:val="24"/>
        </w:rPr>
        <w:footnoteReference w:id="25"/>
      </w:r>
      <w:r w:rsidRPr="00C60498">
        <w:rPr>
          <w:noProof/>
        </w:rPr>
        <w:t>·</w:t>
      </w:r>
    </w:p>
    <w:p w14:paraId="19E59878" w14:textId="1371C2DC" w:rsidR="00286E0D" w:rsidRPr="00C60498" w:rsidRDefault="003347AC" w:rsidP="003347AC">
      <w:pPr>
        <w:pStyle w:val="Point0"/>
        <w:rPr>
          <w:noProof/>
        </w:rPr>
      </w:pPr>
      <w:r w:rsidRPr="00C60498">
        <w:rPr>
          <w:noProof/>
        </w:rPr>
        <w:t>5)</w:t>
      </w:r>
      <w:r w:rsidRPr="00C60498">
        <w:rPr>
          <w:noProof/>
        </w:rPr>
        <w:tab/>
        <w:t>«εσωτερικά σύνορα στα οποία οι έλεγχοι δεν έχουν ακόμη αρθεί»:</w:t>
      </w:r>
    </w:p>
    <w:p w14:paraId="1816FE1D" w14:textId="1AE66307" w:rsidR="00286E0D" w:rsidRPr="00C60498" w:rsidRDefault="003347AC" w:rsidP="003347AC">
      <w:pPr>
        <w:pStyle w:val="Point1"/>
        <w:rPr>
          <w:noProof/>
        </w:rPr>
      </w:pPr>
      <w:r w:rsidRPr="00C60498">
        <w:rPr>
          <w:noProof/>
        </w:rPr>
        <w:t>α)</w:t>
      </w:r>
      <w:r w:rsidRPr="00C60498">
        <w:rPr>
          <w:noProof/>
        </w:rPr>
        <w:tab/>
        <w:t>τα κοινά σύνορα μεταξύ ενός κράτους μέλους που εφαρμόζει πλήρως το κεκτημένο του Σένγκεν και ενός κράτους μέλους που έχει υποχρέωση να εφαρμόζει πλήρως το κεκτημένο του Σένγκεν, σύμφωνα με την πράξη προσχώρησής του, αλλά για το οποίο δεν έχει αρχίσει ακόμη να ισχύει η σχετική απόφαση του Συμβουλίου που το εξουσιοδοτεί να εφαρμόζει πλήρως αυτό το κεκτημένο·</w:t>
      </w:r>
    </w:p>
    <w:p w14:paraId="451F5771" w14:textId="7F81354A" w:rsidR="00286E0D" w:rsidRPr="00C60498" w:rsidRDefault="003347AC" w:rsidP="003347AC">
      <w:pPr>
        <w:pStyle w:val="Point1"/>
        <w:rPr>
          <w:noProof/>
        </w:rPr>
      </w:pPr>
      <w:r w:rsidRPr="00C60498">
        <w:rPr>
          <w:noProof/>
        </w:rPr>
        <w:t>β)</w:t>
      </w:r>
      <w:r w:rsidRPr="00C60498">
        <w:rPr>
          <w:noProof/>
        </w:rPr>
        <w:tab/>
        <w:t>τα κοινά σύνορα μεταξύ δύο κρατών μελών που έχουν υποχρέωση να εφαρμόζουν πλήρως το κεκτημένο του Σένγκεν, σύμφωνα με τις αντίστοιχες πράξεις προσχώρησής τους, για τα οποία δεν έχει αρχίσει ακόμη να ισχύει η σχετική απόφαση του Συμβουλίου που τα εξουσιοδοτεί να εφαρμόζουν πλήρως αυτό το κεκτημένο·</w:t>
      </w:r>
    </w:p>
    <w:p w14:paraId="5E6A7562" w14:textId="76DFB720" w:rsidR="00286E0D" w:rsidRPr="00C60498" w:rsidRDefault="003347AC" w:rsidP="003347AC">
      <w:pPr>
        <w:pStyle w:val="Point0"/>
        <w:rPr>
          <w:noProof/>
        </w:rPr>
      </w:pPr>
      <w:r w:rsidRPr="00C60498">
        <w:rPr>
          <w:noProof/>
        </w:rPr>
        <w:t>6)</w:t>
      </w:r>
      <w:r w:rsidRPr="00C60498">
        <w:rPr>
          <w:noProof/>
        </w:rPr>
        <w:tab/>
        <w:t>«επωφελούμενο κράτος μέλος»: το επωφελούμενο κράτος μέλος όπως ορίζεται στο άρθρο 2 σημείο 19) του κανονισμού (ΕΕ) 2024/1351·</w:t>
      </w:r>
    </w:p>
    <w:p w14:paraId="35262557" w14:textId="3A660522" w:rsidR="00F0474E" w:rsidRPr="00C60498" w:rsidRDefault="003347AC" w:rsidP="003347AC">
      <w:pPr>
        <w:pStyle w:val="Point0"/>
        <w:rPr>
          <w:noProof/>
        </w:rPr>
      </w:pPr>
      <w:r w:rsidRPr="00C60498">
        <w:rPr>
          <w:noProof/>
        </w:rPr>
        <w:t>7)</w:t>
      </w:r>
      <w:r w:rsidRPr="00C60498">
        <w:rPr>
          <w:noProof/>
        </w:rPr>
        <w:tab/>
        <w:t>«συνεισφέρον κράτος μέλος»: το συνεισφέρον κράτος μέλος όπως ορίζεται στο άρθρο 2 σημείο 20) του κανονισμού (ΕΕ) 2024/1351·</w:t>
      </w:r>
    </w:p>
    <w:p w14:paraId="1373544C" w14:textId="341C3D3C" w:rsidR="00286E0D" w:rsidRPr="00C60498" w:rsidRDefault="003347AC" w:rsidP="003347AC">
      <w:pPr>
        <w:pStyle w:val="Point0"/>
        <w:rPr>
          <w:noProof/>
        </w:rPr>
      </w:pPr>
      <w:r w:rsidRPr="00C60498">
        <w:rPr>
          <w:noProof/>
        </w:rPr>
        <w:t>8)</w:t>
      </w:r>
      <w:r w:rsidRPr="00C60498">
        <w:rPr>
          <w:noProof/>
        </w:rPr>
        <w:tab/>
        <w:t xml:space="preserve">«χρηματοδοτικές συνεισφορές»: χρηματοδοτικές συνεισφορές σύμφωνα με το άρθρο 56 παράγραφος 2 στοιχείο β) του κανονισμού (ΕΕ) 2024/1351. </w:t>
      </w:r>
    </w:p>
    <w:p w14:paraId="4A75AB58" w14:textId="77777777" w:rsidR="00286E0D" w:rsidRPr="00C60498" w:rsidRDefault="00286E0D" w:rsidP="00286E0D">
      <w:pPr>
        <w:pStyle w:val="Titrearticle"/>
        <w:rPr>
          <w:noProof/>
        </w:rPr>
      </w:pPr>
      <w:r w:rsidRPr="00C60498">
        <w:rPr>
          <w:noProof/>
        </w:rPr>
        <w:t>Άρθρο 3</w:t>
      </w:r>
    </w:p>
    <w:p w14:paraId="1F3B309A" w14:textId="77777777" w:rsidR="00286E0D" w:rsidRPr="00C60498" w:rsidRDefault="00286E0D" w:rsidP="00286E0D">
      <w:pPr>
        <w:pStyle w:val="Titrearticle"/>
        <w:rPr>
          <w:b/>
          <w:bCs/>
          <w:noProof/>
        </w:rPr>
      </w:pPr>
      <w:bookmarkStart w:id="17" w:name="_Hlk202174420"/>
      <w:r w:rsidRPr="00C60498">
        <w:rPr>
          <w:b/>
          <w:noProof/>
        </w:rPr>
        <w:t>Στόχοι της ενωσιακής στήριξης για τον χώρο Σένγκεν, για την ευρωπαϊκή ολοκληρωμένη διαχείριση των εξωτερικών συνόρων και για την κοινή πολιτική θεωρήσεων</w:t>
      </w:r>
    </w:p>
    <w:bookmarkEnd w:id="17"/>
    <w:p w14:paraId="3CC4516C" w14:textId="15FD5E6D" w:rsidR="00286E0D" w:rsidRPr="00C60498" w:rsidRDefault="003347AC" w:rsidP="003347AC">
      <w:pPr>
        <w:pStyle w:val="ManualNumPar1"/>
        <w:rPr>
          <w:noProof/>
        </w:rPr>
      </w:pPr>
      <w:r w:rsidRPr="00C60498">
        <w:rPr>
          <w:noProof/>
        </w:rPr>
        <w:t>1.</w:t>
      </w:r>
      <w:r w:rsidRPr="00C60498">
        <w:rPr>
          <w:noProof/>
        </w:rPr>
        <w:tab/>
        <w:t>Προκειμένου να διασφαλιστεί η ισχυρή και αποτελεσματική ευρωπαϊκή ολοκληρωμένη διαχείριση των εξωτερικών συνόρων, η εύρυθμη λειτουργία του χώρου Σένγκεν και η αποδοτική πολιτική θεωρήσεων, η ενωσιακή στήριξη συμβάλλει στην επίτευξη καθενός από τους ακόλουθους στόχους:</w:t>
      </w:r>
    </w:p>
    <w:p w14:paraId="52746F08" w14:textId="0F6AF9C9" w:rsidR="0058101A" w:rsidRPr="00C60498" w:rsidRDefault="003347AC" w:rsidP="003347AC">
      <w:pPr>
        <w:pStyle w:val="Point1"/>
        <w:rPr>
          <w:rFonts w:eastAsiaTheme="minorEastAsia" w:cstheme="majorHAnsi"/>
          <w:noProof/>
          <w:szCs w:val="20"/>
        </w:rPr>
      </w:pPr>
      <w:r w:rsidRPr="00C60498">
        <w:rPr>
          <w:noProof/>
        </w:rPr>
        <w:t>α)</w:t>
      </w:r>
      <w:r w:rsidRPr="00C60498">
        <w:rPr>
          <w:noProof/>
        </w:rPr>
        <w:tab/>
        <w:t>στήριξη της αποδοτικής υλοποίησης, εφαρμογής και ανάπτυξης του πλαισίου Σένγκεν και ενίσχυση της διακυβέρνησης, της ακεραιότητας και της ασφάλειας του χώρου Σένγκεν χωρίς εσωτερικά σύνορα·</w:t>
      </w:r>
    </w:p>
    <w:p w14:paraId="57D454BB" w14:textId="5676320D" w:rsidR="00286E0D" w:rsidRPr="00C60498" w:rsidRDefault="003347AC" w:rsidP="003347AC">
      <w:pPr>
        <w:pStyle w:val="Point1"/>
        <w:rPr>
          <w:rStyle w:val="Instructions"/>
          <w:rFonts w:eastAsiaTheme="minorEastAsia"/>
          <w:i w:val="0"/>
          <w:iCs w:val="0"/>
          <w:noProof/>
          <w:color w:val="auto"/>
        </w:rPr>
      </w:pPr>
      <w:r w:rsidRPr="00C60498">
        <w:rPr>
          <w:rStyle w:val="Instructions"/>
          <w:rFonts w:eastAsiaTheme="minorHAnsi"/>
          <w:noProof/>
        </w:rPr>
        <w:t>β)</w:t>
      </w:r>
      <w:r w:rsidRPr="00C60498">
        <w:rPr>
          <w:noProof/>
        </w:rPr>
        <w:tab/>
        <w:t>στήριξη της αποτελεσματικής ευρωπαϊκής ολοκληρωμένης διαχείρισης των συνόρων στα εξωτερικά σύνορα που υλοποιείται από την Ευρωπαϊκή Συνοριοφυλακή και Ακτοφυλακή ως κοινή ευθύνη του Ευρωπαϊκού Οργανισμού Συνοριοφυλακής και Ακτοφυλακής και των εθνικών αρχών που είναι αρμόδιες για τη διαχείριση των συνόρων, συμπεριλαμβανομένων καινοτόμων μεθόδων και νέων τεχνολογιών, με στόχο τη διευκόλυνση της νόμιμης διέλευσης των συνόρων, την αποτροπή και τον εντοπισμό της παράνομης μετανάστευσης, του διασυνοριακού εγκλήματος, καθώς και της εργαλειοποίησης της αντικανονικής μετανάστευσης και της χρήσης της ως όπλου, με στόχο τη συμβολή στην αποτελεσματική διενέργεια επιστροφών·</w:t>
      </w:r>
    </w:p>
    <w:p w14:paraId="07C36713" w14:textId="25EE2425" w:rsidR="00286E0D" w:rsidRPr="00C60498" w:rsidRDefault="003347AC" w:rsidP="003347AC">
      <w:pPr>
        <w:pStyle w:val="Point1"/>
        <w:rPr>
          <w:rFonts w:eastAsiaTheme="minorEastAsia" w:cstheme="majorHAnsi"/>
          <w:noProof/>
          <w:szCs w:val="20"/>
        </w:rPr>
      </w:pPr>
      <w:r w:rsidRPr="00C60498">
        <w:rPr>
          <w:noProof/>
        </w:rPr>
        <w:t>γ)</w:t>
      </w:r>
      <w:r w:rsidRPr="00C60498">
        <w:rPr>
          <w:noProof/>
        </w:rPr>
        <w:tab/>
        <w:t>στήριξη της κοινής πολιτικής θεωρήσεων για τη διασφάλιση εναρμονισμένης προσέγγισης όσον αφορά την έγκαιρη έκδοση θεωρήσεων και τη διευκόλυνση των νόμιμων ταξιδιών, με παράλληλη πρόληψη των κινδύνων που σχετίζονται με τη μετανάστευση και την ασφάλεια, και συμβολή στην ασφάλεια και στην εύρυθμη λειτουργία του χώρου Σένγκεν.</w:t>
      </w:r>
    </w:p>
    <w:p w14:paraId="6E55EEE9" w14:textId="68EA180C" w:rsidR="00286E0D" w:rsidRPr="00C60498" w:rsidRDefault="00286E0D" w:rsidP="00A257BB">
      <w:pPr>
        <w:ind w:left="720"/>
        <w:rPr>
          <w:noProof/>
          <w:szCs w:val="24"/>
        </w:rPr>
      </w:pPr>
      <w:bookmarkStart w:id="18" w:name="_Hlk201962005"/>
      <w:r w:rsidRPr="00C60498">
        <w:rPr>
          <w:noProof/>
        </w:rPr>
        <w:t xml:space="preserve">Η ενωσιακή στήριξη </w:t>
      </w:r>
      <w:bookmarkEnd w:id="18"/>
      <w:r w:rsidRPr="00C60498">
        <w:rPr>
          <w:noProof/>
        </w:rPr>
        <w:t xml:space="preserve">υλοποιείται κατά τρόπο που συνάδει πλήρως με τους στόχους που προβλέπονται στον κανονισμό (ΕΕ) [...] </w:t>
      </w:r>
      <w:r w:rsidRPr="00C60498">
        <w:rPr>
          <w:noProof/>
          <w:color w:val="000000" w:themeColor="text1"/>
        </w:rPr>
        <w:t>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noProof/>
        </w:rPr>
        <w:t>.</w:t>
      </w:r>
    </w:p>
    <w:p w14:paraId="71BB4485" w14:textId="5233BD33" w:rsidR="00286E0D" w:rsidRPr="00C60498" w:rsidRDefault="003347AC" w:rsidP="003347AC">
      <w:pPr>
        <w:pStyle w:val="ManualNumPar1"/>
        <w:rPr>
          <w:noProof/>
          <w:szCs w:val="24"/>
        </w:rPr>
      </w:pPr>
      <w:r w:rsidRPr="00C60498">
        <w:rPr>
          <w:noProof/>
        </w:rPr>
        <w:t>2.</w:t>
      </w:r>
      <w:r w:rsidRPr="00C60498">
        <w:rPr>
          <w:noProof/>
        </w:rPr>
        <w:tab/>
        <w:t>Η ενωσιακή στήριξη υλοποιείται σύμφωνα με το σχετικό κεκτημένο της Ένωσης και τις διεθνείς υποχρεώσεις της Ένωσης και των κρατών μελών που απορρέουν από τις διεθνείς πράξεις στις οποίες είναι συμβαλλόμενα μέρη.</w:t>
      </w:r>
    </w:p>
    <w:p w14:paraId="3840A777" w14:textId="132A20A9" w:rsidR="00286E0D" w:rsidRPr="00C60498" w:rsidRDefault="003347AC" w:rsidP="003347AC">
      <w:pPr>
        <w:pStyle w:val="ManualNumPar1"/>
        <w:rPr>
          <w:noProof/>
          <w:szCs w:val="24"/>
        </w:rPr>
      </w:pPr>
      <w:r w:rsidRPr="00C60498">
        <w:rPr>
          <w:noProof/>
        </w:rPr>
        <w:t>3.</w:t>
      </w:r>
      <w:r w:rsidRPr="00C60498">
        <w:rPr>
          <w:noProof/>
        </w:rPr>
        <w:tab/>
        <w:t>Τα κράτη μέλη διασφαλίζουν ότι οι προτεραιότητες των οικείων εθνικών και περιφερειακών σχεδίων εταιρικής σχέσης περιλαμβάνουν δράσεις για την επίτευξη καθενός από τους στόχους της ενωσιακής στήριξης στο πλαίσιο του παρόντος κανονισμού και ότι η κατανομή των πόρων μεταξύ των στόχων είναι ανάλογη προς τις προκλήσεις και τις ανάγκες που έχουν εντοπιστεί.</w:t>
      </w:r>
    </w:p>
    <w:p w14:paraId="23655188" w14:textId="77777777" w:rsidR="00286E0D" w:rsidRPr="00C60498" w:rsidRDefault="00286E0D" w:rsidP="00286E0D">
      <w:pPr>
        <w:pStyle w:val="Titrearticle"/>
        <w:rPr>
          <w:noProof/>
        </w:rPr>
      </w:pPr>
      <w:r w:rsidRPr="00C60498">
        <w:rPr>
          <w:noProof/>
        </w:rPr>
        <w:t>Άρθρο 4</w:t>
      </w:r>
    </w:p>
    <w:p w14:paraId="00F584F5" w14:textId="77777777" w:rsidR="00286E0D" w:rsidRPr="00C60498" w:rsidRDefault="00286E0D" w:rsidP="00286E0D">
      <w:pPr>
        <w:pStyle w:val="Titrearticle"/>
        <w:rPr>
          <w:b/>
          <w:bCs/>
          <w:noProof/>
        </w:rPr>
      </w:pPr>
      <w:r w:rsidRPr="00C60498">
        <w:rPr>
          <w:b/>
          <w:noProof/>
        </w:rPr>
        <w:t>Χρηματοδότηση</w:t>
      </w:r>
    </w:p>
    <w:p w14:paraId="3C31D26E" w14:textId="6DC7558E" w:rsidR="005507F3" w:rsidRPr="00C60498" w:rsidRDefault="003347AC" w:rsidP="003347AC">
      <w:pPr>
        <w:pStyle w:val="ManualNumPar1"/>
        <w:rPr>
          <w:noProof/>
        </w:rPr>
      </w:pPr>
      <w:r w:rsidRPr="00C60498">
        <w:rPr>
          <w:noProof/>
        </w:rPr>
        <w:t>1.</w:t>
      </w:r>
      <w:r w:rsidRPr="00C60498">
        <w:rPr>
          <w:noProof/>
        </w:rPr>
        <w:tab/>
        <w:t>Το ενδεικτικό χρηματοδοτικό κονδύλι για την υλοποίηση των στόχων του άρθρου 3 για την περίοδο από το 2028 έως το 2034 ανέρχεται σε 15 396 750 000 EUR σε τρέχουσες τιμές. </w:t>
      </w:r>
      <w:r w:rsidRPr="00C60498">
        <w:rPr>
          <w:rFonts w:asciiTheme="majorBidi" w:hAnsiTheme="majorBidi"/>
          <w:noProof/>
        </w:rPr>
        <w:t xml:space="preserve">Εκτελείται σύμφωνα με τους οριζόντιους κανόνες για </w:t>
      </w:r>
      <w:r w:rsidRPr="00C60498">
        <w:rPr>
          <w:noProof/>
        </w:rPr>
        <w:t xml:space="preserve">τα εθνικά και περιφερειακά σχέδια εταιρικής σχέσης που προβλέπονται στον κανονισμό (ΕΕ) [...] </w:t>
      </w:r>
      <w:r w:rsidRPr="00C60498">
        <w:rPr>
          <w:noProof/>
          <w:color w:val="000000" w:themeColor="text1"/>
        </w:rPr>
        <w:t>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noProof/>
        </w:rPr>
        <w:t xml:space="preserve">. </w:t>
      </w:r>
    </w:p>
    <w:p w14:paraId="73B43C2B" w14:textId="1F933790" w:rsidR="00623F90" w:rsidRPr="00C60498" w:rsidRDefault="003347AC" w:rsidP="003347AC">
      <w:pPr>
        <w:pStyle w:val="ManualNumPar1"/>
        <w:rPr>
          <w:noProof/>
        </w:rPr>
      </w:pPr>
      <w:r w:rsidRPr="00C60498">
        <w:rPr>
          <w:noProof/>
        </w:rPr>
        <w:t>2.</w:t>
      </w:r>
      <w:r w:rsidRPr="00C60498">
        <w:rPr>
          <w:noProof/>
        </w:rPr>
        <w:tab/>
        <w:t xml:space="preserve">Η Επιτροπή εκδίδει εκτελεστική πράξη για τον καθορισμό του ποσού ανά κράτος μέλος εφαρμόζοντας τη μεθοδολογία κατανομής που προβλέπεται στο τμήμα Β του παραρτήματος Ι του κανονισμού (ΕΕ) [...] </w:t>
      </w:r>
      <w:r w:rsidRPr="00C60498">
        <w:rPr>
          <w:noProof/>
          <w:color w:val="000000" w:themeColor="text1"/>
        </w:rPr>
        <w:t>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noProof/>
        </w:rPr>
        <w:t>.</w:t>
      </w:r>
    </w:p>
    <w:p w14:paraId="5E629589" w14:textId="25F76966" w:rsidR="005507F3" w:rsidRPr="00C60498" w:rsidRDefault="003347AC" w:rsidP="003347AC">
      <w:pPr>
        <w:pStyle w:val="ManualNumPar1"/>
        <w:rPr>
          <w:noProof/>
        </w:rPr>
      </w:pPr>
      <w:r w:rsidRPr="00C60498">
        <w:rPr>
          <w:noProof/>
        </w:rPr>
        <w:t>3.</w:t>
      </w:r>
      <w:r w:rsidRPr="00C60498">
        <w:rPr>
          <w:noProof/>
        </w:rPr>
        <w:tab/>
        <w:t xml:space="preserve">Επιπροσθέτως, οι πιστώσεις του προϋπολογισμού για τους στόχους του άρθρου 3 του παρόντος κανονισμού, οι οποίες εκτελούνται μέσω του μηχανισμού της ΕΕ δυνάμει του τίτλου IV του κανονισμού (ΕΕ) [...] </w:t>
      </w:r>
      <w:r w:rsidRPr="00C60498">
        <w:rPr>
          <w:noProof/>
          <w:color w:val="000000" w:themeColor="text1"/>
        </w:rPr>
        <w:t>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noProof/>
        </w:rPr>
        <w:t>, καθορίζονται στο πλαίσιο της ετήσιας διαδικασίας του προϋπολογισμού που προβλέπεται στο άρθρο 314 της ΣΛΕΕ.</w:t>
      </w:r>
    </w:p>
    <w:p w14:paraId="070F7EDE" w14:textId="013D411B" w:rsidR="005507F3" w:rsidRPr="00C60498" w:rsidRDefault="003347AC" w:rsidP="003347AC">
      <w:pPr>
        <w:pStyle w:val="ManualNumPar1"/>
        <w:rPr>
          <w:noProof/>
        </w:rPr>
      </w:pPr>
      <w:r w:rsidRPr="00C60498">
        <w:rPr>
          <w:noProof/>
        </w:rPr>
        <w:t>4.</w:t>
      </w:r>
      <w:r w:rsidRPr="00C60498">
        <w:rPr>
          <w:noProof/>
        </w:rPr>
        <w:tab/>
      </w:r>
      <w:r w:rsidRPr="00C60498">
        <w:rPr>
          <w:rFonts w:asciiTheme="majorBidi" w:hAnsiTheme="majorBidi"/>
          <w:noProof/>
        </w:rPr>
        <w:t>Όταν πρόκειται για μέτρα που αφορούν τους στόχους του άρθρου 3 του παρόντος κανονισμού,</w:t>
      </w:r>
      <w:r w:rsidRPr="00C60498">
        <w:rPr>
          <w:noProof/>
        </w:rPr>
        <w:t xml:space="preserve"> εάν η Επιτροπή καταλήξει στο συμπέρασμα ότι τα εν λόγω μέτρα συμμορφώνονται με τις απαιτήσεις του παρόντος κανονισμού και του κανονισμού (ΕΕ) [...] </w:t>
      </w:r>
      <w:r w:rsidRPr="00C60498">
        <w:rPr>
          <w:noProof/>
          <w:color w:val="000000" w:themeColor="text1"/>
        </w:rPr>
        <w:t>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noProof/>
        </w:rPr>
        <w:t xml:space="preserve">, και εάν η Επιτροπή προτείνει εκτελεστική απόφαση του Συμβουλίου για την έγκριση του εθνικού και περιφερειακού σχεδίου εταιρικής σχέσης του οικείου κράτους μέλους σύμφωνα με τη διαδικασία που προβλέπεται στο άρθρο 23 του κανονισμού (ΕΕ) [...] </w:t>
      </w:r>
      <w:r w:rsidRPr="00C60498">
        <w:rPr>
          <w:noProof/>
          <w:color w:val="000000" w:themeColor="text1"/>
        </w:rPr>
        <w:t>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noProof/>
        </w:rPr>
        <w:t xml:space="preserve">, υποβάλλει πρόταση εκτελεστικής απόφασης του Συμβουλίου για την έγκριση των εν λόγω μέτρων. </w:t>
      </w:r>
    </w:p>
    <w:p w14:paraId="6930FE95" w14:textId="12E1F33E" w:rsidR="005507F3" w:rsidRPr="00C60498" w:rsidRDefault="003347AC" w:rsidP="003347AC">
      <w:pPr>
        <w:pStyle w:val="ManualNumPar1"/>
        <w:rPr>
          <w:noProof/>
        </w:rPr>
      </w:pPr>
      <w:r w:rsidRPr="00C60498">
        <w:rPr>
          <w:noProof/>
        </w:rPr>
        <w:t>5.</w:t>
      </w:r>
      <w:r w:rsidRPr="00C60498">
        <w:rPr>
          <w:noProof/>
        </w:rPr>
        <w:tab/>
        <w:t xml:space="preserve">Κατά την υποβολή πρότασης εκτελεστικής απόφασης του Συμβουλίου σχετικά με τα μέτρα που αφορούν τους στόχους του άρθρου 3 του παρόντος κανονισμού, η πρόταση της Επιτροπής καθορίζει τα στοιχεία που μνημονεύονται στο άρθρο 23 παράγραφος 4 του κανονισμού (ΕΕ) [...] </w:t>
      </w:r>
      <w:r w:rsidRPr="00C60498">
        <w:rPr>
          <w:noProof/>
          <w:color w:val="000000" w:themeColor="text1"/>
        </w:rPr>
        <w:t>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noProof/>
        </w:rPr>
        <w:t>, όσον αφορά τους στόχους του άρθρου 3.</w:t>
      </w:r>
    </w:p>
    <w:p w14:paraId="1388C5B4" w14:textId="5EDB01D3" w:rsidR="00596698" w:rsidRPr="00C60498" w:rsidRDefault="003347AC" w:rsidP="003347AC">
      <w:pPr>
        <w:pStyle w:val="ManualNumPar1"/>
        <w:rPr>
          <w:noProof/>
        </w:rPr>
      </w:pPr>
      <w:r w:rsidRPr="00C60498">
        <w:rPr>
          <w:noProof/>
        </w:rPr>
        <w:t>6.</w:t>
      </w:r>
      <w:r w:rsidRPr="00C60498">
        <w:rPr>
          <w:noProof/>
        </w:rPr>
        <w:tab/>
        <w:t>Το Συμβούλιο εκδίδει την εκτελεστική απόφαση που προβλέπεται στην παράγραφο 4, κατά κανόνα, εντός τεσσάρων εβδομάδων από την έγκριση της πρότασης της Επιτροπής και μαζί με τις εκτελεστικές αποφάσεις που προβλέπονται στο άρθρο 23 παράγραφος 1 [</w:t>
      </w:r>
      <w:r w:rsidRPr="00C60498">
        <w:rPr>
          <w:i/>
          <w:noProof/>
        </w:rPr>
        <w:t>πρόταση της Επιτροπής και εκτελεστική απόφαση του Συμβουλίου</w:t>
      </w:r>
      <w:r w:rsidRPr="00C60498">
        <w:rPr>
          <w:noProof/>
        </w:rPr>
        <w:t xml:space="preserve">] του κανονισμού (ΕΕ) [...] </w:t>
      </w:r>
      <w:r w:rsidRPr="00C60498">
        <w:rPr>
          <w:noProof/>
          <w:color w:val="000000" w:themeColor="text1"/>
        </w:rPr>
        <w:t>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noProof/>
        </w:rPr>
        <w:t>.</w:t>
      </w:r>
    </w:p>
    <w:p w14:paraId="256B33DF" w14:textId="0BE8C5E2" w:rsidR="00623F90" w:rsidRPr="00C60498" w:rsidRDefault="003347AC" w:rsidP="003347AC">
      <w:pPr>
        <w:pStyle w:val="ManualNumPar1"/>
        <w:rPr>
          <w:noProof/>
        </w:rPr>
      </w:pPr>
      <w:r w:rsidRPr="00C60498">
        <w:rPr>
          <w:noProof/>
        </w:rPr>
        <w:t>7.</w:t>
      </w:r>
      <w:r w:rsidRPr="00C60498">
        <w:rPr>
          <w:noProof/>
        </w:rPr>
        <w:tab/>
      </w:r>
      <w:r w:rsidRPr="00C60498">
        <w:rPr>
          <w:rFonts w:asciiTheme="majorBidi" w:hAnsiTheme="majorBidi"/>
          <w:noProof/>
        </w:rPr>
        <w:t xml:space="preserve">Εφαρμόζεται το άρθρο 24 του κανονισμού (ΕΕ) [...] </w:t>
      </w:r>
      <w:r w:rsidRPr="00C60498">
        <w:rPr>
          <w:noProof/>
        </w:rPr>
        <w:t>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rFonts w:asciiTheme="majorBidi" w:hAnsiTheme="majorBidi"/>
          <w:noProof/>
        </w:rPr>
        <w:t xml:space="preserve"> όσον αφορά την τροποποίηση των σχεδίων, υπό την προϋπόθεση ότι η πρόταση της Επιτροπής και η εκτελεστική απόφαση του Συμβουλίου για την έγκριση τροποποιήσεων των στοιχείων που απαριθμούνται στο άρθρο 23 παράγραφος 4 καλύπτουν μόνο τους στόχους του άρθρου 3 του παρόντος κανονισμού.</w:t>
      </w:r>
    </w:p>
    <w:p w14:paraId="51868DA9" w14:textId="77777777" w:rsidR="00596698" w:rsidRPr="00C60498" w:rsidRDefault="00596698" w:rsidP="00596698">
      <w:pPr>
        <w:pStyle w:val="Titrearticle"/>
        <w:rPr>
          <w:noProof/>
        </w:rPr>
      </w:pPr>
      <w:r w:rsidRPr="00C60498">
        <w:rPr>
          <w:noProof/>
        </w:rPr>
        <w:t xml:space="preserve">Άρθρο 5 </w:t>
      </w:r>
    </w:p>
    <w:p w14:paraId="31F56137" w14:textId="0DDFC603" w:rsidR="00596698" w:rsidRPr="00C60498" w:rsidRDefault="00596698" w:rsidP="00596698">
      <w:pPr>
        <w:pStyle w:val="Titrearticle"/>
        <w:rPr>
          <w:noProof/>
          <w:szCs w:val="24"/>
        </w:rPr>
      </w:pPr>
      <w:r w:rsidRPr="00C60498">
        <w:rPr>
          <w:b/>
          <w:noProof/>
        </w:rPr>
        <w:t>Συνδεδεμένες χώρες Σένγκεν</w:t>
      </w:r>
    </w:p>
    <w:p w14:paraId="5F98EE1A" w14:textId="4DD41066" w:rsidR="00286E0D" w:rsidRPr="00C60498" w:rsidRDefault="00596698" w:rsidP="00287E8A">
      <w:pPr>
        <w:pStyle w:val="Text1"/>
        <w:ind w:left="0"/>
        <w:rPr>
          <w:rStyle w:val="eop"/>
          <w:rFonts w:eastAsiaTheme="majorEastAsia"/>
          <w:noProof/>
        </w:rPr>
      </w:pPr>
      <w:r w:rsidRPr="00C60498">
        <w:rPr>
          <w:noProof/>
        </w:rPr>
        <w:t>Σύμφωνα με τις σχετικές διατάξεις των αντίστοιχων συμφωνιών σύνδεσης, θεσπίζονται ρυθμίσεις για να προσδιοριστούν η φύση και οι τρόποι της συμμετοχής στην ενωσιακή στήριξη χωρών που συνδέονται με την υλοποίηση, την εφαρμογή και την ανάπτυξη του κεκτημένου του Σένγκεν. Το συντομότερο δυνατόν αφότου η ενδιαφερόμενη χώρα κοινοποιήσει την απόφασή της να δεχθεί το περιεχόμενο της ενωσιακής στήριξης και να το εφαρμόσει στην εσωτερική έννομη τάξη της, σύμφωνα με τη σχετική συμφωνία σύνδεσης, η Επιτροπή υποβάλει σύσταση προς το Συμβούλιο για την έναρξη διαπραγματεύσεων για τις εν λόγω ρυθμίσεις, δυνάμει του άρθρου 218 παράγραφος 3 ΣΛΕΕ. Μόλις λάβει τη σύσταση, το Συμβούλιο ενεργεί χωρίς καθυστέρηση για να αποφασίσει να δώσει εξουσιοδότηση για την έναρξη των διαπραγματεύσεων αυτών. Οι χρηματοδοτικές συνεισφορές των εν λόγω χωρών προστίθενται στους προβλεπόμενους στο άρθρο 4 συνολικούς πόρους που διατίθενται από το χρηματοδοτικό κονδύλιο.</w:t>
      </w:r>
    </w:p>
    <w:p w14:paraId="08F346E5" w14:textId="15F26995" w:rsidR="00286E0D" w:rsidRPr="00C60498" w:rsidRDefault="00286E0D" w:rsidP="007D3199">
      <w:pPr>
        <w:pStyle w:val="Titrearticle"/>
        <w:rPr>
          <w:noProof/>
        </w:rPr>
      </w:pPr>
      <w:r w:rsidRPr="00C60498">
        <w:rPr>
          <w:noProof/>
        </w:rPr>
        <w:t>Άρθρο 6</w:t>
      </w:r>
    </w:p>
    <w:p w14:paraId="77F384CC" w14:textId="77777777" w:rsidR="00286E0D" w:rsidRPr="00C60498" w:rsidRDefault="00286E0D" w:rsidP="00286E0D">
      <w:pPr>
        <w:pStyle w:val="Titrearticle"/>
        <w:rPr>
          <w:b/>
          <w:bCs/>
          <w:noProof/>
          <w:szCs w:val="24"/>
        </w:rPr>
      </w:pPr>
      <w:bookmarkStart w:id="19" w:name="_Hlk195020056"/>
      <w:r w:rsidRPr="00C60498">
        <w:rPr>
          <w:b/>
          <w:noProof/>
        </w:rPr>
        <w:t>Στήριξη για το ειδικό καθεστώς διέλευσης</w:t>
      </w:r>
    </w:p>
    <w:p w14:paraId="543A7C7F" w14:textId="3CC5D0D1" w:rsidR="00286E0D" w:rsidRPr="00C60498" w:rsidRDefault="003347AC" w:rsidP="003347AC">
      <w:pPr>
        <w:pStyle w:val="ManualNumPar1"/>
        <w:rPr>
          <w:noProof/>
        </w:rPr>
      </w:pPr>
      <w:r w:rsidRPr="00C60498">
        <w:rPr>
          <w:noProof/>
        </w:rPr>
        <w:t>1.</w:t>
      </w:r>
      <w:r w:rsidRPr="00C60498">
        <w:rPr>
          <w:noProof/>
        </w:rPr>
        <w:tab/>
        <w:t xml:space="preserve">Ποσό ύψους έως 450 000 000 EUR διατίθεται για το εθνικό και περιφερειακό σχέδιο εταιρικής σχέσης της Λιθουανίας σύμφωνα με τον κανονισμό (ΕΕ) [...] </w:t>
      </w:r>
      <w:r w:rsidRPr="00C60498">
        <w:rPr>
          <w:noProof/>
          <w:color w:val="000000" w:themeColor="text1"/>
        </w:rPr>
        <w:t>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noProof/>
        </w:rPr>
        <w:t>, με σκοπό την παροχή στήριξης για διαφυγόν εισόδημα από τη διεκπεραίωση θεωρήσεων βραχείας παραμονής και πρόσθετες δαπάνες για την εφαρμογή του καθεστώτος του εγγράφου διευκόλυνσης της διέλευσης (στο εξής¨FTD) και του εγγράφου διευκόλυνσης της σιδηροδρομικής διέλευσης (στο εξής: FRTD) σύμφωνα με τον κανονισμό (ΕΚ) αριθ. 693/2003 του Συμβουλίου και τον κανονισμό (ΕΚ) αριθ. 694/2003, όπως τροποποιήθηκε με τον κανονισμό (ΕΕ) 2023/2667 του Ευρωπαϊκού Κοινοβουλίου και του Συμβουλίου.</w:t>
      </w:r>
    </w:p>
    <w:p w14:paraId="62C6EDAD" w14:textId="16EDD309" w:rsidR="00286E0D" w:rsidRPr="00C60498" w:rsidRDefault="003347AC" w:rsidP="003347AC">
      <w:pPr>
        <w:pStyle w:val="ManualNumPar1"/>
        <w:rPr>
          <w:noProof/>
        </w:rPr>
      </w:pPr>
      <w:r w:rsidRPr="00C60498">
        <w:rPr>
          <w:noProof/>
        </w:rPr>
        <w:t>2.</w:t>
      </w:r>
      <w:r w:rsidRPr="00C60498">
        <w:rPr>
          <w:noProof/>
        </w:rPr>
        <w:tab/>
        <w:t xml:space="preserve">Για τους σκοπούς της παραγράφου 1, η στήριξη της Ένωσης για διαφυγόν εισόδημα βασίζεται στην έκδοση FTD και FRTD. Το ανώτατο όριο της στήριξης ορίζεται σε 100 000 000 EUR. </w:t>
      </w:r>
    </w:p>
    <w:p w14:paraId="0498E203" w14:textId="70EB88D9" w:rsidR="00286E0D" w:rsidRPr="00C60498" w:rsidRDefault="003347AC" w:rsidP="003347AC">
      <w:pPr>
        <w:pStyle w:val="ManualNumPar1"/>
        <w:rPr>
          <w:noProof/>
        </w:rPr>
      </w:pPr>
      <w:r w:rsidRPr="00C60498">
        <w:rPr>
          <w:noProof/>
        </w:rPr>
        <w:t>3.</w:t>
      </w:r>
      <w:r w:rsidRPr="00C60498">
        <w:rPr>
          <w:noProof/>
        </w:rPr>
        <w:tab/>
        <w:t>Για τους σκοπούς της παραγράφου 1, η στήριξη της Ένωσης καλύπτει τις συμπληρωματικές εκτιμώμενες δαπάνες που είναι άμεσο αποτέλεσμα των ειδικών απαιτήσεων εφαρμογής της πράξης του ειδικού καθεστώτος διέλευσης και οι οποίες δεν είναι αποτέλεσμα της έκδοσης θεωρήσεων δυνάμει του κανονισμού (ΕΚ) αριθ. 810/2009 του Ευρωπαϊκού Κοινοβουλίου και του Συμβουλίου(</w:t>
      </w:r>
      <w:r w:rsidRPr="00C60498">
        <w:rPr>
          <w:rStyle w:val="FootnoteReference"/>
          <w:noProof/>
        </w:rPr>
        <w:footnoteReference w:id="26"/>
      </w:r>
      <w:r w:rsidRPr="00C60498">
        <w:rPr>
          <w:noProof/>
        </w:rPr>
        <w:t>).</w:t>
      </w:r>
    </w:p>
    <w:p w14:paraId="78235099" w14:textId="79CB3179" w:rsidR="00286E0D" w:rsidRPr="00C60498" w:rsidRDefault="00286E0D" w:rsidP="006B174B">
      <w:pPr>
        <w:ind w:left="850"/>
        <w:rPr>
          <w:noProof/>
          <w:color w:val="000000"/>
          <w:szCs w:val="24"/>
        </w:rPr>
      </w:pPr>
      <w:r w:rsidRPr="00C60498">
        <w:rPr>
          <w:noProof/>
          <w:color w:val="000000"/>
        </w:rPr>
        <w:t>Η μέγιστη συνεισφορά από τον ενωσιακό προϋπολογισμό ανέρχεται στο 100 % των συνολικών εκτιμώμενων δαπανών. Το ανώτατο όριο της εν λόγω στήριξης ορίζεται σε 350 000 000 EUR.</w:t>
      </w:r>
    </w:p>
    <w:p w14:paraId="7DD7F0AB" w14:textId="77777777" w:rsidR="00286E0D" w:rsidRPr="00C60498" w:rsidRDefault="00286E0D" w:rsidP="006B174B">
      <w:pPr>
        <w:ind w:left="346" w:firstLine="504"/>
        <w:rPr>
          <w:noProof/>
          <w:szCs w:val="24"/>
        </w:rPr>
      </w:pPr>
      <w:r w:rsidRPr="00C60498">
        <w:rPr>
          <w:noProof/>
          <w:color w:val="000000"/>
        </w:rPr>
        <w:t xml:space="preserve">Οι συμπληρωματικές εκτιμώμενες δαπάνες καλύπτουν ιδίως: </w:t>
      </w:r>
    </w:p>
    <w:p w14:paraId="6038D052" w14:textId="77777777" w:rsidR="00286E0D" w:rsidRPr="00C60498" w:rsidRDefault="00286E0D" w:rsidP="006A2F81">
      <w:pPr>
        <w:pStyle w:val="ListNumber"/>
        <w:numPr>
          <w:ilvl w:val="0"/>
          <w:numId w:val="17"/>
        </w:numPr>
        <w:ind w:left="1094" w:hanging="357"/>
        <w:rPr>
          <w:rFonts w:eastAsia="Aptos"/>
          <w:noProof/>
          <w:color w:val="000000"/>
          <w:kern w:val="2"/>
          <w:szCs w:val="24"/>
        </w:rPr>
      </w:pPr>
      <w:r w:rsidRPr="00C60498">
        <w:rPr>
          <w:noProof/>
        </w:rPr>
        <w:t>επενδύσεις σε υποδομές, μεταφορικά μέσα, συστήματα τεχνολογίας πληροφοριών και επικοινωνιών (ΤΠΕ) και εξοπλισμό που απαιτούνται για τη λειτουργία του ειδικού καθεστώτος διέλευσης·</w:t>
      </w:r>
    </w:p>
    <w:p w14:paraId="7E9CD1E5" w14:textId="77777777" w:rsidR="00286E0D" w:rsidRPr="00C60498" w:rsidRDefault="00286E0D" w:rsidP="006A2F81">
      <w:pPr>
        <w:pStyle w:val="ListNumber"/>
        <w:numPr>
          <w:ilvl w:val="0"/>
          <w:numId w:val="17"/>
        </w:numPr>
        <w:ind w:left="1094" w:hanging="357"/>
        <w:rPr>
          <w:rFonts w:eastAsia="Aptos"/>
          <w:noProof/>
          <w:kern w:val="2"/>
          <w:szCs w:val="24"/>
        </w:rPr>
      </w:pPr>
      <w:r w:rsidRPr="00C60498">
        <w:rPr>
          <w:noProof/>
        </w:rPr>
        <w:t>κατάρτιση του προσωπικού που εφαρμόζει το ειδικό καθεστώς διέλευσης·</w:t>
      </w:r>
    </w:p>
    <w:p w14:paraId="612D44E9" w14:textId="77777777" w:rsidR="00286E0D" w:rsidRPr="00C60498" w:rsidRDefault="00286E0D" w:rsidP="006A2F81">
      <w:pPr>
        <w:pStyle w:val="ListNumber"/>
        <w:numPr>
          <w:ilvl w:val="0"/>
          <w:numId w:val="17"/>
        </w:numPr>
        <w:ind w:left="1094" w:hanging="357"/>
        <w:rPr>
          <w:rFonts w:eastAsia="Aptos"/>
          <w:noProof/>
          <w:kern w:val="2"/>
          <w:szCs w:val="24"/>
        </w:rPr>
      </w:pPr>
      <w:r w:rsidRPr="00C60498">
        <w:rPr>
          <w:noProof/>
        </w:rPr>
        <w:t xml:space="preserve">συμπληρωματικές λειτουργικές δαπάνες, συμπεριλαμβανομένων των δαπανών προσωπικού για την εφαρμογή του ειδικού καθεστώτος διέλευσης. </w:t>
      </w:r>
    </w:p>
    <w:p w14:paraId="20B98F44" w14:textId="04D816B3" w:rsidR="00286E0D" w:rsidRPr="00C60498" w:rsidRDefault="003347AC" w:rsidP="003347AC">
      <w:pPr>
        <w:pStyle w:val="ManualNumPar1"/>
        <w:rPr>
          <w:noProof/>
        </w:rPr>
      </w:pPr>
      <w:r w:rsidRPr="00C60498">
        <w:rPr>
          <w:noProof/>
        </w:rPr>
        <w:t>4.</w:t>
      </w:r>
      <w:r w:rsidRPr="00C60498">
        <w:rPr>
          <w:noProof/>
        </w:rPr>
        <w:tab/>
        <w:t>Η Επιτροπή και η Λιθουανία επανεξετάζουν την εφαρμογή του παρόντος άρθρου σε περίπτωση απρόβλεπτων καταστάσεων οι οποίες έχουν επίπτωση στην ύπαρξη ή τη λειτουργία του ειδικού καθεστώτος διέλευσης.</w:t>
      </w:r>
    </w:p>
    <w:p w14:paraId="09B9D768" w14:textId="20E1787D" w:rsidR="00286E0D" w:rsidRPr="00C60498" w:rsidRDefault="003347AC" w:rsidP="003347AC">
      <w:pPr>
        <w:pStyle w:val="ManualNumPar1"/>
        <w:rPr>
          <w:noProof/>
        </w:rPr>
      </w:pPr>
      <w:r w:rsidRPr="00C60498">
        <w:rPr>
          <w:noProof/>
        </w:rPr>
        <w:t>5.</w:t>
      </w:r>
      <w:r w:rsidRPr="00C60498">
        <w:rPr>
          <w:noProof/>
        </w:rPr>
        <w:tab/>
        <w:t xml:space="preserve">Τα ποσά των παραγράφων 2 και 3 διατίθενται για το εθνικό και περιφερειακό σχέδιο εταιρικής σχέσης της Λιθουανίας. Τα ποσά αυτά δεν χρησιμοποιούνται για άλλα μέτρα του σχεδίου, εκτός αν πρόκειται για δεόντως αιτιολογημένες περιστάσεις που εγκρίνονται από την Επιτροπή μέσω της τροποποίησης του εν λόγω σχεδίου σύμφωνα με το άρθρο 24 του κανονισμού (ΕΕ) [...] </w:t>
      </w:r>
      <w:r w:rsidRPr="00C60498">
        <w:rPr>
          <w:noProof/>
          <w:color w:val="000000" w:themeColor="text1"/>
        </w:rPr>
        <w:t>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noProof/>
        </w:rPr>
        <w:t xml:space="preserve">. </w:t>
      </w:r>
    </w:p>
    <w:p w14:paraId="398970FF" w14:textId="10C76A9D" w:rsidR="00286E0D" w:rsidRPr="00C60498" w:rsidRDefault="00286E0D" w:rsidP="0042042F">
      <w:pPr>
        <w:rPr>
          <w:noProof/>
        </w:rPr>
      </w:pPr>
      <w:r w:rsidRPr="00C60498">
        <w:rPr>
          <w:noProof/>
        </w:rPr>
        <w:t xml:space="preserve">Κατόπιν αιτιολογημένου αιτήματος της Λιθουανίας, το ποσό της παραγράφου 3 μπορεί να επανεξεταστεί και, εφόσον απαιτείται, να προσαρμοστεί πριν από την έγκριση του τελευταίου προγράμματος εργασίας σύμφωνα με το άρθρο 31 του κανονισμού (ΕΕ) [...] 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 Τυχόν συμπληρωματικά ποσά θα διατεθούν για το εθνικό και περιφερειακό σχέδιο εταιρικής σχέσης της Λιθουανίας σύμφωνα με το άρθρο 31 παράγραφος 7 του κανονισμού (ΕΕ) [...] </w:t>
      </w:r>
      <w:r w:rsidRPr="00C60498">
        <w:rPr>
          <w:noProof/>
          <w:color w:val="000000" w:themeColor="text1"/>
        </w:rPr>
        <w:t>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noProof/>
        </w:rPr>
        <w:t>.</w:t>
      </w:r>
    </w:p>
    <w:bookmarkEnd w:id="19"/>
    <w:p w14:paraId="68C0B3A9" w14:textId="13E23B66" w:rsidR="00286E0D" w:rsidRPr="00C60498" w:rsidRDefault="00286E0D" w:rsidP="00286E0D">
      <w:pPr>
        <w:pStyle w:val="Titrearticle"/>
        <w:rPr>
          <w:noProof/>
        </w:rPr>
      </w:pPr>
      <w:r w:rsidRPr="00C60498">
        <w:rPr>
          <w:noProof/>
        </w:rPr>
        <w:t>Άρθρο 7</w:t>
      </w:r>
    </w:p>
    <w:p w14:paraId="43B9501B" w14:textId="77777777" w:rsidR="00286E0D" w:rsidRPr="00C60498" w:rsidRDefault="00286E0D" w:rsidP="00286E0D">
      <w:pPr>
        <w:pStyle w:val="Titrearticle"/>
        <w:rPr>
          <w:b/>
          <w:bCs/>
          <w:noProof/>
        </w:rPr>
      </w:pPr>
      <w:r w:rsidRPr="00C60498">
        <w:rPr>
          <w:b/>
          <w:noProof/>
        </w:rPr>
        <w:t>Πόροι για τις λειτουργικές δαπάνες του Ευρωπαϊκού Συστήματος Πληροφοριών και Αδειοδότησης Ταξιδιού (ETIAS)</w:t>
      </w:r>
    </w:p>
    <w:p w14:paraId="3743035C" w14:textId="03E26FA3" w:rsidR="00286E0D" w:rsidRPr="00C60498" w:rsidRDefault="003347AC" w:rsidP="003347AC">
      <w:pPr>
        <w:pStyle w:val="ManualNumPar1"/>
        <w:rPr>
          <w:noProof/>
        </w:rPr>
      </w:pPr>
      <w:r w:rsidRPr="00C60498">
        <w:rPr>
          <w:noProof/>
        </w:rPr>
        <w:t>1.</w:t>
      </w:r>
      <w:r w:rsidRPr="00C60498">
        <w:rPr>
          <w:noProof/>
        </w:rPr>
        <w:tab/>
        <w:t xml:space="preserve">Κάθε κράτος μέλος θεσπίζει αποτελεσματικό και αξιόπιστο σύστημα που εξασφαλίζει ότι οι λειτουργικές δαπάνες στις οποίες υποβάλλεται το εν λόγω κράτος μέλος σύμφωνα με το άρθρο 85 παράγραφοι 2 και 3 του κανονισμού (ΕΕ) 2018/1240 προσδιορίζονται και καταγράφονται επαρκώς. Έως την 31η Ιανουαρίου κάθε έτους, και για πρώτη φορά έως την 31η Ιανουαρίου 2029, τα κράτη μέλη κοινοποιούν στην Επιτροπή τις συνολικές λειτουργικές δαπάνες στις οποίες υποβλήθηκαν κατά το προηγούμενο έτος. </w:t>
      </w:r>
    </w:p>
    <w:p w14:paraId="20E4BB50" w14:textId="727B6BC6" w:rsidR="00F0474E" w:rsidRPr="00C60498" w:rsidRDefault="003347AC" w:rsidP="003347AC">
      <w:pPr>
        <w:pStyle w:val="ManualNumPar1"/>
        <w:rPr>
          <w:noProof/>
        </w:rPr>
      </w:pPr>
      <w:r w:rsidRPr="00C60498">
        <w:rPr>
          <w:noProof/>
        </w:rPr>
        <w:t>2.</w:t>
      </w:r>
      <w:r w:rsidRPr="00C60498">
        <w:rPr>
          <w:noProof/>
        </w:rPr>
        <w:tab/>
        <w:t xml:space="preserve">Με βάση τις πληροφορίες που κοινοποιούν τα κράτη μέλη σύμφωνα με την παράγραφο 1, η Επιτροπή καθορίζει το ποσό των εσόδων που προκύπτουν από τα τέλη του ETIAS τα οποία διατίθενται σύμφωνα με το άρθρο 86 δεύτερη περίοδος του κανονισμού (ΕΕ) 2018/1240 για την κάλυψη των λειτουργικών δαπανών στις οποίες υποβάλλονται τα κράτη μέλη. Η Επιτροπή θέτει στη διάθεση κάθε κράτους μέλους το αντίστοιχο ποσοστό του από το ποσό αυτό. </w:t>
      </w:r>
    </w:p>
    <w:p w14:paraId="55C50CF3" w14:textId="560E024F" w:rsidR="00286E0D" w:rsidRPr="00C60498" w:rsidRDefault="003347AC" w:rsidP="003347AC">
      <w:pPr>
        <w:pStyle w:val="ManualNumPar1"/>
        <w:rPr>
          <w:noProof/>
        </w:rPr>
      </w:pPr>
      <w:r w:rsidRPr="00C60498">
        <w:rPr>
          <w:noProof/>
        </w:rPr>
        <w:t>3.</w:t>
      </w:r>
      <w:r w:rsidRPr="00C60498">
        <w:rPr>
          <w:noProof/>
        </w:rPr>
        <w:tab/>
        <w:t>Όταν το ποσό των συνολικών λειτουργικών δαπανών που κοινοποιούν τα κράτη μέλη σύμφωνα με την παράγραφο 1 υπερβαίνει τα διαθέσιμα έσοδα του ETIAS, ή όταν το ποσό των δαπανών που πραγματοποιούνται για την προσαρμογή και την αυτοματοποίηση των συνοριακών ελέγχων με σκοπό την εφαρμογή του ETIAS υπερβαίνει τα όρια που καθορίζονται στο άρθρο 85 παράγραφος 3 του κανονισμού (ΕΕ) 2018/1240, η Επιτροπή υπολογίζει αναλογική μείωση των εν λόγω ποσών.</w:t>
      </w:r>
    </w:p>
    <w:p w14:paraId="038E99C1" w14:textId="18ECF8B5" w:rsidR="00DD664E" w:rsidRPr="00C60498" w:rsidRDefault="003347AC" w:rsidP="003347AC">
      <w:pPr>
        <w:pStyle w:val="ManualNumPar1"/>
        <w:rPr>
          <w:noProof/>
        </w:rPr>
      </w:pPr>
      <w:bookmarkStart w:id="20" w:name="_Hlk202881652"/>
      <w:r w:rsidRPr="00C60498">
        <w:rPr>
          <w:noProof/>
        </w:rPr>
        <w:t>4.</w:t>
      </w:r>
      <w:r w:rsidRPr="00C60498">
        <w:rPr>
          <w:noProof/>
        </w:rPr>
        <w:tab/>
        <w:t>Όταν το ποσό των συνολικών λειτουργικών δαπανών σε ένα δεδομένο έτος υπερβαίνει τα διαθέσιμα έσοδα του ETIAS, η Επιτροπή θέτει κατόπιν στη διάθεση των κρατών μελών το ποσό που αντιστοιχεί στην αναλογική μείωση των συνολικών λειτουργικών δαπανών τους από τα έσοδα που προκύπτουν από τα τέλη του ETIAS.</w:t>
      </w:r>
    </w:p>
    <w:bookmarkEnd w:id="20"/>
    <w:p w14:paraId="10AD3292" w14:textId="060D27B2" w:rsidR="00286E0D" w:rsidRPr="00C60498" w:rsidRDefault="00286E0D" w:rsidP="00286E0D">
      <w:pPr>
        <w:pStyle w:val="Titrearticle"/>
        <w:rPr>
          <w:noProof/>
          <w:szCs w:val="24"/>
        </w:rPr>
      </w:pPr>
      <w:r w:rsidRPr="00C60498">
        <w:rPr>
          <w:noProof/>
        </w:rPr>
        <w:t>Άρθρο 8</w:t>
      </w:r>
    </w:p>
    <w:p w14:paraId="5F79BA04" w14:textId="77777777" w:rsidR="00286E0D" w:rsidRPr="00C60498" w:rsidRDefault="006866F6" w:rsidP="00286E0D">
      <w:pPr>
        <w:pStyle w:val="Titrearticle"/>
        <w:rPr>
          <w:noProof/>
          <w:szCs w:val="24"/>
        </w:rPr>
      </w:pPr>
      <w:r w:rsidRPr="00C60498">
        <w:rPr>
          <w:b/>
          <w:noProof/>
        </w:rPr>
        <w:t>Χρηματοδοτικές συνεισφορές για την ετήσια δεξαμενή αλληλεγγύης</w:t>
      </w:r>
    </w:p>
    <w:p w14:paraId="0E0DC514" w14:textId="07076A59" w:rsidR="00286E0D" w:rsidRPr="00C60498" w:rsidRDefault="006866F6" w:rsidP="00653241">
      <w:pPr>
        <w:rPr>
          <w:noProof/>
          <w:szCs w:val="24"/>
        </w:rPr>
      </w:pPr>
      <w:r w:rsidRPr="00C60498">
        <w:rPr>
          <w:noProof/>
        </w:rPr>
        <w:t>Η Επιτροπή υπολογίζει και θέτει στη διάθεση κάθε επωφελούμενου κράτους μέλους το αντίστοιχο μερίδιο των χρηματοδοτικών συνεισφορών που μεταφέρονται από τα συνεισφέροντα κράτη μέλη σύμφωνα με το άρθρο 64 παράγραφος 1 του κανονισμού (ΕΕ) 2024/1351 για τους σκοπούς της υλοποίησης των δράσεων που προβλέπονται στο άρθρο 56 παράγραφος 2 στοιχείο β) του κανονισμού (ΕΕ) 2024/1351.</w:t>
      </w:r>
    </w:p>
    <w:p w14:paraId="414E4803" w14:textId="2814B288" w:rsidR="00286E0D" w:rsidRPr="00C60498" w:rsidRDefault="00286E0D" w:rsidP="00286E0D">
      <w:pPr>
        <w:pStyle w:val="Titrearticle"/>
        <w:rPr>
          <w:noProof/>
        </w:rPr>
      </w:pPr>
      <w:r w:rsidRPr="00C60498">
        <w:rPr>
          <w:noProof/>
        </w:rPr>
        <w:t xml:space="preserve">Άρθρο 9 </w:t>
      </w:r>
    </w:p>
    <w:p w14:paraId="732D7A52" w14:textId="77777777" w:rsidR="00286E0D" w:rsidRPr="00C60498" w:rsidRDefault="00286E0D" w:rsidP="00286E0D">
      <w:pPr>
        <w:pStyle w:val="Titrearticle"/>
        <w:rPr>
          <w:i w:val="0"/>
          <w:noProof/>
        </w:rPr>
      </w:pPr>
      <w:r w:rsidRPr="00C60498">
        <w:rPr>
          <w:b/>
          <w:noProof/>
        </w:rPr>
        <w:t>Μεταβατικές διατάξεις</w:t>
      </w:r>
    </w:p>
    <w:p w14:paraId="32BA96D3" w14:textId="6427F63E" w:rsidR="00286E0D" w:rsidRPr="00C60498" w:rsidRDefault="00631DBC" w:rsidP="00A257BB">
      <w:pPr>
        <w:rPr>
          <w:noProof/>
        </w:rPr>
      </w:pPr>
      <w:r w:rsidRPr="00C60498">
        <w:rPr>
          <w:noProof/>
        </w:rPr>
        <w:t>Ο παρών κανονισμός δεν επηρεάζει τη συνέχιση ή την τροποποίηση των δράσεων που ξεκίνησαν βάσει του κανονισμού (ΕΕ) 2021/1148, ο οποίος εξακολουθεί να εφαρμόζεται για τις εν λόγω δράσεις μέχρι τη λήξη τους.</w:t>
      </w:r>
    </w:p>
    <w:p w14:paraId="3B38DA05" w14:textId="09D4A97E" w:rsidR="00286E0D" w:rsidRPr="00C60498" w:rsidRDefault="00286E0D" w:rsidP="00286E0D">
      <w:pPr>
        <w:pStyle w:val="Titrearticle"/>
        <w:rPr>
          <w:noProof/>
        </w:rPr>
      </w:pPr>
      <w:r w:rsidRPr="00C60498">
        <w:rPr>
          <w:noProof/>
        </w:rPr>
        <w:t>Άρθρο 10</w:t>
      </w:r>
    </w:p>
    <w:p w14:paraId="0F10C298" w14:textId="77777777" w:rsidR="00286E0D" w:rsidRPr="00C60498" w:rsidRDefault="00286E0D" w:rsidP="00286E0D">
      <w:pPr>
        <w:pStyle w:val="Titrearticle"/>
        <w:rPr>
          <w:b/>
          <w:bCs/>
          <w:noProof/>
        </w:rPr>
      </w:pPr>
      <w:r w:rsidRPr="00C60498">
        <w:rPr>
          <w:b/>
          <w:noProof/>
        </w:rPr>
        <w:t>Έναρξη ισχύος και εφαρμογή</w:t>
      </w:r>
    </w:p>
    <w:p w14:paraId="1105ED5B" w14:textId="77777777" w:rsidR="00286E0D" w:rsidRPr="00C60498" w:rsidRDefault="00286E0D" w:rsidP="00286E0D">
      <w:pPr>
        <w:rPr>
          <w:noProof/>
          <w:szCs w:val="24"/>
        </w:rPr>
      </w:pPr>
      <w:r w:rsidRPr="00C60498">
        <w:rPr>
          <w:noProof/>
        </w:rPr>
        <w:t xml:space="preserve">Ο παρών κανονισμός αρχίζει να ισχύει την [εικοστή] ημέρα από τη δημοσίευσή του στην </w:t>
      </w:r>
      <w:r w:rsidRPr="00C60498">
        <w:rPr>
          <w:i/>
          <w:noProof/>
        </w:rPr>
        <w:t>Επίσημη Εφημερίδα της Ευρωπαϊκής Ένωσης</w:t>
      </w:r>
      <w:r w:rsidRPr="00C60498">
        <w:rPr>
          <w:noProof/>
        </w:rPr>
        <w:t>.</w:t>
      </w:r>
    </w:p>
    <w:p w14:paraId="2B6F6F03" w14:textId="6A003581" w:rsidR="00286E0D" w:rsidRPr="00C60498" w:rsidRDefault="00286E0D" w:rsidP="00A257BB">
      <w:pPr>
        <w:rPr>
          <w:noProof/>
        </w:rPr>
      </w:pPr>
      <w:r w:rsidRPr="00C60498">
        <w:rPr>
          <w:noProof/>
        </w:rPr>
        <w:t xml:space="preserve">Εφαρμόζεται από την ημερομηνία εφαρμογής του κανονισμού (ΕΕ) [...] </w:t>
      </w:r>
      <w:r w:rsidRPr="00C60498">
        <w:rPr>
          <w:noProof/>
          <w:color w:val="000000" w:themeColor="text1"/>
        </w:rPr>
        <w:t>σχετικά με τη σύσταση του Ευρωπαϊκού Ταμείου για την οικονομική, κοινωνική και εδαφική συνοχή, τη γεωργία και τις αγροτικές περιοχές, την αλιεία και τη θάλασσα, την ευημερία και την ασφάλεια</w:t>
      </w:r>
      <w:r w:rsidRPr="00C60498">
        <w:rPr>
          <w:noProof/>
        </w:rPr>
        <w:t xml:space="preserve"> για την περίοδο 2028-2034.</w:t>
      </w:r>
    </w:p>
    <w:p w14:paraId="6D028D58" w14:textId="77777777" w:rsidR="00286E0D" w:rsidRPr="00C60498" w:rsidRDefault="00286E0D" w:rsidP="00286E0D">
      <w:pPr>
        <w:pStyle w:val="Applicationdirecte"/>
        <w:spacing w:before="120"/>
        <w:rPr>
          <w:noProof/>
          <w:szCs w:val="24"/>
        </w:rPr>
      </w:pPr>
      <w:r w:rsidRPr="00C60498">
        <w:rPr>
          <w:noProof/>
        </w:rPr>
        <w:t>Ο παρών κανονισμός είναι δεσμευτικός ως προς όλα τα μέρη του και ισχύει άμεσα στα κράτη μέλη σύμφωνα με τις Συνθήκες.</w:t>
      </w:r>
    </w:p>
    <w:p w14:paraId="15F55F35" w14:textId="5D7221D2" w:rsidR="00286E0D" w:rsidRPr="00C60498" w:rsidRDefault="00C60498" w:rsidP="006E392D">
      <w:pPr>
        <w:pStyle w:val="Fait"/>
        <w:rPr>
          <w:noProof/>
        </w:rPr>
      </w:pPr>
      <w:r>
        <w:rPr>
          <w:noProof/>
        </w:rPr>
        <w:t>Βρυξέλλες,</w:t>
      </w:r>
    </w:p>
    <w:p w14:paraId="50B73B1B" w14:textId="77777777" w:rsidR="00363133" w:rsidRPr="00C60498" w:rsidRDefault="00363133" w:rsidP="006E392D">
      <w:pPr>
        <w:pStyle w:val="Institutionquisigne"/>
        <w:rPr>
          <w:noProof/>
        </w:rPr>
      </w:pPr>
      <w:r w:rsidRPr="00C60498">
        <w:rPr>
          <w:noProof/>
        </w:rPr>
        <w:t>Για το Ευρωπαϊκό Κοινοβούλιο</w:t>
      </w:r>
      <w:r w:rsidRPr="00C60498">
        <w:rPr>
          <w:noProof/>
        </w:rPr>
        <w:tab/>
        <w:t>Για το Συμβούλιο</w:t>
      </w:r>
    </w:p>
    <w:p w14:paraId="20635673" w14:textId="77777777" w:rsidR="00363133" w:rsidRPr="00C60498" w:rsidRDefault="00363133" w:rsidP="00363133">
      <w:pPr>
        <w:pStyle w:val="Personnequisigne"/>
        <w:rPr>
          <w:noProof/>
        </w:rPr>
      </w:pPr>
      <w:r w:rsidRPr="00C60498">
        <w:rPr>
          <w:noProof/>
        </w:rPr>
        <w:t>Η Πρόεδρος</w:t>
      </w:r>
      <w:r w:rsidRPr="00C60498">
        <w:rPr>
          <w:noProof/>
        </w:rPr>
        <w:tab/>
        <w:t>Ο/Η Πρόεδρος</w:t>
      </w:r>
    </w:p>
    <w:sectPr w:rsidR="00363133" w:rsidRPr="00C60498" w:rsidSect="00D15DC8">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14414" w14:textId="4A3770AE" w:rsidR="00D15DC8" w:rsidRPr="00D15DC8" w:rsidRDefault="00D15DC8" w:rsidP="00D15DC8">
    <w:pPr>
      <w:pStyle w:val="Footer"/>
      <w:rPr>
        <w:rFonts w:ascii="Arial" w:hAnsi="Arial" w:cs="Arial"/>
        <w:b/>
        <w:sz w:val="48"/>
      </w:rPr>
    </w:pPr>
    <w:r w:rsidRPr="00D15DC8">
      <w:rPr>
        <w:rFonts w:ascii="Arial" w:hAnsi="Arial" w:cs="Arial"/>
        <w:b/>
        <w:sz w:val="48"/>
      </w:rPr>
      <w:t>EL</w:t>
    </w:r>
    <w:r w:rsidRPr="00D15DC8">
      <w:rPr>
        <w:rFonts w:ascii="Arial" w:hAnsi="Arial" w:cs="Arial"/>
        <w:b/>
        <w:sz w:val="48"/>
      </w:rPr>
      <w:tab/>
    </w:r>
    <w:r w:rsidRPr="00D15DC8">
      <w:rPr>
        <w:rFonts w:ascii="Arial" w:hAnsi="Arial" w:cs="Arial"/>
        <w:b/>
        <w:sz w:val="48"/>
      </w:rPr>
      <w:tab/>
    </w:r>
    <w:r w:rsidRPr="00D15DC8">
      <w:tab/>
    </w:r>
    <w:r w:rsidRPr="00D15DC8">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CE8CB" w14:textId="0D7AD718" w:rsidR="00D15DC8" w:rsidRPr="00D15DC8" w:rsidRDefault="00D15DC8" w:rsidP="00D15DC8">
    <w:pPr>
      <w:pStyle w:val="Footer"/>
      <w:rPr>
        <w:rFonts w:ascii="Arial" w:hAnsi="Arial" w:cs="Arial"/>
        <w:b/>
        <w:sz w:val="48"/>
      </w:rPr>
    </w:pPr>
    <w:r w:rsidRPr="00D15DC8">
      <w:rPr>
        <w:rFonts w:ascii="Arial" w:hAnsi="Arial" w:cs="Arial"/>
        <w:b/>
        <w:sz w:val="48"/>
      </w:rPr>
      <w:t>EL</w:t>
    </w:r>
    <w:r w:rsidRPr="00D15DC8">
      <w:rPr>
        <w:rFonts w:ascii="Arial" w:hAnsi="Arial" w:cs="Arial"/>
        <w:b/>
        <w:sz w:val="48"/>
      </w:rPr>
      <w:tab/>
    </w:r>
    <w:r w:rsidRPr="00D15DC8">
      <w:rPr>
        <w:rFonts w:ascii="Arial" w:hAnsi="Arial" w:cs="Arial"/>
        <w:b/>
        <w:sz w:val="48"/>
      </w:rPr>
      <w:tab/>
    </w:r>
    <w:r w:rsidRPr="00D15DC8">
      <w:tab/>
    </w:r>
    <w:r w:rsidRPr="00D15DC8">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AF120" w14:textId="77777777" w:rsidR="00D15DC8" w:rsidRDefault="00D15D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69598" w14:textId="3BCEB2B8" w:rsidR="00D15DC8" w:rsidRPr="00D15DC8" w:rsidRDefault="00D15DC8" w:rsidP="00D15DC8">
    <w:pPr>
      <w:pStyle w:val="Footer"/>
      <w:rPr>
        <w:rFonts w:ascii="Arial" w:hAnsi="Arial" w:cs="Arial"/>
        <w:b/>
        <w:sz w:val="48"/>
      </w:rPr>
    </w:pPr>
    <w:r w:rsidRPr="00D15DC8">
      <w:rPr>
        <w:rFonts w:ascii="Arial" w:hAnsi="Arial" w:cs="Arial"/>
        <w:b/>
        <w:sz w:val="48"/>
      </w:rPr>
      <w:t>EL</w:t>
    </w:r>
    <w:r w:rsidRPr="00D15DC8">
      <w:rPr>
        <w:rFonts w:ascii="Arial" w:hAnsi="Arial" w:cs="Arial"/>
        <w:b/>
        <w:sz w:val="48"/>
      </w:rPr>
      <w:tab/>
    </w:r>
    <w:r>
      <w:fldChar w:fldCharType="begin"/>
    </w:r>
    <w:r>
      <w:instrText xml:space="preserve"> PAGE  \* MERGEFORMAT </w:instrText>
    </w:r>
    <w:r>
      <w:fldChar w:fldCharType="separate"/>
    </w:r>
    <w:r w:rsidR="006E392D">
      <w:rPr>
        <w:noProof/>
      </w:rPr>
      <w:t>21</w:t>
    </w:r>
    <w:r>
      <w:fldChar w:fldCharType="end"/>
    </w:r>
    <w:r>
      <w:tab/>
    </w:r>
    <w:r w:rsidRPr="00D15DC8">
      <w:tab/>
    </w:r>
    <w:r w:rsidRPr="00D15DC8">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3F384" w14:textId="77777777" w:rsidR="00D15DC8" w:rsidRDefault="00D15DC8" w:rsidP="00D15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1C04EE" w:rsidRDefault="008C306E" w:rsidP="008C306E">
      <w:pPr>
        <w:pStyle w:val="FootnoteText"/>
      </w:pPr>
      <w:r>
        <w:rPr>
          <w:rStyle w:val="FootnoteReference"/>
        </w:rPr>
        <w:footnoteRef/>
      </w:r>
      <w:r w:rsidRPr="001C04EE">
        <w:tab/>
        <w:t xml:space="preserve">Κανονισμός (ΕΕ) 2024/1356 του Ευρωπαϊκού Κοινοβουλίου και του Συμβουλίου, της 14ης Μαΐου 2024, για τη θέσπιση ελέγχου διαλογής υπηκόων τρίτων χωρών στα εξωτερικά σύνορα και για την τροποποίηση των κανονισμών (ΕΚ) αριθ. 767/2008, (ΕΕ) 2017/2226, (ΕΕ) 2018/1240 και (ΕΕ) 2019/817 (ΕΕ </w:t>
      </w:r>
      <w:r>
        <w:t>L</w:t>
      </w:r>
      <w:r w:rsidRPr="001C04EE">
        <w:t xml:space="preserve">, 2024/1356, 22.5.2024, </w:t>
      </w:r>
      <w:r>
        <w:t>ELI</w:t>
      </w:r>
      <w:r w:rsidRPr="001C04EE">
        <w:t>:</w:t>
      </w:r>
      <w:r>
        <w:t> </w:t>
      </w:r>
      <w:hyperlink r:id="rId1" w:tgtFrame="_blank" w:tooltip="Παρέχει πρόσβαση στο έγγραφο μέσω του ELI URI." w:history="1">
        <w:r>
          <w:rPr>
            <w:rStyle w:val="Hyperlink"/>
          </w:rPr>
          <w:t>http</w:t>
        </w:r>
        <w:r w:rsidRPr="001C04EE">
          <w:rPr>
            <w:rStyle w:val="Hyperlink"/>
          </w:rPr>
          <w:t>://</w:t>
        </w:r>
        <w:r>
          <w:rPr>
            <w:rStyle w:val="Hyperlink"/>
          </w:rPr>
          <w:t>data</w:t>
        </w:r>
        <w:r w:rsidRPr="001C04EE">
          <w:rPr>
            <w:rStyle w:val="Hyperlink"/>
          </w:rPr>
          <w:t>.</w:t>
        </w:r>
        <w:r>
          <w:rPr>
            <w:rStyle w:val="Hyperlink"/>
          </w:rPr>
          <w:t>europa</w:t>
        </w:r>
        <w:r w:rsidRPr="001C04EE">
          <w:rPr>
            <w:rStyle w:val="Hyperlink"/>
          </w:rPr>
          <w:t>.</w:t>
        </w:r>
        <w:r>
          <w:rPr>
            <w:rStyle w:val="Hyperlink"/>
          </w:rPr>
          <w:t>eu</w:t>
        </w:r>
        <w:r w:rsidRPr="001C04EE">
          <w:rPr>
            <w:rStyle w:val="Hyperlink"/>
          </w:rPr>
          <w:t>/</w:t>
        </w:r>
        <w:r>
          <w:rPr>
            <w:rStyle w:val="Hyperlink"/>
          </w:rPr>
          <w:t>eli</w:t>
        </w:r>
        <w:r w:rsidRPr="001C04EE">
          <w:rPr>
            <w:rStyle w:val="Hyperlink"/>
          </w:rPr>
          <w:t>/</w:t>
        </w:r>
        <w:r>
          <w:rPr>
            <w:rStyle w:val="Hyperlink"/>
          </w:rPr>
          <w:t>reg</w:t>
        </w:r>
        <w:r w:rsidRPr="001C04EE">
          <w:rPr>
            <w:rStyle w:val="Hyperlink"/>
          </w:rPr>
          <w:t>/2024/1356/</w:t>
        </w:r>
        <w:r>
          <w:rPr>
            <w:rStyle w:val="Hyperlink"/>
          </w:rPr>
          <w:t>oj</w:t>
        </w:r>
      </w:hyperlink>
      <w:r w:rsidRPr="001C04EE">
        <w:t>).</w:t>
      </w:r>
      <w:r>
        <w:t> </w:t>
      </w:r>
    </w:p>
  </w:footnote>
  <w:footnote w:id="2">
    <w:p w14:paraId="7331594B" w14:textId="77777777" w:rsidR="00EB6497" w:rsidRPr="001C04EE" w:rsidRDefault="00EB6497" w:rsidP="00EB6497">
      <w:pPr>
        <w:pStyle w:val="FootnoteText"/>
      </w:pPr>
      <w:r>
        <w:rPr>
          <w:rStyle w:val="FootnoteReference"/>
        </w:rPr>
        <w:footnoteRef/>
      </w:r>
      <w:r w:rsidRPr="001C04EE">
        <w:tab/>
        <w:t xml:space="preserve">Κανονισμός (ΕΕ) 2021/1148 του Ευρωπαϊκού Κοινοβουλίου και του Συμβουλίου, της 7ης Ιουλίου 2021, για τη θέσπιση, ως μέρους του Ταμείου για την Ολοκληρωμένη Διαχείριση των Συνόρων, του Μέσου Χρηματοδοτικής Στήριξης για τη Διαχείριση των Συνόρων και την Πολιτική Θεωρήσεων. </w:t>
      </w:r>
    </w:p>
  </w:footnote>
  <w:footnote w:id="3">
    <w:p w14:paraId="6343CBFD" w14:textId="77777777" w:rsidR="00970B74" w:rsidRPr="001C04EE" w:rsidRDefault="00653241" w:rsidP="00970B74">
      <w:pPr>
        <w:pStyle w:val="FootnoteText"/>
        <w:rPr>
          <w:b/>
          <w:bCs/>
          <w:lang w:val="it-IT"/>
        </w:rPr>
      </w:pPr>
      <w:r>
        <w:rPr>
          <w:rStyle w:val="FootnoteReference"/>
        </w:rPr>
        <w:footnoteRef/>
      </w:r>
      <w:r w:rsidRPr="001C04EE">
        <w:tab/>
        <w:t xml:space="preserve">Κανονισμός (ΕΕ) 2024/1351 του Ευρωπαϊκού Κοινοβουλίου και του Συμβουλίου, της 14ης Μαΐου 2024, για τη διαχείριση του ασύλου και της μετανάστευσης και την τροποποίηση των κανονισμών (ΕΕ) 2021/1147 και (ΕΕ) 2021/1060 και την κατάργηση του κανονισμού (ΕΕ) αριθ. </w:t>
      </w:r>
      <w:r w:rsidRPr="001C04EE">
        <w:rPr>
          <w:lang w:val="it-IT"/>
        </w:rPr>
        <w:t>604/2013 (</w:t>
      </w:r>
      <w:r>
        <w:t>ΕΕ</w:t>
      </w:r>
      <w:r w:rsidRPr="001C04EE">
        <w:rPr>
          <w:lang w:val="it-IT"/>
        </w:rPr>
        <w:t xml:space="preserve"> L, 2024/1351, 22.5.2024, ELI:</w:t>
      </w:r>
      <w:r w:rsidRPr="001C04EE">
        <w:rPr>
          <w:b/>
          <w:lang w:val="it-IT"/>
        </w:rPr>
        <w:t xml:space="preserve"> </w:t>
      </w:r>
      <w:hyperlink r:id="rId2" w:tgtFrame="_blank" w:tooltip="Παρέχει πρόσβαση στο έγγραφο μέσω του ELI URI." w:history="1">
        <w:r w:rsidRPr="001C04EE">
          <w:rPr>
            <w:rStyle w:val="Hyperlink"/>
            <w:b/>
            <w:lang w:val="it-IT"/>
          </w:rPr>
          <w:t>http://data.europa.eu/eli/reg/2024/1351/oj</w:t>
        </w:r>
      </w:hyperlink>
      <w:r w:rsidRPr="001C04EE">
        <w:rPr>
          <w:lang w:val="it-IT"/>
        </w:rPr>
        <w:t>).</w:t>
      </w:r>
    </w:p>
    <w:p w14:paraId="473B85DC" w14:textId="3AF592A2" w:rsidR="00286E0D" w:rsidRPr="001C04EE" w:rsidRDefault="00286E0D" w:rsidP="00D274F9">
      <w:pPr>
        <w:pStyle w:val="FootnoteText"/>
        <w:rPr>
          <w:lang w:val="it-IT"/>
        </w:rPr>
      </w:pPr>
    </w:p>
  </w:footnote>
  <w:footnote w:id="4">
    <w:p w14:paraId="518B2D40" w14:textId="77777777" w:rsidR="00286E0D" w:rsidRPr="001C04EE" w:rsidRDefault="00286E0D" w:rsidP="00286E0D">
      <w:pPr>
        <w:pStyle w:val="FootnoteText"/>
      </w:pPr>
      <w:r>
        <w:rPr>
          <w:rStyle w:val="FootnoteReference"/>
        </w:rPr>
        <w:footnoteRef/>
      </w:r>
      <w:r w:rsidRPr="001C04EE">
        <w:tab/>
        <w:t xml:space="preserve">ΕΕ </w:t>
      </w:r>
      <w:r>
        <w:t>C</w:t>
      </w:r>
      <w:r w:rsidRPr="001C04EE">
        <w:t xml:space="preserve"> [...] της [...], σ. [...]. </w:t>
      </w:r>
    </w:p>
  </w:footnote>
  <w:footnote w:id="5">
    <w:p w14:paraId="6353D267" w14:textId="77777777" w:rsidR="00286E0D" w:rsidRPr="001C04EE" w:rsidRDefault="00286E0D" w:rsidP="00286E0D">
      <w:pPr>
        <w:pStyle w:val="FootnoteText"/>
      </w:pPr>
      <w:r>
        <w:rPr>
          <w:rStyle w:val="FootnoteReference"/>
        </w:rPr>
        <w:footnoteRef/>
      </w:r>
      <w:r w:rsidRPr="001C04EE">
        <w:tab/>
        <w:t>Θέση του Ευρωπαϊκού Κοινοβουλίου της... και θέση του Συμβουλίου της…</w:t>
      </w:r>
    </w:p>
  </w:footnote>
  <w:footnote w:id="6">
    <w:p w14:paraId="21BBB7AD" w14:textId="77777777" w:rsidR="00286E0D" w:rsidRPr="001C04EE" w:rsidRDefault="00286E0D" w:rsidP="00286E0D">
      <w:pPr>
        <w:pStyle w:val="FootnoteText"/>
      </w:pPr>
      <w:r>
        <w:rPr>
          <w:rStyle w:val="FootnoteReference"/>
        </w:rPr>
        <w:footnoteRef/>
      </w:r>
      <w:r w:rsidRPr="001C04EE">
        <w:tab/>
        <w:t xml:space="preserve">Κανονισμός (ΕΕ) 2019/1896 του Ευρωπαϊκού Κοινοβουλίου και του Συμβουλίου, της 13ης Νοεμβρίου 2019, για την Ευρωπαϊκή Συνοριοφυλακή και Ακτοφυλακή και για την κατάργηση των κανονισμών (ΕΕ) αριθ. 1052/2013 και (ΕΕ) 2016/1624 (ΕΕ </w:t>
      </w:r>
      <w:r>
        <w:t>L</w:t>
      </w:r>
      <w:r w:rsidRPr="001C04EE">
        <w:t xml:space="preserve"> 295 της 14.11.2019, σ. 1, </w:t>
      </w:r>
      <w:r>
        <w:t>ELI</w:t>
      </w:r>
      <w:r w:rsidRPr="001C04EE">
        <w:t xml:space="preserve">: </w:t>
      </w:r>
      <w:r>
        <w:t>http</w:t>
      </w:r>
      <w:r w:rsidRPr="001C04EE">
        <w:t>://</w:t>
      </w:r>
      <w:r>
        <w:t>data</w:t>
      </w:r>
      <w:r w:rsidRPr="001C04EE">
        <w:t>.</w:t>
      </w:r>
      <w:r>
        <w:t>europa</w:t>
      </w:r>
      <w:r w:rsidRPr="001C04EE">
        <w:t>.</w:t>
      </w:r>
      <w:r>
        <w:t>eu</w:t>
      </w:r>
      <w:r w:rsidRPr="001C04EE">
        <w:t>/</w:t>
      </w:r>
      <w:r>
        <w:t>eli</w:t>
      </w:r>
      <w:r w:rsidRPr="001C04EE">
        <w:t>/</w:t>
      </w:r>
      <w:r>
        <w:t>reg</w:t>
      </w:r>
      <w:r w:rsidRPr="001C04EE">
        <w:t>/2019/1896/</w:t>
      </w:r>
      <w:r>
        <w:t>oj</w:t>
      </w:r>
      <w:r w:rsidRPr="001C04EE">
        <w:t>).</w:t>
      </w:r>
    </w:p>
  </w:footnote>
  <w:footnote w:id="7">
    <w:p w14:paraId="4FBDEC8E" w14:textId="77777777" w:rsidR="00286E0D" w:rsidRPr="001C04EE" w:rsidRDefault="00286E0D" w:rsidP="00286E0D">
      <w:pPr>
        <w:pStyle w:val="FootnoteText"/>
      </w:pPr>
      <w:r>
        <w:rPr>
          <w:rStyle w:val="FootnoteReference"/>
        </w:rPr>
        <w:footnoteRef/>
      </w:r>
      <w:r w:rsidRPr="001C04EE">
        <w:tab/>
        <w:t xml:space="preserve">ΕΕ </w:t>
      </w:r>
      <w:r>
        <w:t>L</w:t>
      </w:r>
      <w:r w:rsidRPr="001C04EE">
        <w:t xml:space="preserve"> 144 της 6.6.2007, σ. 22.</w:t>
      </w:r>
    </w:p>
  </w:footnote>
  <w:footnote w:id="8">
    <w:p w14:paraId="4428EE6F" w14:textId="77777777" w:rsidR="00286E0D" w:rsidRPr="001C04EE" w:rsidRDefault="00286E0D" w:rsidP="00286E0D">
      <w:pPr>
        <w:pStyle w:val="FootnoteText"/>
      </w:pPr>
      <w:r>
        <w:rPr>
          <w:rStyle w:val="FootnoteReference"/>
        </w:rPr>
        <w:footnoteRef/>
      </w:r>
      <w:r w:rsidRPr="001C04EE">
        <w:tab/>
        <w:t xml:space="preserve">Κανονισμός (ΕΕ) αριθ. 515/2014 του Ευρωπαϊκού Κοινοβουλίου και του Συμβουλίου, της 16ης Απριλίου 2014, για τη θέσπιση, στο πλαίσιο του Ταμείου Εσωτερικής Ασφάλειας, του μέσου χρηματοδοτικής στήριξης στον τομέα των εξωτερικών συνόρων και των θεωρήσεων και την κατάργηση της απόφασης αριθ. 574/2007/ΕΚ (ΕΕ </w:t>
      </w:r>
      <w:r>
        <w:t>L</w:t>
      </w:r>
      <w:r w:rsidRPr="001C04EE">
        <w:t xml:space="preserve"> 150 της 20.5.2014, σ. 143, </w:t>
      </w:r>
      <w:r>
        <w:t>ELI</w:t>
      </w:r>
      <w:r w:rsidRPr="001C04EE">
        <w:t xml:space="preserve">: </w:t>
      </w:r>
      <w:hyperlink r:id="rId3" w:history="1">
        <w:r>
          <w:rPr>
            <w:rStyle w:val="Hyperlink"/>
          </w:rPr>
          <w:t>http</w:t>
        </w:r>
        <w:r w:rsidRPr="001C04EE">
          <w:rPr>
            <w:rStyle w:val="Hyperlink"/>
          </w:rPr>
          <w:t>://</w:t>
        </w:r>
        <w:r>
          <w:rPr>
            <w:rStyle w:val="Hyperlink"/>
          </w:rPr>
          <w:t>data</w:t>
        </w:r>
        <w:r w:rsidRPr="001C04EE">
          <w:rPr>
            <w:rStyle w:val="Hyperlink"/>
          </w:rPr>
          <w:t>.</w:t>
        </w:r>
        <w:r>
          <w:rPr>
            <w:rStyle w:val="Hyperlink"/>
          </w:rPr>
          <w:t>europa</w:t>
        </w:r>
        <w:r w:rsidRPr="001C04EE">
          <w:rPr>
            <w:rStyle w:val="Hyperlink"/>
          </w:rPr>
          <w:t>.</w:t>
        </w:r>
        <w:r>
          <w:rPr>
            <w:rStyle w:val="Hyperlink"/>
          </w:rPr>
          <w:t>eu</w:t>
        </w:r>
        <w:r w:rsidRPr="001C04EE">
          <w:rPr>
            <w:rStyle w:val="Hyperlink"/>
          </w:rPr>
          <w:t>/</w:t>
        </w:r>
        <w:r>
          <w:rPr>
            <w:rStyle w:val="Hyperlink"/>
          </w:rPr>
          <w:t>eli</w:t>
        </w:r>
        <w:r w:rsidRPr="001C04EE">
          <w:rPr>
            <w:rStyle w:val="Hyperlink"/>
          </w:rPr>
          <w:t>/</w:t>
        </w:r>
        <w:r>
          <w:rPr>
            <w:rStyle w:val="Hyperlink"/>
          </w:rPr>
          <w:t>reg</w:t>
        </w:r>
        <w:r w:rsidRPr="001C04EE">
          <w:rPr>
            <w:rStyle w:val="Hyperlink"/>
          </w:rPr>
          <w:t>/2014/515/</w:t>
        </w:r>
        <w:r>
          <w:rPr>
            <w:rStyle w:val="Hyperlink"/>
          </w:rPr>
          <w:t>oj</w:t>
        </w:r>
      </w:hyperlink>
      <w:r w:rsidRPr="001C04EE">
        <w:t>).</w:t>
      </w:r>
    </w:p>
  </w:footnote>
  <w:footnote w:id="9">
    <w:p w14:paraId="714FF2E9" w14:textId="77777777" w:rsidR="00286E0D" w:rsidRPr="001C04EE" w:rsidRDefault="00286E0D" w:rsidP="00286E0D">
      <w:pPr>
        <w:pStyle w:val="FootnoteText"/>
      </w:pPr>
      <w:r>
        <w:rPr>
          <w:rStyle w:val="FootnoteReference"/>
        </w:rPr>
        <w:footnoteRef/>
      </w:r>
      <w:r w:rsidRPr="001C04EE">
        <w:tab/>
        <w:t xml:space="preserve">Κανονισμός (ΕΕ) 2021/1148 του Ευρωπαϊκού Κοινοβουλίου και του Συμβουλίου, της 7ης Ιουλίου 2021, για τη θέσπιση, ως μέρους του Ταμείου για την Ολοκληρωμένη Διαχείριση των Συνόρων, του Μέσου Χρηματοδοτικής Στήριξης για τη Διαχείριση των Συνόρων και την Πολιτική Θεωρήσεων (ΕΕ </w:t>
      </w:r>
      <w:r>
        <w:t>L</w:t>
      </w:r>
      <w:r w:rsidRPr="001C04EE">
        <w:t xml:space="preserve"> 251 της 15.7.2021, σ. 48, </w:t>
      </w:r>
      <w:r>
        <w:t>ELI</w:t>
      </w:r>
      <w:r w:rsidRPr="001C04EE">
        <w:t xml:space="preserve">: </w:t>
      </w:r>
      <w:hyperlink r:id="rId4" w:history="1">
        <w:r>
          <w:rPr>
            <w:rStyle w:val="Hyperlink"/>
          </w:rPr>
          <w:t>http</w:t>
        </w:r>
        <w:r w:rsidRPr="001C04EE">
          <w:rPr>
            <w:rStyle w:val="Hyperlink"/>
          </w:rPr>
          <w:t>://</w:t>
        </w:r>
        <w:r>
          <w:rPr>
            <w:rStyle w:val="Hyperlink"/>
          </w:rPr>
          <w:t>data</w:t>
        </w:r>
        <w:r w:rsidRPr="001C04EE">
          <w:rPr>
            <w:rStyle w:val="Hyperlink"/>
          </w:rPr>
          <w:t>.</w:t>
        </w:r>
        <w:r>
          <w:rPr>
            <w:rStyle w:val="Hyperlink"/>
          </w:rPr>
          <w:t>europa</w:t>
        </w:r>
        <w:r w:rsidRPr="001C04EE">
          <w:rPr>
            <w:rStyle w:val="Hyperlink"/>
          </w:rPr>
          <w:t>.</w:t>
        </w:r>
        <w:r>
          <w:rPr>
            <w:rStyle w:val="Hyperlink"/>
          </w:rPr>
          <w:t>eu</w:t>
        </w:r>
        <w:r w:rsidRPr="001C04EE">
          <w:rPr>
            <w:rStyle w:val="Hyperlink"/>
          </w:rPr>
          <w:t>/</w:t>
        </w:r>
        <w:r>
          <w:rPr>
            <w:rStyle w:val="Hyperlink"/>
          </w:rPr>
          <w:t>eli</w:t>
        </w:r>
        <w:r w:rsidRPr="001C04EE">
          <w:rPr>
            <w:rStyle w:val="Hyperlink"/>
          </w:rPr>
          <w:t>/</w:t>
        </w:r>
        <w:r>
          <w:rPr>
            <w:rStyle w:val="Hyperlink"/>
          </w:rPr>
          <w:t>reg</w:t>
        </w:r>
        <w:r w:rsidRPr="001C04EE">
          <w:rPr>
            <w:rStyle w:val="Hyperlink"/>
          </w:rPr>
          <w:t>/2021/1148/</w:t>
        </w:r>
        <w:r>
          <w:rPr>
            <w:rStyle w:val="Hyperlink"/>
          </w:rPr>
          <w:t>oj</w:t>
        </w:r>
      </w:hyperlink>
      <w:r w:rsidRPr="001C04EE">
        <w:t>).</w:t>
      </w:r>
    </w:p>
  </w:footnote>
  <w:footnote w:id="10">
    <w:p w14:paraId="2326C5A3" w14:textId="77777777" w:rsidR="00BA3EDB" w:rsidRPr="001C04EE" w:rsidRDefault="00BA3EDB" w:rsidP="00BA3EDB">
      <w:pPr>
        <w:pStyle w:val="FootnoteText"/>
      </w:pPr>
      <w:r>
        <w:rPr>
          <w:rStyle w:val="FootnoteReference"/>
        </w:rPr>
        <w:footnoteRef/>
      </w:r>
      <w:r w:rsidRPr="001C04EE">
        <w:tab/>
        <w:t>Ανακοίνωση της Επιτροπής προς το Ευρωπαϊκό Κοινοβούλιο και το Συμβούλιο για την αντιμετώπιση υβριδικών απειλών από τη χρήση της μετανάστευσης ως όπλου και για την ενίσχυση της ασφάλειας στα εξωτερικά σύνορα της ΕΕ [</w:t>
      </w:r>
      <w:r>
        <w:t>COM</w:t>
      </w:r>
      <w:r w:rsidRPr="001C04EE">
        <w:t>(2024)</w:t>
      </w:r>
      <w:r>
        <w:t> </w:t>
      </w:r>
      <w:r w:rsidRPr="001C04EE">
        <w:t xml:space="preserve">570 </w:t>
      </w:r>
      <w:r>
        <w:t>final</w:t>
      </w:r>
      <w:r w:rsidRPr="001C04EE">
        <w:t xml:space="preserve"> της 11.12.2024].</w:t>
      </w:r>
    </w:p>
  </w:footnote>
  <w:footnote w:id="11">
    <w:p w14:paraId="2178D4C2" w14:textId="77777777" w:rsidR="00286E0D" w:rsidRPr="001C04EE" w:rsidRDefault="00286E0D" w:rsidP="00286E0D">
      <w:pPr>
        <w:pStyle w:val="FootnoteText"/>
      </w:pPr>
      <w:r>
        <w:rPr>
          <w:rStyle w:val="FootnoteReference"/>
        </w:rPr>
        <w:footnoteRef/>
      </w:r>
      <w:r w:rsidRPr="001C04EE">
        <w:tab/>
        <w:t>Κανονισμός (ΕΕ) 2018/1240 του Ευρωπαϊκού Κοινοβουλίου και του Συμβουλίου, της 12ης Σεπτεμβρίου 2018, για τη θέσπιση Ευρωπαϊκού Συστήματος Πληροφοριών και Αδειοδότησης Ταξιδιού (</w:t>
      </w:r>
      <w:r>
        <w:t>ETIAS</w:t>
      </w:r>
      <w:r w:rsidRPr="001C04EE">
        <w:t xml:space="preserve">), καθώς και για την τροποποίηση των κανονισμών (ΕΕ) αριθ. 1077/2011, (ΕΕ) αριθ. 515/2014, (ΕΕ) 2016/399, (ΕΕ) 2016/1624 και (ΕΕ) 2017/2226 (ΕΕ </w:t>
      </w:r>
      <w:r>
        <w:t>L</w:t>
      </w:r>
      <w:r w:rsidRPr="001C04EE">
        <w:t xml:space="preserve"> 236 της 19.9.2018, σ. 1, </w:t>
      </w:r>
      <w:r>
        <w:t>ELI</w:t>
      </w:r>
      <w:r w:rsidRPr="001C04EE">
        <w:t xml:space="preserve">: </w:t>
      </w:r>
      <w:hyperlink r:id="rId5" w:history="1">
        <w:r>
          <w:rPr>
            <w:rStyle w:val="Hyperlink"/>
          </w:rPr>
          <w:t>http</w:t>
        </w:r>
        <w:r w:rsidRPr="001C04EE">
          <w:rPr>
            <w:rStyle w:val="Hyperlink"/>
          </w:rPr>
          <w:t>://</w:t>
        </w:r>
        <w:r>
          <w:rPr>
            <w:rStyle w:val="Hyperlink"/>
          </w:rPr>
          <w:t>data</w:t>
        </w:r>
        <w:r w:rsidRPr="001C04EE">
          <w:rPr>
            <w:rStyle w:val="Hyperlink"/>
          </w:rPr>
          <w:t>.</w:t>
        </w:r>
        <w:r>
          <w:rPr>
            <w:rStyle w:val="Hyperlink"/>
          </w:rPr>
          <w:t>europa</w:t>
        </w:r>
        <w:r w:rsidRPr="001C04EE">
          <w:rPr>
            <w:rStyle w:val="Hyperlink"/>
          </w:rPr>
          <w:t>.</w:t>
        </w:r>
        <w:r>
          <w:rPr>
            <w:rStyle w:val="Hyperlink"/>
          </w:rPr>
          <w:t>eu</w:t>
        </w:r>
        <w:r w:rsidRPr="001C04EE">
          <w:rPr>
            <w:rStyle w:val="Hyperlink"/>
          </w:rPr>
          <w:t>/</w:t>
        </w:r>
        <w:r>
          <w:rPr>
            <w:rStyle w:val="Hyperlink"/>
          </w:rPr>
          <w:t>eli</w:t>
        </w:r>
        <w:r w:rsidRPr="001C04EE">
          <w:rPr>
            <w:rStyle w:val="Hyperlink"/>
          </w:rPr>
          <w:t>/</w:t>
        </w:r>
        <w:r>
          <w:rPr>
            <w:rStyle w:val="Hyperlink"/>
          </w:rPr>
          <w:t>reg</w:t>
        </w:r>
        <w:r w:rsidRPr="001C04EE">
          <w:rPr>
            <w:rStyle w:val="Hyperlink"/>
          </w:rPr>
          <w:t>/2018/1240/</w:t>
        </w:r>
        <w:r>
          <w:rPr>
            <w:rStyle w:val="Hyperlink"/>
          </w:rPr>
          <w:t>oj</w:t>
        </w:r>
      </w:hyperlink>
      <w:r w:rsidRPr="001C04EE">
        <w:t>).</w:t>
      </w:r>
    </w:p>
  </w:footnote>
  <w:footnote w:id="12">
    <w:p w14:paraId="3386E873" w14:textId="77777777" w:rsidR="00286E0D" w:rsidRPr="001C04EE" w:rsidRDefault="00286E0D" w:rsidP="00286E0D">
      <w:pPr>
        <w:pStyle w:val="FootnoteText"/>
        <w:rPr>
          <w:lang w:val="it-IT"/>
        </w:rPr>
      </w:pPr>
      <w:r>
        <w:rPr>
          <w:rStyle w:val="FootnoteReference"/>
        </w:rPr>
        <w:footnoteRef/>
      </w:r>
      <w:r w:rsidRPr="001C04EE">
        <w:tab/>
        <w:t xml:space="preserve">Κανονισμός (ΕΕ) 2024/1351 του Ευρωπαϊκού Κοινοβουλίου και του Συμβουλίου, της 14ης Μαΐου 2024, για τη διαχείριση του ασύλου και της μετανάστευσης και την τροποποίηση των κανονισμών (ΕΕ) 2021/1147 και (ΕΕ) 2021/1060 και την κατάργηση του κανονισμού (ΕΕ) αριθ. </w:t>
      </w:r>
      <w:r w:rsidRPr="001C04EE">
        <w:rPr>
          <w:lang w:val="it-IT"/>
        </w:rPr>
        <w:t>604/2013 (</w:t>
      </w:r>
      <w:r>
        <w:t>ΕΕ</w:t>
      </w:r>
      <w:r w:rsidRPr="001C04EE">
        <w:rPr>
          <w:lang w:val="it-IT"/>
        </w:rPr>
        <w:t xml:space="preserve"> L, 2024/1351, 22.5.2024, ELI: </w:t>
      </w:r>
      <w:hyperlink r:id="rId6" w:history="1">
        <w:r w:rsidRPr="001C04EE">
          <w:rPr>
            <w:rStyle w:val="Hyperlink"/>
            <w:lang w:val="it-IT"/>
          </w:rPr>
          <w:t>http://data.europa.eu/eli/reg/2024/1351/oj</w:t>
        </w:r>
      </w:hyperlink>
      <w:r w:rsidRPr="001C04EE">
        <w:rPr>
          <w:lang w:val="it-IT"/>
        </w:rPr>
        <w:t>).</w:t>
      </w:r>
    </w:p>
  </w:footnote>
  <w:footnote w:id="13">
    <w:p w14:paraId="599052AD" w14:textId="77777777" w:rsidR="00286E0D" w:rsidRPr="001C04EE" w:rsidRDefault="00286E0D" w:rsidP="00286E0D">
      <w:pPr>
        <w:pStyle w:val="FootnoteText"/>
      </w:pPr>
      <w:r>
        <w:rPr>
          <w:rStyle w:val="FootnoteReference"/>
        </w:rPr>
        <w:footnoteRef/>
      </w:r>
      <w:r w:rsidRPr="001C04EE">
        <w:tab/>
        <w:t xml:space="preserve">Πράξη περί των όρων προσχωρήσεως της Τσεχικής Δημοκρατίας, της Δημοκρατίας της Εσθονίας, της Κυπριακής Δημοκρατίας, της Δημοκρατίας της Λετονίας, της Δημοκρατίας της Λιθουανίας, της Δημοκρατίας της Ουγγαρίας, της Δημοκρατίας της Μάλτας, της Δημοκρατίας της Πολωνίας, της Δημοκρατίας της Σλοβενίας και της Σλοβακικής Δημοκρατίας και των προσαρμογών των Συνθηκών επί των οποίων βασίζεται η Ευρωπαϊκή Ένωση (ΕΕ </w:t>
      </w:r>
      <w:r>
        <w:t>L</w:t>
      </w:r>
      <w:r w:rsidRPr="001C04EE">
        <w:t xml:space="preserve"> 236 της 23.9.2003, σ. 955, </w:t>
      </w:r>
      <w:r>
        <w:t>ELI</w:t>
      </w:r>
      <w:r w:rsidRPr="001C04EE">
        <w:t xml:space="preserve">: </w:t>
      </w:r>
      <w:r>
        <w:t>http</w:t>
      </w:r>
      <w:r w:rsidRPr="001C04EE">
        <w:t>://</w:t>
      </w:r>
      <w:r>
        <w:t>data</w:t>
      </w:r>
      <w:r w:rsidRPr="001C04EE">
        <w:t>.</w:t>
      </w:r>
      <w:r>
        <w:t>europa</w:t>
      </w:r>
      <w:r w:rsidRPr="001C04EE">
        <w:t>.</w:t>
      </w:r>
      <w:r>
        <w:t>eu</w:t>
      </w:r>
      <w:r w:rsidRPr="001C04EE">
        <w:t>/</w:t>
      </w:r>
      <w:r>
        <w:t>eli</w:t>
      </w:r>
      <w:r w:rsidRPr="001C04EE">
        <w:t>/</w:t>
      </w:r>
      <w:r>
        <w:t>treaty</w:t>
      </w:r>
      <w:r w:rsidRPr="001C04EE">
        <w:t>/</w:t>
      </w:r>
      <w:r>
        <w:t>acc</w:t>
      </w:r>
      <w:r w:rsidRPr="001C04EE">
        <w:t>_2003/</w:t>
      </w:r>
      <w:r>
        <w:t>act</w:t>
      </w:r>
      <w:r w:rsidRPr="001C04EE">
        <w:t>_1/</w:t>
      </w:r>
      <w:r>
        <w:t>pro</w:t>
      </w:r>
      <w:r w:rsidRPr="001C04EE">
        <w:t>_10/</w:t>
      </w:r>
      <w:r>
        <w:t>sign</w:t>
      </w:r>
      <w:r w:rsidRPr="001C04EE">
        <w:t>).</w:t>
      </w:r>
    </w:p>
  </w:footnote>
  <w:footnote w:id="14">
    <w:p w14:paraId="10C09AF4" w14:textId="77777777" w:rsidR="00286E0D" w:rsidRPr="001C04EE" w:rsidRDefault="00286E0D" w:rsidP="00286E0D">
      <w:pPr>
        <w:pStyle w:val="FootnoteText"/>
      </w:pPr>
      <w:r>
        <w:rPr>
          <w:rStyle w:val="FootnoteReference"/>
        </w:rPr>
        <w:footnoteRef/>
      </w:r>
      <w:r w:rsidRPr="001C04EE">
        <w:tab/>
        <w:t>Κανονισμός (ΕΚ) αριθ. 693/2003 του Συμβουλίου, της 14ης Απριλίου 2003, για την καθιέρωση ειδικού εγγράφου διευκόλυνσης της διέλευσης (</w:t>
      </w:r>
      <w:r>
        <w:t>FTD</w:t>
      </w:r>
      <w:r w:rsidRPr="001C04EE">
        <w:t>) και εγγράφου διευκόλυνσης της σιδηροδρομικής διέλευσης (</w:t>
      </w:r>
      <w:r>
        <w:t>FRTD</w:t>
      </w:r>
      <w:r w:rsidRPr="001C04EE">
        <w:t xml:space="preserve">) και για την τροποποίηση της κοινής προξενικής εγκυκλίου και του κοινού εγχειριδίου (ΕΕ </w:t>
      </w:r>
      <w:r>
        <w:t>L</w:t>
      </w:r>
      <w:r w:rsidRPr="001C04EE">
        <w:t xml:space="preserve"> 99 της 17.4.2003, σ. 8, </w:t>
      </w:r>
      <w:r>
        <w:t>ELI</w:t>
      </w:r>
      <w:r w:rsidRPr="001C04EE">
        <w:t xml:space="preserve">: </w:t>
      </w:r>
      <w:hyperlink r:id="rId7" w:history="1">
        <w:r>
          <w:rPr>
            <w:rStyle w:val="Hyperlink"/>
          </w:rPr>
          <w:t>http</w:t>
        </w:r>
        <w:r w:rsidRPr="001C04EE">
          <w:rPr>
            <w:rStyle w:val="Hyperlink"/>
          </w:rPr>
          <w:t>://</w:t>
        </w:r>
        <w:r>
          <w:rPr>
            <w:rStyle w:val="Hyperlink"/>
          </w:rPr>
          <w:t>data</w:t>
        </w:r>
        <w:r w:rsidRPr="001C04EE">
          <w:rPr>
            <w:rStyle w:val="Hyperlink"/>
          </w:rPr>
          <w:t>.</w:t>
        </w:r>
        <w:r>
          <w:rPr>
            <w:rStyle w:val="Hyperlink"/>
          </w:rPr>
          <w:t>europa</w:t>
        </w:r>
        <w:r w:rsidRPr="001C04EE">
          <w:rPr>
            <w:rStyle w:val="Hyperlink"/>
          </w:rPr>
          <w:t>.</w:t>
        </w:r>
        <w:r>
          <w:rPr>
            <w:rStyle w:val="Hyperlink"/>
          </w:rPr>
          <w:t>eu</w:t>
        </w:r>
        <w:r w:rsidRPr="001C04EE">
          <w:rPr>
            <w:rStyle w:val="Hyperlink"/>
          </w:rPr>
          <w:t>/</w:t>
        </w:r>
        <w:r>
          <w:rPr>
            <w:rStyle w:val="Hyperlink"/>
          </w:rPr>
          <w:t>eli</w:t>
        </w:r>
        <w:r w:rsidRPr="001C04EE">
          <w:rPr>
            <w:rStyle w:val="Hyperlink"/>
          </w:rPr>
          <w:t>/</w:t>
        </w:r>
        <w:r>
          <w:rPr>
            <w:rStyle w:val="Hyperlink"/>
          </w:rPr>
          <w:t>reg</w:t>
        </w:r>
        <w:r w:rsidRPr="001C04EE">
          <w:rPr>
            <w:rStyle w:val="Hyperlink"/>
          </w:rPr>
          <w:t>/2003/693/</w:t>
        </w:r>
        <w:r>
          <w:rPr>
            <w:rStyle w:val="Hyperlink"/>
          </w:rPr>
          <w:t>oj</w:t>
        </w:r>
      </w:hyperlink>
      <w:r w:rsidRPr="001C04EE">
        <w:t>).</w:t>
      </w:r>
    </w:p>
  </w:footnote>
  <w:footnote w:id="15">
    <w:p w14:paraId="48054FE4" w14:textId="77777777" w:rsidR="00286E0D" w:rsidRPr="001C04EE" w:rsidRDefault="00286E0D" w:rsidP="00286E0D">
      <w:pPr>
        <w:pStyle w:val="FootnoteText"/>
      </w:pPr>
      <w:r>
        <w:rPr>
          <w:rStyle w:val="FootnoteReference"/>
        </w:rPr>
        <w:footnoteRef/>
      </w:r>
      <w:r w:rsidRPr="001C04EE">
        <w:tab/>
        <w:t xml:space="preserve">ΕΕ </w:t>
      </w:r>
      <w:r>
        <w:t>L</w:t>
      </w:r>
      <w:r w:rsidRPr="001C04EE">
        <w:t xml:space="preserve"> 176 της 10.7.1999, σ. 36.</w:t>
      </w:r>
    </w:p>
  </w:footnote>
  <w:footnote w:id="16">
    <w:p w14:paraId="0ED6C216" w14:textId="77777777" w:rsidR="00286E0D" w:rsidRPr="001C04EE" w:rsidRDefault="00286E0D" w:rsidP="00286E0D">
      <w:pPr>
        <w:pStyle w:val="FootnoteText"/>
      </w:pPr>
      <w:r>
        <w:rPr>
          <w:rStyle w:val="FootnoteReference"/>
        </w:rPr>
        <w:footnoteRef/>
      </w:r>
      <w:r w:rsidRPr="001C04EE">
        <w:tab/>
        <w:t xml:space="preserve">Απόφαση 1999/437/ΕΚ του Συμβουλίου, της 17ης Μαΐου 1999, σχετικά με ορισμένες λεπτομέρειες εφαρμογής της συμφωνίας που έχει συναφθεί από το Συμβούλιο της Ευρωπαϊκής Ένωσης, τη Δημοκρατία της Ισλανδίας και το Βασίλειο της Νορβηγίας για τη σύνδεση των δύο αυτών κρατών, με την υλοποίηση, την εφαρμογή και την ανάπτυξη του κεκτημένου του Σένγκεν (ΕΕ </w:t>
      </w:r>
      <w:r>
        <w:t>L</w:t>
      </w:r>
      <w:r w:rsidRPr="001C04EE">
        <w:t xml:space="preserve"> 176 της 10.7.1999, σ. 31, </w:t>
      </w:r>
      <w:r>
        <w:t>ELI</w:t>
      </w:r>
      <w:r w:rsidRPr="001C04EE">
        <w:t xml:space="preserve">: </w:t>
      </w:r>
      <w:hyperlink r:id="rId8" w:history="1">
        <w:r>
          <w:rPr>
            <w:rStyle w:val="Hyperlink"/>
          </w:rPr>
          <w:t>http</w:t>
        </w:r>
        <w:r w:rsidRPr="001C04EE">
          <w:rPr>
            <w:rStyle w:val="Hyperlink"/>
          </w:rPr>
          <w:t>://</w:t>
        </w:r>
        <w:r>
          <w:rPr>
            <w:rStyle w:val="Hyperlink"/>
          </w:rPr>
          <w:t>data</w:t>
        </w:r>
        <w:r w:rsidRPr="001C04EE">
          <w:rPr>
            <w:rStyle w:val="Hyperlink"/>
          </w:rPr>
          <w:t>.</w:t>
        </w:r>
        <w:r>
          <w:rPr>
            <w:rStyle w:val="Hyperlink"/>
          </w:rPr>
          <w:t>europa</w:t>
        </w:r>
        <w:r w:rsidRPr="001C04EE">
          <w:rPr>
            <w:rStyle w:val="Hyperlink"/>
          </w:rPr>
          <w:t>.</w:t>
        </w:r>
        <w:r>
          <w:rPr>
            <w:rStyle w:val="Hyperlink"/>
          </w:rPr>
          <w:t>eu</w:t>
        </w:r>
        <w:r w:rsidRPr="001C04EE">
          <w:rPr>
            <w:rStyle w:val="Hyperlink"/>
          </w:rPr>
          <w:t>/</w:t>
        </w:r>
        <w:r>
          <w:rPr>
            <w:rStyle w:val="Hyperlink"/>
          </w:rPr>
          <w:t>eli</w:t>
        </w:r>
        <w:r w:rsidRPr="001C04EE">
          <w:rPr>
            <w:rStyle w:val="Hyperlink"/>
          </w:rPr>
          <w:t>/</w:t>
        </w:r>
        <w:r>
          <w:rPr>
            <w:rStyle w:val="Hyperlink"/>
          </w:rPr>
          <w:t>dec</w:t>
        </w:r>
        <w:r w:rsidRPr="001C04EE">
          <w:rPr>
            <w:rStyle w:val="Hyperlink"/>
          </w:rPr>
          <w:t>/1999/437/</w:t>
        </w:r>
        <w:r>
          <w:rPr>
            <w:rStyle w:val="Hyperlink"/>
          </w:rPr>
          <w:t>oj</w:t>
        </w:r>
      </w:hyperlink>
      <w:r w:rsidRPr="001C04EE">
        <w:t>).</w:t>
      </w:r>
    </w:p>
  </w:footnote>
  <w:footnote w:id="17">
    <w:p w14:paraId="5FE07AD1" w14:textId="77777777" w:rsidR="00286E0D" w:rsidRPr="001C04EE" w:rsidRDefault="00286E0D" w:rsidP="00286E0D">
      <w:pPr>
        <w:pStyle w:val="FootnoteText"/>
      </w:pPr>
      <w:r>
        <w:rPr>
          <w:rStyle w:val="FootnoteReference"/>
        </w:rPr>
        <w:footnoteRef/>
      </w:r>
      <w:r w:rsidRPr="001C04EE">
        <w:tab/>
        <w:t xml:space="preserve">ΕΕ </w:t>
      </w:r>
      <w:r>
        <w:t>L</w:t>
      </w:r>
      <w:r w:rsidRPr="001C04EE">
        <w:t xml:space="preserve"> 53 της 27.2.2008, σ. 52.</w:t>
      </w:r>
    </w:p>
  </w:footnote>
  <w:footnote w:id="18">
    <w:p w14:paraId="41D47FF0" w14:textId="77777777" w:rsidR="00286E0D" w:rsidRPr="001C04EE" w:rsidRDefault="00286E0D" w:rsidP="00286E0D">
      <w:pPr>
        <w:pStyle w:val="FootnoteText"/>
      </w:pPr>
      <w:r>
        <w:rPr>
          <w:rStyle w:val="FootnoteReference"/>
        </w:rPr>
        <w:footnoteRef/>
      </w:r>
      <w:r w:rsidRPr="001C04EE">
        <w:tab/>
        <w:t xml:space="preserve">Απόφαση 2008/146/ΕΚ του Συμβουλίου, της 28ης Ιανουαρίου 2008, για τη σύναψη εξ ονόματος της Ευρωπαϊκής Κοινότητας της συμφωνίας μεταξύ της Ευρωπαϊκής Ένωσης, της Ευρωπαϊκής Κοινότητας και της Ελβετικής Συνομοσπονδίας σχετικά με τη σύνδεση της Ελβετικής Συνομοσπονδίας προς την υλοποίηση, την εφαρμογή και την ανάπτυξη του κεκτημένου του Σένγκεν (ΕΕ </w:t>
      </w:r>
      <w:r>
        <w:t>L</w:t>
      </w:r>
      <w:r w:rsidRPr="001C04EE">
        <w:t xml:space="preserve"> 53 της 27.2.2008, σ. 1, </w:t>
      </w:r>
      <w:r>
        <w:t>ELI</w:t>
      </w:r>
      <w:r w:rsidRPr="001C04EE">
        <w:t xml:space="preserve">: </w:t>
      </w:r>
      <w:hyperlink r:id="rId9" w:history="1">
        <w:r>
          <w:rPr>
            <w:rStyle w:val="Hyperlink"/>
          </w:rPr>
          <w:t>http</w:t>
        </w:r>
        <w:r w:rsidRPr="001C04EE">
          <w:rPr>
            <w:rStyle w:val="Hyperlink"/>
          </w:rPr>
          <w:t>://</w:t>
        </w:r>
        <w:r>
          <w:rPr>
            <w:rStyle w:val="Hyperlink"/>
          </w:rPr>
          <w:t>data</w:t>
        </w:r>
        <w:r w:rsidRPr="001C04EE">
          <w:rPr>
            <w:rStyle w:val="Hyperlink"/>
          </w:rPr>
          <w:t>.</w:t>
        </w:r>
        <w:r>
          <w:rPr>
            <w:rStyle w:val="Hyperlink"/>
          </w:rPr>
          <w:t>europa</w:t>
        </w:r>
        <w:r w:rsidRPr="001C04EE">
          <w:rPr>
            <w:rStyle w:val="Hyperlink"/>
          </w:rPr>
          <w:t>.</w:t>
        </w:r>
        <w:r>
          <w:rPr>
            <w:rStyle w:val="Hyperlink"/>
          </w:rPr>
          <w:t>eu</w:t>
        </w:r>
        <w:r w:rsidRPr="001C04EE">
          <w:rPr>
            <w:rStyle w:val="Hyperlink"/>
          </w:rPr>
          <w:t>/</w:t>
        </w:r>
        <w:r>
          <w:rPr>
            <w:rStyle w:val="Hyperlink"/>
          </w:rPr>
          <w:t>eli</w:t>
        </w:r>
        <w:r w:rsidRPr="001C04EE">
          <w:rPr>
            <w:rStyle w:val="Hyperlink"/>
          </w:rPr>
          <w:t>/</w:t>
        </w:r>
        <w:r>
          <w:rPr>
            <w:rStyle w:val="Hyperlink"/>
          </w:rPr>
          <w:t>dec</w:t>
        </w:r>
        <w:r w:rsidRPr="001C04EE">
          <w:rPr>
            <w:rStyle w:val="Hyperlink"/>
          </w:rPr>
          <w:t>/2008/146/</w:t>
        </w:r>
        <w:r>
          <w:rPr>
            <w:rStyle w:val="Hyperlink"/>
          </w:rPr>
          <w:t>oj</w:t>
        </w:r>
      </w:hyperlink>
      <w:r w:rsidRPr="001C04EE">
        <w:t>).</w:t>
      </w:r>
    </w:p>
  </w:footnote>
  <w:footnote w:id="19">
    <w:p w14:paraId="103CF621" w14:textId="77777777" w:rsidR="00286E0D" w:rsidRPr="001C04EE" w:rsidRDefault="00286E0D" w:rsidP="00286E0D">
      <w:pPr>
        <w:pStyle w:val="FootnoteText"/>
      </w:pPr>
      <w:r>
        <w:rPr>
          <w:rStyle w:val="FootnoteReference"/>
        </w:rPr>
        <w:footnoteRef/>
      </w:r>
      <w:r w:rsidRPr="001C04EE">
        <w:tab/>
        <w:t xml:space="preserve">ΕΕ </w:t>
      </w:r>
      <w:r>
        <w:t>L</w:t>
      </w:r>
      <w:r w:rsidRPr="001C04EE">
        <w:t xml:space="preserve"> 160 της 18.6.2011, σ. 21, </w:t>
      </w:r>
      <w:r>
        <w:t>ELI</w:t>
      </w:r>
      <w:r w:rsidRPr="001C04EE">
        <w:t xml:space="preserve">: </w:t>
      </w:r>
      <w:r>
        <w:t>http</w:t>
      </w:r>
      <w:r w:rsidRPr="001C04EE">
        <w:t>://</w:t>
      </w:r>
      <w:r>
        <w:t>data</w:t>
      </w:r>
      <w:r w:rsidRPr="001C04EE">
        <w:t>.</w:t>
      </w:r>
      <w:r>
        <w:t>europa</w:t>
      </w:r>
      <w:r w:rsidRPr="001C04EE">
        <w:t>.</w:t>
      </w:r>
      <w:r>
        <w:t>eu</w:t>
      </w:r>
      <w:r w:rsidRPr="001C04EE">
        <w:t>/</w:t>
      </w:r>
      <w:r>
        <w:t>eli</w:t>
      </w:r>
      <w:r w:rsidRPr="001C04EE">
        <w:t>/</w:t>
      </w:r>
      <w:r>
        <w:t>prot</w:t>
      </w:r>
      <w:r w:rsidRPr="001C04EE">
        <w:t>/2011/350/</w:t>
      </w:r>
      <w:r>
        <w:t>oj</w:t>
      </w:r>
      <w:r w:rsidRPr="001C04EE">
        <w:t>.</w:t>
      </w:r>
    </w:p>
  </w:footnote>
  <w:footnote w:id="20">
    <w:p w14:paraId="0DBAFE99" w14:textId="77777777" w:rsidR="00286E0D" w:rsidRPr="001C04EE" w:rsidRDefault="00286E0D" w:rsidP="00286E0D">
      <w:pPr>
        <w:pStyle w:val="FootnoteText"/>
      </w:pPr>
      <w:r>
        <w:rPr>
          <w:rStyle w:val="FootnoteReference"/>
        </w:rPr>
        <w:footnoteRef/>
      </w:r>
      <w:r w:rsidRPr="001C04EE">
        <w:tab/>
        <w:t xml:space="preserve">Απόφαση 2011/350/ΕΕ του Συμβουλίου, της 7ης Μαρτίου 2011, για τη σύναψη, εξ ονόματος της Ευρωπαϊκής Ένωσης, του πρωτοκόλλου μεταξύ της Ευρωπαϊκής Ένωσης, της Ευρωπαϊκής Κοινότητας, της Ελβετικής Συνομοσπονδίας και του Πριγκιπάτου του Λιχτενστάιν για την προσχώρηση του Πριγκιπάτου του Λιχτενστάιν στη συμφωνία μεταξύ της Ευρωπαϊκής Ένωσης, της Ευρωπαϊκής Κοινότητας και της Ελβετικής Συνομοσπονδίας σχετικά με τη σύνδεση της Ελβετικής Συνομοσπονδίας προς τη θέση σε ισχύ, την εφαρμογή και την ανάπτυξη του κεκτημένου του Σένγκεν, όσον αφορά την κατάργηση των ελέγχων στα εσωτερικά σύνορα και την κυκλοφορία των προσώπων (ΕΕ </w:t>
      </w:r>
      <w:r>
        <w:t>L</w:t>
      </w:r>
      <w:r w:rsidRPr="001C04EE">
        <w:t xml:space="preserve"> 160 της 18.6.2011, σ. 19, </w:t>
      </w:r>
      <w:r>
        <w:t>ELI</w:t>
      </w:r>
      <w:r w:rsidRPr="001C04EE">
        <w:t xml:space="preserve">: </w:t>
      </w:r>
      <w:hyperlink r:id="rId10" w:history="1">
        <w:r>
          <w:rPr>
            <w:rStyle w:val="Hyperlink"/>
          </w:rPr>
          <w:t>http</w:t>
        </w:r>
        <w:r w:rsidRPr="001C04EE">
          <w:rPr>
            <w:rStyle w:val="Hyperlink"/>
          </w:rPr>
          <w:t>://</w:t>
        </w:r>
        <w:r>
          <w:rPr>
            <w:rStyle w:val="Hyperlink"/>
          </w:rPr>
          <w:t>data</w:t>
        </w:r>
        <w:r w:rsidRPr="001C04EE">
          <w:rPr>
            <w:rStyle w:val="Hyperlink"/>
          </w:rPr>
          <w:t>.</w:t>
        </w:r>
        <w:r>
          <w:rPr>
            <w:rStyle w:val="Hyperlink"/>
          </w:rPr>
          <w:t>europa</w:t>
        </w:r>
        <w:r w:rsidRPr="001C04EE">
          <w:rPr>
            <w:rStyle w:val="Hyperlink"/>
          </w:rPr>
          <w:t>.</w:t>
        </w:r>
        <w:r>
          <w:rPr>
            <w:rStyle w:val="Hyperlink"/>
          </w:rPr>
          <w:t>eu</w:t>
        </w:r>
        <w:r w:rsidRPr="001C04EE">
          <w:rPr>
            <w:rStyle w:val="Hyperlink"/>
          </w:rPr>
          <w:t>/</w:t>
        </w:r>
        <w:r>
          <w:rPr>
            <w:rStyle w:val="Hyperlink"/>
          </w:rPr>
          <w:t>eli</w:t>
        </w:r>
        <w:r w:rsidRPr="001C04EE">
          <w:rPr>
            <w:rStyle w:val="Hyperlink"/>
          </w:rPr>
          <w:t>/</w:t>
        </w:r>
        <w:r>
          <w:rPr>
            <w:rStyle w:val="Hyperlink"/>
          </w:rPr>
          <w:t>dec</w:t>
        </w:r>
        <w:r w:rsidRPr="001C04EE">
          <w:rPr>
            <w:rStyle w:val="Hyperlink"/>
          </w:rPr>
          <w:t>/2011/350/</w:t>
        </w:r>
        <w:r>
          <w:rPr>
            <w:rStyle w:val="Hyperlink"/>
          </w:rPr>
          <w:t>oj</w:t>
        </w:r>
      </w:hyperlink>
      <w:r w:rsidRPr="001C04EE">
        <w:t>).</w:t>
      </w:r>
    </w:p>
  </w:footnote>
  <w:footnote w:id="21">
    <w:p w14:paraId="59C5E64F" w14:textId="77777777" w:rsidR="00286E0D" w:rsidRPr="001C04EE" w:rsidRDefault="00286E0D" w:rsidP="00286E0D">
      <w:pPr>
        <w:pStyle w:val="FootnoteText"/>
      </w:pPr>
      <w:r>
        <w:rPr>
          <w:rStyle w:val="FootnoteReference"/>
        </w:rPr>
        <w:footnoteRef/>
      </w:r>
      <w:r w:rsidRPr="001C04EE">
        <w:tab/>
        <w:t xml:space="preserve">Απόφαση 2002/192/ΕΚ του Συμβουλίου, της 28ης Φεβρουαρίου 2002, σχετικά με το αίτημα της Ιρλανδίας να συμμετέχει σε ορισμένες από τις διατάξεις του κεκτημένου του Σένγκεν (ΕΕ </w:t>
      </w:r>
      <w:r>
        <w:t>L</w:t>
      </w:r>
      <w:r w:rsidRPr="001C04EE">
        <w:t xml:space="preserve"> 64 της 7.3.2002, σ. 20, </w:t>
      </w:r>
      <w:r>
        <w:t>ELI</w:t>
      </w:r>
      <w:r w:rsidRPr="001C04EE">
        <w:t xml:space="preserve">: </w:t>
      </w:r>
      <w:r>
        <w:t>http</w:t>
      </w:r>
      <w:r w:rsidRPr="001C04EE">
        <w:t>://</w:t>
      </w:r>
      <w:r>
        <w:t>data</w:t>
      </w:r>
      <w:r w:rsidRPr="001C04EE">
        <w:t>.</w:t>
      </w:r>
      <w:r>
        <w:t>europa</w:t>
      </w:r>
      <w:r w:rsidRPr="001C04EE">
        <w:t>.</w:t>
      </w:r>
      <w:r>
        <w:t>eu</w:t>
      </w:r>
      <w:r w:rsidRPr="001C04EE">
        <w:t>/</w:t>
      </w:r>
      <w:r>
        <w:t>eli</w:t>
      </w:r>
      <w:r w:rsidRPr="001C04EE">
        <w:t>/</w:t>
      </w:r>
      <w:r>
        <w:t>dec</w:t>
      </w:r>
      <w:r w:rsidRPr="001C04EE">
        <w:t>/2002/192/</w:t>
      </w:r>
      <w:r>
        <w:t>oj</w:t>
      </w:r>
      <w:r w:rsidRPr="001C04EE">
        <w:t>).</w:t>
      </w:r>
    </w:p>
  </w:footnote>
  <w:footnote w:id="22">
    <w:p w14:paraId="18213D6B" w14:textId="77777777" w:rsidR="00286E0D" w:rsidRPr="001C04EE" w:rsidRDefault="00286E0D" w:rsidP="00286E0D">
      <w:pPr>
        <w:pStyle w:val="FootnoteText"/>
      </w:pPr>
      <w:r>
        <w:rPr>
          <w:rStyle w:val="FootnoteReference"/>
        </w:rPr>
        <w:footnoteRef/>
      </w:r>
      <w:r w:rsidRPr="001C04EE">
        <w:tab/>
        <w:t xml:space="preserve">Κανονισμός (ΕΕ) 2016/399 του Ευρωπαϊκού Κοινοβουλίου και του Συμβουλίου, της 9ης Μαρτίου 2016, περί κώδικα της Ένωσης σχετικά με το καθεστώς διέλευσης προσώπων από τα σύνορα (κώδικας συνόρων του Σένγκεν) (κωδικοποιημένο κείμενο) (ΕΕ </w:t>
      </w:r>
      <w:r>
        <w:t>L</w:t>
      </w:r>
      <w:r w:rsidRPr="001C04EE">
        <w:t xml:space="preserve"> 77 της 23.3.2016, σ. 1, </w:t>
      </w:r>
      <w:r>
        <w:t>ELI</w:t>
      </w:r>
      <w:r w:rsidRPr="001C04EE">
        <w:t xml:space="preserve">: </w:t>
      </w:r>
      <w:r>
        <w:t>http</w:t>
      </w:r>
      <w:r w:rsidRPr="001C04EE">
        <w:t>://</w:t>
      </w:r>
      <w:r>
        <w:t>data</w:t>
      </w:r>
      <w:r w:rsidRPr="001C04EE">
        <w:t>.</w:t>
      </w:r>
      <w:r>
        <w:t>europa</w:t>
      </w:r>
      <w:r w:rsidRPr="001C04EE">
        <w:t>.</w:t>
      </w:r>
      <w:r>
        <w:t>eu</w:t>
      </w:r>
      <w:r w:rsidRPr="001C04EE">
        <w:t>/</w:t>
      </w:r>
      <w:r>
        <w:t>eli</w:t>
      </w:r>
      <w:r w:rsidRPr="001C04EE">
        <w:t>/</w:t>
      </w:r>
      <w:r>
        <w:t>reg</w:t>
      </w:r>
      <w:r w:rsidRPr="001C04EE">
        <w:t>/2016/399/</w:t>
      </w:r>
      <w:r>
        <w:t>oj</w:t>
      </w:r>
      <w:r w:rsidRPr="001C04EE">
        <w:t>).</w:t>
      </w:r>
    </w:p>
  </w:footnote>
  <w:footnote w:id="23">
    <w:p w14:paraId="4E3DE7BE" w14:textId="77777777" w:rsidR="00286E0D" w:rsidRPr="001C04EE" w:rsidRDefault="00286E0D" w:rsidP="00286E0D">
      <w:pPr>
        <w:pStyle w:val="FootnoteText"/>
      </w:pPr>
      <w:r>
        <w:rPr>
          <w:rStyle w:val="FootnoteReference"/>
        </w:rPr>
        <w:footnoteRef/>
      </w:r>
      <w:r w:rsidRPr="001C04EE">
        <w:tab/>
        <w:t xml:space="preserve">Κανονισμός (ΕΕ) 2019/1896 του Ευρωπαϊκού Κοινοβουλίου και του Συμβουλίου, της 13ης Νοεμβρίου 2019, για την Ευρωπαϊκή Συνοριοφυλακή και Ακτοφυλακή και για την κατάργηση των κανονισμών (ΕΕ) αριθ. 1052/2013 και (ΕΕ) 2016/1624 (ΕΕ </w:t>
      </w:r>
      <w:r>
        <w:t>L</w:t>
      </w:r>
      <w:r w:rsidRPr="001C04EE">
        <w:t xml:space="preserve"> 295 της 14.11.2019, σ. 1).</w:t>
      </w:r>
    </w:p>
  </w:footnote>
  <w:footnote w:id="24">
    <w:p w14:paraId="37F054DE" w14:textId="77777777" w:rsidR="00286E0D" w:rsidRPr="001C04EE" w:rsidRDefault="00286E0D" w:rsidP="00286E0D">
      <w:pPr>
        <w:pStyle w:val="FootnoteText"/>
      </w:pPr>
      <w:r>
        <w:rPr>
          <w:rStyle w:val="FootnoteReference"/>
        </w:rPr>
        <w:footnoteRef/>
      </w:r>
      <w:r w:rsidRPr="001C04EE">
        <w:tab/>
        <w:t xml:space="preserve">Κανονισμός (ΕΕ) 2016/399 του Ευρωπαϊκού Κοινοβουλίου και του Συμβουλίου, της 9ης Μαρτίου 2016, περί κώδικα της Ένωσης σχετικά με το καθεστώς διέλευσης προσώπων από τα σύνορα (κώδικας συνόρων του Σένγκεν) (κωδικοποιημένο κείμενο) (ΕΕ </w:t>
      </w:r>
      <w:r>
        <w:t>L</w:t>
      </w:r>
      <w:r w:rsidRPr="001C04EE">
        <w:t xml:space="preserve"> 77 της 23.3.2016, σ. 1).</w:t>
      </w:r>
    </w:p>
  </w:footnote>
  <w:footnote w:id="25">
    <w:p w14:paraId="19F49142" w14:textId="77777777" w:rsidR="00286E0D" w:rsidRPr="001C04EE" w:rsidRDefault="00286E0D" w:rsidP="00286E0D">
      <w:pPr>
        <w:pStyle w:val="FootnoteText"/>
      </w:pPr>
      <w:r>
        <w:rPr>
          <w:rStyle w:val="FootnoteReference"/>
        </w:rPr>
        <w:footnoteRef/>
      </w:r>
      <w:r w:rsidRPr="001C04EE">
        <w:tab/>
        <w:t xml:space="preserve">Κανονισμός (ΕΕ) 2019/1896 του Ευρωπαϊκού Κοινοβουλίου και του Συμβουλίου, της 13ης Νοεμβρίου 2019, για την Ευρωπαϊκή Συνοριοφυλακή και Ακτοφυλακή και για την κατάργηση των κανονισμών (ΕΕ) αριθ. 1052/2013 και (ΕΕ) 2016/1624 (ΕΕ </w:t>
      </w:r>
      <w:r>
        <w:t>L</w:t>
      </w:r>
      <w:r w:rsidRPr="001C04EE">
        <w:t xml:space="preserve"> 295 της 14.11.2019, σ. 1).</w:t>
      </w:r>
    </w:p>
  </w:footnote>
  <w:footnote w:id="26">
    <w:p w14:paraId="567544D3" w14:textId="77777777" w:rsidR="00286E0D" w:rsidRPr="001C04EE" w:rsidRDefault="00286E0D" w:rsidP="00D274F9">
      <w:pPr>
        <w:pStyle w:val="FootnoteText"/>
      </w:pPr>
      <w:r>
        <w:rPr>
          <w:rStyle w:val="FootnoteReference"/>
        </w:rPr>
        <w:footnoteRef/>
      </w:r>
      <w:r w:rsidRPr="001C04EE">
        <w:tab/>
        <w:t xml:space="preserve">Κανονισμός (ΕΚ) αριθ. 810/2009 του Ευρωπαϊκού Κοινοβουλίου και του Συμβουλίου, της 13ης Ιουλίου 2009, για τη θέσπιση κοινοτικού κώδικα θεωρήσεων (κώδικας θεωρήσεων) (ΕΕ </w:t>
      </w:r>
      <w:r>
        <w:t>L</w:t>
      </w:r>
      <w:r w:rsidRPr="001C04EE">
        <w:t xml:space="preserve"> 243 της 15.9.2009, σ. 1, </w:t>
      </w:r>
      <w:r>
        <w:t>ELI</w:t>
      </w:r>
      <w:r w:rsidRPr="001C04EE">
        <w:t xml:space="preserve">: </w:t>
      </w:r>
      <w:r>
        <w:t>http</w:t>
      </w:r>
      <w:r w:rsidRPr="001C04EE">
        <w:t>://</w:t>
      </w:r>
      <w:r>
        <w:t>data</w:t>
      </w:r>
      <w:r w:rsidRPr="001C04EE">
        <w:t>.</w:t>
      </w:r>
      <w:r>
        <w:t>europa</w:t>
      </w:r>
      <w:r w:rsidRPr="001C04EE">
        <w:t>.</w:t>
      </w:r>
      <w:r>
        <w:t>eu</w:t>
      </w:r>
      <w:r w:rsidRPr="001C04EE">
        <w:t>/</w:t>
      </w:r>
      <w:r>
        <w:t>eli</w:t>
      </w:r>
      <w:r w:rsidRPr="001C04EE">
        <w:t>/</w:t>
      </w:r>
      <w:r>
        <w:t>reg</w:t>
      </w:r>
      <w:r w:rsidRPr="001C04EE">
        <w:t>/2009/810/</w:t>
      </w:r>
      <w:r>
        <w:t>oj</w:t>
      </w:r>
      <w:r w:rsidRPr="001C04E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1140C" w14:textId="77777777" w:rsidR="00D15DC8" w:rsidRDefault="00D15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3C10B" w14:textId="77777777" w:rsidR="00D15DC8" w:rsidRDefault="00D15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9A541C98"/>
    <w:lvl w:ilvl="0">
      <w:start w:val="1"/>
      <mc:AlternateContent>
        <mc:Choice Requires="w14">
          <w:numFmt w:val="custom" w:format="α, β, γ, ..."/>
        </mc:Choice>
        <mc:Fallback>
          <w:numFmt w:val="decimal"/>
        </mc:Fallback>
      </mc:AlternateContent>
      <w:lvlText w:val="%1)"/>
      <w:lvlJc w:val="left"/>
      <w:pPr>
        <w:tabs>
          <w:tab w:val="num" w:pos="709"/>
        </w:tabs>
        <w:ind w:left="709" w:hanging="709"/>
      </w:pPr>
      <w:rPr>
        <w:rFonts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 w:numId="33">
    <w:abstractNumId w:val="24"/>
  </w:num>
  <w:num w:numId="34">
    <w:abstractNumId w:val="13"/>
  </w:num>
  <w:num w:numId="35">
    <w:abstractNumId w:val="27"/>
  </w:num>
  <w:num w:numId="36">
    <w:abstractNumId w:val="7"/>
  </w:num>
  <w:num w:numId="37">
    <w:abstractNumId w:val="14"/>
  </w:num>
  <w:num w:numId="38">
    <w:abstractNumId w:val="15"/>
  </w:num>
  <w:num w:numId="39">
    <w:abstractNumId w:val="4"/>
  </w:num>
  <w:num w:numId="40">
    <w:abstractNumId w:val="26"/>
  </w:num>
  <w:num w:numId="41">
    <w:abstractNumId w:val="3"/>
  </w:num>
  <w:num w:numId="42">
    <w:abstractNumId w:val="16"/>
  </w:num>
  <w:num w:numId="43">
    <w:abstractNumId w:val="22"/>
  </w:num>
  <w:num w:numId="44">
    <w:abstractNumId w:val="23"/>
  </w:num>
  <w:num w:numId="45">
    <w:abstractNumId w:val="5"/>
  </w:num>
  <w:num w:numId="46">
    <w:abstractNumId w:val="20"/>
  </w:num>
  <w:num w:numId="4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4:5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F3D3B2D-B7DF-4803-8EE5-F954565EB3CA"/>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u914?\u961?\u965?\u958?\u941?\u955?\u955?\u949?\u962?,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28?\u961?\u972?\u964?\u945?\u963?\u951?"/>
    <w:docVar w:name="LW_SUPERTITRE" w:val="&lt;UNUSED&gt;"/>
    <w:docVar w:name="LW_TITRE.OBJ.CP" w:val="\u963?\u967?\u949?\u964?\u953?\u954?\u940? \u956?\u949? \u964?\u951? \u952?\u941?\u963?\u960?\u953?\u963?\u951? \u964?\u951?\u962? \u949?\u957?\u969?\u963?\u953?\u945?\u954?\u942?\u962? \u963?\u964?\u942?\u961?\u953?\u958?\u951?\u962? \u947?\u953?\u945? \u964?\u959?\u957? \u967?\u974?\u961?\u959? \u931?\u941?\u957?\u947?\u954?\u949?\u957?, \u947?\u953?\u945? \u964?\u951?\u957? \u949?\u965?\u961?\u969?\u960?\u945?\u970?\u954?\u942? \u959?\u955?\u959?\u954?\u955?\u951?\u961?\u969?\u956?\u941?\u957?\u951? \u948?\u953?\u945?\u967?\u949?\u943?\u961?\u953?\u963?\u951? \u964?\u969?\u957? \u963?\u965?\u957?\u972?\u961?\u969?\u957? \u954?\u945?\u953? \u947?\u953?\u945? \u964?\u951?\u957? \u954?\u959?\u953?\u957?\u942? \u960?\u959?\u955?\u953?\u964?\u953?\u954?\u942? \u952?\u949?\u969?\u961?\u942?\u963?\u949?\u969?\u957? \u947?\u953?\u945? \u964?\u951?\u957? \u960?\u949?\u961?\u943?\u959?\u948?\u959? \u945?\u960?\u972? \u964?\u959? 2028 \u941?\u969?\u962? \u964?\u959? 2034"/>
    <w:docVar w:name="LW_TYPE.DOC.CP" w:val="\u922?\u913?\u925?\u927?\u925?\u921?\u931?\u924?\u927?\u931? \u932?\u927?\u933? \u917?\u933?\u929?\u937?\u928?\u913?\u938?\u922?\u927?\u933? \u922?\u927?\u921?\u925?\u927?\u914?\u927?\u933?\u923?\u921?\u927?\u933? \u922?\u913?\u921? \u932?\u927?\u933? \u931?\u933?\u924?\u914?\u927?\u933?\u923?\u921?\u927?\u933?"/>
    <w:docVar w:name="LwApiVersions" w:val="LW4CoDe 1.24.5.0; LW 9.0, Build 20240221"/>
  </w:docVars>
  <w:rsids>
    <w:rsidRoot w:val="00286E0D"/>
    <w:rsid w:val="000004BB"/>
    <w:rsid w:val="000011DD"/>
    <w:rsid w:val="00010C77"/>
    <w:rsid w:val="00015B47"/>
    <w:rsid w:val="00023854"/>
    <w:rsid w:val="0003052C"/>
    <w:rsid w:val="000318D3"/>
    <w:rsid w:val="00034CAB"/>
    <w:rsid w:val="00035D80"/>
    <w:rsid w:val="0004117A"/>
    <w:rsid w:val="0004185D"/>
    <w:rsid w:val="0005515C"/>
    <w:rsid w:val="00067273"/>
    <w:rsid w:val="000706FB"/>
    <w:rsid w:val="00081D61"/>
    <w:rsid w:val="0008440D"/>
    <w:rsid w:val="00094C15"/>
    <w:rsid w:val="000963B2"/>
    <w:rsid w:val="000978AD"/>
    <w:rsid w:val="000B7F2F"/>
    <w:rsid w:val="000C55AA"/>
    <w:rsid w:val="000D21B0"/>
    <w:rsid w:val="000E118B"/>
    <w:rsid w:val="000F2A02"/>
    <w:rsid w:val="0010112C"/>
    <w:rsid w:val="0010490D"/>
    <w:rsid w:val="00105088"/>
    <w:rsid w:val="001065F5"/>
    <w:rsid w:val="00107901"/>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C04EE"/>
    <w:rsid w:val="001C0E45"/>
    <w:rsid w:val="001C3E3A"/>
    <w:rsid w:val="001C585A"/>
    <w:rsid w:val="001D12A3"/>
    <w:rsid w:val="001D3B94"/>
    <w:rsid w:val="001D75F7"/>
    <w:rsid w:val="001F3E4C"/>
    <w:rsid w:val="001F5CEB"/>
    <w:rsid w:val="001F7A9C"/>
    <w:rsid w:val="0020085E"/>
    <w:rsid w:val="002017CB"/>
    <w:rsid w:val="00210ADD"/>
    <w:rsid w:val="0023067A"/>
    <w:rsid w:val="00233DC7"/>
    <w:rsid w:val="0023405B"/>
    <w:rsid w:val="0023416F"/>
    <w:rsid w:val="0023549D"/>
    <w:rsid w:val="002437DE"/>
    <w:rsid w:val="00244DBF"/>
    <w:rsid w:val="00247779"/>
    <w:rsid w:val="002509F8"/>
    <w:rsid w:val="00254508"/>
    <w:rsid w:val="00255526"/>
    <w:rsid w:val="00257EC0"/>
    <w:rsid w:val="00262A48"/>
    <w:rsid w:val="00275E75"/>
    <w:rsid w:val="002779C4"/>
    <w:rsid w:val="00281DFF"/>
    <w:rsid w:val="00281EED"/>
    <w:rsid w:val="00285BEE"/>
    <w:rsid w:val="00286E0D"/>
    <w:rsid w:val="00287E8A"/>
    <w:rsid w:val="0029018F"/>
    <w:rsid w:val="0029533F"/>
    <w:rsid w:val="00295640"/>
    <w:rsid w:val="00296FB6"/>
    <w:rsid w:val="002A1112"/>
    <w:rsid w:val="002A4771"/>
    <w:rsid w:val="002B13A7"/>
    <w:rsid w:val="002B30AF"/>
    <w:rsid w:val="002D1715"/>
    <w:rsid w:val="002D2A57"/>
    <w:rsid w:val="002D3158"/>
    <w:rsid w:val="002D5743"/>
    <w:rsid w:val="002E242E"/>
    <w:rsid w:val="002E2907"/>
    <w:rsid w:val="002E73D3"/>
    <w:rsid w:val="002F27AB"/>
    <w:rsid w:val="003062AD"/>
    <w:rsid w:val="0030778E"/>
    <w:rsid w:val="00312482"/>
    <w:rsid w:val="0031447B"/>
    <w:rsid w:val="00314647"/>
    <w:rsid w:val="00314AF4"/>
    <w:rsid w:val="0031749A"/>
    <w:rsid w:val="00322AD7"/>
    <w:rsid w:val="0032654D"/>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C1393"/>
    <w:rsid w:val="003C28F8"/>
    <w:rsid w:val="003C54DF"/>
    <w:rsid w:val="003D7046"/>
    <w:rsid w:val="003E54BE"/>
    <w:rsid w:val="003E5A43"/>
    <w:rsid w:val="003E73CF"/>
    <w:rsid w:val="003E79E4"/>
    <w:rsid w:val="00401265"/>
    <w:rsid w:val="00404366"/>
    <w:rsid w:val="0040777A"/>
    <w:rsid w:val="0041089E"/>
    <w:rsid w:val="004168ED"/>
    <w:rsid w:val="00417A47"/>
    <w:rsid w:val="0042042F"/>
    <w:rsid w:val="004218BF"/>
    <w:rsid w:val="0042326B"/>
    <w:rsid w:val="0042648E"/>
    <w:rsid w:val="00431333"/>
    <w:rsid w:val="004405D4"/>
    <w:rsid w:val="004405D5"/>
    <w:rsid w:val="0044395A"/>
    <w:rsid w:val="0045264C"/>
    <w:rsid w:val="00453D29"/>
    <w:rsid w:val="00455242"/>
    <w:rsid w:val="00461EBE"/>
    <w:rsid w:val="00463FBC"/>
    <w:rsid w:val="00476490"/>
    <w:rsid w:val="00477EEF"/>
    <w:rsid w:val="00482546"/>
    <w:rsid w:val="00483506"/>
    <w:rsid w:val="00485B42"/>
    <w:rsid w:val="004866EF"/>
    <w:rsid w:val="00492CDB"/>
    <w:rsid w:val="004936D2"/>
    <w:rsid w:val="004A1712"/>
    <w:rsid w:val="004B1847"/>
    <w:rsid w:val="004B248F"/>
    <w:rsid w:val="004C015A"/>
    <w:rsid w:val="004C16BD"/>
    <w:rsid w:val="004D75E7"/>
    <w:rsid w:val="004E32EB"/>
    <w:rsid w:val="004F274C"/>
    <w:rsid w:val="00511EE1"/>
    <w:rsid w:val="0051233B"/>
    <w:rsid w:val="0051293F"/>
    <w:rsid w:val="00513C1C"/>
    <w:rsid w:val="00517347"/>
    <w:rsid w:val="00525087"/>
    <w:rsid w:val="00530FD2"/>
    <w:rsid w:val="00535056"/>
    <w:rsid w:val="005422CD"/>
    <w:rsid w:val="00544046"/>
    <w:rsid w:val="0054414F"/>
    <w:rsid w:val="005507F3"/>
    <w:rsid w:val="0055181F"/>
    <w:rsid w:val="005564DA"/>
    <w:rsid w:val="005629BF"/>
    <w:rsid w:val="005650D7"/>
    <w:rsid w:val="0056625A"/>
    <w:rsid w:val="0057186C"/>
    <w:rsid w:val="0058101A"/>
    <w:rsid w:val="00582B2F"/>
    <w:rsid w:val="00594A0B"/>
    <w:rsid w:val="00596698"/>
    <w:rsid w:val="00597A46"/>
    <w:rsid w:val="005A1922"/>
    <w:rsid w:val="005A32DB"/>
    <w:rsid w:val="005A423C"/>
    <w:rsid w:val="005A598E"/>
    <w:rsid w:val="005B1EB6"/>
    <w:rsid w:val="005B37BB"/>
    <w:rsid w:val="005B50B9"/>
    <w:rsid w:val="005B5BB7"/>
    <w:rsid w:val="005B6996"/>
    <w:rsid w:val="005C0A02"/>
    <w:rsid w:val="005C2118"/>
    <w:rsid w:val="005D0FC0"/>
    <w:rsid w:val="005E2919"/>
    <w:rsid w:val="005E2C68"/>
    <w:rsid w:val="005E60AC"/>
    <w:rsid w:val="005E6CEC"/>
    <w:rsid w:val="005F65F6"/>
    <w:rsid w:val="00606E69"/>
    <w:rsid w:val="00606E9A"/>
    <w:rsid w:val="0061311B"/>
    <w:rsid w:val="006177ED"/>
    <w:rsid w:val="0062249A"/>
    <w:rsid w:val="00623F90"/>
    <w:rsid w:val="0063135D"/>
    <w:rsid w:val="00631DBC"/>
    <w:rsid w:val="00633FC1"/>
    <w:rsid w:val="00641E22"/>
    <w:rsid w:val="00642090"/>
    <w:rsid w:val="00642994"/>
    <w:rsid w:val="0065120D"/>
    <w:rsid w:val="00653241"/>
    <w:rsid w:val="006541B6"/>
    <w:rsid w:val="00664DB0"/>
    <w:rsid w:val="0067311B"/>
    <w:rsid w:val="00673D2F"/>
    <w:rsid w:val="006758A6"/>
    <w:rsid w:val="00682E01"/>
    <w:rsid w:val="00682EF5"/>
    <w:rsid w:val="00684308"/>
    <w:rsid w:val="006866F6"/>
    <w:rsid w:val="00692BF4"/>
    <w:rsid w:val="0069583F"/>
    <w:rsid w:val="006A2F81"/>
    <w:rsid w:val="006A4344"/>
    <w:rsid w:val="006A7E7F"/>
    <w:rsid w:val="006B174B"/>
    <w:rsid w:val="006B3F48"/>
    <w:rsid w:val="006B76EE"/>
    <w:rsid w:val="006C107E"/>
    <w:rsid w:val="006C7EF4"/>
    <w:rsid w:val="006D4B5A"/>
    <w:rsid w:val="006D73C5"/>
    <w:rsid w:val="006E392D"/>
    <w:rsid w:val="006F4E07"/>
    <w:rsid w:val="007021E5"/>
    <w:rsid w:val="00705404"/>
    <w:rsid w:val="00714D60"/>
    <w:rsid w:val="00715604"/>
    <w:rsid w:val="00720922"/>
    <w:rsid w:val="007241DB"/>
    <w:rsid w:val="00727B12"/>
    <w:rsid w:val="0073110B"/>
    <w:rsid w:val="00731D25"/>
    <w:rsid w:val="00737284"/>
    <w:rsid w:val="00750A27"/>
    <w:rsid w:val="007517F9"/>
    <w:rsid w:val="007571EF"/>
    <w:rsid w:val="00762310"/>
    <w:rsid w:val="00763746"/>
    <w:rsid w:val="0077027E"/>
    <w:rsid w:val="00773331"/>
    <w:rsid w:val="00775A38"/>
    <w:rsid w:val="0078205A"/>
    <w:rsid w:val="007915DD"/>
    <w:rsid w:val="007932EF"/>
    <w:rsid w:val="007947CD"/>
    <w:rsid w:val="0079660C"/>
    <w:rsid w:val="00797A55"/>
    <w:rsid w:val="007A2B54"/>
    <w:rsid w:val="007B1680"/>
    <w:rsid w:val="007B7E31"/>
    <w:rsid w:val="007C5FAB"/>
    <w:rsid w:val="007C726D"/>
    <w:rsid w:val="007D07F8"/>
    <w:rsid w:val="007D3199"/>
    <w:rsid w:val="007E05B0"/>
    <w:rsid w:val="007F21BA"/>
    <w:rsid w:val="007F2C9B"/>
    <w:rsid w:val="00802740"/>
    <w:rsid w:val="008053F0"/>
    <w:rsid w:val="00806AC4"/>
    <w:rsid w:val="00813BB0"/>
    <w:rsid w:val="00816AF2"/>
    <w:rsid w:val="008252C7"/>
    <w:rsid w:val="00833EDD"/>
    <w:rsid w:val="00835316"/>
    <w:rsid w:val="008354EE"/>
    <w:rsid w:val="00835827"/>
    <w:rsid w:val="00843E75"/>
    <w:rsid w:val="008450AE"/>
    <w:rsid w:val="0085236F"/>
    <w:rsid w:val="00854872"/>
    <w:rsid w:val="00855B08"/>
    <w:rsid w:val="00860CAB"/>
    <w:rsid w:val="00863925"/>
    <w:rsid w:val="00874D22"/>
    <w:rsid w:val="00880D74"/>
    <w:rsid w:val="00883432"/>
    <w:rsid w:val="0088516B"/>
    <w:rsid w:val="00885335"/>
    <w:rsid w:val="008959F6"/>
    <w:rsid w:val="008A2914"/>
    <w:rsid w:val="008A29AE"/>
    <w:rsid w:val="008B04C7"/>
    <w:rsid w:val="008C306E"/>
    <w:rsid w:val="008E2F96"/>
    <w:rsid w:val="008E4D8E"/>
    <w:rsid w:val="008E5E5A"/>
    <w:rsid w:val="008F1C03"/>
    <w:rsid w:val="00911349"/>
    <w:rsid w:val="00912E63"/>
    <w:rsid w:val="0091314F"/>
    <w:rsid w:val="0091542E"/>
    <w:rsid w:val="009218FA"/>
    <w:rsid w:val="00924912"/>
    <w:rsid w:val="00925BDE"/>
    <w:rsid w:val="0093788D"/>
    <w:rsid w:val="0094296D"/>
    <w:rsid w:val="009532AE"/>
    <w:rsid w:val="00956FF7"/>
    <w:rsid w:val="009600CC"/>
    <w:rsid w:val="00964BBE"/>
    <w:rsid w:val="00965300"/>
    <w:rsid w:val="00970B74"/>
    <w:rsid w:val="00974DF7"/>
    <w:rsid w:val="00990454"/>
    <w:rsid w:val="00990C77"/>
    <w:rsid w:val="0099246A"/>
    <w:rsid w:val="00993D57"/>
    <w:rsid w:val="009A564D"/>
    <w:rsid w:val="009B3BA6"/>
    <w:rsid w:val="009B59A3"/>
    <w:rsid w:val="009B5F19"/>
    <w:rsid w:val="009C2581"/>
    <w:rsid w:val="009C3C4B"/>
    <w:rsid w:val="009C4158"/>
    <w:rsid w:val="009D7CC5"/>
    <w:rsid w:val="009F5286"/>
    <w:rsid w:val="00A00E08"/>
    <w:rsid w:val="00A032EC"/>
    <w:rsid w:val="00A03C1D"/>
    <w:rsid w:val="00A06C2A"/>
    <w:rsid w:val="00A10916"/>
    <w:rsid w:val="00A16C67"/>
    <w:rsid w:val="00A257BB"/>
    <w:rsid w:val="00A26F33"/>
    <w:rsid w:val="00A277A2"/>
    <w:rsid w:val="00A3007C"/>
    <w:rsid w:val="00A33F32"/>
    <w:rsid w:val="00A42580"/>
    <w:rsid w:val="00A60815"/>
    <w:rsid w:val="00A61048"/>
    <w:rsid w:val="00A64159"/>
    <w:rsid w:val="00A6493C"/>
    <w:rsid w:val="00A66884"/>
    <w:rsid w:val="00A66D6F"/>
    <w:rsid w:val="00A72477"/>
    <w:rsid w:val="00A86799"/>
    <w:rsid w:val="00A902CE"/>
    <w:rsid w:val="00AA4575"/>
    <w:rsid w:val="00AA59F2"/>
    <w:rsid w:val="00AB04B1"/>
    <w:rsid w:val="00AB3DBA"/>
    <w:rsid w:val="00AB49C1"/>
    <w:rsid w:val="00AB609E"/>
    <w:rsid w:val="00AD5AEE"/>
    <w:rsid w:val="00AD68B3"/>
    <w:rsid w:val="00AE0AA4"/>
    <w:rsid w:val="00AF0E7F"/>
    <w:rsid w:val="00AF3908"/>
    <w:rsid w:val="00AF6D8F"/>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32F9"/>
    <w:rsid w:val="00B623D7"/>
    <w:rsid w:val="00B62D05"/>
    <w:rsid w:val="00B631D1"/>
    <w:rsid w:val="00B6359E"/>
    <w:rsid w:val="00B66C10"/>
    <w:rsid w:val="00B733ED"/>
    <w:rsid w:val="00B74101"/>
    <w:rsid w:val="00B81C00"/>
    <w:rsid w:val="00B86814"/>
    <w:rsid w:val="00B87C02"/>
    <w:rsid w:val="00B9067D"/>
    <w:rsid w:val="00B91D87"/>
    <w:rsid w:val="00B9223C"/>
    <w:rsid w:val="00BA3EDB"/>
    <w:rsid w:val="00BB24AD"/>
    <w:rsid w:val="00BB30A8"/>
    <w:rsid w:val="00BB394C"/>
    <w:rsid w:val="00BD0C86"/>
    <w:rsid w:val="00BD3C08"/>
    <w:rsid w:val="00BD7306"/>
    <w:rsid w:val="00BE09E6"/>
    <w:rsid w:val="00BF5D3A"/>
    <w:rsid w:val="00C05D4C"/>
    <w:rsid w:val="00C12301"/>
    <w:rsid w:val="00C128F6"/>
    <w:rsid w:val="00C14287"/>
    <w:rsid w:val="00C14919"/>
    <w:rsid w:val="00C20592"/>
    <w:rsid w:val="00C217F8"/>
    <w:rsid w:val="00C21CD4"/>
    <w:rsid w:val="00C244F7"/>
    <w:rsid w:val="00C34CE4"/>
    <w:rsid w:val="00C351E8"/>
    <w:rsid w:val="00C40E50"/>
    <w:rsid w:val="00C433F1"/>
    <w:rsid w:val="00C44050"/>
    <w:rsid w:val="00C51BA3"/>
    <w:rsid w:val="00C531FB"/>
    <w:rsid w:val="00C60498"/>
    <w:rsid w:val="00C7506A"/>
    <w:rsid w:val="00C810C1"/>
    <w:rsid w:val="00CA41A1"/>
    <w:rsid w:val="00CA7A64"/>
    <w:rsid w:val="00CB1D36"/>
    <w:rsid w:val="00CC22DF"/>
    <w:rsid w:val="00CC3012"/>
    <w:rsid w:val="00CC69E7"/>
    <w:rsid w:val="00CD5494"/>
    <w:rsid w:val="00CD6540"/>
    <w:rsid w:val="00CE46A6"/>
    <w:rsid w:val="00CF1373"/>
    <w:rsid w:val="00D05667"/>
    <w:rsid w:val="00D1131E"/>
    <w:rsid w:val="00D13242"/>
    <w:rsid w:val="00D15DC8"/>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BD0"/>
    <w:rsid w:val="00DF0C86"/>
    <w:rsid w:val="00DF12F9"/>
    <w:rsid w:val="00DF5074"/>
    <w:rsid w:val="00E0194E"/>
    <w:rsid w:val="00E247E3"/>
    <w:rsid w:val="00E24956"/>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44E9"/>
    <w:rsid w:val="00EA0671"/>
    <w:rsid w:val="00EA0F20"/>
    <w:rsid w:val="00EA1E0E"/>
    <w:rsid w:val="00EA2A3D"/>
    <w:rsid w:val="00EB093C"/>
    <w:rsid w:val="00EB153F"/>
    <w:rsid w:val="00EB6497"/>
    <w:rsid w:val="00EC363A"/>
    <w:rsid w:val="00EC42E1"/>
    <w:rsid w:val="00EC7F5E"/>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3FDE"/>
    <w:rsid w:val="00F23106"/>
    <w:rsid w:val="00F23C72"/>
    <w:rsid w:val="00F26D99"/>
    <w:rsid w:val="00F2782D"/>
    <w:rsid w:val="00F42277"/>
    <w:rsid w:val="00F46278"/>
    <w:rsid w:val="00F51546"/>
    <w:rsid w:val="00F537F0"/>
    <w:rsid w:val="00F555BE"/>
    <w:rsid w:val="00F569A5"/>
    <w:rsid w:val="00F56A00"/>
    <w:rsid w:val="00F641C2"/>
    <w:rsid w:val="00F72201"/>
    <w:rsid w:val="00F82989"/>
    <w:rsid w:val="00F85687"/>
    <w:rsid w:val="00F91A52"/>
    <w:rsid w:val="00F91F56"/>
    <w:rsid w:val="00FA1E9B"/>
    <w:rsid w:val="00FA2069"/>
    <w:rsid w:val="00FA2A07"/>
    <w:rsid w:val="00FA3905"/>
    <w:rsid w:val="00FA401C"/>
    <w:rsid w:val="00FA5BBE"/>
    <w:rsid w:val="00FA5FF3"/>
    <w:rsid w:val="00FB0C48"/>
    <w:rsid w:val="00FB3613"/>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el-GR"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el-GR"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el-GR"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el-GR"/>
    </w:rPr>
  </w:style>
  <w:style w:type="character" w:customStyle="1" w:styleId="FooterCoverPageChar">
    <w:name w:val="Footer Cover Page Char"/>
    <w:link w:val="FooterCoverPage"/>
    <w:rsid w:val="00286E0D"/>
    <w:rPr>
      <w:rFonts w:ascii="Times New Roman" w:eastAsia="Calibri" w:hAnsi="Times New Roman" w:cs="Times New Roman"/>
      <w:sz w:val="24"/>
      <w:lang w:val="el-GR"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el-GR" w:eastAsia="en-GB"/>
    </w:rPr>
  </w:style>
  <w:style w:type="character" w:customStyle="1" w:styleId="FooterSensitivityChar">
    <w:name w:val="Footer Sensitivity Char"/>
    <w:rsid w:val="00286E0D"/>
    <w:rPr>
      <w:rFonts w:ascii="Times New Roman" w:hAnsi="Times New Roman" w:cs="Times New Roman"/>
      <w:b/>
      <w:sz w:val="32"/>
      <w:lang w:val="el-GR"/>
    </w:rPr>
  </w:style>
  <w:style w:type="character" w:customStyle="1" w:styleId="HeaderSensitivityChar">
    <w:name w:val="Header Sensitivity Char"/>
    <w:rsid w:val="00286E0D"/>
    <w:rPr>
      <w:rFonts w:ascii="Times New Roman" w:hAnsi="Times New Roman" w:cs="Times New Roman"/>
      <w:b/>
      <w:sz w:val="32"/>
      <w:lang w:val="el-GR"/>
    </w:rPr>
  </w:style>
  <w:style w:type="character" w:customStyle="1" w:styleId="HeaderSensitivityRightChar">
    <w:name w:val="Header Sensitivity Right Char"/>
    <w:rsid w:val="00286E0D"/>
    <w:rPr>
      <w:rFonts w:ascii="Times New Roman" w:hAnsi="Times New Roman" w:cs="Times New Roman"/>
      <w:sz w:val="28"/>
      <w:lang w:val="el-GR"/>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el-GR"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HeaderChar">
    <w:name w:val="Header Char"/>
    <w:basedOn w:val="DefaultParagraphFont"/>
    <w:link w:val="Header"/>
    <w:uiPriority w:val="99"/>
    <w:rsid w:val="00D15DC8"/>
    <w:rPr>
      <w:rFonts w:ascii="Times New Roman" w:hAnsi="Times New Roman" w:cs="Times New Roman"/>
      <w:sz w:val="24"/>
      <w:lang w:val="el-GR"/>
    </w:rPr>
  </w:style>
  <w:style w:type="character" w:customStyle="1" w:styleId="FooterChar">
    <w:name w:val="Footer Char"/>
    <w:basedOn w:val="DefaultParagraphFont"/>
    <w:link w:val="Footer"/>
    <w:uiPriority w:val="99"/>
    <w:rsid w:val="00D15DC8"/>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15DC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15DC8"/>
    <w:pPr>
      <w:spacing w:before="0"/>
      <w:jc w:val="right"/>
    </w:pPr>
    <w:rPr>
      <w:sz w:val="28"/>
    </w:rPr>
  </w:style>
  <w:style w:type="paragraph" w:customStyle="1" w:styleId="FooterSensitivity">
    <w:name w:val="Footer Sensitivity"/>
    <w:basedOn w:val="Normal"/>
    <w:rsid w:val="00D15DC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15DC8"/>
    <w:pPr>
      <w:tabs>
        <w:tab w:val="center" w:pos="4535"/>
        <w:tab w:val="right" w:pos="9071"/>
      </w:tabs>
      <w:spacing w:before="0"/>
    </w:pPr>
  </w:style>
  <w:style w:type="paragraph" w:customStyle="1" w:styleId="HeaderLandscape">
    <w:name w:val="HeaderLandscape"/>
    <w:basedOn w:val="Normal"/>
    <w:rsid w:val="00D15DC8"/>
    <w:pPr>
      <w:tabs>
        <w:tab w:val="center" w:pos="7285"/>
        <w:tab w:val="right" w:pos="14003"/>
      </w:tabs>
      <w:spacing w:before="0"/>
    </w:pPr>
  </w:style>
  <w:style w:type="paragraph" w:styleId="Footer">
    <w:name w:val="footer"/>
    <w:basedOn w:val="Normal"/>
    <w:link w:val="FooterChar"/>
    <w:uiPriority w:val="99"/>
    <w:unhideWhenUsed/>
    <w:rsid w:val="00D15DC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15DC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CC5F0-F727-4637-91CF-39B884EC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10</TotalTime>
  <Pages>14</Pages>
  <Words>8807</Words>
  <Characters>50205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38</cp:revision>
  <cp:lastPrinted>2025-07-15T11:32:00Z</cp:lastPrinted>
  <dcterms:created xsi:type="dcterms:W3CDTF">2025-07-17T12:06:00Z</dcterms:created>
  <dcterms:modified xsi:type="dcterms:W3CDTF">2025-09-03T12:14:00Z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