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4697A50E" w:rsidR="00286E0D" w:rsidRPr="00811674" w:rsidRDefault="00E56E00" w:rsidP="00E56E00">
      <w:pPr>
        <w:pStyle w:val="Pagedecouverture"/>
        <w:rPr>
          <w:noProof/>
        </w:rPr>
      </w:pPr>
      <w:r>
        <w:rPr>
          <w:noProof/>
        </w:rPr>
        <w:pict w14:anchorId="4883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A0024E5-2E00-47DD-8958-71080160A0A6" style="width:455.25pt;height:355.5pt">
            <v:imagedata r:id="rId8" o:title=""/>
          </v:shape>
        </w:pict>
      </w:r>
    </w:p>
    <w:p w14:paraId="0D2B0620" w14:textId="77777777" w:rsidR="00286E0D" w:rsidRPr="00811674" w:rsidRDefault="00286E0D" w:rsidP="00286E0D">
      <w:pPr>
        <w:rPr>
          <w:noProof/>
        </w:rPr>
        <w:sectPr w:rsidR="00286E0D" w:rsidRPr="00811674" w:rsidSect="00E56E00">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811674" w:rsidRDefault="00286E0D" w:rsidP="00286E0D">
      <w:pPr>
        <w:pStyle w:val="Exposdesmotifstitre"/>
        <w:rPr>
          <w:noProof/>
        </w:rPr>
      </w:pPr>
      <w:bookmarkStart w:id="0" w:name="_GoBack"/>
      <w:bookmarkEnd w:id="0"/>
      <w:r w:rsidRPr="00811674">
        <w:rPr>
          <w:noProof/>
        </w:rPr>
        <w:lastRenderedPageBreak/>
        <w:t>BEGRUNDELSE</w:t>
      </w:r>
    </w:p>
    <w:p w14:paraId="1D44F294" w14:textId="77777777" w:rsidR="00286E0D" w:rsidRPr="00811674" w:rsidRDefault="00286E0D" w:rsidP="00286E0D">
      <w:pPr>
        <w:rPr>
          <w:noProof/>
        </w:rPr>
      </w:pPr>
    </w:p>
    <w:p w14:paraId="791ACC5D" w14:textId="77777777" w:rsidR="00286E0D" w:rsidRPr="00811674" w:rsidRDefault="00286E0D" w:rsidP="00286E0D">
      <w:pPr>
        <w:pStyle w:val="ManualHeading1"/>
        <w:rPr>
          <w:noProof/>
        </w:rPr>
      </w:pPr>
      <w:r w:rsidRPr="00811674">
        <w:rPr>
          <w:noProof/>
        </w:rPr>
        <w:t>1.</w:t>
      </w:r>
      <w:r w:rsidRPr="00811674">
        <w:rPr>
          <w:noProof/>
        </w:rPr>
        <w:tab/>
        <w:t>BAGGRUND FOR FORSLAGET</w:t>
      </w:r>
    </w:p>
    <w:p w14:paraId="141EF942" w14:textId="77777777" w:rsidR="00286E0D" w:rsidRPr="00811674" w:rsidRDefault="00286E0D" w:rsidP="00286E0D">
      <w:pPr>
        <w:pStyle w:val="ManualHeading2"/>
        <w:rPr>
          <w:rFonts w:eastAsia="Arial Unicode MS"/>
          <w:noProof/>
        </w:rPr>
      </w:pPr>
      <w:r w:rsidRPr="00811674">
        <w:rPr>
          <w:noProof/>
          <w:color w:val="000000"/>
          <w:u w:color="000000"/>
          <w:bdr w:val="nil"/>
        </w:rPr>
        <w:t>•</w:t>
      </w:r>
      <w:r w:rsidRPr="00811674">
        <w:rPr>
          <w:noProof/>
          <w:color w:val="000000"/>
          <w:u w:color="000000"/>
          <w:bdr w:val="nil"/>
        </w:rPr>
        <w:tab/>
      </w:r>
      <w:r w:rsidRPr="00811674">
        <w:rPr>
          <w:noProof/>
        </w:rPr>
        <w:t xml:space="preserve">Begrundelse og formål </w:t>
      </w:r>
    </w:p>
    <w:p w14:paraId="034D1AFE" w14:textId="77777777" w:rsidR="004D75E7" w:rsidRPr="00811674" w:rsidRDefault="00B9223C" w:rsidP="004D75E7">
      <w:pPr>
        <w:rPr>
          <w:noProof/>
        </w:rPr>
      </w:pPr>
      <w:r w:rsidRPr="00811674">
        <w:rPr>
          <w:noProof/>
        </w:rPr>
        <w:t xml:space="preserve">Kommissionens politiske retningslinjer 2024-2029 understreger behovet for at sikre et fuldstændigt og fuldt fungerende Schengenområde uden kontrol ved de indre grænser gennem sikrere ydre grænser, og med prioritering af sikkerhed, migrationsstyring og effektivitet. Integreret europæisk grænseforvaltning er kernen i disse bestræbelser og sikrer sammenhæng mellem indbyrdes forbundne politikområder, herunder grænser, tilbagesendelser og overvågning, samt mellem Frontex og de ansvarlige nationale myndigheder med henblik på at forvalte EU's ydre grænser. I forhold til gennemførelsen giver Schengenforvaltningsrammen, understøttet af Schengenevalueringerne, mulighed for politisk og strategisk styring af udviklingen af Schengenområdet og sikrer, at centrale initiativer såsom interoperabilitet mellem IT-systemer og de relevante regler gennemføres, samt at systematiske mangler identificeres og afhjælpes. Dette bør fremme en stærk følelse af fælles ansvar og gensidig tillid blandt medlemsstaterne og de associerede Schengenlande. </w:t>
      </w:r>
    </w:p>
    <w:p w14:paraId="401136B9" w14:textId="77777777" w:rsidR="00D81B8C" w:rsidRPr="00811674" w:rsidRDefault="00B9223C" w:rsidP="00B9223C">
      <w:pPr>
        <w:rPr>
          <w:noProof/>
        </w:rPr>
      </w:pPr>
      <w:r w:rsidRPr="00811674">
        <w:rPr>
          <w:noProof/>
        </w:rPr>
        <w:t xml:space="preserve">Europas geopolitiske kontekst har ændret sig markant, hvilket har påvirket forvaltningen af Unionens ydre grænser dybtgående. Stigningen i </w:t>
      </w:r>
      <w:bookmarkStart w:id="1" w:name="_Hlk202820988"/>
      <w:r w:rsidRPr="00811674">
        <w:rPr>
          <w:noProof/>
        </w:rPr>
        <w:t xml:space="preserve">hybride og andre sikkerhedstrusler, herunder </w:t>
      </w:r>
      <w:bookmarkEnd w:id="1"/>
      <w:r w:rsidRPr="00811674">
        <w:rPr>
          <w:noProof/>
        </w:rPr>
        <w:t xml:space="preserve">brugen af migration som våben, gør det endnu mere presserende at beskytte de ydre grænser. I mellemtiden </w:t>
      </w:r>
      <w:bookmarkStart w:id="2" w:name="_Hlk202822882"/>
      <w:r w:rsidRPr="00811674">
        <w:rPr>
          <w:noProof/>
        </w:rPr>
        <w:t>fortsætter irregulær migration med at være en væsentlig faktor, hvilket understreger behovet for at sikre et effektivt samarbejde med lande uden for EU kombineret med omfattende partnerskaber med oprindelses- og transitlande, der støttes gennem forordning (EU) [...] [Et globalt Europa].</w:t>
      </w:r>
      <w:bookmarkEnd w:id="2"/>
      <w:r w:rsidRPr="00811674">
        <w:rPr>
          <w:noProof/>
        </w:rPr>
        <w:t xml:space="preserve"> Smugling af migranter er en lukrativ forretning for kriminelle netværk, hvor smuglere benytter land-, sø- og luftruter til at facilitere irregulær migration både til og inden for Den Europæiske Union. Smugling forbindes i stigende grad med alvorlige krænkelser af menneskerettighederne og dødsfald, især når det sker til søs. Tabet af migranters liv i hænderne på menneskesmuglere i Middelhavet understreger det akutte behov for at bekæmpe smugling af migranter ved hjælp af alle tilgængelige retlige, operationelle og administrative midler. </w:t>
      </w:r>
    </w:p>
    <w:p w14:paraId="6F6D36BE" w14:textId="77777777" w:rsidR="00B9223C" w:rsidRPr="00811674" w:rsidRDefault="00B9223C" w:rsidP="00FA3905">
      <w:pPr>
        <w:rPr>
          <w:noProof/>
        </w:rPr>
      </w:pPr>
      <w:r w:rsidRPr="00811674">
        <w:rPr>
          <w:noProof/>
        </w:rPr>
        <w:t>Medlemsstaterne skal kunne reagere hurtigt og effektivt på udviklingen og modtage EU-støtte til dette formål.</w:t>
      </w:r>
    </w:p>
    <w:p w14:paraId="4BD9F834" w14:textId="77777777" w:rsidR="00BE09E6" w:rsidRPr="00811674" w:rsidRDefault="00E57952" w:rsidP="00FA3905">
      <w:pPr>
        <w:rPr>
          <w:noProof/>
        </w:rPr>
      </w:pPr>
      <w:r w:rsidRPr="00811674">
        <w:rPr>
          <w:noProof/>
        </w:rPr>
        <w:t>Det er afgørende at sikre udvikling, sikker drift og vedligeholdelse af store IT-systemer</w:t>
      </w:r>
      <w:r w:rsidRPr="00811674">
        <w:rPr>
          <w:i/>
          <w:noProof/>
        </w:rPr>
        <w:t xml:space="preserve"> </w:t>
      </w:r>
      <w:r w:rsidRPr="00811674">
        <w:rPr>
          <w:noProof/>
        </w:rPr>
        <w:t>i henhold til EU-retten på området grænseforvaltning, nemlig Schengeninformationssystemet (SIS), visuminformationssystemet (VIS), Eurodac, ind- og udrejsesystemet (EES) og det europæiske system vedrørende rejseinformation og rejsetilladelse (ETIAS), herunder deres interoperabilitet og kommunikationsinfrastruktur. Instrumentet bør også bidrage til tiltag til at styrke datakvaliteten og leveringen af oplysninger.</w:t>
      </w:r>
    </w:p>
    <w:p w14:paraId="0413D35D" w14:textId="77777777" w:rsidR="008C306E" w:rsidRPr="00811674" w:rsidRDefault="008C306E" w:rsidP="00D81B8C">
      <w:pPr>
        <w:rPr>
          <w:noProof/>
        </w:rPr>
      </w:pPr>
      <w:bookmarkStart w:id="3" w:name="_Hlk202880202"/>
      <w:r w:rsidRPr="00811674">
        <w:rPr>
          <w:noProof/>
        </w:rPr>
        <w:t>EU-støtten bør også stilles til rådighed for medlemsstaterne til at opbygge den nødvendige ekspertise og operationelle kapacitet til at gennemføre de relevante elementer af pagten om asyl og migration, nemlig forordning (EU) 2024/1356</w:t>
      </w:r>
      <w:r w:rsidRPr="00811674">
        <w:rPr>
          <w:rStyle w:val="FootnoteReference"/>
          <w:noProof/>
        </w:rPr>
        <w:footnoteReference w:id="1"/>
      </w:r>
      <w:r w:rsidRPr="00811674">
        <w:rPr>
          <w:noProof/>
        </w:rPr>
        <w:t xml:space="preserve"> ("screeningforordningen"), som bidrager til en effektiv grænseforvaltning</w:t>
      </w:r>
      <w:bookmarkEnd w:id="3"/>
      <w:r w:rsidRPr="00811674">
        <w:rPr>
          <w:noProof/>
        </w:rPr>
        <w:t xml:space="preserve">. </w:t>
      </w:r>
    </w:p>
    <w:p w14:paraId="07A03C8E" w14:textId="77777777" w:rsidR="00D81B8C" w:rsidRPr="00811674" w:rsidRDefault="00D81B8C" w:rsidP="00D81B8C">
      <w:pPr>
        <w:rPr>
          <w:noProof/>
        </w:rPr>
      </w:pPr>
      <w:r w:rsidRPr="00811674">
        <w:rPr>
          <w:noProof/>
        </w:rPr>
        <w:t>Både EU-borgere og ikke-EU-borgere underkastes systematiske kontroller, når de krydser EU's ydre grænser. Med næsten 600 millioner grænsepassager registreret alene i 2023 og en forventning om, at antallet af grænsepassager fortsat vil stige i de kommende år, er der et klart behov for, at kontrollen udføres hurtigt og effektivt ved hjælp af IT-systemer, samtidig med at der opretholdes et højt sikkerhedsniveau med kontrol af alle rejsende.</w:t>
      </w:r>
    </w:p>
    <w:p w14:paraId="293FB5AE" w14:textId="77777777" w:rsidR="00B9223C" w:rsidRPr="00811674" w:rsidRDefault="00B9223C" w:rsidP="00B9223C">
      <w:pPr>
        <w:rPr>
          <w:noProof/>
        </w:rPr>
      </w:pPr>
      <w:r w:rsidRPr="00811674">
        <w:rPr>
          <w:noProof/>
        </w:rPr>
        <w:t>Medlemsstaterne bør arbejde tæt sammen med de relevante EU-agenturer, herunder Frontex og eu-LISA, som bør stille den nødvendige tekniske ekspertise og teknologiske midler til rådighed til at sikre overvågning og situationsbevidsthed. I bredere forstand bør Kommissionen inddrage relevante EU-organer, -kontorer og -agenturer i relevante aktiviteter, der har til formål at sikre, at de foranstaltninger, der støttes af Unionen, er i overensstemmelse med den relevante EU-ret og de vedtagne EU-prioriteter.</w:t>
      </w:r>
    </w:p>
    <w:p w14:paraId="0C29A07E" w14:textId="77777777" w:rsidR="00B9223C" w:rsidRPr="00811674" w:rsidRDefault="00B9223C" w:rsidP="00B9223C">
      <w:pPr>
        <w:rPr>
          <w:noProof/>
        </w:rPr>
      </w:pPr>
      <w:r w:rsidRPr="00811674">
        <w:rPr>
          <w:noProof/>
        </w:rPr>
        <w:t>En stærk EU-visumpolitik er også afgørende for bedre at sikre grænserne og håndtere migrationen. EU-støtten bør især hjælpe medlemsstaterne med at forbedre effektiviteten af visumbehandlingen og forhindre misbrug af Unionens visumordning. Der er behov for EU-støtte til digitalisering af visumbehandlingen samt til at forbedre dækningen af konsulære tjenester på verdensplan og servicen til ansøgere.</w:t>
      </w:r>
    </w:p>
    <w:p w14:paraId="33FEB1CE" w14:textId="335F2A4B" w:rsidR="00B9223C" w:rsidRPr="00811674" w:rsidRDefault="00B9223C" w:rsidP="001F3E4C">
      <w:pPr>
        <w:rPr>
          <w:noProof/>
        </w:rPr>
      </w:pPr>
      <w:r w:rsidRPr="00811674">
        <w:rPr>
          <w:noProof/>
        </w:rPr>
        <w:t xml:space="preserve">Forslaget har til formål at imødekomme behovet for større fleksibilitet i forvaltningen af EU-støtten, herunder en stærkere resultatorientering samt øget forenkling for alle aktører, der er involveret i gennemførelsen heraf. Med henblik herpå sikres tæt komplementaritet med forslaget til forordning (EU) [...] om oprettelse af Den Europæiske Fond for Økonomisk, Social og Territorial Samhørighed, Landbrug, Landdistrikter, Fiskeri, det Maritime Område, Velstand og Sikkerhed, hvorved der indføres nye mekanismer for tildeling af midler til delt, direkte og indirekte forvaltning. Da udfordringerne inden for grænseforvaltning og migration hele tiden udvikler sig, er der også behov for at reagere på presserende behov og ændringer i politik og EU-prioriteter, </w:t>
      </w:r>
      <w:bookmarkStart w:id="4" w:name="_Hlk202775281"/>
      <w:r w:rsidRPr="00811674">
        <w:rPr>
          <w:noProof/>
        </w:rPr>
        <w:t xml:space="preserve">afhjælpe de mangler, der er konstateret ved Schengenevalueringerne </w:t>
      </w:r>
      <w:bookmarkEnd w:id="4"/>
      <w:r w:rsidRPr="00811674">
        <w:rPr>
          <w:noProof/>
        </w:rPr>
        <w:t>og Frontex' sårbarhedsvurdering samt at styre finansieringen i retning mod foranstaltninger med en høj grad af EU-merværdi, navnlig gennem en EU-facilitet, der giver fleksibilitet i forvaltningen af EU-støtten.</w:t>
      </w:r>
    </w:p>
    <w:p w14:paraId="4CF7EFDF" w14:textId="64E65124" w:rsidR="00EB6497" w:rsidRPr="00811674" w:rsidRDefault="00EB6497" w:rsidP="001F3E4C">
      <w:pPr>
        <w:pBdr>
          <w:top w:val="nil"/>
          <w:left w:val="nil"/>
          <w:bottom w:val="nil"/>
          <w:right w:val="nil"/>
          <w:between w:val="nil"/>
          <w:bar w:val="nil"/>
        </w:pBdr>
        <w:rPr>
          <w:rFonts w:eastAsia="Arial Unicode MS"/>
          <w:noProof/>
        </w:rPr>
      </w:pPr>
      <w:r w:rsidRPr="00811674">
        <w:rPr>
          <w:noProof/>
        </w:rPr>
        <w:t xml:space="preserve">Nærværende forslag udgør sammen med forslaget til forordning om EU-støtte til asyl, migration og integration og forslaget til forordning om EU-støtte til indre sikkerhed den specifikke retlige ramme for Unionens indsats på områderne integreret europæisk grænseforvaltning ved de ydre grænser, et velfungerende Schengenområde og en velfungerende europæisk visumpolitik, effektiv forvaltning af migrationsstrømme og den indre sikkerhed. Disse tre forordninger supplerer hinanden og bidrager til målene i og supplerer forordning (EU) [...] om oprettelse af Den Europæiske Fond for Økonomisk, Social og Territorial Samhørighed, Landbrug, Landdistrikter, Fiskeri, det Maritime Område, Velstand og Sikkerhed, hvorigennem de vil blive gennemført. </w:t>
      </w:r>
    </w:p>
    <w:p w14:paraId="5EBA1527" w14:textId="77777777" w:rsidR="00EB6497" w:rsidRPr="00811674" w:rsidRDefault="00EB6497" w:rsidP="00EB6497">
      <w:pPr>
        <w:rPr>
          <w:noProof/>
        </w:rPr>
      </w:pPr>
      <w:r w:rsidRPr="00811674">
        <w:rPr>
          <w:noProof/>
        </w:rPr>
        <w:t>Den foreslåede forordning bygger på forordning (EU) 2021/1148</w:t>
      </w:r>
      <w:r w:rsidRPr="00811674">
        <w:rPr>
          <w:rStyle w:val="FootnoteReference"/>
          <w:rFonts w:eastAsia="Arial Unicode MS"/>
          <w:noProof/>
        </w:rPr>
        <w:footnoteReference w:id="2"/>
      </w:r>
      <w:r w:rsidRPr="00811674">
        <w:rPr>
          <w:noProof/>
        </w:rPr>
        <w:t xml:space="preserve"> og tager samtidig hensyn til nye politiske udviklinger samt behovet for at kunne reagere smidigt på nye udfordringer vedrørende integreret europæisk grænseforvaltning, herunder et velfungerende Schengenområde og EU's visumpolitik.</w:t>
      </w:r>
    </w:p>
    <w:p w14:paraId="23CA5C86" w14:textId="77777777" w:rsidR="00286E0D" w:rsidRPr="00811674" w:rsidRDefault="00286E0D" w:rsidP="00286E0D">
      <w:pPr>
        <w:pStyle w:val="ManualHeading2"/>
        <w:rPr>
          <w:rFonts w:eastAsia="Arial Unicode MS"/>
          <w:noProof/>
          <w:color w:val="000000"/>
          <w:u w:color="000000"/>
          <w:bdr w:val="nil"/>
        </w:rPr>
      </w:pPr>
      <w:r w:rsidRPr="00811674">
        <w:rPr>
          <w:noProof/>
          <w:color w:val="000000"/>
          <w:u w:color="000000"/>
          <w:bdr w:val="nil"/>
        </w:rPr>
        <w:t>•</w:t>
      </w:r>
      <w:r w:rsidRPr="00811674">
        <w:rPr>
          <w:noProof/>
          <w:color w:val="000000"/>
          <w:u w:color="000000"/>
          <w:bdr w:val="nil"/>
        </w:rPr>
        <w:tab/>
      </w:r>
      <w:r w:rsidRPr="00811674">
        <w:rPr>
          <w:noProof/>
        </w:rPr>
        <w:t>Sammenhæng med de gældende regler på samme område</w:t>
      </w:r>
    </w:p>
    <w:p w14:paraId="254C54FA" w14:textId="77777777" w:rsidR="00286E0D" w:rsidRPr="00811674" w:rsidRDefault="00286E0D" w:rsidP="00286E0D">
      <w:pPr>
        <w:pBdr>
          <w:top w:val="nil"/>
          <w:left w:val="nil"/>
          <w:bottom w:val="nil"/>
          <w:right w:val="nil"/>
          <w:between w:val="nil"/>
          <w:bar w:val="nil"/>
        </w:pBdr>
        <w:rPr>
          <w:rFonts w:eastAsia="Arial Unicode MS"/>
          <w:noProof/>
        </w:rPr>
      </w:pPr>
      <w:r w:rsidRPr="00811674">
        <w:rPr>
          <w:noProof/>
        </w:rPr>
        <w:t>EU-støtten til den europæiske integrerede grænseforvaltning og den europæiske visumpolitik vil fungere i nøje komplementaritet med de øvrige politikker inden for rammerne af planerne for nationalt og regionalt partnerskab og dermed fremme synergier mellem disse politikker. Der skal ligeledes tilstræbes synergier og komplementaritet, navnlig med Schengenreglerne, og den lovgivningspakke, der ligger til grund for pagten om migration og asyl, som trådte i kraft den 11. juni 2024. En intensiveret EU-politik for den europæiske integrerede grænseforvaltning og EU's visumpolitik kræver imidlertid en indsats på tværs af hele spektret af de værktøjer, der står til rådighed, herunder aktiviteter i relevante decentrale EU-agenturer.</w:t>
      </w:r>
    </w:p>
    <w:p w14:paraId="7C64BB8E" w14:textId="77777777" w:rsidR="00EB6497" w:rsidRPr="00811674" w:rsidRDefault="00EB6497" w:rsidP="00286E0D">
      <w:pPr>
        <w:pBdr>
          <w:top w:val="nil"/>
          <w:left w:val="nil"/>
          <w:bottom w:val="nil"/>
          <w:right w:val="nil"/>
          <w:between w:val="nil"/>
          <w:bar w:val="nil"/>
        </w:pBdr>
        <w:rPr>
          <w:rFonts w:eastAsia="Arial Unicode MS"/>
          <w:noProof/>
        </w:rPr>
      </w:pPr>
      <w:bookmarkStart w:id="5" w:name="_Hlk202880469"/>
      <w:r w:rsidRPr="00811674">
        <w:rPr>
          <w:noProof/>
          <w:color w:val="000000" w:themeColor="text1"/>
        </w:rPr>
        <w:t>De seks decentrale agenturer for indre anliggender (Frontex, Europol, EUAA, eu-LISA, EUDA og Cepol) spiller en vigtig og stadig større rolle i gennemførelsen af politikkerne for indre anliggender. Det er afgørende at sikre sammenhæng mellem de politiske strategier, der er fastlagt på EU-plan, og de decentrale agenturers operationelle aktiviteter, og dermed også maksimere bidraget til EU's politiske mål fra den EU-finansiering, der ydes til de decentrale agenturer. De decentrale agenturers operationelle rolle kan kræve en yderligere styrkelse, ledsaget af en tilsvarende forøgelse af finansieringen.</w:t>
      </w:r>
    </w:p>
    <w:bookmarkEnd w:id="5"/>
    <w:p w14:paraId="3F7C3464" w14:textId="77777777" w:rsidR="00286E0D" w:rsidRPr="00811674" w:rsidRDefault="00286E0D" w:rsidP="00336FEB">
      <w:pPr>
        <w:pStyle w:val="ManualHeading2"/>
        <w:ind w:left="851" w:hanging="851"/>
        <w:rPr>
          <w:rFonts w:eastAsia="Arial Unicode MS"/>
          <w:noProof/>
        </w:rPr>
      </w:pPr>
      <w:r w:rsidRPr="00811674">
        <w:rPr>
          <w:noProof/>
          <w:color w:val="000000"/>
          <w:u w:color="000000"/>
          <w:bdr w:val="nil"/>
        </w:rPr>
        <w:t>•</w:t>
      </w:r>
      <w:r w:rsidRPr="00811674">
        <w:rPr>
          <w:noProof/>
          <w:color w:val="000000"/>
          <w:u w:color="000000"/>
          <w:bdr w:val="nil"/>
        </w:rPr>
        <w:tab/>
      </w:r>
      <w:r w:rsidRPr="00811674">
        <w:rPr>
          <w:noProof/>
        </w:rPr>
        <w:t>Sammenhæng med Unionens politik på andre områder</w:t>
      </w:r>
    </w:p>
    <w:p w14:paraId="1AF2B945" w14:textId="77777777" w:rsidR="0031749A" w:rsidRPr="00811674" w:rsidRDefault="00286E0D" w:rsidP="00286E0D">
      <w:pPr>
        <w:pBdr>
          <w:top w:val="nil"/>
          <w:left w:val="nil"/>
          <w:bottom w:val="nil"/>
          <w:right w:val="nil"/>
          <w:between w:val="nil"/>
          <w:bar w:val="nil"/>
        </w:pBdr>
        <w:rPr>
          <w:rFonts w:eastAsia="Arial Unicode MS"/>
          <w:noProof/>
          <w:color w:val="000000" w:themeColor="text1"/>
        </w:rPr>
      </w:pPr>
      <w:r w:rsidRPr="00811674">
        <w:rPr>
          <w:noProof/>
        </w:rPr>
        <w:t xml:space="preserve">Integreret europæisk grænseforvaltning og visumpolitik bygger på synergier og sammenhæng med relevante EU-politikker såsom asyl og migration, indre sikkerhed og Unionens eksterne politikker til støtte for tredjelande, navnlig i henhold til forordning (EU) [...] [Et globalt Europa], som </w:t>
      </w:r>
      <w:r w:rsidRPr="00811674">
        <w:rPr>
          <w:noProof/>
          <w:color w:val="000000" w:themeColor="text1"/>
        </w:rPr>
        <w:t>dækker en bred vifte af områder med vigtige forbindelser til interne politikker, herunder grænseforvaltnings- og visumpolitikker. Det er navnlig vigtigt at sikre øget sammenhæng med EU-støtten til samarbejde om grænseforvaltning med partnerlande under Et globalt Europa med henblik på at bidrage til en koordineret, helhedsorienteret og struktureret tilgang, der maksimerer synergierne og giver den nødvendige indflydelse. I denne sammenhæng er støtten til grænseoverskridende samarbejde under Et globalt Europa særlig relevant for at styrke grænseforvaltningen og fortsætte bestræbelserne på at forhindre irregulær migration.</w:t>
      </w:r>
    </w:p>
    <w:p w14:paraId="6CBA56D8" w14:textId="77777777" w:rsidR="00286E0D" w:rsidRPr="00811674" w:rsidRDefault="00286E0D" w:rsidP="0031749A">
      <w:pPr>
        <w:pBdr>
          <w:top w:val="nil"/>
          <w:left w:val="nil"/>
          <w:bottom w:val="nil"/>
          <w:right w:val="nil"/>
          <w:between w:val="nil"/>
          <w:bar w:val="nil"/>
        </w:pBdr>
        <w:rPr>
          <w:noProof/>
          <w:szCs w:val="24"/>
        </w:rPr>
      </w:pPr>
      <w:r w:rsidRPr="00811674">
        <w:rPr>
          <w:noProof/>
        </w:rPr>
        <w:t>For at støtte dagsordenen for konkurrenceevne bør investeringer baseret på innovative metoder eller nye teknologier, herunder foranstaltninger, der har til formål at teste og validere resultaterne af EU-finansierede forskningsprojekter, også overvejes.</w:t>
      </w:r>
    </w:p>
    <w:p w14:paraId="43A280F3" w14:textId="77777777" w:rsidR="00B9223C" w:rsidRPr="00811674" w:rsidRDefault="00AD5AEE" w:rsidP="00AD5AEE">
      <w:pPr>
        <w:pStyle w:val="ManualHeading2"/>
        <w:ind w:left="851" w:hanging="851"/>
        <w:rPr>
          <w:rFonts w:eastAsia="Arial Unicode MS"/>
          <w:noProof/>
          <w:color w:val="000000"/>
          <w:u w:color="000000"/>
          <w:bdr w:val="nil"/>
        </w:rPr>
      </w:pPr>
      <w:r w:rsidRPr="00811674">
        <w:rPr>
          <w:noProof/>
          <w:color w:val="000000"/>
          <w:u w:color="000000"/>
          <w:bdr w:val="nil"/>
        </w:rPr>
        <w:t>•</w:t>
      </w:r>
      <w:r w:rsidRPr="00811674">
        <w:rPr>
          <w:noProof/>
          <w:color w:val="000000"/>
          <w:u w:color="000000"/>
          <w:bdr w:val="nil"/>
        </w:rPr>
        <w:tab/>
        <w:t>Variabel geometri</w:t>
      </w:r>
    </w:p>
    <w:p w14:paraId="4C39B415" w14:textId="77777777" w:rsidR="00C244F7" w:rsidRPr="00811674" w:rsidRDefault="00B9223C" w:rsidP="00B9223C">
      <w:pPr>
        <w:rPr>
          <w:rFonts w:eastAsia="Arial Unicode MS"/>
          <w:noProof/>
        </w:rPr>
      </w:pPr>
      <w:r w:rsidRPr="00811674">
        <w:rPr>
          <w:noProof/>
        </w:rPr>
        <w:t>Denne forordning udgør en udvikling af Schengenreglerne. Som følge heraf er anvendelsen af forordningen på Danmark og Irland underlagt særlige bestemmelser i protokol nr. 19 og protokol nr. 22, der er bilagt TEU og TEUF.</w:t>
      </w:r>
    </w:p>
    <w:p w14:paraId="5CBE603F" w14:textId="77777777" w:rsidR="00C244F7" w:rsidRPr="00811674" w:rsidRDefault="00C244F7" w:rsidP="00B9223C">
      <w:pPr>
        <w:rPr>
          <w:rFonts w:eastAsia="Times New Roman"/>
          <w:noProof/>
          <w:color w:val="000000" w:themeColor="text1"/>
        </w:rPr>
      </w:pPr>
      <w:r w:rsidRPr="00811674">
        <w:rPr>
          <w:noProof/>
        </w:rPr>
        <w:t>I henhold til artikel 1 og 2 i protokol nr. 22 er forordningen ikke bindende eller gældende i Danmark. I henhold til artikel 4 i protokol nr. 22 skal Danmark dog træffe afgørelse om, hvorvidt det vil gennemføre og være bundet af foranstaltninger, der bygger på Schengenreglerne.</w:t>
      </w:r>
      <w:r w:rsidRPr="00811674">
        <w:rPr>
          <w:i/>
          <w:noProof/>
          <w:color w:val="000000" w:themeColor="text1"/>
        </w:rPr>
        <w:t xml:space="preserve"> </w:t>
      </w:r>
      <w:r w:rsidRPr="00811674">
        <w:rPr>
          <w:noProof/>
          <w:color w:val="000000" w:themeColor="text1"/>
        </w:rPr>
        <w:t>Hvis Danmark beslutter at gøre dette, vil foranstaltningen skabe en folkeretlig forpligtelse mellem Danmark og de øvrige medlemsstater.</w:t>
      </w:r>
    </w:p>
    <w:p w14:paraId="0E7F29D4" w14:textId="77777777" w:rsidR="00B9223C" w:rsidRPr="00811674" w:rsidRDefault="00C244F7" w:rsidP="00FA3905">
      <w:pPr>
        <w:rPr>
          <w:rFonts w:eastAsia="Times New Roman"/>
          <w:noProof/>
          <w:color w:val="000000" w:themeColor="text1"/>
        </w:rPr>
      </w:pPr>
      <w:r w:rsidRPr="00811674">
        <w:rPr>
          <w:noProof/>
          <w:color w:val="000000" w:themeColor="text1"/>
        </w:rPr>
        <w:t>I henhold til artikel 4 i protokol nr. 19 kan Irland til enhver tid anmode om at deltage i nogle af eller alle bestemmelserne i Schengenreglerne. Selv om Irland deltager i visse dele af Schengenreglerne, vedrører denne forordning ikke de dele af Schengenreglerne,</w:t>
      </w:r>
      <w:r w:rsidRPr="00811674">
        <w:rPr>
          <w:i/>
          <w:noProof/>
          <w:color w:val="000000" w:themeColor="text1"/>
        </w:rPr>
        <w:t xml:space="preserve"> </w:t>
      </w:r>
      <w:r w:rsidRPr="00811674">
        <w:rPr>
          <w:noProof/>
          <w:color w:val="000000" w:themeColor="text1"/>
        </w:rPr>
        <w:t xml:space="preserve">som Irland deltager i. </w:t>
      </w:r>
      <w:r w:rsidRPr="00811674">
        <w:rPr>
          <w:noProof/>
        </w:rPr>
        <w:t>Som en foranstaltning, der udgør en videreudvikling af Schengenreglerne, skal forordningen meddeles fire lande (Island, Kongeriget Norge, Det Schweiziske Forbund og Fyrstendømmet Liechtenstein), som ikke er EU-medlemsstater, men som deltager i Schengenområdet uden kontrol ved de indre grænser på grundlag af associeringsaftaler indgået med Unionen. Når de fire associerede Schengenlande er blevet underrettet, skal de bekræfte deres accept af forordningens indhold og gennemføre den i deres nationale lovgivning. De foreslåede foranstaltninger vil derfor også gælde for disse fire lande.</w:t>
      </w:r>
    </w:p>
    <w:p w14:paraId="3F7474CB" w14:textId="77777777" w:rsidR="00286E0D" w:rsidRPr="00811674" w:rsidRDefault="00286E0D" w:rsidP="00286E0D">
      <w:pPr>
        <w:pStyle w:val="ManualHeading1"/>
        <w:rPr>
          <w:noProof/>
        </w:rPr>
      </w:pPr>
      <w:r w:rsidRPr="00811674">
        <w:rPr>
          <w:noProof/>
        </w:rPr>
        <w:t>2.</w:t>
      </w:r>
      <w:r w:rsidRPr="00811674">
        <w:rPr>
          <w:noProof/>
        </w:rPr>
        <w:tab/>
        <w:t>RETSGRUNDLAG, NÆRHEDSPRINCIPPET OG PROPORTIONALITETSPRINCIPPET</w:t>
      </w:r>
    </w:p>
    <w:p w14:paraId="71B17439"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Retsgrundlag</w:t>
      </w:r>
    </w:p>
    <w:p w14:paraId="3FC49ECD" w14:textId="77777777" w:rsidR="00286E0D" w:rsidRPr="00811674" w:rsidRDefault="00286E0D" w:rsidP="00286E0D">
      <w:pPr>
        <w:pBdr>
          <w:top w:val="nil"/>
          <w:left w:val="nil"/>
          <w:bottom w:val="nil"/>
          <w:right w:val="nil"/>
          <w:between w:val="nil"/>
          <w:bar w:val="nil"/>
        </w:pBdr>
        <w:rPr>
          <w:rFonts w:eastAsia="Arial Unicode MS"/>
          <w:noProof/>
        </w:rPr>
      </w:pPr>
      <w:r w:rsidRPr="00811674">
        <w:rPr>
          <w:noProof/>
        </w:rPr>
        <w:t>I artikel 3, stk. 2, i traktaten om Den Europæiske Union fastsættes det, at "Unionen giver borgerne et område med frihed, sikkerhed og retfærdighed, hvor der er fri bevægelighed for personer, kombineret med passende foranstaltninger vedrørende kontrol ved de ydre grænser, asyl, indvandring og forebyggelse og bekæmpelse af kriminalitet". Retsgrundlaget for dette forslag findes i de foranstaltninger, der er omhandlet i artikel 77, stk. 2, og i artikel 79, stk. 2, litra c) og d), i traktaten om Den Europæiske Unions funktionsmåde (TEUF).</w:t>
      </w:r>
    </w:p>
    <w:p w14:paraId="750CEE1E"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 xml:space="preserve">Nærhedsprincippet (for områder, der ikke er omfattet af enekompetence) </w:t>
      </w:r>
    </w:p>
    <w:p w14:paraId="0C17F853" w14:textId="77777777" w:rsidR="00286E0D" w:rsidRPr="00811674" w:rsidRDefault="0031749A" w:rsidP="00D35A81">
      <w:pPr>
        <w:pBdr>
          <w:top w:val="nil"/>
          <w:left w:val="nil"/>
          <w:bottom w:val="nil"/>
          <w:right w:val="nil"/>
          <w:between w:val="nil"/>
          <w:bar w:val="nil"/>
        </w:pBdr>
        <w:rPr>
          <w:rFonts w:eastAsia="Arial Unicode MS"/>
          <w:noProof/>
        </w:rPr>
      </w:pPr>
      <w:r w:rsidRPr="00811674">
        <w:rPr>
          <w:noProof/>
          <w:color w:val="000000" w:themeColor="text1"/>
        </w:rPr>
        <w:t xml:space="preserve">Målene med forslaget kan ikke opfyldes, hvis medlemsstaterne handler hver for sig, eftersom problemerne er af grænseoverskridende karakter og ikke er begrænset til én medlemsstat eller en undergruppe af medlemsstater. </w:t>
      </w:r>
      <w:r w:rsidRPr="00811674">
        <w:rPr>
          <w:noProof/>
        </w:rPr>
        <w:t>EU-støtten skaber merværdi ved at fremme en fælles tilgang på tværs af medlemsstaterne ved gennemførelsen af EU's regelsæt og standarder samt ved at styrke samarbejdet mellem medlemsstaterne om tværnationale spørgsmål.</w:t>
      </w:r>
    </w:p>
    <w:p w14:paraId="0E9E52B6"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Proportionalitetsprincippet</w:t>
      </w:r>
    </w:p>
    <w:p w14:paraId="6AD7B953" w14:textId="77777777" w:rsidR="00286E0D" w:rsidRPr="00811674" w:rsidRDefault="0031749A" w:rsidP="00FA3905">
      <w:pPr>
        <w:pBdr>
          <w:top w:val="nil"/>
          <w:left w:val="nil"/>
          <w:bottom w:val="nil"/>
          <w:right w:val="nil"/>
          <w:between w:val="nil"/>
          <w:bar w:val="nil"/>
        </w:pBdr>
        <w:rPr>
          <w:rFonts w:eastAsia="Arial Unicode MS"/>
          <w:noProof/>
          <w:color w:val="000000" w:themeColor="text1"/>
        </w:rPr>
      </w:pPr>
      <w:r w:rsidRPr="00811674">
        <w:rPr>
          <w:noProof/>
          <w:color w:val="000000" w:themeColor="text1"/>
        </w:rPr>
        <w:t>Forslaget går ikke ud over, hvad der er nødvendigt for at nå de mål, der er nævnt i afsnit 1. Det falder ind under anvendelsesområdet for tiltag inden for området frihed, sikkerhed og retfærdighed, som defineret i afsnit V i tredje del af TEUF. Formålene med og størrelsen af den tilsvarende EU-støtte står i et rimeligt forhold til, hvad der ønskes opnået med retsakten.</w:t>
      </w:r>
    </w:p>
    <w:p w14:paraId="70EDA19B"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Valg af instrument</w:t>
      </w:r>
    </w:p>
    <w:p w14:paraId="675DAC45" w14:textId="5D8E2C52" w:rsidR="0031749A" w:rsidRPr="00811674" w:rsidRDefault="0031749A" w:rsidP="001F3E4C">
      <w:pPr>
        <w:pBdr>
          <w:top w:val="nil"/>
          <w:left w:val="nil"/>
          <w:bottom w:val="nil"/>
          <w:right w:val="nil"/>
          <w:between w:val="nil"/>
          <w:bar w:val="nil"/>
        </w:pBdr>
        <w:rPr>
          <w:rFonts w:eastAsia="Arial Unicode MS"/>
          <w:noProof/>
          <w:color w:val="000000" w:themeColor="text1"/>
        </w:rPr>
      </w:pPr>
      <w:r w:rsidRPr="00811674">
        <w:rPr>
          <w:noProof/>
          <w:color w:val="000000" w:themeColor="text1"/>
        </w:rPr>
        <w:t>Det mest hensigtsmæssige instrument til gennemførelse af nærværende forslag er en forordning fra Europa-Parlamentet og Rådet om EU-støtte til grænseforvaltning for perioden fra den 1. januar 2028 til den 31. december 2034, som supplerer forslaget til</w:t>
      </w:r>
      <w:r w:rsidRPr="00811674">
        <w:rPr>
          <w:noProof/>
        </w:rPr>
        <w:t xml:space="preserve"> </w:t>
      </w:r>
      <w:r w:rsidRPr="00811674">
        <w:rPr>
          <w:noProof/>
          <w:color w:val="000000" w:themeColor="text1"/>
        </w:rPr>
        <w:t>forordning (EU) [...] om oprettelse af Den Europæiske Fond for Økonomisk, Social og Territorial Samhørighed, Landbrug, Landdistrikter, Fiskeri, det Maritime Område, Velstand og Sikkerhed.</w:t>
      </w:r>
    </w:p>
    <w:p w14:paraId="0FA6C1BD" w14:textId="77777777" w:rsidR="00286E0D" w:rsidRPr="00811674" w:rsidRDefault="00286E0D" w:rsidP="00286E0D">
      <w:pPr>
        <w:pStyle w:val="ManualHeading1"/>
        <w:rPr>
          <w:noProof/>
        </w:rPr>
      </w:pPr>
      <w:r w:rsidRPr="00811674">
        <w:rPr>
          <w:noProof/>
        </w:rPr>
        <w:t>3.</w:t>
      </w:r>
      <w:r w:rsidRPr="00811674">
        <w:rPr>
          <w:noProof/>
        </w:rPr>
        <w:tab/>
        <w:t>RESULTATER AF RETROSPEKTIVE EVALUERINGER, HØRINGER AF INTERESSENTER OG KONSEKVENSANALYSER</w:t>
      </w:r>
    </w:p>
    <w:p w14:paraId="0B632E01"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Retrospektive evalueringer/kvalitetskontrol af gældende lovgivning</w:t>
      </w:r>
    </w:p>
    <w:p w14:paraId="76E894A2" w14:textId="77777777" w:rsidR="00286E0D" w:rsidRPr="00811674" w:rsidRDefault="00286E0D" w:rsidP="00EB6497">
      <w:pPr>
        <w:pBdr>
          <w:top w:val="nil"/>
          <w:left w:val="nil"/>
          <w:bottom w:val="nil"/>
          <w:right w:val="nil"/>
          <w:between w:val="nil"/>
          <w:bar w:val="nil"/>
        </w:pBdr>
        <w:rPr>
          <w:rFonts w:eastAsia="Arial Unicode MS"/>
          <w:noProof/>
        </w:rPr>
      </w:pPr>
      <w:r w:rsidRPr="00811674">
        <w:rPr>
          <w:noProof/>
        </w:rPr>
        <w:t xml:space="preserve">De foreløbige resultater af den igangværende efterfølgende evaluering af Fonden for Intern Sikkerhed – Grænser og Visum (ISF-BV) for programmeringsperioden 2014-2020 bekræfter, at ISF-BV var effektiv til at støtte medlemsstaterne i at nå deres mål inden for visumpolitik og forvaltning af de ydre grænser. Indførelsen af flerårig programmering og nationale støtteberettigelsesregler bidrog til at mindske den administrative byrde. Hvor de blev anvendt, var forenklede omkostningsmodeller vellykkede med hensyn til at reducere den administrative byrde, men de blev ikke taget i brug i stort omfang. ISF-BV udviste varierende grader af omkostningseffektivitet og effektivitet. ISF-BV var sammenhængende inden for sine fondskomponenter og med andre EU-fonde, men sammenhængen med Horisont Europa og mellem de nationale programmer og EU-foranstaltninger kunne styrkes yderligere. ISF-BV bidrog væsentligt til EU-merværdi. </w:t>
      </w:r>
      <w:bookmarkStart w:id="6" w:name="_Hlk202880568"/>
      <w:r w:rsidRPr="00811674">
        <w:rPr>
          <w:noProof/>
        </w:rPr>
        <w:t>I den efterfølgende evaluering konkluderes det foreløbigt, at en forenkling af rapporteringskrav og administrative procedurer uden en forringelse af kvaliteten og de nødvendige kvantitative oplysninger til overvågning af gennemførelsen kan øge effektiviteten betydeligt. Denne tilgang bør minimere den administrative byrde og give interessenter mulighed for at fokusere på at levere resultater frem for at navigere i bureaukratiske processer.</w:t>
      </w:r>
      <w:bookmarkEnd w:id="6"/>
    </w:p>
    <w:p w14:paraId="539AF480" w14:textId="77777777" w:rsidR="00286E0D" w:rsidRPr="00811674" w:rsidRDefault="00286E0D" w:rsidP="00EB6497">
      <w:pPr>
        <w:pBdr>
          <w:top w:val="nil"/>
          <w:left w:val="nil"/>
          <w:bottom w:val="nil"/>
          <w:right w:val="nil"/>
          <w:between w:val="nil"/>
          <w:bar w:val="nil"/>
        </w:pBdr>
        <w:rPr>
          <w:rFonts w:eastAsia="Arial Unicode MS"/>
          <w:i/>
          <w:noProof/>
        </w:rPr>
      </w:pPr>
      <w:r w:rsidRPr="00811674">
        <w:rPr>
          <w:noProof/>
        </w:rPr>
        <w:t xml:space="preserve">De foreløbige resultater af midtvejsevalueringen af instrumentet for grænseforvaltning og visa (IGFV) for programmeringsperioden 2021-2027 bekræfter, at overvågnings- og evalueringsrammen for IGFV er blevet væsentligt forbedret i forhold til perioden 2014-2020. Medlemsstaterne og støttemodtagerne fremhævede en række betænkeligheder med hensyn til den administrative byrde. Hidtil har forvaltningsmyndighederne kun gjort begrænset brug af forenklede omkostningsmuligheder og finansiering, der ikke er knyttet til omkostninger, hvilket kan mindske den administrative byrde. Medlemsstaternes programmer og Kommissionens arbejdsprogrammer for den tematiske facilitet har været i overensstemmelse med andre nationale og EU-finansieringsinstrumenter. Sammenhængen kunne dog have været yderligere styrket mellem EU-aktioner og medlemsstaternes programmer samt med Horisont Europa for at øge udbredelsen af innovative teknologiske løsninger. Endelig har IGFV fremmet samarbejdet, sikret overholdelse af EU's standarder og styrket EU's kollektive ramme for grænseforvaltning og visumpolitik. </w:t>
      </w:r>
      <w:bookmarkStart w:id="7" w:name="_Hlk202880726"/>
      <w:r w:rsidRPr="00811674">
        <w:rPr>
          <w:noProof/>
        </w:rPr>
        <w:t>Specifikke foranstaltninger er især blevet værdsat af interessenterne for deres fleksibilitet og for tilvejebringelse af yderligere ad hoc-finansiering til specifikke prioriteter. Midtvejsevalueringen understreger også betydningen af at gå videre med at forenkle leveringen af finansiering og bedre forklare forvaltningsmyndighederne, hvordan resultatrammen kan bidrage til en effektiv forvaltning af programmerne ud over den rent formelle rapportering, der kræves i henhold til forordningen</w:t>
      </w:r>
      <w:bookmarkEnd w:id="7"/>
      <w:r w:rsidRPr="00811674">
        <w:rPr>
          <w:noProof/>
        </w:rPr>
        <w:t>.</w:t>
      </w:r>
    </w:p>
    <w:p w14:paraId="7AA2B0D5"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Høringer af interessenter</w:t>
      </w:r>
    </w:p>
    <w:p w14:paraId="4E66CF84" w14:textId="32471CB5" w:rsidR="00286E0D" w:rsidRPr="00811674" w:rsidRDefault="00286E0D" w:rsidP="001F3E4C">
      <w:pPr>
        <w:pBdr>
          <w:top w:val="nil"/>
          <w:left w:val="nil"/>
          <w:bottom w:val="nil"/>
          <w:right w:val="nil"/>
          <w:between w:val="nil"/>
          <w:bar w:val="nil"/>
        </w:pBdr>
        <w:rPr>
          <w:rFonts w:eastAsia="Arial Unicode MS"/>
          <w:noProof/>
        </w:rPr>
      </w:pPr>
      <w:r w:rsidRPr="00811674">
        <w:rPr>
          <w:noProof/>
        </w:rPr>
        <w:t xml:space="preserve">Kommissionen samarbejdede aktivt med interessenterne i processen med initiativet, navnlig gennem særlige arrangementer og offentlige høringsaktiviteter, som </w:t>
      </w:r>
      <w:bookmarkStart w:id="8" w:name="_Hlk202112428"/>
      <w:r w:rsidRPr="00811674">
        <w:rPr>
          <w:noProof/>
        </w:rPr>
        <w:t xml:space="preserve">nærmere beskrevet i det tilsvarende kapitel i begrundelsen til </w:t>
      </w:r>
      <w:bookmarkStart w:id="9" w:name="_Hlk201931196"/>
      <w:r w:rsidRPr="00811674">
        <w:rPr>
          <w:noProof/>
          <w:color w:val="000000" w:themeColor="text1"/>
        </w:rPr>
        <w:t>forslag til forordning (EU) [...] om oprettelse af Den Europæiske Fond for Økonomisk, Social og Territorial Samhørighed, Landbrug, Landdistrikter, Fiskeri, det Maritime Område, Velstand og Sikkerhed</w:t>
      </w:r>
      <w:bookmarkEnd w:id="8"/>
      <w:bookmarkEnd w:id="9"/>
      <w:r w:rsidRPr="00811674">
        <w:rPr>
          <w:noProof/>
        </w:rPr>
        <w:t xml:space="preserve">. </w:t>
      </w:r>
    </w:p>
    <w:p w14:paraId="5933E9C5"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Ekstern ekspertbistand</w:t>
      </w:r>
    </w:p>
    <w:p w14:paraId="379C1D35" w14:textId="03883662" w:rsidR="00286E0D" w:rsidRPr="00811674" w:rsidRDefault="00286E0D" w:rsidP="00286E0D">
      <w:pPr>
        <w:pBdr>
          <w:top w:val="nil"/>
          <w:left w:val="nil"/>
          <w:bottom w:val="nil"/>
          <w:right w:val="nil"/>
          <w:between w:val="nil"/>
          <w:bar w:val="nil"/>
        </w:pBdr>
        <w:rPr>
          <w:rFonts w:eastAsia="Arial Unicode MS"/>
          <w:noProof/>
        </w:rPr>
      </w:pPr>
      <w:r w:rsidRPr="00811674">
        <w:rPr>
          <w:noProof/>
        </w:rPr>
        <w:t xml:space="preserve">Oplysninger om Kommissionens brug af ekstern ekspertise findes i det tilsvarende kapitel i begrundelsen til </w:t>
      </w:r>
      <w:r w:rsidRPr="00811674">
        <w:rPr>
          <w:noProof/>
          <w:color w:val="000000" w:themeColor="text1"/>
        </w:rPr>
        <w:t>forslag til forordning (EU) [...] om oprettelse af Den Europæiske Fond for Økonomisk, Social og Territorial Samhørighed, Landbrug, Landdistrikter, Fiskeri, det Maritime Område, Velstand og Sikkerhed.</w:t>
      </w:r>
    </w:p>
    <w:p w14:paraId="7B1950A5"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Konsekvensanalyse</w:t>
      </w:r>
    </w:p>
    <w:p w14:paraId="1537B458" w14:textId="1B9AF564" w:rsidR="00286E0D" w:rsidRPr="00811674" w:rsidRDefault="00286E0D" w:rsidP="00286E0D">
      <w:pPr>
        <w:pBdr>
          <w:top w:val="nil"/>
          <w:left w:val="nil"/>
          <w:bottom w:val="nil"/>
          <w:right w:val="nil"/>
          <w:between w:val="nil"/>
          <w:bar w:val="nil"/>
        </w:pBdr>
        <w:rPr>
          <w:rFonts w:eastAsia="Arial Unicode MS"/>
          <w:noProof/>
        </w:rPr>
      </w:pPr>
      <w:bookmarkStart w:id="10" w:name="_Hlk201931214"/>
      <w:r w:rsidRPr="00811674">
        <w:rPr>
          <w:noProof/>
        </w:rPr>
        <w:t xml:space="preserve">Oplysninger om Kommissionens konsekvensanalyse findes i det tilsvarende kapitel i begrundelsen til </w:t>
      </w:r>
      <w:r w:rsidRPr="00811674">
        <w:rPr>
          <w:noProof/>
          <w:color w:val="000000" w:themeColor="text1"/>
        </w:rPr>
        <w:t>forslag til forordning (EU) [...] om oprettelse af Den Europæiske Fond for Økonomisk, Social og Territorial Samhørighed, Landbrug, Landdistrikter, Fiskeri, det Maritime Område, Velstand og Sikkerhed</w:t>
      </w:r>
      <w:bookmarkEnd w:id="10"/>
      <w:r w:rsidRPr="00811674">
        <w:rPr>
          <w:noProof/>
        </w:rPr>
        <w:t>.</w:t>
      </w:r>
    </w:p>
    <w:p w14:paraId="150E44C0"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Forenkling</w:t>
      </w:r>
    </w:p>
    <w:p w14:paraId="5F7036BD" w14:textId="2B3428DA" w:rsidR="00286E0D" w:rsidRPr="00811674" w:rsidRDefault="00286E0D" w:rsidP="00286E0D">
      <w:pPr>
        <w:pBdr>
          <w:top w:val="nil"/>
          <w:left w:val="nil"/>
          <w:bottom w:val="nil"/>
          <w:right w:val="nil"/>
          <w:between w:val="nil"/>
          <w:bar w:val="nil"/>
        </w:pBdr>
        <w:rPr>
          <w:rFonts w:eastAsia="Calibri"/>
          <w:noProof/>
        </w:rPr>
      </w:pPr>
      <w:r w:rsidRPr="00811674">
        <w:rPr>
          <w:noProof/>
        </w:rPr>
        <w:t xml:space="preserve">Initiativet forventes at bidrage til en betydelig reduktion af den administrative byrde og omkostningerne samt til øget effektivitet i gennemførelsen af EU-støtte, jf. også det tilsvarende kapitel i begrundelsen til </w:t>
      </w:r>
      <w:r w:rsidRPr="00811674">
        <w:rPr>
          <w:noProof/>
          <w:color w:val="000000" w:themeColor="text1"/>
        </w:rPr>
        <w:t>forslag til forordning (EU) [...] om oprettelse af Den Europæiske Fond for Økonomisk, Social og Territorial Samhørighed, Landbrug, Landdistrikter, Fiskeri, det Maritime Område, Velstand og Sikkerhed.</w:t>
      </w:r>
    </w:p>
    <w:p w14:paraId="6EF0EB51"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Grundlæggende rettigheder</w:t>
      </w:r>
    </w:p>
    <w:p w14:paraId="2B806987" w14:textId="4EBE1154" w:rsidR="00286E0D" w:rsidRPr="00811674" w:rsidRDefault="00286E0D" w:rsidP="00286E0D">
      <w:pPr>
        <w:pBdr>
          <w:top w:val="nil"/>
          <w:left w:val="nil"/>
          <w:bottom w:val="nil"/>
          <w:right w:val="nil"/>
          <w:between w:val="nil"/>
          <w:bar w:val="nil"/>
        </w:pBdr>
        <w:rPr>
          <w:rFonts w:eastAsia="Arial Unicode MS"/>
          <w:noProof/>
        </w:rPr>
      </w:pPr>
      <w:r w:rsidRPr="00811674">
        <w:rPr>
          <w:noProof/>
        </w:rPr>
        <w:t xml:space="preserve">EU-støtten vil blive gennemført i overensstemmelse med Den Europæiske Unions charter om grundlæggende rettigheder og retsstatsprincippet som fastsat i artikel 2, litra a), i forordning (EU, Euratom) 2020/2092, jf. desuden det tilsvarende afsnit i begrundelsen, der ledsager Kommissionens forslag til </w:t>
      </w:r>
      <w:r w:rsidRPr="00811674">
        <w:rPr>
          <w:noProof/>
          <w:color w:val="000000" w:themeColor="text1"/>
        </w:rPr>
        <w:t>forordning (EU) [...] om oprettelse af Den Europæiske Fond for Økonomisk, Social og Territorial Samhørighed, Landbrug, Landdistrikter, Fiskeri, det Maritime Område, Velstand og Sikkerhed.</w:t>
      </w:r>
    </w:p>
    <w:p w14:paraId="785D377B" w14:textId="77777777" w:rsidR="00286E0D" w:rsidRPr="00811674" w:rsidRDefault="00286E0D" w:rsidP="00286E0D">
      <w:pPr>
        <w:pStyle w:val="ManualHeading1"/>
        <w:rPr>
          <w:noProof/>
        </w:rPr>
      </w:pPr>
      <w:r w:rsidRPr="00811674">
        <w:rPr>
          <w:noProof/>
        </w:rPr>
        <w:t>4.</w:t>
      </w:r>
      <w:r w:rsidRPr="00811674">
        <w:rPr>
          <w:noProof/>
        </w:rPr>
        <w:tab/>
        <w:t>VIRKNINGER FOR BUDGETTET</w:t>
      </w:r>
    </w:p>
    <w:p w14:paraId="3E5D695D" w14:textId="406E1912" w:rsidR="00401265" w:rsidRPr="00811674" w:rsidRDefault="00401265" w:rsidP="00401265">
      <w:pPr>
        <w:pBdr>
          <w:top w:val="nil"/>
          <w:left w:val="nil"/>
          <w:bottom w:val="nil"/>
          <w:right w:val="nil"/>
          <w:between w:val="nil"/>
          <w:bar w:val="nil"/>
        </w:pBdr>
        <w:rPr>
          <w:rFonts w:eastAsia="Arial Unicode MS"/>
          <w:noProof/>
          <w:color w:val="000000" w:themeColor="text1"/>
        </w:rPr>
      </w:pPr>
      <w:r w:rsidRPr="00811674">
        <w:rPr>
          <w:noProof/>
          <w:color w:val="000000" w:themeColor="text1"/>
        </w:rPr>
        <w:t xml:space="preserve">Den vejledende finansielle ramme for gennemførelsen af målene under EU-støtten er fastsat til </w:t>
      </w:r>
      <w:r w:rsidRPr="00811674">
        <w:rPr>
          <w:noProof/>
        </w:rPr>
        <w:t>15 396 750 000 EUR</w:t>
      </w:r>
      <w:r w:rsidRPr="00811674">
        <w:rPr>
          <w:noProof/>
          <w:color w:val="000000" w:themeColor="text1"/>
        </w:rPr>
        <w:t xml:space="preserve"> for perioden fra 2028 til 2034 i løbende priser. Den gennemføres i overensstemmelse med de horisontale regler for de planer for nationalt og regionalt partnerskab, der er fastsat i forordning (EU) [...] om oprettelse af Den Europæiske Fond for Økonomisk, Social og Territorial Samhørighed, Landbrug, Landdistrikter, Fiskeri, det Maritime Område, Velstand og Sikkerhed.</w:t>
      </w:r>
    </w:p>
    <w:p w14:paraId="2B2668EA" w14:textId="42F468FB" w:rsidR="00286E0D" w:rsidRPr="00811674"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811674" w:rsidRDefault="00286E0D" w:rsidP="00286E0D">
      <w:pPr>
        <w:pStyle w:val="ManualHeading1"/>
        <w:rPr>
          <w:noProof/>
        </w:rPr>
      </w:pPr>
      <w:r w:rsidRPr="00811674">
        <w:rPr>
          <w:noProof/>
        </w:rPr>
        <w:t>5.</w:t>
      </w:r>
      <w:r w:rsidRPr="00811674">
        <w:rPr>
          <w:noProof/>
        </w:rPr>
        <w:tab/>
        <w:t>ANDRE FORHOLD</w:t>
      </w:r>
    </w:p>
    <w:p w14:paraId="68F9A644"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Planer for gennemførelsen og foranstaltninger til overvågning, evaluering og rapportering</w:t>
      </w:r>
    </w:p>
    <w:p w14:paraId="4C6C6654" w14:textId="78D78654" w:rsidR="00286E0D" w:rsidRPr="00811674" w:rsidRDefault="00286E0D" w:rsidP="00B86814">
      <w:pPr>
        <w:pBdr>
          <w:top w:val="nil"/>
          <w:left w:val="nil"/>
          <w:bottom w:val="nil"/>
          <w:right w:val="nil"/>
          <w:between w:val="nil"/>
          <w:bar w:val="nil"/>
        </w:pBdr>
        <w:rPr>
          <w:rFonts w:eastAsia="Arial Unicode MS"/>
          <w:noProof/>
        </w:rPr>
      </w:pPr>
      <w:r w:rsidRPr="00811674">
        <w:rPr>
          <w:noProof/>
        </w:rPr>
        <w:t>EU-støtten i henhold til dette forslag vil blive gennemført gennem delt forvaltning af medlemsstaterne samt direkte og indirekte forvaltning af Kommissionen. Gennemførelsen af EU-støtten vil blive overvåget gennem den resultatramme, der gælder for den flerårige finansielle ramme 2028-2034, som er fastsat i forslaget til forordning (EU) [...] om oprettelse af en ramme for sporing af budgetudgifter og en resultatramme samt andre horisontale regler for EU-programmer og -aktiviteter.</w:t>
      </w:r>
    </w:p>
    <w:p w14:paraId="759E865E" w14:textId="77777777" w:rsidR="00286E0D" w:rsidRPr="00811674" w:rsidRDefault="00286E0D" w:rsidP="00286E0D">
      <w:pPr>
        <w:pStyle w:val="ManualHeading2"/>
        <w:rPr>
          <w:rFonts w:eastAsia="Arial Unicode MS"/>
          <w:noProof/>
          <w:u w:color="000000"/>
          <w:bdr w:val="nil"/>
        </w:rPr>
      </w:pPr>
      <w:r w:rsidRPr="00811674">
        <w:rPr>
          <w:noProof/>
          <w:u w:color="000000"/>
          <w:bdr w:val="nil"/>
        </w:rPr>
        <w:t>•</w:t>
      </w:r>
      <w:r w:rsidRPr="00811674">
        <w:rPr>
          <w:noProof/>
          <w:u w:color="000000"/>
          <w:bdr w:val="nil"/>
        </w:rPr>
        <w:tab/>
        <w:t>Nærmere redegørelse for de enkelte bestemmelser i forslaget</w:t>
      </w:r>
    </w:p>
    <w:p w14:paraId="5D95CCE4" w14:textId="58BEDF0E" w:rsidR="002779C4" w:rsidRPr="00811674" w:rsidRDefault="00286E0D" w:rsidP="002779C4">
      <w:pPr>
        <w:pBdr>
          <w:top w:val="nil"/>
          <w:left w:val="nil"/>
          <w:bottom w:val="nil"/>
          <w:right w:val="nil"/>
          <w:between w:val="nil"/>
          <w:bar w:val="nil"/>
        </w:pBdr>
        <w:rPr>
          <w:rFonts w:eastAsia="Arial Unicode MS"/>
          <w:noProof/>
        </w:rPr>
      </w:pPr>
      <w:r w:rsidRPr="00811674">
        <w:rPr>
          <w:noProof/>
        </w:rPr>
        <w:t xml:space="preserve"> I artikel 1 i forslaget til forordning fastlægges anvendelsesområdet for EU-støtten til EU's integrerede grænseforvaltning og EU's visumpolitik for perioden fra den 1. januar 2028 til den 31. december 2034. Med henblik herpå fastsættes væsentlige definitioner i artikel 2, og målene defineres i artikel 3 i overensstemmelse med den EU-støtte, der vil blive ydet i henhold til de horisontale regler for Den </w:t>
      </w:r>
      <w:r w:rsidRPr="00811674">
        <w:rPr>
          <w:noProof/>
          <w:color w:val="000000" w:themeColor="text1"/>
        </w:rPr>
        <w:t>Europæiske Fond for Økonomisk, Social og Territorial Samhørighed, Landbrug, Landdistrikter, Fiskeri, det Maritime Område, Velstand og Sikkerhed,</w:t>
      </w:r>
      <w:r w:rsidRPr="00811674">
        <w:rPr>
          <w:noProof/>
        </w:rPr>
        <w:t xml:space="preserve"> der oprettes ved forordning (EU) [...].</w:t>
      </w:r>
    </w:p>
    <w:p w14:paraId="56E233B3" w14:textId="5502E0FB" w:rsidR="002779C4" w:rsidRPr="00811674" w:rsidRDefault="002779C4" w:rsidP="00286E0D">
      <w:pPr>
        <w:pBdr>
          <w:top w:val="nil"/>
          <w:left w:val="nil"/>
          <w:bottom w:val="nil"/>
          <w:right w:val="nil"/>
          <w:between w:val="nil"/>
          <w:bar w:val="nil"/>
        </w:pBdr>
        <w:rPr>
          <w:rFonts w:eastAsia="Arial Unicode MS"/>
          <w:noProof/>
        </w:rPr>
      </w:pPr>
      <w:r w:rsidRPr="00811674">
        <w:rPr>
          <w:noProof/>
        </w:rPr>
        <w:t xml:space="preserve">I artikel 4 fastsættes bestemmelser for finansiering af EU-støtten, i artikel 5 bestemmelser for de Schengenassocierede lande, og i artikel 6 bestemmelser om gennemførelse af den særlige transitordning i Litauen. </w:t>
      </w:r>
    </w:p>
    <w:p w14:paraId="3EE630F2" w14:textId="0FA4DF22" w:rsidR="00286E0D" w:rsidRPr="00811674" w:rsidRDefault="00286E0D" w:rsidP="00286E0D">
      <w:pPr>
        <w:pBdr>
          <w:top w:val="nil"/>
          <w:left w:val="nil"/>
          <w:bottom w:val="nil"/>
          <w:right w:val="nil"/>
          <w:between w:val="nil"/>
          <w:bar w:val="nil"/>
        </w:pBdr>
        <w:rPr>
          <w:rFonts w:eastAsia="Arial Unicode MS"/>
          <w:noProof/>
        </w:rPr>
      </w:pPr>
      <w:r w:rsidRPr="00811674">
        <w:rPr>
          <w:noProof/>
        </w:rPr>
        <w:t xml:space="preserve">I artikel 7 i den foreslåede forordning fastsættes endvidere reglerne for den budgetmæssige behandling af midlerne til driftsomkostninger i forbindelse med det europæiske system vedrørende rejseinformation og rejsetilladelse i henhold til forordning (EU) 2018/1240, og i artikel 8 fastsættes reglerne for den budgetmæssige behandling af de finansielle bidrag fra medlemsstaterne med henblik på den årlige solidaritetspulje, der er oprettet ved </w:t>
      </w:r>
      <w:bookmarkStart w:id="11" w:name="_Hlk201927609"/>
      <w:r w:rsidRPr="00811674">
        <w:rPr>
          <w:noProof/>
        </w:rPr>
        <w:t>forordning (EU) 2024/1351</w:t>
      </w:r>
      <w:bookmarkEnd w:id="11"/>
      <w:r w:rsidRPr="00811674">
        <w:rPr>
          <w:noProof/>
        </w:rPr>
        <w:t xml:space="preserve"> af Europa-Parlamentet og Rådet af 14. maj 2024</w:t>
      </w:r>
      <w:r w:rsidRPr="00811674">
        <w:rPr>
          <w:rStyle w:val="FootnoteReference"/>
          <w:noProof/>
        </w:rPr>
        <w:footnoteReference w:id="3"/>
      </w:r>
      <w:r w:rsidRPr="00811674">
        <w:rPr>
          <w:noProof/>
        </w:rPr>
        <w:t>.</w:t>
      </w:r>
    </w:p>
    <w:p w14:paraId="1FF0825E" w14:textId="72B484A4" w:rsidR="00286E0D" w:rsidRPr="00811674" w:rsidRDefault="00631DBC" w:rsidP="00286E0D">
      <w:pPr>
        <w:pBdr>
          <w:top w:val="nil"/>
          <w:left w:val="nil"/>
          <w:bottom w:val="nil"/>
          <w:right w:val="nil"/>
          <w:between w:val="nil"/>
          <w:bar w:val="nil"/>
        </w:pBdr>
        <w:rPr>
          <w:noProof/>
        </w:rPr>
      </w:pPr>
      <w:r w:rsidRPr="00811674">
        <w:rPr>
          <w:noProof/>
        </w:rPr>
        <w:t>Artikel 9 indeholder overgangsbestemmelser. Datoen for den foreslåede forordnings ikrafttræden er fastsat i artikel 10, hvor det fastsættes, at forordningen er bindende i alle enkeltheder og gælder umiddelbart i hver medlemsstat i overensstemmelse med traktaterne fra den 1. januar 2028.</w:t>
      </w:r>
    </w:p>
    <w:p w14:paraId="68C60A71" w14:textId="77777777" w:rsidR="00286E0D" w:rsidRPr="00811674" w:rsidRDefault="00286E0D" w:rsidP="00286E0D">
      <w:pPr>
        <w:spacing w:before="0" w:after="200" w:line="276" w:lineRule="auto"/>
        <w:jc w:val="left"/>
        <w:rPr>
          <w:rFonts w:eastAsia="Arial Unicode MS"/>
          <w:noProof/>
          <w:color w:val="000000" w:themeColor="text1"/>
        </w:rPr>
      </w:pPr>
      <w:r w:rsidRPr="00811674">
        <w:rPr>
          <w:noProof/>
        </w:rPr>
        <w:br w:type="page"/>
      </w:r>
    </w:p>
    <w:p w14:paraId="567EEDE0" w14:textId="1516EF86" w:rsidR="00835316" w:rsidRPr="00811674" w:rsidRDefault="00E160E9" w:rsidP="00E160E9">
      <w:pPr>
        <w:pStyle w:val="Rfrenceinterinstitutionnelle"/>
        <w:rPr>
          <w:noProof/>
        </w:rPr>
      </w:pPr>
      <w:r>
        <w:rPr>
          <w:noProof/>
        </w:rPr>
        <w:t>2025/0541 (COD)</w:t>
      </w:r>
    </w:p>
    <w:p w14:paraId="108B7708" w14:textId="24704490" w:rsidR="00286E0D" w:rsidRPr="00811674" w:rsidRDefault="00E160E9" w:rsidP="00E160E9">
      <w:pPr>
        <w:pStyle w:val="Statut"/>
        <w:rPr>
          <w:noProof/>
        </w:rPr>
      </w:pPr>
      <w:r w:rsidRPr="00E160E9">
        <w:rPr>
          <w:noProof/>
        </w:rPr>
        <w:t>Forslag til</w:t>
      </w:r>
    </w:p>
    <w:p w14:paraId="5162298C" w14:textId="4C730D27" w:rsidR="00286E0D" w:rsidRPr="00811674" w:rsidRDefault="00E160E9" w:rsidP="00E160E9">
      <w:pPr>
        <w:pStyle w:val="Typedudocument"/>
        <w:rPr>
          <w:noProof/>
        </w:rPr>
      </w:pPr>
      <w:r w:rsidRPr="00E160E9">
        <w:rPr>
          <w:noProof/>
        </w:rPr>
        <w:t>EUROPA-PARLAMENTETS OG RÅDETS FORORDNING</w:t>
      </w:r>
    </w:p>
    <w:p w14:paraId="3DE0D02D" w14:textId="5F99E6C4" w:rsidR="00286E0D" w:rsidRPr="00811674" w:rsidRDefault="00E160E9" w:rsidP="00E160E9">
      <w:pPr>
        <w:pStyle w:val="Titreobjet"/>
        <w:rPr>
          <w:noProof/>
        </w:rPr>
      </w:pPr>
      <w:r w:rsidRPr="00E160E9">
        <w:rPr>
          <w:noProof/>
        </w:rPr>
        <w:t>om EU-støtte til Schengenområdet, til integreret europæisk grænseforvaltning og til den fælles visumpolitik for perioden 2028-2034</w:t>
      </w:r>
    </w:p>
    <w:p w14:paraId="749F32E6" w14:textId="77777777" w:rsidR="00286E0D" w:rsidRPr="00811674" w:rsidRDefault="00286E0D" w:rsidP="00286E0D">
      <w:pPr>
        <w:pStyle w:val="Institutionquiagit"/>
        <w:rPr>
          <w:noProof/>
        </w:rPr>
      </w:pPr>
      <w:r w:rsidRPr="00811674">
        <w:rPr>
          <w:noProof/>
        </w:rPr>
        <w:t>EUROPA-PARLAMENTET OG RÅDET FOR DEN EUROPÆISKE UNION HAR —</w:t>
      </w:r>
    </w:p>
    <w:p w14:paraId="1A70989E" w14:textId="77777777" w:rsidR="00286E0D" w:rsidRPr="00811674" w:rsidRDefault="00286E0D" w:rsidP="00286E0D">
      <w:pPr>
        <w:rPr>
          <w:noProof/>
        </w:rPr>
      </w:pPr>
      <w:r w:rsidRPr="00811674">
        <w:rPr>
          <w:noProof/>
        </w:rPr>
        <w:t>under henvisning til traktaten om Den Europæiske Unions funktionsmåde, særlig artikel 77, stk. 2, og artikel 79, stk. 2, litra c) og d),</w:t>
      </w:r>
    </w:p>
    <w:p w14:paraId="6C9BB100" w14:textId="77777777" w:rsidR="00286E0D" w:rsidRPr="00811674" w:rsidRDefault="00286E0D" w:rsidP="00286E0D">
      <w:pPr>
        <w:rPr>
          <w:noProof/>
        </w:rPr>
      </w:pPr>
      <w:r w:rsidRPr="00811674">
        <w:rPr>
          <w:noProof/>
        </w:rPr>
        <w:t>under henvisning til forslag fra Europa-Kommissionen,</w:t>
      </w:r>
    </w:p>
    <w:p w14:paraId="2BE23168" w14:textId="77777777" w:rsidR="00286E0D" w:rsidRPr="00811674" w:rsidRDefault="00286E0D" w:rsidP="00286E0D">
      <w:pPr>
        <w:rPr>
          <w:noProof/>
        </w:rPr>
      </w:pPr>
      <w:r w:rsidRPr="00811674">
        <w:rPr>
          <w:noProof/>
        </w:rPr>
        <w:t>efter fremsendelse af udkast til lovgivningsmæssig retsakt til de nationale parlamenter,</w:t>
      </w:r>
    </w:p>
    <w:p w14:paraId="1F8E258B" w14:textId="77777777" w:rsidR="00286E0D" w:rsidRPr="00811674" w:rsidRDefault="00286E0D" w:rsidP="00286E0D">
      <w:pPr>
        <w:rPr>
          <w:i/>
          <w:noProof/>
        </w:rPr>
      </w:pPr>
      <w:r w:rsidRPr="00811674">
        <w:rPr>
          <w:noProof/>
        </w:rPr>
        <w:t>under henvisning til udtalelse fra Det Europæiske Økonomiske og Sociale Udvalg</w:t>
      </w:r>
      <w:r w:rsidRPr="00811674">
        <w:rPr>
          <w:rStyle w:val="FootnoteReference"/>
          <w:noProof/>
        </w:rPr>
        <w:footnoteReference w:id="4"/>
      </w:r>
      <w:r w:rsidRPr="00811674">
        <w:rPr>
          <w:noProof/>
        </w:rPr>
        <w:t>,</w:t>
      </w:r>
    </w:p>
    <w:p w14:paraId="2B431944" w14:textId="77777777" w:rsidR="00286E0D" w:rsidRPr="00811674" w:rsidRDefault="00286E0D" w:rsidP="00286E0D">
      <w:pPr>
        <w:rPr>
          <w:noProof/>
        </w:rPr>
      </w:pPr>
      <w:r w:rsidRPr="00811674">
        <w:rPr>
          <w:noProof/>
        </w:rPr>
        <w:t>efter høring af Regionsudvalget,</w:t>
      </w:r>
    </w:p>
    <w:p w14:paraId="482D2264" w14:textId="77777777" w:rsidR="00286E0D" w:rsidRPr="00811674" w:rsidRDefault="00286E0D" w:rsidP="00286E0D">
      <w:pPr>
        <w:rPr>
          <w:noProof/>
        </w:rPr>
      </w:pPr>
      <w:r w:rsidRPr="00811674">
        <w:rPr>
          <w:noProof/>
        </w:rPr>
        <w:t>efter den almindelige lovgivningsprocedure</w:t>
      </w:r>
      <w:r w:rsidRPr="00811674">
        <w:rPr>
          <w:rStyle w:val="FootnoteReference"/>
          <w:noProof/>
        </w:rPr>
        <w:footnoteReference w:id="5"/>
      </w:r>
      <w:r w:rsidRPr="00811674">
        <w:rPr>
          <w:noProof/>
        </w:rPr>
        <w:t>, og</w:t>
      </w:r>
    </w:p>
    <w:p w14:paraId="068D2442" w14:textId="77777777" w:rsidR="00286E0D" w:rsidRPr="00811674" w:rsidRDefault="00286E0D" w:rsidP="00286E0D">
      <w:pPr>
        <w:rPr>
          <w:noProof/>
        </w:rPr>
      </w:pPr>
      <w:r w:rsidRPr="00811674">
        <w:rPr>
          <w:noProof/>
        </w:rPr>
        <w:t>ud fra følgende betragtninger:</w:t>
      </w:r>
    </w:p>
    <w:p w14:paraId="6FB4A7DA" w14:textId="26CAFE74" w:rsidR="00286E0D" w:rsidRPr="00811674" w:rsidRDefault="003347AC" w:rsidP="003347AC">
      <w:pPr>
        <w:pStyle w:val="ManualConsidrant"/>
        <w:rPr>
          <w:noProof/>
        </w:rPr>
      </w:pPr>
      <w:r w:rsidRPr="00811674">
        <w:rPr>
          <w:noProof/>
        </w:rPr>
        <w:t>(1)</w:t>
      </w:r>
      <w:r w:rsidRPr="00811674">
        <w:rPr>
          <w:noProof/>
        </w:rPr>
        <w:tab/>
        <w:t>Unionens mål om at udgøre et område med frihed, sikkerhed og retfærdighed i overensstemmelse med artikel 67, stk. 1, i traktaten om Den Europæiske Unions funktionsmåde (TEUF) bør nås ved at yde EU-støtte til udvikling af Unionens fælles politik for kontrol ved de ydre grænser, herunder til den fælles visumpolitik i henhold til artikel 77, stk. 2, litra a), i TEUF.</w:t>
      </w:r>
    </w:p>
    <w:p w14:paraId="00985906" w14:textId="205638BA" w:rsidR="00286E0D" w:rsidRPr="00811674" w:rsidRDefault="003347AC" w:rsidP="003347AC">
      <w:pPr>
        <w:pStyle w:val="ManualConsidrant"/>
        <w:rPr>
          <w:noProof/>
          <w:szCs w:val="24"/>
        </w:rPr>
      </w:pPr>
      <w:bookmarkStart w:id="12" w:name="_Hlk201766894"/>
      <w:r w:rsidRPr="00811674">
        <w:rPr>
          <w:noProof/>
        </w:rPr>
        <w:t>(2)</w:t>
      </w:r>
      <w:r w:rsidRPr="00811674">
        <w:rPr>
          <w:noProof/>
        </w:rPr>
        <w:tab/>
        <w:t>For at sikre, at Schengenområdet uden indre grænser fungerer effektivt, er en stærk forvaltningsramme, en effektiv integreret europæisk grænseforvaltning som gennemført af den europæiske grænse- og kystvagt, der blev oprettet ved Europa-Parlamentets og Rådets forordning (EU) 2019/1896</w:t>
      </w:r>
      <w:r w:rsidR="00286E0D" w:rsidRPr="00811674">
        <w:rPr>
          <w:rStyle w:val="FootnoteReference"/>
          <w:noProof/>
        </w:rPr>
        <w:footnoteReference w:id="6"/>
      </w:r>
      <w:r w:rsidRPr="00811674">
        <w:rPr>
          <w:noProof/>
        </w:rPr>
        <w:t>, og EU's visumpolitik af afgørende betydning for at sikre Schengenområdets integritet og modstandsdygtighed.</w:t>
      </w:r>
    </w:p>
    <w:bookmarkEnd w:id="12"/>
    <w:p w14:paraId="6F9BF459" w14:textId="1D0D3FD3" w:rsidR="00286E0D" w:rsidRPr="00811674" w:rsidRDefault="003347AC" w:rsidP="003347AC">
      <w:pPr>
        <w:pStyle w:val="ManualConsidrant"/>
        <w:rPr>
          <w:rFonts w:eastAsia="Arial Unicode MS"/>
          <w:noProof/>
          <w:szCs w:val="24"/>
        </w:rPr>
      </w:pPr>
      <w:r w:rsidRPr="00811674">
        <w:rPr>
          <w:noProof/>
        </w:rPr>
        <w:t>(3)</w:t>
      </w:r>
      <w:r w:rsidRPr="00811674">
        <w:rPr>
          <w:noProof/>
        </w:rPr>
        <w:tab/>
        <w:t xml:space="preserve">Der bør derfor ydes EU-støtte til medlemsstaternes bestræbelser på at beskytte Unionens ydre grænser for at begrænse ulovlig grænsepassage og ulovlige bevægelser mellem medlemsstaterne, modernisere og forbedre den overordnede effektivitet af visumbehandlingen og forebygge misbrug af Unionens visumordning. Denne EU-støtte skal ydes i henhold til de horisontale regler for </w:t>
      </w:r>
      <w:r w:rsidRPr="00811674">
        <w:rPr>
          <w:noProof/>
          <w:color w:val="000000" w:themeColor="text1"/>
        </w:rPr>
        <w:t>Den Europæiske Fond for Økonomisk, Social og Territorial Samhørighed, Landbrug, Landdistrikter, Fiskeri, det Maritime Område, Velstand og Sikkerhed</w:t>
      </w:r>
      <w:r w:rsidRPr="00811674">
        <w:rPr>
          <w:noProof/>
        </w:rPr>
        <w:t>, der er oprettet ved forordning (EU) [...].</w:t>
      </w:r>
    </w:p>
    <w:p w14:paraId="4CF9EAE0" w14:textId="55BF0AC6" w:rsidR="00BE09E6" w:rsidRPr="00811674" w:rsidRDefault="003347AC" w:rsidP="003347AC">
      <w:pPr>
        <w:pStyle w:val="ManualConsidrant"/>
        <w:rPr>
          <w:noProof/>
          <w:sz w:val="22"/>
        </w:rPr>
      </w:pPr>
      <w:r w:rsidRPr="00811674">
        <w:rPr>
          <w:noProof/>
        </w:rPr>
        <w:t>(4)</w:t>
      </w:r>
      <w:r w:rsidRPr="00811674">
        <w:rPr>
          <w:noProof/>
        </w:rPr>
        <w:tab/>
        <w:t xml:space="preserve">Der bør også ydes EU-støtte til effektiv gennemførelse, anvendelse og udvikling af Schengenrammen på europæisk og nationalt plan, herunder ved at styrke den nationale forvaltning af Schengensamarbejdet, der omfatter de effektive koordineringsstrukturer og strategiske processer, som er afgørende for et velfungerende Schengenområde. </w:t>
      </w:r>
    </w:p>
    <w:p w14:paraId="2AB47203" w14:textId="1048D925" w:rsidR="00286E0D" w:rsidRPr="00811674" w:rsidRDefault="003347AC" w:rsidP="003347AC">
      <w:pPr>
        <w:pStyle w:val="ManualConsidrant"/>
        <w:rPr>
          <w:noProof/>
          <w:szCs w:val="24"/>
        </w:rPr>
      </w:pPr>
      <w:r w:rsidRPr="00811674">
        <w:rPr>
          <w:noProof/>
        </w:rPr>
        <w:t>(5)</w:t>
      </w:r>
      <w:r w:rsidRPr="00811674">
        <w:rPr>
          <w:noProof/>
        </w:rPr>
        <w:tab/>
        <w:t xml:space="preserve">Ved denne forordning fastsættes målene for Unionens støtte til et velfungerende Schengenområde uden kontrol ved de indre grænser, navnlig til integreret europæisk grænseforvaltning, herunder støtte til sikring af, at Schengenområdet fungerer, og til EU's visumpolitik </w:t>
      </w:r>
      <w:bookmarkStart w:id="13" w:name="_Hlk201766871"/>
      <w:r w:rsidRPr="00811674">
        <w:rPr>
          <w:noProof/>
        </w:rPr>
        <w:t xml:space="preserve">("EU-støtten"). Medlemsstaterne bør sikre, at de i deres planer for nationalt og regionalt partnerskab adresserer hvert af de mål, der er fastsat i nærværende forordning. </w:t>
      </w:r>
      <w:bookmarkEnd w:id="13"/>
    </w:p>
    <w:p w14:paraId="6786A060" w14:textId="0E5C918F" w:rsidR="007947CD" w:rsidRPr="00811674" w:rsidRDefault="003347AC" w:rsidP="003347AC">
      <w:pPr>
        <w:pStyle w:val="ManualConsidrant"/>
        <w:rPr>
          <w:noProof/>
          <w:szCs w:val="24"/>
        </w:rPr>
      </w:pPr>
      <w:r w:rsidRPr="00811674">
        <w:rPr>
          <w:noProof/>
        </w:rPr>
        <w:t>(6)</w:t>
      </w:r>
      <w:r w:rsidRPr="00811674">
        <w:rPr>
          <w:noProof/>
        </w:rPr>
        <w:tab/>
        <w:t>I overensstemmelse med akten vedrørende Litauens tiltrædelse af EU imødekommer forordningen også behovet for at støtte Litauen i forvaltningen af persontransitten mellem Kaliningrad-regionen og andre dele af Den Russiske Føderation.</w:t>
      </w:r>
    </w:p>
    <w:p w14:paraId="32C36110" w14:textId="1703F862" w:rsidR="00286E0D" w:rsidRPr="00811674" w:rsidRDefault="003347AC" w:rsidP="003347AC">
      <w:pPr>
        <w:pStyle w:val="ManualConsidrant"/>
        <w:rPr>
          <w:noProof/>
        </w:rPr>
      </w:pPr>
      <w:r w:rsidRPr="00811674">
        <w:rPr>
          <w:noProof/>
        </w:rPr>
        <w:t>(7)</w:t>
      </w:r>
      <w:r w:rsidRPr="00811674">
        <w:rPr>
          <w:noProof/>
        </w:rPr>
        <w:tab/>
        <w:t xml:space="preserve">Kommissionen bør ved en enkelt gennemførelsesafgørelse fastsætte de beløb, der skal tildeles pr. medlemsstat, i overensstemmelse med den tildelingsmetode, der er fastsat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Denne afgørelse bør som hovedregel også omfatte beløbene i henhold til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forordning (EU) [...] om EU-støtte til asyl, migration og integration og forordning (EU) [...] om EU-støtte til indre sikkerhed.</w:t>
      </w:r>
    </w:p>
    <w:p w14:paraId="0C6F62A8" w14:textId="75D56802" w:rsidR="00286E0D" w:rsidRPr="00811674" w:rsidRDefault="003347AC" w:rsidP="003347AC">
      <w:pPr>
        <w:pStyle w:val="ManualConsidrant"/>
        <w:rPr>
          <w:noProof/>
        </w:rPr>
      </w:pPr>
      <w:r w:rsidRPr="00811674">
        <w:rPr>
          <w:noProof/>
        </w:rPr>
        <w:t>(8)</w:t>
      </w:r>
      <w:r w:rsidRPr="00811674">
        <w:rPr>
          <w:noProof/>
        </w:rPr>
        <w:tab/>
        <w:t>EU-støtten bør bygge på resultaterne og investeringerne fra de foregående programmeringsperioder: i) Fonden for de Ydre Grænser for perioden 2007-2013, der blev oprettet ved Europa-Parlamentets og Rådets beslutning nr. 574/2007/EF</w:t>
      </w:r>
      <w:r w:rsidR="00286E0D" w:rsidRPr="00811674">
        <w:rPr>
          <w:rStyle w:val="FootnoteReference"/>
          <w:noProof/>
        </w:rPr>
        <w:footnoteReference w:id="7"/>
      </w:r>
      <w:r w:rsidRPr="00811674">
        <w:rPr>
          <w:noProof/>
        </w:rPr>
        <w:t>, ii)</w:t>
      </w:r>
      <w:r w:rsidRPr="00811674">
        <w:rPr>
          <w:rStyle w:val="FootnoteReference"/>
          <w:noProof/>
        </w:rPr>
        <w:t xml:space="preserve"> </w:t>
      </w:r>
      <w:r w:rsidRPr="00811674">
        <w:rPr>
          <w:noProof/>
        </w:rPr>
        <w:t>instrumentet for ydre grænser og visum som en del af Fonden for Intern Sikkerhed for perioden 2014-2020, der blev oprettet ved Europa-Parlamentets og Rådets forordning (EU) nr. 515/2014</w:t>
      </w:r>
      <w:r w:rsidR="00286E0D" w:rsidRPr="00811674">
        <w:rPr>
          <w:rStyle w:val="FootnoteReference"/>
          <w:noProof/>
        </w:rPr>
        <w:footnoteReference w:id="8"/>
      </w:r>
      <w:r w:rsidRPr="00811674">
        <w:rPr>
          <w:noProof/>
        </w:rPr>
        <w:t>, og iii) instrumentet for finansiel støtte til grænseforvaltning og visumpolitik som en del af Fonden for Integreret Grænseforvaltning for perioden 2021-2027, der blev oprettet ved Europa-Parlamentets og Rådets forordning (EU) 2021/1148</w:t>
      </w:r>
      <w:r w:rsidR="00286E0D" w:rsidRPr="00811674">
        <w:rPr>
          <w:rStyle w:val="FootnoteReference"/>
          <w:noProof/>
          <w:szCs w:val="24"/>
        </w:rPr>
        <w:footnoteReference w:id="9"/>
      </w:r>
      <w:r w:rsidRPr="00811674">
        <w:rPr>
          <w:noProof/>
        </w:rPr>
        <w:t xml:space="preserve">. </w:t>
      </w:r>
    </w:p>
    <w:p w14:paraId="28287138" w14:textId="6789F30D" w:rsidR="00B9223C" w:rsidRPr="00811674" w:rsidRDefault="003347AC" w:rsidP="003347AC">
      <w:pPr>
        <w:pStyle w:val="ManualConsidrant"/>
        <w:rPr>
          <w:rFonts w:eastAsia="Arial Unicode MS"/>
          <w:noProof/>
          <w:szCs w:val="24"/>
        </w:rPr>
      </w:pPr>
      <w:r w:rsidRPr="00811674">
        <w:rPr>
          <w:noProof/>
        </w:rPr>
        <w:t>(9)</w:t>
      </w:r>
      <w:r w:rsidRPr="00811674">
        <w:rPr>
          <w:noProof/>
        </w:rPr>
        <w:tab/>
        <w:t>I lyset af en verden i forandring og øget ustabilitet er Unionen og dens medlemsstater nødt til at kombinere deres ressourcer for effektivt at beskytte Unionens ydre grænser, herunder for at bekæmpe irregulær migration, smugling af migranter og menneskehandel, og reagere på statslige aktører, der kunstigt skaber og letter irregulær migration, instrumentaliserer migrationsstrømme som et redskab til politiske formål og anvender hybride krigsførelsestaktikker, f.eks. brugen af migration som våben</w:t>
      </w:r>
      <w:r w:rsidR="00BA3EDB" w:rsidRPr="00811674">
        <w:rPr>
          <w:rStyle w:val="FootnoteReference"/>
          <w:noProof/>
        </w:rPr>
        <w:footnoteReference w:id="10"/>
      </w:r>
      <w:r w:rsidRPr="00811674">
        <w:rPr>
          <w:noProof/>
        </w:rPr>
        <w:t>, til at destabilisere Den Europæiske Union og dens medlemsstater. Af hensyn til solidariteten i Schengenområdet som helhed og i en ånd af fælles ansvar for beskyttelsen af Unionens ydre grænser bør medlemsstaterne i deres planer for nationalt og regionalt partnerskab i tilstrækkelig grad tage fat på de konstaterede udfordringer, navnlig i forbindelse med strategien for integreret europæisk grænseforvaltning, strategien for den europæiske visumpolitik og den nye IT-arkitektur for Schengensamarbejdet, der bygger på de store informationsteknologisystemer (IT-systemer), som anvendes til forvaltning af de ydre grænser og sikkerheden, samt på disse systemers interoperabilitet. Til støtte for grænsekontrolmissionen bør det desuden overvejes at anvende teknologi og digitale løsninger.</w:t>
      </w:r>
    </w:p>
    <w:p w14:paraId="748664DD" w14:textId="5916F529" w:rsidR="00FA5BBE" w:rsidRPr="00811674" w:rsidRDefault="003347AC" w:rsidP="003347AC">
      <w:pPr>
        <w:pStyle w:val="ManualConsidrant"/>
        <w:rPr>
          <w:noProof/>
        </w:rPr>
      </w:pPr>
      <w:r w:rsidRPr="00811674">
        <w:rPr>
          <w:noProof/>
        </w:rPr>
        <w:t>(10)</w:t>
      </w:r>
      <w:r w:rsidRPr="00811674">
        <w:rPr>
          <w:noProof/>
        </w:rPr>
        <w:tab/>
        <w:t>EU-støtten bør bidrage til at sikre konsekvens, sammenhæng, synergier og komplementaritet mellem Unionens interne og eksterne politikker. Der er behov for øget sammenhæng mellem migrations-, asyl- og tilbagesendelsespolitikker og eksterne politikker, og det er vigtigt at sikre, at Unionens eksterne bistand og EU-støtten i henhold til nærværende forordning bidrager til en koordineret, holistisk og struktureret tilgang til migration, der maksimerer synergierne og øger løftestangseffekten. EU-støtte i henhold til nærværende forordning kan i behørigt begrundede tilfælde også omfatte støtte til EU-delegationernes relevante ressourcer samt koordineres mellem medlemsstaterne og Kommissionen i programmerings- og gennemførelsesfaserne.</w:t>
      </w:r>
    </w:p>
    <w:p w14:paraId="46F16C80" w14:textId="2DCE2966" w:rsidR="00DC6F83" w:rsidRPr="00811674" w:rsidRDefault="003347AC" w:rsidP="003347AC">
      <w:pPr>
        <w:pStyle w:val="ManualConsidrant"/>
        <w:rPr>
          <w:noProof/>
        </w:rPr>
      </w:pPr>
      <w:r w:rsidRPr="00811674">
        <w:rPr>
          <w:noProof/>
        </w:rPr>
        <w:t>(11)</w:t>
      </w:r>
      <w:r w:rsidRPr="00811674">
        <w:rPr>
          <w:noProof/>
        </w:rPr>
        <w:tab/>
        <w:t>Europa er nødt til at beskytte sine sikkerhedsinteresser mod leverandører, som kan udgøre en vedvarende sikkerhedsrisiko på grund af potentiel indblanding fra tredjelande samt deres cybersikkerhedspraksis. Det er derfor nødvendigt at mindske risikoen for fortsat afhængighed af højrisikoleverandører på det indre marked, da de kan have potentielt alvorlige negative sikkerhedsmæssige konsekvenser for brugere, virksomheder og myndigheder i hele EU og for EU's kritiske infrastruktur, når det kommer til integriteten af data og tjenester samt tilgængeligheden af tjenester. Denne udelukkelse bør baseres på en forholdsmæssig risikovurdering og dertil knyttede afbødende foranstaltninger som fastsat i Unionens politikker og lovgivning.</w:t>
      </w:r>
    </w:p>
    <w:p w14:paraId="36DC56FF" w14:textId="4044E33B" w:rsidR="00286E0D" w:rsidRPr="00811674" w:rsidRDefault="003347AC" w:rsidP="003347AC">
      <w:pPr>
        <w:pStyle w:val="ManualConsidrant"/>
        <w:rPr>
          <w:rFonts w:eastAsia="Arial Unicode MS"/>
          <w:noProof/>
          <w:szCs w:val="24"/>
        </w:rPr>
      </w:pPr>
      <w:r w:rsidRPr="00811674">
        <w:rPr>
          <w:noProof/>
        </w:rPr>
        <w:t>(12)</w:t>
      </w:r>
      <w:r w:rsidRPr="00811674">
        <w:rPr>
          <w:noProof/>
        </w:rPr>
        <w:tab/>
        <w:t xml:space="preserve">Da udfordringerne inden for grænseforvaltning og visumpolitik hele tiden ændrer sig, er der behov for at tilpasse tildelingen af EU-støtte til ændringer i prioriteterne for politikken for forvaltning af de ydre grænser og visum, herunder ændringer som følge af øget pres ved grænsen, samt behov for at kanalisere finansiering til de prioriteter, der har størst EU-merværdi. For at imødekomme presserende behov og ændringer i politikker og EU-prioriteter og for at styre finansieringen hen imod tiltag med en høj EU-merværdi bør en del af EU-støtten gennemføres ved direkte, delt og indirekte forvaltning via den EU-facilitet, der er oprettet i henhold til forordning (EU) [...] om </w:t>
      </w:r>
      <w:r w:rsidRPr="00811674">
        <w:rPr>
          <w:noProof/>
          <w:color w:val="000000" w:themeColor="text1"/>
        </w:rPr>
        <w:t>oprettelse af Den Europæiske Fond for Økonomisk, Social og Territorial Samhørighed, Landbrug, Landdistrikter, Fiskeri, det Maritime Område, Velstand og Sikkerhed</w:t>
      </w:r>
      <w:r w:rsidRPr="00811674">
        <w:rPr>
          <w:noProof/>
        </w:rPr>
        <w:t>. EU-faciliteten giver fleksibilitet i forvaltningen af EU-støtten, og for så vidt angår delt forvaltning bør den gennemføres gennem medlemsstaternes planer for nationalt og regionalt partnerskab.</w:t>
      </w:r>
    </w:p>
    <w:p w14:paraId="3E024F13" w14:textId="33F10476" w:rsidR="00286E0D" w:rsidRPr="00811674" w:rsidRDefault="003347AC" w:rsidP="003347AC">
      <w:pPr>
        <w:pStyle w:val="ManualConsidrant"/>
        <w:rPr>
          <w:rFonts w:eastAsia="Arial Unicode MS"/>
          <w:noProof/>
          <w:szCs w:val="24"/>
        </w:rPr>
      </w:pPr>
      <w:r w:rsidRPr="00811674">
        <w:rPr>
          <w:noProof/>
        </w:rPr>
        <w:t>(13)</w:t>
      </w:r>
      <w:r w:rsidRPr="00811674">
        <w:rPr>
          <w:noProof/>
        </w:rPr>
        <w:tab/>
        <w:t>Kommissionen og medlemsstaterne bør sikre, at der tages hensyn til EU-organers, -kontorers og -agenturers viden og erfaring, når de gennemfører foranstaltninger eller håndterer udfordringer i forbindelse med migrationsstyring, grænsekontrol og -forvaltning og indre sikkerhed. Hvor det er relevant, bør Kommissionen også kunne inddrage de relevante EU-organer, -kontorer og -agenturer i aktiviteter, der har til formål at sikre, at de foranstaltninger, der er omfattet af EU-støtten, er i overensstemmelse med relevant gældende EU-ret og vedtagne EU-prioriteter.</w:t>
      </w:r>
    </w:p>
    <w:p w14:paraId="79A06EF4" w14:textId="6FE4B497" w:rsidR="00286E0D" w:rsidRPr="00811674" w:rsidRDefault="003347AC" w:rsidP="003347AC">
      <w:pPr>
        <w:pStyle w:val="ManualConsidrant"/>
        <w:rPr>
          <w:noProof/>
        </w:rPr>
      </w:pPr>
      <w:r w:rsidRPr="00811674">
        <w:rPr>
          <w:noProof/>
        </w:rPr>
        <w:t>(14)</w:t>
      </w:r>
      <w:r w:rsidRPr="00811674">
        <w:rPr>
          <w:noProof/>
        </w:rPr>
        <w:tab/>
        <w:t xml:space="preserve">EU-støtten bør støtte foranstaltninger vedrørende kontrol ved de ydre grænser på området for de lande, der anvender Schengenreglerne, som led i gennemførelsen af den integrerede europæiske grænseforvaltning, der vil få det samlede Schengenområde til at fungere bedre. For at præcisere arten af og måderne for deltagelse i EU-støtten for lande, der er associeret i gennemførelsen, anvendelsen og udviklingen af Schengenreglerne, bør der indgås yderligere ordninger mellem Unionen og disse lande efter de relevante bestemmelser i de respektive associeringsaftaler mellem disse lande og Unionen. </w:t>
      </w:r>
    </w:p>
    <w:p w14:paraId="1ACD8BCA" w14:textId="7A46241F" w:rsidR="00286E0D" w:rsidRPr="00811674" w:rsidRDefault="003347AC" w:rsidP="003347AC">
      <w:pPr>
        <w:pStyle w:val="ManualConsidrant"/>
        <w:rPr>
          <w:noProof/>
        </w:rPr>
      </w:pPr>
      <w:r w:rsidRPr="00811674">
        <w:rPr>
          <w:noProof/>
        </w:rPr>
        <w:t>(15)</w:t>
      </w:r>
      <w:r w:rsidRPr="00811674">
        <w:rPr>
          <w:noProof/>
        </w:rPr>
        <w:tab/>
        <w:t>EU-støtten bør fortsat bidrage til gennemførelsen, udviklingen og forvaltningen af Schengenområdet med henblik på at fremme et område uden kontrol ved de indre grænser. Den bør fortsat støtte foranstaltninger vedrørende kontrol ved de ydre grænser på området for de lande, der anvender Schengenreglerne, som led i gennemførelsen af den integrerede europæiske grænseforvaltning, der vil få det samlede Schengenområde til at fungere bedre.</w:t>
      </w:r>
    </w:p>
    <w:p w14:paraId="5A7895AE" w14:textId="175385F1" w:rsidR="00286E0D" w:rsidRPr="00811674" w:rsidRDefault="003347AC" w:rsidP="003347AC">
      <w:pPr>
        <w:pStyle w:val="ManualConsidrant"/>
        <w:rPr>
          <w:noProof/>
        </w:rPr>
      </w:pPr>
      <w:r w:rsidRPr="00811674">
        <w:rPr>
          <w:noProof/>
        </w:rPr>
        <w:t>(16)</w:t>
      </w:r>
      <w:r w:rsidRPr="00811674">
        <w:rPr>
          <w:noProof/>
        </w:rPr>
        <w:tab/>
        <w:t>EU-støtten bør bidrage til at modernisere og forbedre effektiviteten af visumbehandlingen med hensyn til at opdage og vurdere risici for sikkerheden og irregulær migration, så der sikres en effektiv gennemførelse af visumkodeksen. EU-støtten bør navnlig bidrage til digitaliseringen af visumbehandlingen med henblik på at sikre hurtige, sikre og brugervenlige visumprocedurer til gavn for både visumansøgere og konsulater. EU-støtten bør også forbedre servicen til visumansøgere, herunder gennem en bedre dækning af konsulære tjenester i hele verden.</w:t>
      </w:r>
    </w:p>
    <w:p w14:paraId="5F13111F" w14:textId="7964490E" w:rsidR="00286E0D" w:rsidRPr="00811674" w:rsidRDefault="003347AC" w:rsidP="003347AC">
      <w:pPr>
        <w:pStyle w:val="ManualConsidrant"/>
        <w:rPr>
          <w:noProof/>
        </w:rPr>
      </w:pPr>
      <w:bookmarkStart w:id="14" w:name="_Hlk201962914"/>
      <w:r w:rsidRPr="00811674">
        <w:rPr>
          <w:noProof/>
        </w:rPr>
        <w:t>(17)</w:t>
      </w:r>
      <w:r w:rsidRPr="00811674">
        <w:rPr>
          <w:noProof/>
        </w:rPr>
        <w:tab/>
        <w:t>For at sikre kontinuitet i forvaltningstilgangen kan medlemsstaterne ved gennemførelsen af EU-støtten tage udgangspunkt i partnerskabsprincippet.</w:t>
      </w:r>
      <w:bookmarkEnd w:id="14"/>
    </w:p>
    <w:p w14:paraId="7984B517" w14:textId="01857EF6" w:rsidR="00286E0D" w:rsidRPr="00811674" w:rsidRDefault="003347AC" w:rsidP="003347AC">
      <w:pPr>
        <w:pStyle w:val="ManualConsidrant"/>
        <w:rPr>
          <w:noProof/>
        </w:rPr>
      </w:pPr>
      <w:r w:rsidRPr="00811674">
        <w:rPr>
          <w:noProof/>
        </w:rPr>
        <w:t>(18)</w:t>
      </w:r>
      <w:r w:rsidRPr="00811674">
        <w:rPr>
          <w:noProof/>
        </w:rPr>
        <w:tab/>
        <w:t>I henhold til artikel 86 i Europa-Parlamentets og Rådets forordning (EU) 2018/1240</w:t>
      </w:r>
      <w:r w:rsidR="00286E0D" w:rsidRPr="00811674">
        <w:rPr>
          <w:rStyle w:val="FootnoteReference"/>
          <w:noProof/>
          <w:szCs w:val="24"/>
        </w:rPr>
        <w:footnoteReference w:id="11"/>
      </w:r>
      <w:r w:rsidRPr="00811674">
        <w:rPr>
          <w:noProof/>
        </w:rPr>
        <w:t xml:space="preserve"> bør driftsomkostningerne i forbindelse med det europæiske system vedrørende rejseinformation og rejsetilladelse (ETIAS) dækkes af de indtægter, der genereres ved gebyrerne for rejsetilladelser. Ved nærværende forordning bør der fastsættes regler med henblik på at stille medlemsstaternes respektive andel af ETIAS-gebyrerne til rådighed for dem, så de kan dække deres relevante driftsomkostninger, </w:t>
      </w:r>
      <w:bookmarkStart w:id="15" w:name="_Hlk202881236"/>
      <w:r w:rsidRPr="00811674">
        <w:rPr>
          <w:noProof/>
        </w:rPr>
        <w:t>herunder nærmere bestemmelser i de tilfælde, hvor deres samlede driftsomkostninger i et givet år overstiger de disponible ETIAS-indtægter</w:t>
      </w:r>
      <w:bookmarkEnd w:id="15"/>
      <w:r w:rsidRPr="00811674">
        <w:rPr>
          <w:noProof/>
        </w:rPr>
        <w:t xml:space="preserve">. </w:t>
      </w:r>
    </w:p>
    <w:p w14:paraId="73242398" w14:textId="7DC173D4" w:rsidR="00286E0D" w:rsidRPr="00811674" w:rsidRDefault="003347AC" w:rsidP="003347AC">
      <w:pPr>
        <w:pStyle w:val="ManualConsidrant"/>
        <w:rPr>
          <w:noProof/>
        </w:rPr>
      </w:pPr>
      <w:r w:rsidRPr="00811674">
        <w:rPr>
          <w:noProof/>
        </w:rPr>
        <w:t>(19)</w:t>
      </w:r>
      <w:r w:rsidRPr="00811674">
        <w:rPr>
          <w:noProof/>
        </w:rPr>
        <w:tab/>
        <w:t>Da de medlemsstater, der er udsat for migrationspres, bør kunne regne med EU-støtte, bør der i nærværende forordning fastsættes regler med henblik på at stille den respektive andel af de finansielle bidrag, der indgår i den årlige solidaritetspulje, der er oprettet ved forordning (EU) 2024/1351</w:t>
      </w:r>
      <w:r w:rsidR="00286E0D" w:rsidRPr="00811674">
        <w:rPr>
          <w:rStyle w:val="FootnoteReference"/>
          <w:rFonts w:eastAsia="Arial Unicode MS"/>
          <w:noProof/>
          <w:szCs w:val="24"/>
          <w:lang w:eastAsia="en-IE"/>
        </w:rPr>
        <w:footnoteReference w:id="12"/>
      </w:r>
      <w:r w:rsidRPr="00811674">
        <w:rPr>
          <w:noProof/>
        </w:rPr>
        <w:t>, til rådighed for solidaritetsmodtagende medlemsstater.</w:t>
      </w:r>
    </w:p>
    <w:p w14:paraId="4C768251" w14:textId="3AE1A69C" w:rsidR="006866F6" w:rsidRPr="00811674" w:rsidRDefault="003347AC" w:rsidP="003347AC">
      <w:pPr>
        <w:pStyle w:val="ManualConsidrant"/>
        <w:rPr>
          <w:noProof/>
        </w:rPr>
      </w:pPr>
      <w:bookmarkStart w:id="16" w:name="_Hlk202881260"/>
      <w:r w:rsidRPr="00811674">
        <w:rPr>
          <w:noProof/>
        </w:rPr>
        <w:t>(20)</w:t>
      </w:r>
      <w:r w:rsidRPr="00811674">
        <w:rPr>
          <w:noProof/>
        </w:rPr>
        <w:tab/>
        <w:t>Alle tiltag, der støttes i overensstemmelse med EU-støtten i henhold til nærværende forordning, bør gennemføres under overholdelse af de rettigheder og principper, der er nedfældet i gældende EU-ret og Den Europæiske Unions charter om grundlæggende rettigheder, samt være i overensstemmelse med Unionens og medlemsstaternes internationale forpligtelser i henhold til de internationale instrumenter, som de er part i.</w:t>
      </w:r>
    </w:p>
    <w:bookmarkEnd w:id="16"/>
    <w:p w14:paraId="79724041" w14:textId="1336DDA4" w:rsidR="00286E0D" w:rsidRPr="00811674" w:rsidRDefault="003347AC" w:rsidP="003347AC">
      <w:pPr>
        <w:pStyle w:val="ManualConsidrant"/>
        <w:rPr>
          <w:noProof/>
        </w:rPr>
      </w:pPr>
      <w:r w:rsidRPr="00811674">
        <w:rPr>
          <w:noProof/>
        </w:rPr>
        <w:t>(21)</w:t>
      </w:r>
      <w:r w:rsidRPr="00811674">
        <w:rPr>
          <w:noProof/>
        </w:rPr>
        <w:tab/>
        <w:t>I overensstemmelse med protokol nr. 5 til tiltrædelsesakten af 2003 om persontransit over land mellem Kaliningrad-regionen og andre dele af Den Russiske Føderation</w:t>
      </w:r>
      <w:r w:rsidR="00286E0D" w:rsidRPr="00811674">
        <w:rPr>
          <w:rStyle w:val="FootnoteReference"/>
          <w:noProof/>
          <w:szCs w:val="24"/>
        </w:rPr>
        <w:footnoteReference w:id="13"/>
      </w:r>
      <w:r w:rsidRPr="00811674">
        <w:rPr>
          <w:noProof/>
        </w:rPr>
        <w:t xml:space="preserve"> bistår Unionen Litauen med at forvalte persontransitten mellem Kaliningrad-regionen og andre dele af Den Russiske Føderation og afholder navnlig eventuelle yderligere omkostninger i forbindelse med gennemførelsen af de specifikke bestemmelser i den gældende EU-ret vedrørende sådan transit. Derfor bør der ved nærværende forordning fastsættes regler for den finansielle støtte til den særlige transitordning, der er fastsat i Rådets forordning (EF) nr. 693/2003</w:t>
      </w:r>
      <w:r w:rsidR="00286E0D" w:rsidRPr="00811674">
        <w:rPr>
          <w:rStyle w:val="FootnoteReference"/>
          <w:noProof/>
          <w:szCs w:val="24"/>
        </w:rPr>
        <w:footnoteReference w:id="14"/>
      </w:r>
      <w:r w:rsidRPr="00811674">
        <w:rPr>
          <w:noProof/>
        </w:rPr>
        <w:t>.</w:t>
      </w:r>
    </w:p>
    <w:p w14:paraId="2F17EDDB" w14:textId="10F49CFA" w:rsidR="00286E0D" w:rsidRPr="00811674" w:rsidRDefault="003347AC" w:rsidP="003347AC">
      <w:pPr>
        <w:pStyle w:val="ManualConsidrant"/>
        <w:rPr>
          <w:noProof/>
        </w:rPr>
      </w:pPr>
      <w:r w:rsidRPr="00811674">
        <w:rPr>
          <w:noProof/>
        </w:rPr>
        <w:t>(22)</w:t>
      </w:r>
      <w:r w:rsidRPr="00811674">
        <w:rPr>
          <w:noProof/>
        </w:rPr>
        <w:tab/>
        <w:t>For så vidt angår Island og Norge, udgør denne forordning en udvikling af de bestemmelser i Schengenreglerne, jf. aftalen indgået mellem Rådet for Den Europæiske Union og Republikken Island og Kongeriget Norge om disse to staters associering i gennemførelsen, anvendelsen og udviklingen af Schengenreglerne</w:t>
      </w:r>
      <w:r w:rsidR="00286E0D" w:rsidRPr="00811674">
        <w:rPr>
          <w:rStyle w:val="FootnoteReference"/>
          <w:noProof/>
          <w:szCs w:val="24"/>
        </w:rPr>
        <w:footnoteReference w:id="15"/>
      </w:r>
      <w:r w:rsidRPr="00811674">
        <w:rPr>
          <w:noProof/>
        </w:rPr>
        <w:t>, der henhører under det område, som er nævnt i artikel 1, litra A og B, i Rådets afgørelse 1999/437/EF</w:t>
      </w:r>
      <w:r w:rsidR="00286E0D" w:rsidRPr="00811674">
        <w:rPr>
          <w:rStyle w:val="FootnoteReference"/>
          <w:noProof/>
          <w:szCs w:val="24"/>
        </w:rPr>
        <w:footnoteReference w:id="16"/>
      </w:r>
      <w:r w:rsidRPr="00811674">
        <w:rPr>
          <w:noProof/>
        </w:rPr>
        <w:t>.</w:t>
      </w:r>
    </w:p>
    <w:p w14:paraId="440CC84B" w14:textId="600DEAC6" w:rsidR="00286E0D" w:rsidRPr="00811674" w:rsidRDefault="003347AC" w:rsidP="003347AC">
      <w:pPr>
        <w:pStyle w:val="ManualConsidrant"/>
        <w:rPr>
          <w:noProof/>
        </w:rPr>
      </w:pPr>
      <w:r w:rsidRPr="00811674">
        <w:rPr>
          <w:noProof/>
        </w:rPr>
        <w:t>(23)</w:t>
      </w:r>
      <w:r w:rsidRPr="00811674">
        <w:rPr>
          <w:noProof/>
        </w:rPr>
        <w:tab/>
        <w:t>For så vidt angår Schweiz, udgør denne forordning en udvikling af de bestemmelser i Schengenreglerne, jf. aftalen mellem Den Europæiske Union, Det Europæiske Fællesskab og Det Schweiziske Forbund om Det Schweiziske Forbunds associering i gennemførelsen, anvendelsen og udviklingen af Schengenreglerne</w:t>
      </w:r>
      <w:r w:rsidR="00286E0D" w:rsidRPr="00811674">
        <w:rPr>
          <w:rStyle w:val="FootnoteReference"/>
          <w:noProof/>
          <w:szCs w:val="24"/>
        </w:rPr>
        <w:footnoteReference w:id="17"/>
      </w:r>
      <w:r w:rsidRPr="00811674">
        <w:rPr>
          <w:noProof/>
        </w:rPr>
        <w:t>, der henhører under det område, som er nævnt i artikel 1, litra A og B, i afgørelse 1999/437/EF sammenholdt med artikel 3 i Rådets afgørelse 2008/146/EF</w:t>
      </w:r>
      <w:r w:rsidR="00286E0D" w:rsidRPr="00811674">
        <w:rPr>
          <w:rStyle w:val="FootnoteReference"/>
          <w:noProof/>
          <w:szCs w:val="24"/>
        </w:rPr>
        <w:footnoteReference w:id="18"/>
      </w:r>
      <w:r w:rsidRPr="00811674">
        <w:rPr>
          <w:noProof/>
        </w:rPr>
        <w:t>.</w:t>
      </w:r>
    </w:p>
    <w:p w14:paraId="396CC801" w14:textId="2CEB75AB" w:rsidR="00286E0D" w:rsidRPr="00811674" w:rsidRDefault="003347AC" w:rsidP="003347AC">
      <w:pPr>
        <w:pStyle w:val="ManualConsidrant"/>
        <w:rPr>
          <w:noProof/>
        </w:rPr>
      </w:pPr>
      <w:r w:rsidRPr="00811674">
        <w:rPr>
          <w:noProof/>
        </w:rPr>
        <w:t>(24)</w:t>
      </w:r>
      <w:r w:rsidRPr="00811674">
        <w:rPr>
          <w:noProof/>
        </w:rPr>
        <w:tab/>
        <w:t>For så vidt angår Liechtenstein udgør denne forordning en udvikling af de bestemmelser i Schengenreglerne, jf. protokollen mellem Den Europæiske Union, Det Europæiske Fællesskab, Det Schweiziske Forbund og Fyrstendømmet Liechtenstein om Fyrstendømmet Liechtensteins tiltrædelse af aftalen mellem Den Europæiske Union, Det Europæiske Fællesskab og Det Schweiziske Forbund om Det Schweiziske Forbunds associering i gennemførelsen, anvendelsen og udviklingen af Schengenreglerne</w:t>
      </w:r>
      <w:r w:rsidR="00286E0D" w:rsidRPr="00811674">
        <w:rPr>
          <w:rStyle w:val="FootnoteReference"/>
          <w:noProof/>
          <w:szCs w:val="24"/>
        </w:rPr>
        <w:footnoteReference w:id="19"/>
      </w:r>
      <w:r w:rsidRPr="00811674">
        <w:rPr>
          <w:noProof/>
        </w:rPr>
        <w:t>, der henhører under de områder, som er nævnt i artikel 1, litra A og B, i afgørelse 1999/437/EF sammenholdt med artikel 3 i Rådets afgørelse 2011/350/EU</w:t>
      </w:r>
      <w:r w:rsidR="00286E0D" w:rsidRPr="00811674">
        <w:rPr>
          <w:rStyle w:val="FootnoteReference"/>
          <w:noProof/>
          <w:szCs w:val="24"/>
        </w:rPr>
        <w:footnoteReference w:id="20"/>
      </w:r>
      <w:r w:rsidRPr="00811674">
        <w:rPr>
          <w:noProof/>
        </w:rPr>
        <w:t>.</w:t>
      </w:r>
    </w:p>
    <w:p w14:paraId="1D419147" w14:textId="7F099022" w:rsidR="00806AC4" w:rsidRPr="00811674" w:rsidRDefault="003347AC" w:rsidP="003347AC">
      <w:pPr>
        <w:pStyle w:val="ManualConsidrant"/>
        <w:rPr>
          <w:noProof/>
        </w:rPr>
      </w:pPr>
      <w:r w:rsidRPr="00811674">
        <w:rPr>
          <w:noProof/>
        </w:rPr>
        <w:t>(25)</w:t>
      </w:r>
      <w:r w:rsidRPr="00811674">
        <w:rPr>
          <w:noProof/>
        </w:rPr>
        <w:tab/>
        <w:t>I medfør af artikel 1 og 2 i protokol nr. 22 om Danmarks stilling, der er knyttet som bilag til TEU og til TEUF, deltager Danmark ikke i vedtagelsen af denne forordning, som ikke er bindende for og ikke finder anvendelse i Danmark. Inden seks måneder efter, at Rådet har truffet foranstaltning om denne forordning til udbygning af Schengenreglerne, træffer Danmark afgørelse om, hvorvidt det vil gennemføre denne forordning i sin nationale lovgivning, jf. artikel 4 i protokollen.</w:t>
      </w:r>
    </w:p>
    <w:p w14:paraId="776F0C22" w14:textId="398D5BDA" w:rsidR="00286E0D" w:rsidRPr="00811674" w:rsidRDefault="003347AC" w:rsidP="003347AC">
      <w:pPr>
        <w:pStyle w:val="ManualConsidrant"/>
        <w:rPr>
          <w:noProof/>
        </w:rPr>
      </w:pPr>
      <w:r w:rsidRPr="00811674">
        <w:rPr>
          <w:noProof/>
        </w:rPr>
        <w:t>(26)</w:t>
      </w:r>
      <w:r w:rsidRPr="00811674">
        <w:rPr>
          <w:noProof/>
        </w:rPr>
        <w:tab/>
        <w:t>Denne forordning udgør en udvikling af de bestemmelser i Schengenreglerne, som Irland ikke deltager i, jf. Rådets afgørelse 2002/192/EF</w:t>
      </w:r>
      <w:r w:rsidR="00286E0D" w:rsidRPr="00811674">
        <w:rPr>
          <w:rStyle w:val="FootnoteReference"/>
          <w:noProof/>
          <w:szCs w:val="24"/>
        </w:rPr>
        <w:footnoteReference w:id="21"/>
      </w:r>
      <w:r w:rsidRPr="00811674">
        <w:rPr>
          <w:noProof/>
        </w:rPr>
        <w:t>. Irland deltager derfor ikke i vedtagelsen af denne forordning, som ikke er bindende for og ikke finder anvendelse i Irland —</w:t>
      </w:r>
    </w:p>
    <w:p w14:paraId="7A316F28" w14:textId="77777777" w:rsidR="00286E0D" w:rsidRPr="00811674" w:rsidRDefault="00286E0D" w:rsidP="00286E0D">
      <w:pPr>
        <w:pStyle w:val="Formuledadoption"/>
        <w:rPr>
          <w:noProof/>
        </w:rPr>
      </w:pPr>
      <w:r w:rsidRPr="00811674">
        <w:rPr>
          <w:noProof/>
        </w:rPr>
        <w:t>VEDTAGET DENNE FORORDNING:</w:t>
      </w:r>
    </w:p>
    <w:p w14:paraId="558246A5" w14:textId="77777777" w:rsidR="00286E0D" w:rsidRPr="00811674" w:rsidRDefault="00286E0D" w:rsidP="00286E0D">
      <w:pPr>
        <w:pStyle w:val="Titrearticle"/>
        <w:rPr>
          <w:noProof/>
        </w:rPr>
      </w:pPr>
      <w:r w:rsidRPr="00811674">
        <w:rPr>
          <w:noProof/>
        </w:rPr>
        <w:t>Artikel 1</w:t>
      </w:r>
    </w:p>
    <w:p w14:paraId="01DCFE30" w14:textId="77777777" w:rsidR="00286E0D" w:rsidRPr="00811674" w:rsidRDefault="00286E0D" w:rsidP="00286E0D">
      <w:pPr>
        <w:pStyle w:val="Titrearticle"/>
        <w:rPr>
          <w:b/>
          <w:bCs/>
          <w:noProof/>
        </w:rPr>
      </w:pPr>
      <w:r w:rsidRPr="00811674">
        <w:rPr>
          <w:b/>
          <w:noProof/>
        </w:rPr>
        <w:t>Genstand</w:t>
      </w:r>
    </w:p>
    <w:p w14:paraId="16102D8A" w14:textId="77777777" w:rsidR="00B9223C" w:rsidRPr="00811674" w:rsidRDefault="00B9223C" w:rsidP="00B9223C">
      <w:pPr>
        <w:rPr>
          <w:noProof/>
          <w:szCs w:val="24"/>
        </w:rPr>
      </w:pPr>
      <w:r w:rsidRPr="00811674">
        <w:rPr>
          <w:noProof/>
        </w:rPr>
        <w:t xml:space="preserve">Ved denne forordning fastsættes målene for og finansieringen af EU-støtten til integreret europæisk grænseforvaltning og til den europæiske visumpolitik for perioden fra den 1. januar 2028 til den 31. december 2034. EU-støtten bidrager til Schengenområdets funktion, til en effektiv forvaltning af de ydre grænser og til en effektiv visumpolitik, herunder ved at yde støtte til gennemførelsen, styrkelsen og udviklingen af de relevante elementer i pagten om migration og asyl, samt til et højt niveau af indre sikkerhed i Unionen, idet der ikke foretages personkontrol ved passage af de indre grænser. </w:t>
      </w:r>
    </w:p>
    <w:p w14:paraId="05AFC029" w14:textId="53D595F0" w:rsidR="00286E0D" w:rsidRPr="00811674" w:rsidRDefault="00286E0D" w:rsidP="00A257BB">
      <w:pPr>
        <w:rPr>
          <w:noProof/>
          <w:szCs w:val="24"/>
        </w:rPr>
      </w:pPr>
      <w:r w:rsidRPr="00811674">
        <w:rPr>
          <w:noProof/>
        </w:rPr>
        <w:t xml:space="preserve">EU-støtten ydes i henhold til de horisontale regler for </w:t>
      </w:r>
      <w:r w:rsidRPr="00811674">
        <w:rPr>
          <w:noProof/>
          <w:color w:val="000000" w:themeColor="text1"/>
        </w:rPr>
        <w:t>Den Europæiske Fond for Økonomisk, Social og Territorial Samhørighed, Landbrug, Landdistrikter, Fiskeri, det Maritime Område, Velstand og Sikkerhed</w:t>
      </w:r>
      <w:r w:rsidRPr="00811674">
        <w:rPr>
          <w:noProof/>
        </w:rPr>
        <w:t>, der er oprettet ved forordning (EU) [...].</w:t>
      </w:r>
    </w:p>
    <w:p w14:paraId="426B91C7" w14:textId="77777777" w:rsidR="00286E0D" w:rsidRPr="00811674" w:rsidRDefault="00286E0D" w:rsidP="00286E0D">
      <w:pPr>
        <w:pStyle w:val="Titrearticle"/>
        <w:rPr>
          <w:noProof/>
        </w:rPr>
      </w:pPr>
      <w:r w:rsidRPr="00811674">
        <w:rPr>
          <w:noProof/>
        </w:rPr>
        <w:t>Artikel 2</w:t>
      </w:r>
    </w:p>
    <w:p w14:paraId="33C45191" w14:textId="77777777" w:rsidR="00286E0D" w:rsidRPr="00811674" w:rsidRDefault="00286E0D" w:rsidP="00286E0D">
      <w:pPr>
        <w:pStyle w:val="Titrearticle"/>
        <w:rPr>
          <w:b/>
          <w:bCs/>
          <w:noProof/>
        </w:rPr>
      </w:pPr>
      <w:r w:rsidRPr="00811674">
        <w:rPr>
          <w:b/>
          <w:noProof/>
        </w:rPr>
        <w:t>Definitioner</w:t>
      </w:r>
    </w:p>
    <w:p w14:paraId="0D79EC17" w14:textId="77777777" w:rsidR="00286E0D" w:rsidRPr="00811674" w:rsidRDefault="00286E0D" w:rsidP="00286E0D">
      <w:pPr>
        <w:rPr>
          <w:noProof/>
          <w:color w:val="000000"/>
          <w:szCs w:val="24"/>
        </w:rPr>
      </w:pPr>
      <w:r w:rsidRPr="00811674">
        <w:rPr>
          <w:noProof/>
          <w:color w:val="000000"/>
        </w:rPr>
        <w:t>I denne forordning forstås ved:</w:t>
      </w:r>
    </w:p>
    <w:p w14:paraId="1962DB9D" w14:textId="3332A915" w:rsidR="00286E0D" w:rsidRPr="00811674" w:rsidRDefault="003347AC" w:rsidP="003347AC">
      <w:pPr>
        <w:pStyle w:val="Point0"/>
        <w:rPr>
          <w:noProof/>
        </w:rPr>
      </w:pPr>
      <w:r w:rsidRPr="00811674">
        <w:rPr>
          <w:noProof/>
        </w:rPr>
        <w:t>1)</w:t>
      </w:r>
      <w:r w:rsidRPr="00811674">
        <w:rPr>
          <w:noProof/>
        </w:rPr>
        <w:tab/>
        <w:t>"grænseovergangssted": grænseovergangssted som defineret i artikel 2, nr. 8), i forordning (EU) 2016/399</w:t>
      </w:r>
      <w:r w:rsidR="00286E0D" w:rsidRPr="00811674">
        <w:rPr>
          <w:rStyle w:val="FootnoteReference"/>
          <w:noProof/>
          <w:szCs w:val="24"/>
        </w:rPr>
        <w:footnoteReference w:id="22"/>
      </w:r>
    </w:p>
    <w:p w14:paraId="008FE4CA" w14:textId="2C9A36BD" w:rsidR="00286E0D" w:rsidRPr="00811674" w:rsidRDefault="003347AC" w:rsidP="003347AC">
      <w:pPr>
        <w:pStyle w:val="Point0"/>
        <w:rPr>
          <w:noProof/>
        </w:rPr>
      </w:pPr>
      <w:r w:rsidRPr="00811674">
        <w:rPr>
          <w:noProof/>
        </w:rPr>
        <w:t>2)</w:t>
      </w:r>
      <w:r w:rsidRPr="00811674">
        <w:rPr>
          <w:noProof/>
        </w:rPr>
        <w:tab/>
        <w:t>"integreret europæisk grænseforvaltning": integreret europæisk grænseforvaltning som omhandlet i artikel 3 i forordning (EU) 2019/1896</w:t>
      </w:r>
      <w:r w:rsidR="00286E0D" w:rsidRPr="00811674">
        <w:rPr>
          <w:rStyle w:val="FootnoteReference"/>
          <w:noProof/>
          <w:szCs w:val="24"/>
        </w:rPr>
        <w:footnoteReference w:id="23"/>
      </w:r>
    </w:p>
    <w:p w14:paraId="2B48C930" w14:textId="436C4B86" w:rsidR="00286E0D" w:rsidRPr="00811674" w:rsidRDefault="003347AC" w:rsidP="003347AC">
      <w:pPr>
        <w:pStyle w:val="Point0"/>
        <w:rPr>
          <w:noProof/>
        </w:rPr>
      </w:pPr>
      <w:r w:rsidRPr="00811674">
        <w:rPr>
          <w:noProof/>
        </w:rPr>
        <w:t>3)</w:t>
      </w:r>
      <w:r w:rsidRPr="00811674">
        <w:rPr>
          <w:noProof/>
        </w:rPr>
        <w:tab/>
        <w:t>"ydre grænser": ydre grænser som defineret i artikel 2, nr. 2), i forordning (EU) 2016/399</w:t>
      </w:r>
      <w:r w:rsidR="00286E0D" w:rsidRPr="00811674">
        <w:rPr>
          <w:rStyle w:val="FootnoteReference"/>
          <w:noProof/>
          <w:szCs w:val="24"/>
        </w:rPr>
        <w:footnoteReference w:id="24"/>
      </w:r>
      <w:r w:rsidRPr="00811674">
        <w:rPr>
          <w:noProof/>
        </w:rPr>
        <w:t xml:space="preserve"> og indre grænser, hvor kontrollen endnu ikke er blevet ophævet</w:t>
      </w:r>
    </w:p>
    <w:p w14:paraId="225B0BEF" w14:textId="0E4D380F" w:rsidR="00286E0D" w:rsidRPr="00811674" w:rsidRDefault="003347AC" w:rsidP="003347AC">
      <w:pPr>
        <w:pStyle w:val="Point0"/>
        <w:rPr>
          <w:noProof/>
        </w:rPr>
      </w:pPr>
      <w:r w:rsidRPr="00811674">
        <w:rPr>
          <w:noProof/>
        </w:rPr>
        <w:t>4)</w:t>
      </w:r>
      <w:r w:rsidRPr="00811674">
        <w:rPr>
          <w:noProof/>
        </w:rPr>
        <w:tab/>
        <w:t>"afsnit af den ydre grænse": afsnit af den ydre grænse som defineret i artikel 2, nr. 11), i forordning (EU) 2019/1896</w:t>
      </w:r>
      <w:r w:rsidR="00286E0D" w:rsidRPr="00811674">
        <w:rPr>
          <w:rStyle w:val="FootnoteReference"/>
          <w:noProof/>
          <w:szCs w:val="24"/>
        </w:rPr>
        <w:footnoteReference w:id="25"/>
      </w:r>
    </w:p>
    <w:p w14:paraId="19E59878" w14:textId="1371C2DC" w:rsidR="00286E0D" w:rsidRPr="00811674" w:rsidRDefault="003347AC" w:rsidP="003347AC">
      <w:pPr>
        <w:pStyle w:val="Point0"/>
        <w:rPr>
          <w:noProof/>
        </w:rPr>
      </w:pPr>
      <w:r w:rsidRPr="00811674">
        <w:rPr>
          <w:noProof/>
        </w:rPr>
        <w:t>5)</w:t>
      </w:r>
      <w:r w:rsidRPr="00811674">
        <w:rPr>
          <w:noProof/>
        </w:rPr>
        <w:tab/>
        <w:t>"indre grænser, hvor kontrollen endnu ikke er blevet ophævet":</w:t>
      </w:r>
    </w:p>
    <w:p w14:paraId="1816FE1D" w14:textId="1AE66307" w:rsidR="00286E0D" w:rsidRPr="00811674" w:rsidRDefault="003347AC" w:rsidP="003347AC">
      <w:pPr>
        <w:pStyle w:val="Point1"/>
        <w:rPr>
          <w:noProof/>
        </w:rPr>
      </w:pPr>
      <w:r w:rsidRPr="00811674">
        <w:rPr>
          <w:noProof/>
        </w:rPr>
        <w:t>a)</w:t>
      </w:r>
      <w:r w:rsidRPr="00811674">
        <w:rPr>
          <w:noProof/>
        </w:rPr>
        <w:tab/>
        <w:t>den fælles grænse mellem en medlemsstat, der anvender Schengenreglerne fuldt ud, og en medlemsstat, der i henhold til sin tiltrædelsesakt er forpligtet til at anvende Schengenreglerne fuldt ud, men for hvilken den relevante rådsafgørelse om bemyndigelse af den pågældende medlemsstat til at anvende disse regler fuldt ud endnu ikke er trådt i kraft</w:t>
      </w:r>
    </w:p>
    <w:p w14:paraId="451F5771" w14:textId="7F81354A" w:rsidR="00286E0D" w:rsidRPr="00811674" w:rsidRDefault="003347AC" w:rsidP="003347AC">
      <w:pPr>
        <w:pStyle w:val="Point1"/>
        <w:rPr>
          <w:noProof/>
        </w:rPr>
      </w:pPr>
      <w:r w:rsidRPr="00811674">
        <w:rPr>
          <w:noProof/>
        </w:rPr>
        <w:t>b)</w:t>
      </w:r>
      <w:r w:rsidRPr="00811674">
        <w:rPr>
          <w:noProof/>
        </w:rPr>
        <w:tab/>
        <w:t>den fælles grænse mellem to medlemsstater, der i henhold til de respektive tiltrædelsesakter er forpligtet til at anvende Schengenreglerne fuldt ud, men for hvilke den relevante rådsafgørelse om bemyndigelse af de pågældende medlemsstater til at anvende disse regler fuldt ud endnu ikke er trådt i kraft</w:t>
      </w:r>
    </w:p>
    <w:p w14:paraId="5E6A7562" w14:textId="76DFB720" w:rsidR="00286E0D" w:rsidRPr="00811674" w:rsidRDefault="003347AC" w:rsidP="003347AC">
      <w:pPr>
        <w:pStyle w:val="Point0"/>
        <w:rPr>
          <w:noProof/>
        </w:rPr>
      </w:pPr>
      <w:r w:rsidRPr="00811674">
        <w:rPr>
          <w:noProof/>
        </w:rPr>
        <w:t>6)</w:t>
      </w:r>
      <w:r w:rsidRPr="00811674">
        <w:rPr>
          <w:noProof/>
        </w:rPr>
        <w:tab/>
        <w:t>"solidaritetsmodtagende medlemsstat": en solidaritetsmodtagende medlemsstat som defineret i artikel 2, nr. 19), i forordning (EU) 2024/1351</w:t>
      </w:r>
    </w:p>
    <w:p w14:paraId="35262557" w14:textId="3A660522" w:rsidR="00F0474E" w:rsidRPr="00811674" w:rsidRDefault="003347AC" w:rsidP="003347AC">
      <w:pPr>
        <w:pStyle w:val="Point0"/>
        <w:rPr>
          <w:noProof/>
        </w:rPr>
      </w:pPr>
      <w:r w:rsidRPr="00811674">
        <w:rPr>
          <w:noProof/>
        </w:rPr>
        <w:t>7)</w:t>
      </w:r>
      <w:r w:rsidRPr="00811674">
        <w:rPr>
          <w:noProof/>
        </w:rPr>
        <w:tab/>
        <w:t>"bidragende medlemsstat": en bidragende medlemsstat som defineret i artikel 2, nr. 20), i forordning (EU) 2024/1351</w:t>
      </w:r>
    </w:p>
    <w:p w14:paraId="1373544C" w14:textId="341C3D3C" w:rsidR="00286E0D" w:rsidRPr="00811674" w:rsidRDefault="003347AC" w:rsidP="003347AC">
      <w:pPr>
        <w:pStyle w:val="Point0"/>
        <w:rPr>
          <w:noProof/>
        </w:rPr>
      </w:pPr>
      <w:r w:rsidRPr="00811674">
        <w:rPr>
          <w:noProof/>
        </w:rPr>
        <w:t>8)</w:t>
      </w:r>
      <w:r w:rsidRPr="00811674">
        <w:rPr>
          <w:noProof/>
        </w:rPr>
        <w:tab/>
        <w:t xml:space="preserve">"finansielle bidrag": finansielle bidrag i overensstemmelse med artikel 56, stk. 2, litra b), i forordning (EU) 2024/1351. </w:t>
      </w:r>
    </w:p>
    <w:p w14:paraId="4A75AB58" w14:textId="77777777" w:rsidR="00286E0D" w:rsidRPr="00811674" w:rsidRDefault="00286E0D" w:rsidP="00286E0D">
      <w:pPr>
        <w:pStyle w:val="Titrearticle"/>
        <w:rPr>
          <w:noProof/>
        </w:rPr>
      </w:pPr>
      <w:r w:rsidRPr="00811674">
        <w:rPr>
          <w:noProof/>
        </w:rPr>
        <w:t>Artikel 3</w:t>
      </w:r>
    </w:p>
    <w:p w14:paraId="1F3B309A" w14:textId="77777777" w:rsidR="00286E0D" w:rsidRPr="00811674" w:rsidRDefault="00286E0D" w:rsidP="00286E0D">
      <w:pPr>
        <w:pStyle w:val="Titrearticle"/>
        <w:rPr>
          <w:b/>
          <w:bCs/>
          <w:noProof/>
        </w:rPr>
      </w:pPr>
      <w:bookmarkStart w:id="17" w:name="_Hlk202174420"/>
      <w:r w:rsidRPr="00811674">
        <w:rPr>
          <w:b/>
          <w:noProof/>
        </w:rPr>
        <w:t>Mål for EU-støtten til Schengenområdet, til integreret europæisk grænseforvaltning ved de ydre grænser og til den fælles visumpolitik</w:t>
      </w:r>
    </w:p>
    <w:bookmarkEnd w:id="17"/>
    <w:p w14:paraId="3CC4516C" w14:textId="15FD5E6D" w:rsidR="00286E0D" w:rsidRPr="00811674" w:rsidRDefault="003347AC" w:rsidP="003347AC">
      <w:pPr>
        <w:pStyle w:val="ManualNumPar1"/>
        <w:rPr>
          <w:noProof/>
        </w:rPr>
      </w:pPr>
      <w:r w:rsidRPr="00811674">
        <w:rPr>
          <w:noProof/>
        </w:rPr>
        <w:t>1.</w:t>
      </w:r>
      <w:r w:rsidRPr="00811674">
        <w:rPr>
          <w:noProof/>
        </w:rPr>
        <w:tab/>
        <w:t>For at sikre en stærk og effektiv integreret europæisk grænseforvaltning ved de ydre grænser, et velfungerende Schengenområde og en effektiv visumpolitik bidrager EU-støtten til hvert af følgende mål:</w:t>
      </w:r>
    </w:p>
    <w:p w14:paraId="52746F08" w14:textId="0F6AF9C9" w:rsidR="0058101A" w:rsidRPr="00811674" w:rsidRDefault="003347AC" w:rsidP="003347AC">
      <w:pPr>
        <w:pStyle w:val="Point1"/>
        <w:rPr>
          <w:rFonts w:eastAsiaTheme="minorEastAsia" w:cstheme="majorHAnsi"/>
          <w:noProof/>
          <w:szCs w:val="20"/>
        </w:rPr>
      </w:pPr>
      <w:r w:rsidRPr="00811674">
        <w:rPr>
          <w:noProof/>
        </w:rPr>
        <w:t>a)</w:t>
      </w:r>
      <w:r w:rsidRPr="00811674">
        <w:rPr>
          <w:noProof/>
        </w:rPr>
        <w:tab/>
        <w:t>at støtte en effektiv gennemførelse, anvendelse og udvikling af Schengenrammen og styrke forvaltningen og integriteten af og sikkerheden i Schengenområdet uden indre grænser</w:t>
      </w:r>
    </w:p>
    <w:p w14:paraId="57D454BB" w14:textId="5676320D" w:rsidR="00286E0D" w:rsidRPr="00811674" w:rsidRDefault="003347AC" w:rsidP="003347AC">
      <w:pPr>
        <w:pStyle w:val="Point1"/>
        <w:rPr>
          <w:rStyle w:val="Instructions"/>
          <w:rFonts w:eastAsiaTheme="minorEastAsia"/>
          <w:i w:val="0"/>
          <w:iCs w:val="0"/>
          <w:noProof/>
          <w:color w:val="auto"/>
        </w:rPr>
      </w:pPr>
      <w:r w:rsidRPr="00811674">
        <w:rPr>
          <w:rStyle w:val="Instructions"/>
          <w:rFonts w:eastAsiaTheme="minorHAnsi"/>
          <w:noProof/>
        </w:rPr>
        <w:t>b)</w:t>
      </w:r>
      <w:r w:rsidRPr="00811674">
        <w:rPr>
          <w:rStyle w:val="Instructions"/>
          <w:rFonts w:eastAsiaTheme="minorHAnsi"/>
          <w:noProof/>
        </w:rPr>
        <w:tab/>
      </w:r>
      <w:r w:rsidRPr="00811674">
        <w:rPr>
          <w:noProof/>
        </w:rPr>
        <w:t>at støtte en effektiv integreret europæisk grænseforvaltning ved de ydre grænser, der gennemføres af den europæiske grænse- og kystvagt som et delt ansvar mellem Det Europæiske Agentur for Grænse- og Kystbevogtning og de nationale myndigheder med ansvar for grænseforvaltning, herunder ved hjælp af innovative metoder og nye teknologier, for derved at lette lovlig passage af grænserne, forhindre og opdage ulovlig indvandring, grænseoverskridende kriminalitet, instrumentalisering af irregulær migration og brug af irregulær migration som våben samt bidrage til effektiv tilbagesendelse</w:t>
      </w:r>
    </w:p>
    <w:p w14:paraId="07C36713" w14:textId="25EE2425" w:rsidR="00286E0D" w:rsidRPr="00811674" w:rsidRDefault="003347AC" w:rsidP="003347AC">
      <w:pPr>
        <w:pStyle w:val="Point1"/>
        <w:rPr>
          <w:rFonts w:eastAsiaTheme="minorEastAsia" w:cstheme="majorHAnsi"/>
          <w:noProof/>
          <w:szCs w:val="20"/>
        </w:rPr>
      </w:pPr>
      <w:r w:rsidRPr="00811674">
        <w:rPr>
          <w:noProof/>
        </w:rPr>
        <w:t>c)</w:t>
      </w:r>
      <w:r w:rsidRPr="00811674">
        <w:rPr>
          <w:noProof/>
        </w:rPr>
        <w:tab/>
        <w:t>at støtte den fælles visumpolitik for at sikre en harmoniseret tilgang med hensyn til rettidig udstedelse af visa og for at lette lovlig rejseaktivitet, samtidig med at der forebygges migrations- og sikkerhedsrisici og bidrages til et sikkert og velfungerende Schengenområde.</w:t>
      </w:r>
    </w:p>
    <w:p w14:paraId="6E55EEE9" w14:textId="68EA180C" w:rsidR="00286E0D" w:rsidRPr="00811674" w:rsidRDefault="00286E0D" w:rsidP="00A257BB">
      <w:pPr>
        <w:ind w:left="720"/>
        <w:rPr>
          <w:noProof/>
          <w:szCs w:val="24"/>
        </w:rPr>
      </w:pPr>
      <w:bookmarkStart w:id="18" w:name="_Hlk201962005"/>
      <w:r w:rsidRPr="00811674">
        <w:rPr>
          <w:noProof/>
        </w:rPr>
        <w:t xml:space="preserve">EU-støtten </w:t>
      </w:r>
      <w:bookmarkEnd w:id="18"/>
      <w:r w:rsidRPr="00811674">
        <w:rPr>
          <w:noProof/>
        </w:rPr>
        <w:t xml:space="preserve">gennemføres på en måde, der er i fuld overensstemmelse med målene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w:t>
      </w:r>
    </w:p>
    <w:p w14:paraId="71BB4485" w14:textId="5233BD33" w:rsidR="00286E0D" w:rsidRPr="00811674" w:rsidRDefault="003347AC" w:rsidP="003347AC">
      <w:pPr>
        <w:pStyle w:val="ManualNumPar1"/>
        <w:rPr>
          <w:noProof/>
          <w:szCs w:val="24"/>
        </w:rPr>
      </w:pPr>
      <w:r w:rsidRPr="00811674">
        <w:rPr>
          <w:noProof/>
        </w:rPr>
        <w:t>2.</w:t>
      </w:r>
      <w:r w:rsidRPr="00811674">
        <w:rPr>
          <w:noProof/>
        </w:rPr>
        <w:tab/>
        <w:t>EU-støtten gennemføres i overensstemmelse med den relevante gældende EU-ret og Unionens og medlemsstaternes internationale forpligtelser i henhold til de internationale instrumenter, som de er part i.</w:t>
      </w:r>
    </w:p>
    <w:p w14:paraId="3840A777" w14:textId="132A20A9" w:rsidR="00286E0D" w:rsidRPr="00811674" w:rsidRDefault="003347AC" w:rsidP="003347AC">
      <w:pPr>
        <w:pStyle w:val="ManualNumPar1"/>
        <w:rPr>
          <w:noProof/>
          <w:szCs w:val="24"/>
        </w:rPr>
      </w:pPr>
      <w:r w:rsidRPr="00811674">
        <w:rPr>
          <w:noProof/>
        </w:rPr>
        <w:t>3.</w:t>
      </w:r>
      <w:r w:rsidRPr="00811674">
        <w:rPr>
          <w:noProof/>
        </w:rPr>
        <w:tab/>
        <w:t>Medlemsstaterne sikrer, at prioriteterne i deres planer for nationalt og regionalt partnerskab omfatter tiltag til at nå hvert af målene for EU-støtten i henhold til nærværende forordning, og at fordelingen af midler mellem målene står i et rimeligt forhold til de konstaterede udfordringer og behov.</w:t>
      </w:r>
    </w:p>
    <w:p w14:paraId="23655188" w14:textId="77777777" w:rsidR="00286E0D" w:rsidRPr="00811674" w:rsidRDefault="00286E0D" w:rsidP="00286E0D">
      <w:pPr>
        <w:pStyle w:val="Titrearticle"/>
        <w:rPr>
          <w:noProof/>
        </w:rPr>
      </w:pPr>
      <w:r w:rsidRPr="00811674">
        <w:rPr>
          <w:noProof/>
        </w:rPr>
        <w:t>Artikel 4</w:t>
      </w:r>
    </w:p>
    <w:p w14:paraId="00F584F5" w14:textId="77777777" w:rsidR="00286E0D" w:rsidRPr="00811674" w:rsidRDefault="00286E0D" w:rsidP="00286E0D">
      <w:pPr>
        <w:pStyle w:val="Titrearticle"/>
        <w:rPr>
          <w:b/>
          <w:bCs/>
          <w:noProof/>
        </w:rPr>
      </w:pPr>
      <w:r w:rsidRPr="00811674">
        <w:rPr>
          <w:b/>
          <w:noProof/>
        </w:rPr>
        <w:t>Finansiering</w:t>
      </w:r>
    </w:p>
    <w:p w14:paraId="3C31D26E" w14:textId="6DC7558E" w:rsidR="005507F3" w:rsidRPr="00811674" w:rsidRDefault="003347AC" w:rsidP="003347AC">
      <w:pPr>
        <w:pStyle w:val="ManualNumPar1"/>
        <w:rPr>
          <w:noProof/>
        </w:rPr>
      </w:pPr>
      <w:r w:rsidRPr="00811674">
        <w:rPr>
          <w:noProof/>
        </w:rPr>
        <w:t>1.</w:t>
      </w:r>
      <w:r w:rsidRPr="00811674">
        <w:rPr>
          <w:noProof/>
        </w:rPr>
        <w:tab/>
        <w:t xml:space="preserve">Den vejledende finansieringsramme for gennemførelsen af de mål, der er fastsat i artikel 3 for perioden 2028-2034, fastsættes til 15 396 750 000 EUR i løbende priser. Den </w:t>
      </w:r>
      <w:r w:rsidRPr="00811674">
        <w:rPr>
          <w:rFonts w:asciiTheme="majorBidi" w:hAnsiTheme="majorBidi"/>
          <w:noProof/>
        </w:rPr>
        <w:t xml:space="preserve">gennemføres i overensstemmelse med de horisontale regler for </w:t>
      </w:r>
      <w:r w:rsidRPr="00811674">
        <w:rPr>
          <w:noProof/>
        </w:rPr>
        <w:t xml:space="preserve">de planer for nationalt og regionalt partnerskab, der er fastsat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w:t>
      </w:r>
    </w:p>
    <w:p w14:paraId="73B43C2B" w14:textId="1F933790" w:rsidR="00623F90" w:rsidRPr="00811674" w:rsidRDefault="003347AC" w:rsidP="003347AC">
      <w:pPr>
        <w:pStyle w:val="ManualNumPar1"/>
        <w:rPr>
          <w:noProof/>
        </w:rPr>
      </w:pPr>
      <w:r w:rsidRPr="00811674">
        <w:rPr>
          <w:noProof/>
        </w:rPr>
        <w:t>2.</w:t>
      </w:r>
      <w:r w:rsidRPr="00811674">
        <w:rPr>
          <w:noProof/>
        </w:rPr>
        <w:tab/>
        <w:t xml:space="preserve">Kommissionen vedtager en gennemførelsesretsakt for at fastsætte beløbet pr. medlemsstat ved at anvende den tildelingsmetode, der er fastsat i afsnit B i bilag I til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w:t>
      </w:r>
    </w:p>
    <w:p w14:paraId="5E629589" w14:textId="25F76966" w:rsidR="005507F3" w:rsidRPr="00811674" w:rsidRDefault="003347AC" w:rsidP="003347AC">
      <w:pPr>
        <w:pStyle w:val="ManualNumPar1"/>
        <w:rPr>
          <w:noProof/>
        </w:rPr>
      </w:pPr>
      <w:r w:rsidRPr="00811674">
        <w:rPr>
          <w:noProof/>
        </w:rPr>
        <w:t>3.</w:t>
      </w:r>
      <w:r w:rsidRPr="00811674">
        <w:rPr>
          <w:noProof/>
        </w:rPr>
        <w:tab/>
        <w:t xml:space="preserve">Desuden fastsættes budgetbevillingerne for de mål, der er fastsat i nærværende forordnings artikel 3, og som gennemføres gennem EU-faciliteten under afsnit IV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inden for rammerne af den årlige budgetprocedure, jf. artikel 314 i TEUF.</w:t>
      </w:r>
    </w:p>
    <w:p w14:paraId="070F7EDE" w14:textId="013D411B" w:rsidR="005507F3" w:rsidRPr="00811674" w:rsidRDefault="003347AC" w:rsidP="003347AC">
      <w:pPr>
        <w:pStyle w:val="ManualNumPar1"/>
        <w:rPr>
          <w:noProof/>
        </w:rPr>
      </w:pPr>
      <w:r w:rsidRPr="00811674">
        <w:rPr>
          <w:noProof/>
        </w:rPr>
        <w:t>4.</w:t>
      </w:r>
      <w:r w:rsidRPr="00811674">
        <w:rPr>
          <w:noProof/>
        </w:rPr>
        <w:tab/>
      </w:r>
      <w:r w:rsidRPr="00811674">
        <w:rPr>
          <w:rFonts w:asciiTheme="majorBidi" w:hAnsiTheme="majorBidi"/>
          <w:noProof/>
        </w:rPr>
        <w:t xml:space="preserve">I forbindelse med foranstaltninger, der vedrører målene i nærværende forordnings artikel 3, </w:t>
      </w:r>
      <w:r w:rsidRPr="00811674">
        <w:rPr>
          <w:noProof/>
        </w:rPr>
        <w:t xml:space="preserve">hvor Kommissionen konkluderer, at disse foranstaltninger opfylder de krav, der er fastsat i nærværende forordning og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og hvor Kommissionen fremsætter et forslag til Rådets gennemførelsesafgørelse om godkendelse af den pågældende medlemsstats plan for nationalt og regionalt partnerskab i overensstemmelse med proceduren i artikel 23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fremsætter den et forslag til Rådets gennemførelsesafgørelse om godkendelse af disse foranstaltninger. </w:t>
      </w:r>
    </w:p>
    <w:p w14:paraId="6930FE95" w14:textId="12E1F33E" w:rsidR="005507F3" w:rsidRPr="00811674" w:rsidRDefault="003347AC" w:rsidP="003347AC">
      <w:pPr>
        <w:pStyle w:val="ManualNumPar1"/>
        <w:rPr>
          <w:noProof/>
        </w:rPr>
      </w:pPr>
      <w:r w:rsidRPr="00811674">
        <w:rPr>
          <w:noProof/>
        </w:rPr>
        <w:t>5.</w:t>
      </w:r>
      <w:r w:rsidRPr="00811674">
        <w:rPr>
          <w:noProof/>
        </w:rPr>
        <w:tab/>
        <w:t xml:space="preserve">Når der fremsættes et forslag til Rådets gennemførelsesafgørelse om foranstaltninger, der vedrører målene i nærværende forordnings artikel 3, fastsættes i Kommissionens forslag de elementer, der er omhandlet i artikel 23, stk. 4,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for så vidt angår målene i artikel 3.</w:t>
      </w:r>
    </w:p>
    <w:p w14:paraId="1388C5B4" w14:textId="5EDB01D3" w:rsidR="00596698" w:rsidRPr="00811674" w:rsidRDefault="003347AC" w:rsidP="003347AC">
      <w:pPr>
        <w:pStyle w:val="ManualNumPar1"/>
        <w:rPr>
          <w:noProof/>
        </w:rPr>
      </w:pPr>
      <w:r w:rsidRPr="00811674">
        <w:rPr>
          <w:noProof/>
        </w:rPr>
        <w:t>6.</w:t>
      </w:r>
      <w:r w:rsidRPr="00811674">
        <w:rPr>
          <w:noProof/>
        </w:rPr>
        <w:tab/>
        <w:t>Rådet vedtager som hovedregel den gennemførelsesafgørelse, der er omhandlet i stk. 4, senest fire uger efter vedtagelsen af Kommissionens forslag og sammen med de gennemførelsesafgørelser, der er omhandlet i artikel 23, stk. 1, [</w:t>
      </w:r>
      <w:r w:rsidRPr="00811674">
        <w:rPr>
          <w:i/>
          <w:noProof/>
        </w:rPr>
        <w:t>Kommissionens forslag og Rådets gennemførelsesafgørelse</w:t>
      </w:r>
      <w:r w:rsidRPr="00811674">
        <w:rPr>
          <w:noProof/>
        </w:rPr>
        <w:t xml:space="preserve">]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w:t>
      </w:r>
    </w:p>
    <w:p w14:paraId="256B33DF" w14:textId="0BE8C5E2" w:rsidR="00623F90" w:rsidRPr="00811674" w:rsidRDefault="003347AC" w:rsidP="003347AC">
      <w:pPr>
        <w:pStyle w:val="ManualNumPar1"/>
        <w:rPr>
          <w:noProof/>
        </w:rPr>
      </w:pPr>
      <w:r w:rsidRPr="00811674">
        <w:rPr>
          <w:noProof/>
        </w:rPr>
        <w:t>7.</w:t>
      </w:r>
      <w:r w:rsidRPr="00811674">
        <w:rPr>
          <w:noProof/>
        </w:rPr>
        <w:tab/>
      </w:r>
      <w:r w:rsidRPr="00811674">
        <w:rPr>
          <w:rFonts w:asciiTheme="majorBidi" w:hAnsiTheme="majorBidi"/>
          <w:noProof/>
        </w:rPr>
        <w:t xml:space="preserve">Artikel 24 i forordning (EU) [...] </w:t>
      </w:r>
      <w:r w:rsidRPr="00811674">
        <w:rPr>
          <w:noProof/>
        </w:rPr>
        <w:t>om oprettelse af Den Europæiske Fond for Økonomisk, Social og Territorial Samhørighed, Landbrug, Landdistrikter, Fiskeri, det Maritime Område, Velstand og Sikkerhed</w:t>
      </w:r>
      <w:r w:rsidRPr="00811674">
        <w:rPr>
          <w:rFonts w:asciiTheme="majorBidi" w:hAnsiTheme="majorBidi"/>
          <w:noProof/>
        </w:rPr>
        <w:t xml:space="preserve"> vedrørende ændring af planer finder anvendelse, forudsat at Kommissionens forslag og Rådets gennemførelsesafgørelse om godkendelse af ændringer af de elementer, der er anført i artikel 23, stk. 4, kun omfatter de mål, der er omhandlet i nærværende forordnings artikel 3.</w:t>
      </w:r>
    </w:p>
    <w:p w14:paraId="51868DA9" w14:textId="77777777" w:rsidR="00596698" w:rsidRPr="00811674" w:rsidRDefault="00596698" w:rsidP="00596698">
      <w:pPr>
        <w:pStyle w:val="Titrearticle"/>
        <w:rPr>
          <w:noProof/>
        </w:rPr>
      </w:pPr>
      <w:r w:rsidRPr="00811674">
        <w:rPr>
          <w:noProof/>
        </w:rPr>
        <w:t xml:space="preserve">Artikel 5 </w:t>
      </w:r>
    </w:p>
    <w:p w14:paraId="31F56137" w14:textId="0DDFC603" w:rsidR="00596698" w:rsidRPr="00811674" w:rsidRDefault="00596698" w:rsidP="00596698">
      <w:pPr>
        <w:pStyle w:val="Titrearticle"/>
        <w:rPr>
          <w:noProof/>
          <w:szCs w:val="24"/>
        </w:rPr>
      </w:pPr>
      <w:r w:rsidRPr="00811674">
        <w:rPr>
          <w:b/>
          <w:noProof/>
        </w:rPr>
        <w:t>Associerede Schengenlande</w:t>
      </w:r>
    </w:p>
    <w:p w14:paraId="5F98EE1A" w14:textId="4DD41066" w:rsidR="00286E0D" w:rsidRPr="00811674" w:rsidRDefault="00596698" w:rsidP="00287E8A">
      <w:pPr>
        <w:pStyle w:val="Text1"/>
        <w:ind w:left="0"/>
        <w:rPr>
          <w:rStyle w:val="eop"/>
          <w:rFonts w:eastAsiaTheme="majorEastAsia"/>
          <w:noProof/>
        </w:rPr>
      </w:pPr>
      <w:r w:rsidRPr="00811674">
        <w:rPr>
          <w:noProof/>
        </w:rPr>
        <w:t>I overensstemmelse med de relevante bestemmelser i deres respektive associeringsaftaler fastlægges der ordninger for at præcisere arten af og måderne for deltagelse i EU-støtten for lande, der er associeret i gennemførelsen, anvendelsen og udviklingen af Schengenreglerne. Hurtigst muligt efter at det berørte land har givet underretning om sin beslutning om at acceptere indholdet af EU-støtten og gennemføre det i sin interne retsorden i overensstemmelse med den relevante associeringsaftale, forelægger Kommissionen Rådet en henstilling med henblik på indledning af forhandlinger om disse ordninger i henhold til artikel 218, stk. 3, i TEUF. Ved modtagelsen af henstillingen træffer Rådet straks afgørelse om bemyndigelse til at indlede disse forhandlinger. De finansielle bidrag fra disse lande tilføjes de samlede midler, der er til rådighed i den finansieringsramme, der er omhandlet i artikel 4.</w:t>
      </w:r>
    </w:p>
    <w:p w14:paraId="08F346E5" w14:textId="15F26995" w:rsidR="00286E0D" w:rsidRPr="00811674" w:rsidRDefault="00286E0D" w:rsidP="007D3199">
      <w:pPr>
        <w:pStyle w:val="Titrearticle"/>
        <w:rPr>
          <w:noProof/>
        </w:rPr>
      </w:pPr>
      <w:r w:rsidRPr="00811674">
        <w:rPr>
          <w:noProof/>
        </w:rPr>
        <w:t>Artikel 6</w:t>
      </w:r>
    </w:p>
    <w:p w14:paraId="77F384CC" w14:textId="77777777" w:rsidR="00286E0D" w:rsidRPr="00811674" w:rsidRDefault="00286E0D" w:rsidP="00286E0D">
      <w:pPr>
        <w:pStyle w:val="Titrearticle"/>
        <w:rPr>
          <w:b/>
          <w:bCs/>
          <w:noProof/>
          <w:szCs w:val="24"/>
        </w:rPr>
      </w:pPr>
      <w:bookmarkStart w:id="19" w:name="_Hlk195020056"/>
      <w:r w:rsidRPr="00811674">
        <w:rPr>
          <w:b/>
          <w:noProof/>
        </w:rPr>
        <w:t>Støtte til den særlige transitordning</w:t>
      </w:r>
    </w:p>
    <w:p w14:paraId="543A7C7F" w14:textId="3CC5D0D1" w:rsidR="00286E0D" w:rsidRPr="00811674" w:rsidRDefault="003347AC" w:rsidP="003347AC">
      <w:pPr>
        <w:pStyle w:val="ManualNumPar1"/>
        <w:rPr>
          <w:noProof/>
        </w:rPr>
      </w:pPr>
      <w:r w:rsidRPr="00811674">
        <w:rPr>
          <w:noProof/>
        </w:rPr>
        <w:t>1.</w:t>
      </w:r>
      <w:r w:rsidRPr="00811674">
        <w:rPr>
          <w:noProof/>
        </w:rPr>
        <w:tab/>
        <w:t xml:space="preserve">Et beløb på op til 450 000 000 EUR tildeles Litauens plan for nationalt og regionalt partnerskab i henhold til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med henblik på at yde støtte til dækning af mistede indtægter ved behandling af visa til kortvarigt ophold og yderligere omkostninger i forbindelse med gennemførelsen af ordningen med det forenklede transitdokument (FTD) og det forenklede jernbanetransitdokument (FRTD), jf. Rådets forordning (EF) nr. 693/2003 og forordning (EF) nr. 694/2003 som ændret ved Europa-Parlamentets og Rådets forordning (EU) 2023/2667.</w:t>
      </w:r>
    </w:p>
    <w:p w14:paraId="62C6EDAD" w14:textId="16EDD309" w:rsidR="00286E0D" w:rsidRPr="00811674" w:rsidRDefault="003347AC" w:rsidP="003347AC">
      <w:pPr>
        <w:pStyle w:val="ManualNumPar1"/>
        <w:rPr>
          <w:noProof/>
        </w:rPr>
      </w:pPr>
      <w:r w:rsidRPr="00811674">
        <w:rPr>
          <w:noProof/>
        </w:rPr>
        <w:t>2.</w:t>
      </w:r>
      <w:r w:rsidRPr="00811674">
        <w:rPr>
          <w:noProof/>
        </w:rPr>
        <w:tab/>
        <w:t xml:space="preserve">Med henblik på stk. 1 baseres EU-støtten til mistede indtægter på udstedelsen af FTD'er og FRTD'er. Loftet for støtten fastsættes til 100 000 000 EUR. </w:t>
      </w:r>
    </w:p>
    <w:p w14:paraId="0498E203" w14:textId="70EB88D9" w:rsidR="00286E0D" w:rsidRPr="00811674" w:rsidRDefault="003347AC" w:rsidP="003347AC">
      <w:pPr>
        <w:pStyle w:val="ManualNumPar1"/>
        <w:rPr>
          <w:noProof/>
        </w:rPr>
      </w:pPr>
      <w:r w:rsidRPr="00811674">
        <w:rPr>
          <w:noProof/>
        </w:rPr>
        <w:t>3.</w:t>
      </w:r>
      <w:r w:rsidRPr="00811674">
        <w:rPr>
          <w:noProof/>
        </w:rPr>
        <w:tab/>
        <w:t>Med henblik på stk. 1 dækker EU-støtten de anslåede yderligere omkostninger, der direkte følger af de særlige krav i forbindelse med gennemførelsen af den særlige transitordning, og som ikke opstår som følge af udstedelsen af visa i henhold til Europa-Parlamentets og Rådets forordning (EF) nr. 810/2009</w:t>
      </w:r>
      <w:r w:rsidR="00286E0D" w:rsidRPr="00811674">
        <w:rPr>
          <w:rStyle w:val="FootnoteReference"/>
          <w:noProof/>
        </w:rPr>
        <w:footnoteReference w:id="26"/>
      </w:r>
      <w:r w:rsidRPr="00811674">
        <w:rPr>
          <w:noProof/>
        </w:rPr>
        <w:t>.</w:t>
      </w:r>
    </w:p>
    <w:p w14:paraId="78235099" w14:textId="79CB3179" w:rsidR="00286E0D" w:rsidRPr="00811674" w:rsidRDefault="00286E0D" w:rsidP="006B174B">
      <w:pPr>
        <w:ind w:left="850"/>
        <w:rPr>
          <w:noProof/>
          <w:color w:val="000000"/>
          <w:szCs w:val="24"/>
        </w:rPr>
      </w:pPr>
      <w:r w:rsidRPr="00811674">
        <w:rPr>
          <w:noProof/>
          <w:color w:val="000000"/>
        </w:rPr>
        <w:t>Det maksimale bidrag fra Unionens budget er 100 % af de samlede anslåede omkostninger. Loftet for denne støtte fastsættes til 350 000 000 EUR.</w:t>
      </w:r>
    </w:p>
    <w:p w14:paraId="7DD7F0AB" w14:textId="77777777" w:rsidR="00286E0D" w:rsidRPr="00811674" w:rsidRDefault="00286E0D" w:rsidP="006B174B">
      <w:pPr>
        <w:ind w:left="346" w:firstLine="504"/>
        <w:rPr>
          <w:noProof/>
          <w:szCs w:val="24"/>
        </w:rPr>
      </w:pPr>
      <w:r w:rsidRPr="00811674">
        <w:rPr>
          <w:noProof/>
          <w:color w:val="000000"/>
        </w:rPr>
        <w:t xml:space="preserve">De anslåede yderligere omkostninger skal navnlig dække: </w:t>
      </w:r>
    </w:p>
    <w:p w14:paraId="6038D052" w14:textId="77777777" w:rsidR="00286E0D" w:rsidRPr="00811674" w:rsidRDefault="00286E0D" w:rsidP="006A2F81">
      <w:pPr>
        <w:pStyle w:val="ListNumber"/>
        <w:numPr>
          <w:ilvl w:val="0"/>
          <w:numId w:val="17"/>
        </w:numPr>
        <w:ind w:left="1094" w:hanging="357"/>
        <w:rPr>
          <w:rFonts w:eastAsia="Aptos"/>
          <w:noProof/>
          <w:color w:val="000000"/>
          <w:kern w:val="2"/>
          <w:szCs w:val="24"/>
        </w:rPr>
      </w:pPr>
      <w:r w:rsidRPr="00811674">
        <w:rPr>
          <w:noProof/>
        </w:rPr>
        <w:t>investeringer i infrastruktur, transportmidler, IKT-systemer og udstyr, som er nødvendige for driften af den særlige transitordning</w:t>
      </w:r>
    </w:p>
    <w:p w14:paraId="7E9CD1E5" w14:textId="77777777" w:rsidR="00286E0D" w:rsidRPr="00811674" w:rsidRDefault="00286E0D" w:rsidP="006A2F81">
      <w:pPr>
        <w:pStyle w:val="ListNumber"/>
        <w:numPr>
          <w:ilvl w:val="0"/>
          <w:numId w:val="17"/>
        </w:numPr>
        <w:ind w:left="1094" w:hanging="357"/>
        <w:rPr>
          <w:rFonts w:eastAsia="Aptos"/>
          <w:noProof/>
          <w:kern w:val="2"/>
          <w:szCs w:val="24"/>
        </w:rPr>
      </w:pPr>
      <w:r w:rsidRPr="00811674">
        <w:rPr>
          <w:noProof/>
        </w:rPr>
        <w:t>uddannelse af medarbejdere, der gennemfører den særlige transitordning</w:t>
      </w:r>
    </w:p>
    <w:p w14:paraId="612D44E9" w14:textId="77777777" w:rsidR="00286E0D" w:rsidRPr="00811674" w:rsidRDefault="00286E0D" w:rsidP="006A2F81">
      <w:pPr>
        <w:pStyle w:val="ListNumber"/>
        <w:numPr>
          <w:ilvl w:val="0"/>
          <w:numId w:val="17"/>
        </w:numPr>
        <w:ind w:left="1094" w:hanging="357"/>
        <w:rPr>
          <w:rFonts w:eastAsia="Aptos"/>
          <w:noProof/>
          <w:kern w:val="2"/>
          <w:szCs w:val="24"/>
        </w:rPr>
      </w:pPr>
      <w:r w:rsidRPr="00811674">
        <w:rPr>
          <w:noProof/>
        </w:rPr>
        <w:t xml:space="preserve">yderligere driftsomkostninger, herunder personaleomkostninger i forbindelse med gennemførelsen af den særlige transitordning. </w:t>
      </w:r>
    </w:p>
    <w:p w14:paraId="20B98F44" w14:textId="04D816B3" w:rsidR="00286E0D" w:rsidRPr="00811674" w:rsidRDefault="003347AC" w:rsidP="003347AC">
      <w:pPr>
        <w:pStyle w:val="ManualNumPar1"/>
        <w:rPr>
          <w:noProof/>
        </w:rPr>
      </w:pPr>
      <w:r w:rsidRPr="00811674">
        <w:rPr>
          <w:noProof/>
        </w:rPr>
        <w:t>4.</w:t>
      </w:r>
      <w:r w:rsidRPr="00811674">
        <w:rPr>
          <w:noProof/>
        </w:rPr>
        <w:tab/>
        <w:t>Kommissionen og Litauen tager anvendelsen af denne artikel op til revision i tilfælde af uforudsete omstændigheder med konsekvenser for den særlige transitordnings eksistens eller den måde, den fungerer på.</w:t>
      </w:r>
    </w:p>
    <w:p w14:paraId="09B9D768" w14:textId="20E1787D" w:rsidR="00286E0D" w:rsidRPr="00811674" w:rsidRDefault="003347AC" w:rsidP="003347AC">
      <w:pPr>
        <w:pStyle w:val="ManualNumPar1"/>
        <w:rPr>
          <w:noProof/>
        </w:rPr>
      </w:pPr>
      <w:r w:rsidRPr="00811674">
        <w:rPr>
          <w:noProof/>
        </w:rPr>
        <w:t>5.</w:t>
      </w:r>
      <w:r w:rsidRPr="00811674">
        <w:rPr>
          <w:noProof/>
        </w:rPr>
        <w:tab/>
        <w:t xml:space="preserve">De beløb, der er omhandlet i stk. 2 og 3, tildeles Litauens plan for nationalt og regionalt partnerskab. Disse beløb må ikke anvendes til andre foranstaltninger i planen, undtagen under behørigt begrundede omstændigheder, som godkendt af Kommissionen ved ændring af planen i henhold til artikel 24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w:t>
      </w:r>
    </w:p>
    <w:p w14:paraId="398970FF" w14:textId="10C76A9D" w:rsidR="00286E0D" w:rsidRPr="00811674" w:rsidRDefault="00286E0D" w:rsidP="0042042F">
      <w:pPr>
        <w:rPr>
          <w:noProof/>
        </w:rPr>
      </w:pPr>
      <w:r w:rsidRPr="00811674">
        <w:rPr>
          <w:noProof/>
        </w:rPr>
        <w:t xml:space="preserve">Efter begrundet anmodning fra Litauen kan det beløb, der er omhandlet i stk. 3, ændres og om nødvendigt tilpasses inden vedtagelsen af det sidste arbejdsprogram i henhold til artikel 31 i forordning (EU) [...] om oprettelse af Den Europæiske Fond for Økonomisk, Social og Territorial Samhørighed, Landbrug, Landdistrikter, Fiskeri, det Maritime Område, Velstand og Sikkerhed. Eventuelle yderligere beløb vil blive tildelt Litauens plan for nationalt og regionalt partnerskab i overensstemmelse med artikel 31, stk. 7, i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w:t>
      </w:r>
    </w:p>
    <w:bookmarkEnd w:id="19"/>
    <w:p w14:paraId="68C0B3A9" w14:textId="13E23B66" w:rsidR="00286E0D" w:rsidRPr="00811674" w:rsidRDefault="00286E0D" w:rsidP="00286E0D">
      <w:pPr>
        <w:pStyle w:val="Titrearticle"/>
        <w:rPr>
          <w:noProof/>
        </w:rPr>
      </w:pPr>
      <w:r w:rsidRPr="00811674">
        <w:rPr>
          <w:noProof/>
        </w:rPr>
        <w:t>Artikel 7</w:t>
      </w:r>
    </w:p>
    <w:p w14:paraId="43B9501B" w14:textId="77777777" w:rsidR="00286E0D" w:rsidRPr="00811674" w:rsidRDefault="00286E0D" w:rsidP="00286E0D">
      <w:pPr>
        <w:pStyle w:val="Titrearticle"/>
        <w:rPr>
          <w:b/>
          <w:bCs/>
          <w:noProof/>
        </w:rPr>
      </w:pPr>
      <w:r w:rsidRPr="00811674">
        <w:rPr>
          <w:b/>
          <w:noProof/>
        </w:rPr>
        <w:t>Midler til dækning af driftsomkostninger i forbindelse med det europæiske system vedrørende rejseinformation og rejsetilladelse (ETIAS)</w:t>
      </w:r>
    </w:p>
    <w:p w14:paraId="3743035C" w14:textId="03E26FA3" w:rsidR="00286E0D" w:rsidRPr="00811674" w:rsidRDefault="003347AC" w:rsidP="003347AC">
      <w:pPr>
        <w:pStyle w:val="ManualNumPar1"/>
        <w:rPr>
          <w:noProof/>
        </w:rPr>
      </w:pPr>
      <w:r w:rsidRPr="00811674">
        <w:rPr>
          <w:noProof/>
        </w:rPr>
        <w:t>1.</w:t>
      </w:r>
      <w:r w:rsidRPr="00811674">
        <w:rPr>
          <w:noProof/>
        </w:rPr>
        <w:tab/>
        <w:t xml:space="preserve">Hver medlemsstat opretter et effektivt og pålideligt system, der sikrer, at de driftsomkostninger, som den pågældende medlemsstat afholder i henhold til artikel 85, stk. 2 og 3, i forordning (EU) 2018/1240, er tilstrækkeligt klarlagt og registreret. Senest den 31. januar hvert år og første gang senest den 31. januar 2029 meddeler medlemsstaterne Kommissionen de samlede driftsomkostninger, der er afholdt i det foregående år. </w:t>
      </w:r>
    </w:p>
    <w:p w14:paraId="20E4BB50" w14:textId="727B6BC6" w:rsidR="00F0474E" w:rsidRPr="00811674" w:rsidRDefault="003347AC" w:rsidP="003347AC">
      <w:pPr>
        <w:pStyle w:val="ManualNumPar1"/>
        <w:rPr>
          <w:noProof/>
        </w:rPr>
      </w:pPr>
      <w:r w:rsidRPr="00811674">
        <w:rPr>
          <w:noProof/>
        </w:rPr>
        <w:t>2.</w:t>
      </w:r>
      <w:r w:rsidRPr="00811674">
        <w:rPr>
          <w:noProof/>
        </w:rPr>
        <w:tab/>
        <w:t xml:space="preserve">På grundlag af de oplysninger, som medlemsstaterne meddeler i henhold til stk. 1, fastsætter Kommissionen beløbet for de indtægter, der genereres af ETIAS-gebyrer, og som skal afsættes i overensstemmelse med artikel 86, andet punktum, i forordning (EU) 2018/1240 til dækning af medlemsstaternes driftsomkostninger. Hver medlemsstat får stillet deres respektive andel af dette beløb til rådighed af Kommissionen. </w:t>
      </w:r>
    </w:p>
    <w:p w14:paraId="55C50CF3" w14:textId="560E024F" w:rsidR="00286E0D" w:rsidRPr="00811674" w:rsidRDefault="003347AC" w:rsidP="003347AC">
      <w:pPr>
        <w:pStyle w:val="ManualNumPar1"/>
        <w:rPr>
          <w:noProof/>
        </w:rPr>
      </w:pPr>
      <w:r w:rsidRPr="00811674">
        <w:rPr>
          <w:noProof/>
        </w:rPr>
        <w:t>3.</w:t>
      </w:r>
      <w:r w:rsidRPr="00811674">
        <w:rPr>
          <w:noProof/>
        </w:rPr>
        <w:tab/>
        <w:t>Hvis de samlede driftsomkostninger, som medlemsstaterne har meddelt i henhold til stk. 1, overstiger de disponible ETIAS-indtægter, eller hvis de udgifter, der er afholdt til at tilpasse og automatisere ind- og udrejsekontrol med henblik på at indføre ETIAS, overstiger de grænser, der er fastsat i artikel 85, stk. 3, i forordning (EU) 2018/1240, beregner Kommissionen en pro rata-reduktion af disse beløb.</w:t>
      </w:r>
    </w:p>
    <w:p w14:paraId="038E99C1" w14:textId="18ECF8B5" w:rsidR="00DD664E" w:rsidRPr="00811674" w:rsidRDefault="003347AC" w:rsidP="003347AC">
      <w:pPr>
        <w:pStyle w:val="ManualNumPar1"/>
        <w:rPr>
          <w:noProof/>
        </w:rPr>
      </w:pPr>
      <w:bookmarkStart w:id="20" w:name="_Hlk202881652"/>
      <w:r w:rsidRPr="00811674">
        <w:rPr>
          <w:noProof/>
        </w:rPr>
        <w:t>4.</w:t>
      </w:r>
      <w:r w:rsidRPr="00811674">
        <w:rPr>
          <w:noProof/>
        </w:rPr>
        <w:tab/>
        <w:t>Hvis de samlede driftsomkostninger i et givet år overstiger de disponible ETIAS-indtægter, får medlemsstaterne efterfølgende stillet det beløb, der svarer til pro rata-reduktionen af deres samlede driftsomkostninger fra indtægter fra ETIAS-gebyrer, til rådighed af Kommissionen.</w:t>
      </w:r>
    </w:p>
    <w:bookmarkEnd w:id="20"/>
    <w:p w14:paraId="10AD3292" w14:textId="060D27B2" w:rsidR="00286E0D" w:rsidRPr="00811674" w:rsidRDefault="00286E0D" w:rsidP="00286E0D">
      <w:pPr>
        <w:pStyle w:val="Titrearticle"/>
        <w:rPr>
          <w:noProof/>
          <w:szCs w:val="24"/>
        </w:rPr>
      </w:pPr>
      <w:r w:rsidRPr="00811674">
        <w:rPr>
          <w:noProof/>
        </w:rPr>
        <w:t>Artikel 8</w:t>
      </w:r>
    </w:p>
    <w:p w14:paraId="5F79BA04" w14:textId="77777777" w:rsidR="00286E0D" w:rsidRPr="00811674" w:rsidRDefault="006866F6" w:rsidP="00286E0D">
      <w:pPr>
        <w:pStyle w:val="Titrearticle"/>
        <w:rPr>
          <w:noProof/>
          <w:szCs w:val="24"/>
        </w:rPr>
      </w:pPr>
      <w:r w:rsidRPr="00811674">
        <w:rPr>
          <w:b/>
          <w:noProof/>
        </w:rPr>
        <w:t>Finansielle bidrag til den årlige solidaritetspulje</w:t>
      </w:r>
    </w:p>
    <w:p w14:paraId="0E0DC514" w14:textId="07076A59" w:rsidR="00286E0D" w:rsidRPr="00811674" w:rsidRDefault="006866F6" w:rsidP="00653241">
      <w:pPr>
        <w:rPr>
          <w:noProof/>
          <w:szCs w:val="24"/>
        </w:rPr>
      </w:pPr>
      <w:r w:rsidRPr="00811674">
        <w:rPr>
          <w:noProof/>
        </w:rPr>
        <w:t>Kommissionen beregner den respektive andel af de finansielle bidrag, der overføres af de bidragydende medlemsstater i overensstemmelse med artikel 64, stk. 1, i forordning (EU) 2024/1351, og stiller den til rådighed for hver solidaritetsmodtagende medlemsstat med henblik på gennemførelsen af de tiltag, der er fastsat i artikel 56, stk. 2, litra b), i forordning (EU) 2024/1351.</w:t>
      </w:r>
    </w:p>
    <w:p w14:paraId="414E4803" w14:textId="2814B288" w:rsidR="00286E0D" w:rsidRPr="00811674" w:rsidRDefault="00286E0D" w:rsidP="00286E0D">
      <w:pPr>
        <w:pStyle w:val="Titrearticle"/>
        <w:rPr>
          <w:noProof/>
        </w:rPr>
      </w:pPr>
      <w:r w:rsidRPr="00811674">
        <w:rPr>
          <w:noProof/>
        </w:rPr>
        <w:t xml:space="preserve">Artikel 9 </w:t>
      </w:r>
    </w:p>
    <w:p w14:paraId="732D7A52" w14:textId="77777777" w:rsidR="00286E0D" w:rsidRPr="00811674" w:rsidRDefault="00286E0D" w:rsidP="00286E0D">
      <w:pPr>
        <w:pStyle w:val="Titrearticle"/>
        <w:rPr>
          <w:i w:val="0"/>
          <w:noProof/>
        </w:rPr>
      </w:pPr>
      <w:r w:rsidRPr="00811674">
        <w:rPr>
          <w:b/>
          <w:noProof/>
        </w:rPr>
        <w:t>Overgangsbestemmelser</w:t>
      </w:r>
    </w:p>
    <w:p w14:paraId="32BA96D3" w14:textId="6427F63E" w:rsidR="00286E0D" w:rsidRPr="00811674" w:rsidRDefault="00631DBC" w:rsidP="00A257BB">
      <w:pPr>
        <w:rPr>
          <w:noProof/>
        </w:rPr>
      </w:pPr>
      <w:r w:rsidRPr="00811674">
        <w:rPr>
          <w:noProof/>
        </w:rPr>
        <w:t>Denne forordning påvirker ikke videreførelsen eller eventuelle ændringer af tiltag, der er indledt i henhold til forordning (EU) 2021/1148, som fortsat finder anvendelse på de pågældende tiltag, indtil de afsluttes.</w:t>
      </w:r>
    </w:p>
    <w:p w14:paraId="3B38DA05" w14:textId="09D4A97E" w:rsidR="00286E0D" w:rsidRPr="00811674" w:rsidRDefault="00286E0D" w:rsidP="00286E0D">
      <w:pPr>
        <w:pStyle w:val="Titrearticle"/>
        <w:rPr>
          <w:noProof/>
        </w:rPr>
      </w:pPr>
      <w:r w:rsidRPr="00811674">
        <w:rPr>
          <w:noProof/>
        </w:rPr>
        <w:t>Artikel 10</w:t>
      </w:r>
    </w:p>
    <w:p w14:paraId="0F10C298" w14:textId="77777777" w:rsidR="00286E0D" w:rsidRPr="00811674" w:rsidRDefault="00286E0D" w:rsidP="00286E0D">
      <w:pPr>
        <w:pStyle w:val="Titrearticle"/>
        <w:rPr>
          <w:b/>
          <w:bCs/>
          <w:noProof/>
        </w:rPr>
      </w:pPr>
      <w:r w:rsidRPr="00811674">
        <w:rPr>
          <w:b/>
          <w:noProof/>
        </w:rPr>
        <w:t>Ikrafttræden og anvendelse</w:t>
      </w:r>
    </w:p>
    <w:p w14:paraId="1105ED5B" w14:textId="77777777" w:rsidR="00286E0D" w:rsidRPr="00811674" w:rsidRDefault="00286E0D" w:rsidP="00286E0D">
      <w:pPr>
        <w:rPr>
          <w:noProof/>
          <w:szCs w:val="24"/>
        </w:rPr>
      </w:pPr>
      <w:r w:rsidRPr="00811674">
        <w:rPr>
          <w:noProof/>
        </w:rPr>
        <w:t xml:space="preserve">Denne forordning træder i kraft på [tyvende]dagen efter offentliggørelsen i </w:t>
      </w:r>
      <w:r w:rsidRPr="00811674">
        <w:rPr>
          <w:i/>
          <w:noProof/>
        </w:rPr>
        <w:t>Den Europæiske Unions Tidende</w:t>
      </w:r>
      <w:r w:rsidRPr="00811674">
        <w:rPr>
          <w:noProof/>
        </w:rPr>
        <w:t>.</w:t>
      </w:r>
    </w:p>
    <w:p w14:paraId="2B6F6F03" w14:textId="6A003581" w:rsidR="00286E0D" w:rsidRPr="00811674" w:rsidRDefault="00286E0D" w:rsidP="00A257BB">
      <w:pPr>
        <w:rPr>
          <w:noProof/>
        </w:rPr>
      </w:pPr>
      <w:r w:rsidRPr="00811674">
        <w:rPr>
          <w:noProof/>
        </w:rPr>
        <w:t xml:space="preserve">Den finder anvendelse fra anvendelsesdatoen for forordning (EU) [...] </w:t>
      </w:r>
      <w:r w:rsidRPr="00811674">
        <w:rPr>
          <w:noProof/>
          <w:color w:val="000000" w:themeColor="text1"/>
        </w:rPr>
        <w:t>om oprettelse af Den Europæiske Fond for Økonomisk, Social og Territorial Samhørighed, Landbrug, Landdistrikter, Fiskeri, det Maritime Område, Velstand og Sikkerhed</w:t>
      </w:r>
      <w:r w:rsidRPr="00811674">
        <w:rPr>
          <w:noProof/>
        </w:rPr>
        <w:t xml:space="preserve"> for perioden 2028-2034.</w:t>
      </w:r>
    </w:p>
    <w:p w14:paraId="6D028D58" w14:textId="77777777" w:rsidR="00286E0D" w:rsidRPr="00811674" w:rsidRDefault="00286E0D" w:rsidP="002C4CE0">
      <w:pPr>
        <w:pStyle w:val="Applicationdirecte"/>
        <w:keepNext/>
        <w:keepLines/>
        <w:spacing w:before="120"/>
        <w:rPr>
          <w:noProof/>
          <w:szCs w:val="24"/>
        </w:rPr>
      </w:pPr>
      <w:r w:rsidRPr="00811674">
        <w:rPr>
          <w:noProof/>
        </w:rPr>
        <w:t>Denne forordning er bindende i alle enkeltheder og gælder umiddelbart i medlemsstaterne i overensstemmelse med traktaterne.</w:t>
      </w:r>
    </w:p>
    <w:p w14:paraId="15F55F35" w14:textId="22BE6BA2" w:rsidR="00286E0D" w:rsidRPr="00811674" w:rsidRDefault="00E160E9" w:rsidP="002C4CE0">
      <w:pPr>
        <w:pStyle w:val="Fait"/>
        <w:rPr>
          <w:noProof/>
        </w:rPr>
      </w:pPr>
      <w:r>
        <w:rPr>
          <w:noProof/>
        </w:rPr>
        <w:t>Udfærdiget i Bruxelles, den .</w:t>
      </w:r>
    </w:p>
    <w:p w14:paraId="50B73B1B" w14:textId="77777777" w:rsidR="00363133" w:rsidRPr="00811674" w:rsidRDefault="00363133" w:rsidP="002C4CE0">
      <w:pPr>
        <w:pStyle w:val="Institutionquisigne"/>
        <w:rPr>
          <w:noProof/>
        </w:rPr>
      </w:pPr>
      <w:r w:rsidRPr="00811674">
        <w:rPr>
          <w:noProof/>
        </w:rPr>
        <w:t>På Europa-Parlamentets vegne</w:t>
      </w:r>
      <w:r w:rsidRPr="00811674">
        <w:rPr>
          <w:noProof/>
        </w:rPr>
        <w:tab/>
        <w:t>På Rådets vegne</w:t>
      </w:r>
    </w:p>
    <w:p w14:paraId="524EA237" w14:textId="6875BD45" w:rsidR="00811674" w:rsidRPr="00811674" w:rsidRDefault="002D52EA" w:rsidP="002C4CE0">
      <w:pPr>
        <w:pStyle w:val="Personnequisigne"/>
        <w:keepNext/>
        <w:rPr>
          <w:noProof/>
        </w:rPr>
      </w:pPr>
      <w:r w:rsidRPr="002D52EA">
        <w:rPr>
          <w:noProof/>
        </w:rPr>
        <w:t>[…]</w:t>
      </w:r>
      <w:r>
        <w:rPr>
          <w:noProof/>
          <w:color w:val="008000"/>
        </w:rPr>
        <w:tab/>
      </w:r>
      <w:r w:rsidRPr="002D52EA">
        <w:rPr>
          <w:noProof/>
        </w:rPr>
        <w:t>[…]</w:t>
      </w:r>
    </w:p>
    <w:p w14:paraId="20635673" w14:textId="7A34AFF1" w:rsidR="00363133" w:rsidRPr="00811674" w:rsidRDefault="00363133" w:rsidP="00363133">
      <w:pPr>
        <w:pStyle w:val="Personnequisigne"/>
        <w:rPr>
          <w:noProof/>
        </w:rPr>
      </w:pPr>
      <w:r w:rsidRPr="00811674">
        <w:rPr>
          <w:noProof/>
        </w:rPr>
        <w:t>Formand</w:t>
      </w:r>
      <w:r w:rsidRPr="00811674">
        <w:rPr>
          <w:noProof/>
        </w:rPr>
        <w:tab/>
        <w:t>Formand</w:t>
      </w:r>
    </w:p>
    <w:sectPr w:rsidR="00363133" w:rsidRPr="00811674" w:rsidSect="00E56E00">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8CC6" w14:textId="60FDB445" w:rsidR="00E56E00" w:rsidRPr="00E56E00" w:rsidRDefault="00E56E00" w:rsidP="00E56E00">
    <w:pPr>
      <w:pStyle w:val="Footer"/>
      <w:rPr>
        <w:rFonts w:ascii="Arial" w:hAnsi="Arial" w:cs="Arial"/>
        <w:b/>
        <w:sz w:val="48"/>
      </w:rPr>
    </w:pPr>
    <w:r w:rsidRPr="00E56E00">
      <w:rPr>
        <w:rFonts w:ascii="Arial" w:hAnsi="Arial" w:cs="Arial"/>
        <w:b/>
        <w:sz w:val="48"/>
      </w:rPr>
      <w:t>DA</w:t>
    </w:r>
    <w:r w:rsidRPr="00E56E00">
      <w:rPr>
        <w:rFonts w:ascii="Arial" w:hAnsi="Arial" w:cs="Arial"/>
        <w:b/>
        <w:sz w:val="48"/>
      </w:rPr>
      <w:tab/>
    </w:r>
    <w:r w:rsidRPr="00E56E00">
      <w:rPr>
        <w:rFonts w:ascii="Arial" w:hAnsi="Arial" w:cs="Arial"/>
        <w:b/>
        <w:sz w:val="48"/>
      </w:rPr>
      <w:tab/>
    </w:r>
    <w:r w:rsidRPr="00E56E00">
      <w:tab/>
    </w:r>
    <w:r w:rsidRPr="00E56E00">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722C" w14:textId="2C16992A" w:rsidR="00E56E00" w:rsidRPr="00E56E00" w:rsidRDefault="00E56E00" w:rsidP="00E56E00">
    <w:pPr>
      <w:pStyle w:val="Footer"/>
      <w:rPr>
        <w:rFonts w:ascii="Arial" w:hAnsi="Arial" w:cs="Arial"/>
        <w:b/>
        <w:sz w:val="48"/>
      </w:rPr>
    </w:pPr>
    <w:r w:rsidRPr="00E56E00">
      <w:rPr>
        <w:rFonts w:ascii="Arial" w:hAnsi="Arial" w:cs="Arial"/>
        <w:b/>
        <w:sz w:val="48"/>
      </w:rPr>
      <w:t>DA</w:t>
    </w:r>
    <w:r w:rsidRPr="00E56E00">
      <w:rPr>
        <w:rFonts w:ascii="Arial" w:hAnsi="Arial" w:cs="Arial"/>
        <w:b/>
        <w:sz w:val="48"/>
      </w:rPr>
      <w:tab/>
    </w:r>
    <w:r w:rsidRPr="00E56E00">
      <w:rPr>
        <w:rFonts w:ascii="Arial" w:hAnsi="Arial" w:cs="Arial"/>
        <w:b/>
        <w:sz w:val="48"/>
      </w:rPr>
      <w:tab/>
    </w:r>
    <w:r w:rsidRPr="00E56E00">
      <w:tab/>
    </w:r>
    <w:r w:rsidRPr="00E56E00">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EEB0" w14:textId="77777777" w:rsidR="00E56E00" w:rsidRDefault="00E56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88859" w14:textId="18635D51" w:rsidR="00E56E00" w:rsidRPr="00E56E00" w:rsidRDefault="00E56E00" w:rsidP="00E56E00">
    <w:pPr>
      <w:pStyle w:val="Footer"/>
      <w:rPr>
        <w:rFonts w:ascii="Arial" w:hAnsi="Arial" w:cs="Arial"/>
        <w:b/>
        <w:sz w:val="48"/>
      </w:rPr>
    </w:pPr>
    <w:r w:rsidRPr="00E56E00">
      <w:rPr>
        <w:rFonts w:ascii="Arial" w:hAnsi="Arial" w:cs="Arial"/>
        <w:b/>
        <w:sz w:val="48"/>
      </w:rPr>
      <w:t>DA</w:t>
    </w:r>
    <w:r w:rsidRPr="00E56E00">
      <w:rPr>
        <w:rFonts w:ascii="Arial" w:hAnsi="Arial" w:cs="Arial"/>
        <w:b/>
        <w:sz w:val="48"/>
      </w:rPr>
      <w:tab/>
    </w:r>
    <w:r>
      <w:fldChar w:fldCharType="begin"/>
    </w:r>
    <w:r>
      <w:instrText xml:space="preserve"> PAGE  \* MERGEFORMAT </w:instrText>
    </w:r>
    <w:r>
      <w:fldChar w:fldCharType="separate"/>
    </w:r>
    <w:r w:rsidR="002C4CE0">
      <w:rPr>
        <w:noProof/>
      </w:rPr>
      <w:t>19</w:t>
    </w:r>
    <w:r>
      <w:fldChar w:fldCharType="end"/>
    </w:r>
    <w:r>
      <w:tab/>
    </w:r>
    <w:r w:rsidRPr="00E56E00">
      <w:tab/>
    </w:r>
    <w:r w:rsidRPr="00E56E00">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78C7" w14:textId="77777777" w:rsidR="00E56E00" w:rsidRDefault="00E56E00" w:rsidP="00E5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Europa-Parlamentets og Rådets forordning af 14. maj 2024 om indførelse af screening af tredjelandsstatsborgere ved de ydre grænser og om ændring af forordning (EF) nr. 767/2008, (EU) 2017/2226, (EU) 2018/1240 og (EU) 2019/817 (EUT L, 2024/1356, 22.5.2024, ELI: </w:t>
      </w:r>
      <w:hyperlink r:id="rId1" w:tgtFrame="_blank" w:tooltip="Giver adgang til dokumentet via dets ELI-URI."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Europa-Parlamentets og Rådets forordning (EU) 2021/1148 af 7. juli 2021 om oprettelse af instrumentet for finansiel støtte til grænseforvaltning og visumpolitik som en del af Fonden for Integreret Grænseforvaltning. </w:t>
      </w:r>
    </w:p>
  </w:footnote>
  <w:footnote w:id="3">
    <w:p w14:paraId="6343CBFD" w14:textId="77777777" w:rsidR="00970B74" w:rsidRPr="00970B74" w:rsidRDefault="00653241" w:rsidP="00970B74">
      <w:pPr>
        <w:pStyle w:val="FootnoteText"/>
        <w:rPr>
          <w:b/>
          <w:bCs/>
        </w:rPr>
      </w:pPr>
      <w:r>
        <w:rPr>
          <w:rStyle w:val="FootnoteReference"/>
        </w:rPr>
        <w:footnoteRef/>
      </w:r>
      <w:r>
        <w:tab/>
        <w:t>Europa-Parlamentets og Rådets forordning (EU) 2024/1351 af 14. maj 2024 om asylforvaltning og migrationsstyring, om ændring af forordning (EU) 2021/1147 og (EU) 2021/1060 og om ophævelse af forordning (EU) nr. 604/2013 (EUT L, 2024/1351, 22.5.2024, ELI:</w:t>
      </w:r>
      <w:r>
        <w:rPr>
          <w:b/>
        </w:rPr>
        <w:t> </w:t>
      </w:r>
      <w:hyperlink r:id="rId2" w:tgtFrame="_blank" w:tooltip="Giver adgang til dokumentet via dets ELI-URI." w:history="1">
        <w:r>
          <w:rPr>
            <w:rStyle w:val="Hyperlink"/>
            <w:b/>
          </w:rPr>
          <w:t>http://data.europa.eu/eli/reg/2024/1351/oj</w:t>
        </w:r>
      </w:hyperlink>
      <w:r>
        <w:t>).</w:t>
      </w:r>
    </w:p>
    <w:p w14:paraId="473B85DC" w14:textId="3AF592A2" w:rsidR="00286E0D" w:rsidRPr="002D52EA" w:rsidRDefault="00286E0D" w:rsidP="00D274F9">
      <w:pPr>
        <w:pStyle w:val="FootnoteText"/>
      </w:pPr>
    </w:p>
  </w:footnote>
  <w:footnote w:id="4">
    <w:p w14:paraId="518B2D40" w14:textId="77777777" w:rsidR="00286E0D" w:rsidRPr="00431333" w:rsidRDefault="00286E0D" w:rsidP="00286E0D">
      <w:pPr>
        <w:pStyle w:val="FootnoteText"/>
      </w:pPr>
      <w:r>
        <w:rPr>
          <w:rStyle w:val="FootnoteReference"/>
        </w:rPr>
        <w:footnoteRef/>
      </w:r>
      <w:r>
        <w:tab/>
        <w:t>EUT C , , s. .</w:t>
      </w:r>
    </w:p>
  </w:footnote>
  <w:footnote w:id="5">
    <w:p w14:paraId="6353D267" w14:textId="77777777" w:rsidR="00286E0D" w:rsidRPr="008B2F77" w:rsidRDefault="00286E0D" w:rsidP="00286E0D">
      <w:pPr>
        <w:pStyle w:val="FootnoteText"/>
      </w:pPr>
      <w:r>
        <w:rPr>
          <w:rStyle w:val="FootnoteReference"/>
        </w:rPr>
        <w:footnoteRef/>
      </w:r>
      <w:r>
        <w:tab/>
        <w:t>Europa-Parlamentets holdning af ... og Rådets holdning af …</w:t>
      </w:r>
    </w:p>
  </w:footnote>
  <w:footnote w:id="6">
    <w:p w14:paraId="21BBB7AD" w14:textId="77777777" w:rsidR="00286E0D" w:rsidRPr="00A60815" w:rsidRDefault="00286E0D" w:rsidP="00286E0D">
      <w:pPr>
        <w:pStyle w:val="FootnoteText"/>
      </w:pPr>
      <w:r>
        <w:rPr>
          <w:rStyle w:val="FootnoteReference"/>
        </w:rPr>
        <w:footnoteRef/>
      </w:r>
      <w:r>
        <w:tab/>
        <w:t>Europa-Parlamentets og Rådets forordning (EU) 2019/1896 af 13. november 2019 om den europæiske grænse- og kystvagt og om ophævelse af forordning (EU) nr. 1052/2013 og (EU) 2016/1624 (EUT L 295 af 14.11.2019, s.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EUT L 144 af 6.6.2007, s. 22.</w:t>
      </w:r>
    </w:p>
  </w:footnote>
  <w:footnote w:id="8">
    <w:p w14:paraId="4428EE6F" w14:textId="77777777" w:rsidR="00286E0D" w:rsidRPr="003A4850" w:rsidRDefault="00286E0D" w:rsidP="00286E0D">
      <w:pPr>
        <w:pStyle w:val="FootnoteText"/>
      </w:pPr>
      <w:r>
        <w:rPr>
          <w:rStyle w:val="FootnoteReference"/>
        </w:rPr>
        <w:footnoteRef/>
      </w:r>
      <w:r>
        <w:tab/>
        <w:t xml:space="preserve">Europa-Parlamentets og Rådets forordning (EU) nr. 515/2014 af 16. april 2014 om oprettelse af et instrument for finansiel støtte til forvaltning af de ydre grænser og den fælles visumpolitik som en del af Fonden for Intern Sikkerhed og om ophævelse af beslutning nr. 574/2007/EF (EUT L 150 af 20.5.2014, s.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Europa-Parlamentets og Rådets forordning (EU) 2021/1148 af 7. juli 2021 om oprettelse af instrumentet for finansiel støtte til grænseforvaltning og visumpolitik som del af Fonden for Integreret Grænseforvaltning (EUT L 251 af 15.7.2021, s.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Meddelelse fra Kommissionen til Europa-Parlamentet og Rådet om bekæmpelse af hybride trusler foranlediget af brugen af migration som våben og om styrkelse af sikkerheden ved EU's ydre grænser (COM(2024) 570 final af 11.12.2024).</w:t>
      </w:r>
    </w:p>
  </w:footnote>
  <w:footnote w:id="11">
    <w:p w14:paraId="2178D4C2" w14:textId="77777777" w:rsidR="00286E0D" w:rsidRPr="009D6D48" w:rsidRDefault="00286E0D" w:rsidP="00286E0D">
      <w:pPr>
        <w:pStyle w:val="FootnoteText"/>
      </w:pPr>
      <w:r>
        <w:rPr>
          <w:rStyle w:val="FootnoteReference"/>
        </w:rPr>
        <w:footnoteRef/>
      </w:r>
      <w:r>
        <w:tab/>
        <w:t xml:space="preserve">Europa-Parlamentets og Rådets forordning (EU) 2018/1240 af 12. september 2018 om oprettelse af et europæisk system vedrørende rejseinformation og rejsetilladelse (ETIAS) og om ændring af forordning (EU) nr. 1077/2011, (EU) nr. 515/2014, (EU) 2016/399, (EU) 2016/1624 og (EU) 2017/2226 (EUT L 236 af 19.9.2018, s.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Europa-Parlamentets og Rådets forordning (EU) 2024/1351 af 14. maj 2024 om asylforvaltning og migrationsstyring, om ændring af forordning (EU) 2021/1147 og (EU) 2021/1060 og om ophævelse af forordning (EU) nr. 604/2013 (EUT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 vedrørende vilkårene for Den Tjekkiske Republiks, Republikken Estlands, Republikken Cyperns, Republikken Letlands, Republikken Litauens, Republikken Ungarns, Republikken Maltas, Republikken Polens, Republikken Sloveniens og Den Slovakiske Republiks tiltrædelse og tilpasningerne af de traktater, der danner grundlag for Den Europæiske Union (EUT L 236 af 23.9.2003, s.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Rådets forordning (EF) nr. 693/2003 af 14. april 2003 om indførelse af et særligt, forenklet transitdokument (FTD) og et forenklet jernbanetransitdokument (FRTD) samt om ændring af de fælles konsulære instrukser og Den Fælles Håndbog (EUT L 99 af 17.4.2003, s.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EFT L 176 af 10.7.1999, s. 36.</w:t>
      </w:r>
    </w:p>
  </w:footnote>
  <w:footnote w:id="16">
    <w:p w14:paraId="0ED6C216" w14:textId="77777777" w:rsidR="00286E0D" w:rsidRPr="009D6D48" w:rsidRDefault="00286E0D" w:rsidP="00286E0D">
      <w:pPr>
        <w:pStyle w:val="FootnoteText"/>
      </w:pPr>
      <w:r>
        <w:rPr>
          <w:rStyle w:val="FootnoteReference"/>
        </w:rPr>
        <w:footnoteRef/>
      </w:r>
      <w:r>
        <w:tab/>
        <w:t xml:space="preserve">Rådets afgørelse 1999/437/EF af 17. maj 1999 om visse gennemførelsesbestemmelser til den aftale, som Rådet for Den Europæiske Union har indgået med Republikken Island og Kongeriget Norge om disse to staters associering i gennemførelsen, anvendelsen og den videre udvikling af Schengenreglerne (EFT L 176 af 10.7.1999, s.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EUT L 53 af 27.2.2008, s. 52.</w:t>
      </w:r>
    </w:p>
  </w:footnote>
  <w:footnote w:id="18">
    <w:p w14:paraId="41D47FF0" w14:textId="77777777" w:rsidR="00286E0D" w:rsidRPr="009D6D48" w:rsidRDefault="00286E0D" w:rsidP="00286E0D">
      <w:pPr>
        <w:pStyle w:val="FootnoteText"/>
      </w:pPr>
      <w:r>
        <w:rPr>
          <w:rStyle w:val="FootnoteReference"/>
        </w:rPr>
        <w:footnoteRef/>
      </w:r>
      <w:r>
        <w:tab/>
        <w:t xml:space="preserve">Rådets afgørelse 2008/146/EF af 28. januar 2008 om indgåelse, på Det Europæiske Fællesskabs vegne, af aftalen mellem Den Europæiske Union, Det Europæiske Fællesskab og Det Schweiziske Forbund om Det Schweiziske Forbunds associering i gennemførelsen, anvendelsen og udviklingen af Schengenreglerne (EUT L 53 af 27.2.2008, s.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EUT L 160 af 18.6.2011, s.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Rådets afgørelse 2011/350/EU af 7. marts 2011 om indgåelse, på Den Europæiske Unions vegne, af protokollen mellem Den Europæiske Union, Det Europæiske Fællesskab, Det Schweiziske Forbund og Fyrstendømmet Liechtenstein om Fyrstendømmet Liechtensteins tiltrædelse af aftalen mellem Den Europæiske Union, Det Europæiske Fællesskab og Det Schweiziske Forbund om Det Schweiziske Forbunds associering i gennemførelsen, anvendelsen og udviklingen af Schengenreglerne, navnlig for så vidt angår afskaffelsen af kontrollen ved de indre grænser og personbevægelser (EUT L 160 af 18.6.2011, s.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Rådets afgørelse 2002/192/EF af 28. februar 2002 om anmodningen fra Irland om at deltage i visse bestemmelser i Schengen-reglerne (EFT L 64 af 7.3.2002, s.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Europa-Parlamentets og Rådets forordning (EU) 2016/399 af 9. marts 2016 om en EU-kodeks for personers grænsepassage (Schengengrænsekodeks) (kodifikation), (EUT L 77 af 23.3.2016, s. 1,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Europa-Parlamentets og Rådets forordning (EU) 2019/1896 af 13. november 2019 om den europæiske grænse- og kystvagt og om ophævelse af forordning (EU) nr. 1052/2013 og (EU) 2016/1624 (EUT L 295 af 14.11.2019, s. 1).</w:t>
      </w:r>
    </w:p>
  </w:footnote>
  <w:footnote w:id="24">
    <w:p w14:paraId="37F054DE" w14:textId="77777777" w:rsidR="00286E0D" w:rsidRPr="009D63A2" w:rsidRDefault="00286E0D" w:rsidP="00286E0D">
      <w:pPr>
        <w:pStyle w:val="FootnoteText"/>
      </w:pPr>
      <w:r>
        <w:rPr>
          <w:rStyle w:val="FootnoteReference"/>
        </w:rPr>
        <w:footnoteRef/>
      </w:r>
      <w:r>
        <w:tab/>
        <w:t>Europa-Parlamentets og Rådets forordning (EU) 2016/399 af 9. marts 2016 om en EU-kodeks for personers grænsepassage (Schengengrænsekodeks) (kodifikation) (EUT L 77 af 23.3.2016, s. 1).</w:t>
      </w:r>
    </w:p>
  </w:footnote>
  <w:footnote w:id="25">
    <w:p w14:paraId="19F49142" w14:textId="77777777" w:rsidR="00286E0D" w:rsidRPr="009D63A2" w:rsidRDefault="00286E0D" w:rsidP="00286E0D">
      <w:pPr>
        <w:pStyle w:val="FootnoteText"/>
      </w:pPr>
      <w:r>
        <w:rPr>
          <w:rStyle w:val="FootnoteReference"/>
        </w:rPr>
        <w:footnoteRef/>
      </w:r>
      <w:r>
        <w:tab/>
        <w:t>Europa-Parlamentets og Rådets forordning (EU) 2019/1896 af 13. november 2019 om den europæiske grænse- og kystvagt og om ophævelse af forordning (EU) nr. 1052/2013 og (EU) 2016/1624 (EUT L 295 af 14.11.2019, s. 1).</w:t>
      </w:r>
    </w:p>
  </w:footnote>
  <w:footnote w:id="26">
    <w:p w14:paraId="567544D3" w14:textId="77777777" w:rsidR="00286E0D" w:rsidRPr="008665C8" w:rsidRDefault="00286E0D" w:rsidP="00D274F9">
      <w:pPr>
        <w:pStyle w:val="FootnoteText"/>
      </w:pPr>
      <w:r>
        <w:rPr>
          <w:rStyle w:val="FootnoteReference"/>
        </w:rPr>
        <w:footnoteRef/>
      </w:r>
      <w:r>
        <w:tab/>
        <w:t>Europa-Parlamentets og Rådets forordning (EF) nr. 810/2009 af 13. juli 2009 om en fællesskabskodeks for visa (visumkodeks) (EUT L 243 af 15.9.2009, s.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B526" w14:textId="77777777" w:rsidR="00E56E00" w:rsidRDefault="00E56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8969" w14:textId="77777777" w:rsidR="00E56E00" w:rsidRDefault="00E5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50DC6D84"/>
    <w:lvl w:ilvl="0">
      <w:start w:val="1"/>
      <w:numFmt w:val="lowerLetter"/>
      <w:lvlText w:val="%1)"/>
      <w:lvlJc w:val="left"/>
      <w:pPr>
        <w:tabs>
          <w:tab w:val="num" w:pos="709"/>
        </w:tabs>
        <w:ind w:left="709" w:hanging="709"/>
      </w:pPr>
      <w:rPr>
        <w:rFonts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A0024E5-2E00-47DD-8958-71080160A0A6"/>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EU-støtte til Schengenområdet, til integreret europæisk grænseforvaltning og til den fælles visumpolitik for perioden 2028-2034"/>
    <w:docVar w:name="LW_TYPE.DOC.CP" w:val="EUROPA-PARLAMENTETS OG RÅDETS FORORDNING"/>
    <w:docVar w:name="LwApiVersions" w:val="LW4CoDe 1.24.5.0; LW 9.0, Build 20240221"/>
  </w:docVars>
  <w:rsids>
    <w:rsidRoot w:val="00286E0D"/>
    <w:rsid w:val="000004BB"/>
    <w:rsid w:val="000011DD"/>
    <w:rsid w:val="00010C77"/>
    <w:rsid w:val="00014CA7"/>
    <w:rsid w:val="00015B47"/>
    <w:rsid w:val="00023854"/>
    <w:rsid w:val="000276FD"/>
    <w:rsid w:val="0003052C"/>
    <w:rsid w:val="000318D3"/>
    <w:rsid w:val="00034CAB"/>
    <w:rsid w:val="00035D80"/>
    <w:rsid w:val="0004117A"/>
    <w:rsid w:val="0004185D"/>
    <w:rsid w:val="0005515C"/>
    <w:rsid w:val="00067273"/>
    <w:rsid w:val="000706FB"/>
    <w:rsid w:val="00081D61"/>
    <w:rsid w:val="0008440D"/>
    <w:rsid w:val="00092AE2"/>
    <w:rsid w:val="00094C15"/>
    <w:rsid w:val="000963B2"/>
    <w:rsid w:val="000978AD"/>
    <w:rsid w:val="000B7F2F"/>
    <w:rsid w:val="000C55AA"/>
    <w:rsid w:val="000D21B0"/>
    <w:rsid w:val="000E118B"/>
    <w:rsid w:val="000F2A02"/>
    <w:rsid w:val="0010112C"/>
    <w:rsid w:val="0010490D"/>
    <w:rsid w:val="00105088"/>
    <w:rsid w:val="001065F5"/>
    <w:rsid w:val="00107236"/>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E09D3"/>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A38EE"/>
    <w:rsid w:val="002B13A7"/>
    <w:rsid w:val="002B30AF"/>
    <w:rsid w:val="002C4CE0"/>
    <w:rsid w:val="002D1715"/>
    <w:rsid w:val="002D2A57"/>
    <w:rsid w:val="002D3158"/>
    <w:rsid w:val="002D52EA"/>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6385"/>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6E71"/>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291C"/>
    <w:rsid w:val="006F4E07"/>
    <w:rsid w:val="007021E5"/>
    <w:rsid w:val="00705404"/>
    <w:rsid w:val="00714D60"/>
    <w:rsid w:val="00715604"/>
    <w:rsid w:val="00720922"/>
    <w:rsid w:val="007223CB"/>
    <w:rsid w:val="007241DB"/>
    <w:rsid w:val="00727B12"/>
    <w:rsid w:val="0073110B"/>
    <w:rsid w:val="00731D25"/>
    <w:rsid w:val="00735746"/>
    <w:rsid w:val="00737284"/>
    <w:rsid w:val="00750A27"/>
    <w:rsid w:val="007517F9"/>
    <w:rsid w:val="007571EF"/>
    <w:rsid w:val="00762310"/>
    <w:rsid w:val="00762C18"/>
    <w:rsid w:val="00763746"/>
    <w:rsid w:val="0077027E"/>
    <w:rsid w:val="00773331"/>
    <w:rsid w:val="00775A38"/>
    <w:rsid w:val="0078205A"/>
    <w:rsid w:val="007915DD"/>
    <w:rsid w:val="007932EF"/>
    <w:rsid w:val="007947CD"/>
    <w:rsid w:val="0079660C"/>
    <w:rsid w:val="00797A55"/>
    <w:rsid w:val="007A1032"/>
    <w:rsid w:val="007A2B54"/>
    <w:rsid w:val="007B1680"/>
    <w:rsid w:val="007C5FAB"/>
    <w:rsid w:val="007C726D"/>
    <w:rsid w:val="007D07F8"/>
    <w:rsid w:val="007D3199"/>
    <w:rsid w:val="007E05B0"/>
    <w:rsid w:val="007F21BA"/>
    <w:rsid w:val="007F2C9B"/>
    <w:rsid w:val="0080257E"/>
    <w:rsid w:val="00802740"/>
    <w:rsid w:val="008053F0"/>
    <w:rsid w:val="00806AC4"/>
    <w:rsid w:val="0081167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23D6"/>
    <w:rsid w:val="00883432"/>
    <w:rsid w:val="00885335"/>
    <w:rsid w:val="008959F6"/>
    <w:rsid w:val="008A2914"/>
    <w:rsid w:val="008A29AE"/>
    <w:rsid w:val="008A791D"/>
    <w:rsid w:val="008B04C7"/>
    <w:rsid w:val="008C306E"/>
    <w:rsid w:val="008E2F96"/>
    <w:rsid w:val="008E4D8E"/>
    <w:rsid w:val="008E5E5A"/>
    <w:rsid w:val="008F1C03"/>
    <w:rsid w:val="008F39E9"/>
    <w:rsid w:val="00911349"/>
    <w:rsid w:val="00912E63"/>
    <w:rsid w:val="0091314F"/>
    <w:rsid w:val="0091542E"/>
    <w:rsid w:val="009218FA"/>
    <w:rsid w:val="00925BDE"/>
    <w:rsid w:val="00936AB4"/>
    <w:rsid w:val="0093788D"/>
    <w:rsid w:val="0094296D"/>
    <w:rsid w:val="009532AE"/>
    <w:rsid w:val="00956FF7"/>
    <w:rsid w:val="009600CC"/>
    <w:rsid w:val="00964BBE"/>
    <w:rsid w:val="00965300"/>
    <w:rsid w:val="00970B74"/>
    <w:rsid w:val="009712BF"/>
    <w:rsid w:val="00974DF7"/>
    <w:rsid w:val="00990454"/>
    <w:rsid w:val="00990C77"/>
    <w:rsid w:val="0099246A"/>
    <w:rsid w:val="00993D57"/>
    <w:rsid w:val="009A564D"/>
    <w:rsid w:val="009A644F"/>
    <w:rsid w:val="009B3BA6"/>
    <w:rsid w:val="009B59A3"/>
    <w:rsid w:val="009B5F19"/>
    <w:rsid w:val="009C2581"/>
    <w:rsid w:val="009C3C4B"/>
    <w:rsid w:val="009C4158"/>
    <w:rsid w:val="009D7CC5"/>
    <w:rsid w:val="009F5286"/>
    <w:rsid w:val="00A00E08"/>
    <w:rsid w:val="00A032EC"/>
    <w:rsid w:val="00A03C1D"/>
    <w:rsid w:val="00A06C2A"/>
    <w:rsid w:val="00A10916"/>
    <w:rsid w:val="00A136A7"/>
    <w:rsid w:val="00A145F6"/>
    <w:rsid w:val="00A16C67"/>
    <w:rsid w:val="00A257BB"/>
    <w:rsid w:val="00A26F33"/>
    <w:rsid w:val="00A277A2"/>
    <w:rsid w:val="00A3007C"/>
    <w:rsid w:val="00A33F32"/>
    <w:rsid w:val="00A35321"/>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5D9B"/>
    <w:rsid w:val="00B06CD5"/>
    <w:rsid w:val="00B07292"/>
    <w:rsid w:val="00B07856"/>
    <w:rsid w:val="00B147F8"/>
    <w:rsid w:val="00B157F4"/>
    <w:rsid w:val="00B17BF3"/>
    <w:rsid w:val="00B266CD"/>
    <w:rsid w:val="00B271BA"/>
    <w:rsid w:val="00B40083"/>
    <w:rsid w:val="00B40452"/>
    <w:rsid w:val="00B43F84"/>
    <w:rsid w:val="00B43FD1"/>
    <w:rsid w:val="00B44E20"/>
    <w:rsid w:val="00B51E33"/>
    <w:rsid w:val="00B532F9"/>
    <w:rsid w:val="00B60E2F"/>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B381E"/>
    <w:rsid w:val="00CC22DF"/>
    <w:rsid w:val="00CC3012"/>
    <w:rsid w:val="00CC69E7"/>
    <w:rsid w:val="00CD5494"/>
    <w:rsid w:val="00CD6540"/>
    <w:rsid w:val="00CE46A6"/>
    <w:rsid w:val="00CF02B1"/>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E7196"/>
    <w:rsid w:val="00DF0C86"/>
    <w:rsid w:val="00DF12F9"/>
    <w:rsid w:val="00DF5074"/>
    <w:rsid w:val="00E160E9"/>
    <w:rsid w:val="00E247E3"/>
    <w:rsid w:val="00E24956"/>
    <w:rsid w:val="00E25C86"/>
    <w:rsid w:val="00E31727"/>
    <w:rsid w:val="00E342BC"/>
    <w:rsid w:val="00E409A7"/>
    <w:rsid w:val="00E44E60"/>
    <w:rsid w:val="00E50CB5"/>
    <w:rsid w:val="00E54E28"/>
    <w:rsid w:val="00E56CFC"/>
    <w:rsid w:val="00E56E00"/>
    <w:rsid w:val="00E57952"/>
    <w:rsid w:val="00E6054B"/>
    <w:rsid w:val="00E656BD"/>
    <w:rsid w:val="00E65EF8"/>
    <w:rsid w:val="00E667AD"/>
    <w:rsid w:val="00E70044"/>
    <w:rsid w:val="00E73828"/>
    <w:rsid w:val="00E8012A"/>
    <w:rsid w:val="00E80373"/>
    <w:rsid w:val="00E81A13"/>
    <w:rsid w:val="00E82903"/>
    <w:rsid w:val="00E849FD"/>
    <w:rsid w:val="00E93942"/>
    <w:rsid w:val="00E944E9"/>
    <w:rsid w:val="00E96A5F"/>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2FD7"/>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da-DK"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da-DK"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da-DK"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da-DK"/>
    </w:rPr>
  </w:style>
  <w:style w:type="character" w:customStyle="1" w:styleId="FooterCoverPageChar">
    <w:name w:val="Footer Cover Page Char"/>
    <w:link w:val="FooterCoverPage"/>
    <w:rsid w:val="00286E0D"/>
    <w:rPr>
      <w:rFonts w:ascii="Times New Roman" w:eastAsia="Calibri" w:hAnsi="Times New Roman" w:cs="Times New Roman"/>
      <w:sz w:val="24"/>
      <w:lang w:val="da-DK"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da-DK" w:eastAsia="en-GB"/>
    </w:rPr>
  </w:style>
  <w:style w:type="character" w:customStyle="1" w:styleId="FooterSensitivityChar">
    <w:name w:val="Footer Sensitivity Char"/>
    <w:rsid w:val="00286E0D"/>
    <w:rPr>
      <w:rFonts w:ascii="Times New Roman" w:hAnsi="Times New Roman" w:cs="Times New Roman"/>
      <w:b/>
      <w:sz w:val="32"/>
      <w:lang w:val="da-DK"/>
    </w:rPr>
  </w:style>
  <w:style w:type="character" w:customStyle="1" w:styleId="HeaderSensitivityChar">
    <w:name w:val="Header Sensitivity Char"/>
    <w:rsid w:val="00286E0D"/>
    <w:rPr>
      <w:rFonts w:ascii="Times New Roman" w:hAnsi="Times New Roman" w:cs="Times New Roman"/>
      <w:b/>
      <w:sz w:val="32"/>
      <w:lang w:val="da-DK"/>
    </w:rPr>
  </w:style>
  <w:style w:type="character" w:customStyle="1" w:styleId="HeaderSensitivityRightChar">
    <w:name w:val="Header Sensitivity Right Char"/>
    <w:rsid w:val="00286E0D"/>
    <w:rPr>
      <w:rFonts w:ascii="Times New Roman" w:hAnsi="Times New Roman" w:cs="Times New Roman"/>
      <w:sz w:val="28"/>
      <w:lang w:val="da-DK"/>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da-DK"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E56E00"/>
    <w:rPr>
      <w:rFonts w:ascii="Times New Roman" w:hAnsi="Times New Roman" w:cs="Times New Roman"/>
      <w:sz w:val="24"/>
      <w:lang w:val="da-DK"/>
    </w:rPr>
  </w:style>
  <w:style w:type="character" w:customStyle="1" w:styleId="FooterChar">
    <w:name w:val="Footer Char"/>
    <w:basedOn w:val="DefaultParagraphFont"/>
    <w:link w:val="Footer"/>
    <w:uiPriority w:val="99"/>
    <w:rsid w:val="00E56E00"/>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56E0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56E00"/>
    <w:pPr>
      <w:spacing w:before="0"/>
      <w:jc w:val="right"/>
    </w:pPr>
    <w:rPr>
      <w:sz w:val="28"/>
    </w:rPr>
  </w:style>
  <w:style w:type="paragraph" w:customStyle="1" w:styleId="FooterSensitivity">
    <w:name w:val="Footer Sensitivity"/>
    <w:basedOn w:val="Normal"/>
    <w:rsid w:val="00E56E0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56E00"/>
    <w:pPr>
      <w:tabs>
        <w:tab w:val="center" w:pos="4535"/>
        <w:tab w:val="right" w:pos="9071"/>
      </w:tabs>
      <w:spacing w:before="0"/>
    </w:pPr>
  </w:style>
  <w:style w:type="paragraph" w:customStyle="1" w:styleId="HeaderLandscape">
    <w:name w:val="HeaderLandscape"/>
    <w:basedOn w:val="Normal"/>
    <w:rsid w:val="00E56E00"/>
    <w:pPr>
      <w:tabs>
        <w:tab w:val="center" w:pos="7285"/>
        <w:tab w:val="right" w:pos="14003"/>
      </w:tabs>
      <w:spacing w:before="0"/>
    </w:pPr>
  </w:style>
  <w:style w:type="paragraph" w:styleId="Footer">
    <w:name w:val="footer"/>
    <w:basedOn w:val="Normal"/>
    <w:link w:val="FooterChar"/>
    <w:uiPriority w:val="99"/>
    <w:unhideWhenUsed/>
    <w:rsid w:val="00E56E0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56E0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42AE5-28F5-4F21-954B-A1C46BE2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16</Pages>
  <Words>7625</Words>
  <Characters>43465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