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13CEC" w14:textId="3E4EDEE3" w:rsidR="00286E0D" w:rsidRPr="00F56FDC" w:rsidRDefault="00713C3F" w:rsidP="00713C3F">
      <w:pPr>
        <w:pStyle w:val="Pagedecouverture"/>
        <w:rPr>
          <w:noProof/>
        </w:rPr>
      </w:pPr>
      <w:r>
        <w:rPr>
          <w:noProof/>
        </w:rPr>
        <w:pict w14:anchorId="45782C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2AB9A627-1DC7-4BA1-8C2B-40B484BC31E9" style="width:455.25pt;height:355.5pt">
            <v:imagedata r:id="rId8" o:title=""/>
          </v:shape>
        </w:pict>
      </w:r>
    </w:p>
    <w:p w14:paraId="0D2B0620" w14:textId="77777777" w:rsidR="00286E0D" w:rsidRPr="00F56FDC" w:rsidRDefault="00286E0D" w:rsidP="00286E0D">
      <w:pPr>
        <w:rPr>
          <w:noProof/>
        </w:rPr>
        <w:sectPr w:rsidR="00286E0D" w:rsidRPr="00F56FDC" w:rsidSect="00713C3F">
          <w:footerReference w:type="even" r:id="rId9"/>
          <w:footerReference w:type="default" r:id="rId10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4696ABAD" w14:textId="77777777" w:rsidR="00286E0D" w:rsidRPr="00F56FDC" w:rsidRDefault="00286E0D" w:rsidP="00286E0D">
      <w:pPr>
        <w:pStyle w:val="Exposdesmotifstitre"/>
        <w:rPr>
          <w:noProof/>
        </w:rPr>
      </w:pPr>
      <w:bookmarkStart w:id="0" w:name="_GoBack"/>
      <w:bookmarkEnd w:id="0"/>
      <w:r w:rsidRPr="00F56FDC">
        <w:rPr>
          <w:noProof/>
        </w:rPr>
        <w:lastRenderedPageBreak/>
        <w:t>DŮVODOVÁ ZPRÁVA</w:t>
      </w:r>
    </w:p>
    <w:p w14:paraId="1D44F294" w14:textId="77777777" w:rsidR="00286E0D" w:rsidRPr="00F56FDC" w:rsidRDefault="00286E0D" w:rsidP="00286E0D">
      <w:pPr>
        <w:rPr>
          <w:noProof/>
        </w:rPr>
      </w:pPr>
    </w:p>
    <w:p w14:paraId="791ACC5D" w14:textId="77777777" w:rsidR="00286E0D" w:rsidRPr="00F56FDC" w:rsidRDefault="00286E0D" w:rsidP="00286E0D">
      <w:pPr>
        <w:pStyle w:val="ManualHeading1"/>
        <w:rPr>
          <w:noProof/>
        </w:rPr>
      </w:pPr>
      <w:r w:rsidRPr="00F56FDC">
        <w:rPr>
          <w:noProof/>
        </w:rPr>
        <w:t>1.</w:t>
      </w:r>
      <w:r w:rsidRPr="00F56FDC">
        <w:rPr>
          <w:noProof/>
        </w:rPr>
        <w:tab/>
        <w:t>SOUVISLOSTI NÁVRHU</w:t>
      </w:r>
    </w:p>
    <w:p w14:paraId="141EF942" w14:textId="77777777" w:rsidR="00286E0D" w:rsidRPr="00F56FDC" w:rsidRDefault="00286E0D" w:rsidP="00286E0D">
      <w:pPr>
        <w:pStyle w:val="ManualHeading2"/>
        <w:rPr>
          <w:rFonts w:eastAsia="Arial Unicode MS"/>
          <w:noProof/>
        </w:rPr>
      </w:pPr>
      <w:r w:rsidRPr="00F56FDC">
        <w:rPr>
          <w:noProof/>
          <w:color w:val="000000"/>
          <w:u w:color="000000"/>
          <w:bdr w:val="nil"/>
        </w:rPr>
        <w:t>•</w:t>
      </w:r>
      <w:r w:rsidRPr="00F56FDC">
        <w:rPr>
          <w:noProof/>
        </w:rPr>
        <w:tab/>
        <w:t xml:space="preserve">Odůvodnění a cíle </w:t>
      </w:r>
    </w:p>
    <w:p w14:paraId="034D1AFE" w14:textId="77777777" w:rsidR="004D75E7" w:rsidRPr="00F56FDC" w:rsidRDefault="00B9223C" w:rsidP="004D75E7">
      <w:pPr>
        <w:rPr>
          <w:noProof/>
        </w:rPr>
      </w:pPr>
      <w:r w:rsidRPr="00F56FDC">
        <w:rPr>
          <w:noProof/>
        </w:rPr>
        <w:t xml:space="preserve">Politické směry Komise na období 2024–2029 zdůrazňují potřebu zajistit úplný a plně funkční schengenský prostor bez kontrol na vnitřních hranicích prostřednictvím bezpečnějších vnějších hranic, přičemž prioritou je bezpečnost, řízení migrace a účinnost. Jádrem tohoto úsilí je evropská integrovaná správa hranic, která zajišťuje soulad mezi vzájemně propojenými oblastmi politiky, včetně hranic, navracení a ostrahy, jakož i mezi agenturou Frontex a odpovědnými vnitrostátními orgány při správě vnějších hranic EU. Pokud jde o provádění, je politické a strategické řízení rozvoje schengenského prostoru zajišťováno rámcem pro správu schengenského prostoru založeným na schengenských hodnoceních, který zabezpečuje provádění klíčových iniciativ, jako je interoperabilita informačních systémů, a dodržování příslušných pravidel, jakož i identifikaci a nápravu systematických nedostatků. Tím by měl být posílen pocit sdílené odpovědnosti a vzájemné důvěry mezi členskými státy a zeměmi přidruženými k Schengenu. </w:t>
      </w:r>
    </w:p>
    <w:p w14:paraId="401136B9" w14:textId="77777777" w:rsidR="00D81B8C" w:rsidRPr="00F56FDC" w:rsidRDefault="00B9223C" w:rsidP="00B9223C">
      <w:pPr>
        <w:rPr>
          <w:noProof/>
        </w:rPr>
      </w:pPr>
      <w:r w:rsidRPr="00F56FDC">
        <w:rPr>
          <w:noProof/>
        </w:rPr>
        <w:t xml:space="preserve">Geopolitický kontext Evropy se výrazně změnil, což má na správu vnějších hranic Unie zásadní dopad. </w:t>
      </w:r>
      <w:bookmarkStart w:id="1" w:name="_Hlk202820988"/>
      <w:bookmarkEnd w:id="1"/>
      <w:r w:rsidRPr="00F56FDC">
        <w:rPr>
          <w:noProof/>
        </w:rPr>
        <w:t xml:space="preserve">Kvůli nárůstu hybridních a jiných bezpečnostních hrozeb, včetně zneužívání migrace jako zbraně, se ochrana vnějších hranic stává ještě naléhavější. </w:t>
      </w:r>
      <w:bookmarkStart w:id="2" w:name="_Hlk202822882"/>
      <w:bookmarkEnd w:id="2"/>
      <w:r w:rsidRPr="00F56FDC">
        <w:rPr>
          <w:noProof/>
        </w:rPr>
        <w:t xml:space="preserve">Současně zůstává nelegální migrace významným faktorem, který podtrhuje potřebu zajistit účinnou spolupráci se zeměmi mimo EU spolu s komplexními partnerstvími se zeměmi původu a tranzitu, a to s podporou prostřednictvím nařízení (EU) […] [Globální Evropa]. Převaděčství migrantů představuje pro zločinecké sítě ziskové podnikání, při němž převaděči využívají k usnadnění nelegální migrace do Evropské unie i uvnitř Unie pozemní, námořní a letecké trasy. Tento fenomén zahrnuje stále více závažných porušování lidských práv a případů úmrtí, zejména pokud využívá mořské trasy. Vzhledem ke ztrátám životů migrantů ve Středozemním moři, kteří jsou v rukou převaděčů, vyvstává naléhavá potřeba bojovat proti převaděčství migrantů s využitím všech dostupných právních, operativních a administrativních nástrojů. </w:t>
      </w:r>
    </w:p>
    <w:p w14:paraId="6F6D36BE" w14:textId="77777777" w:rsidR="00B9223C" w:rsidRPr="00F56FDC" w:rsidRDefault="00B9223C" w:rsidP="00FA3905">
      <w:pPr>
        <w:rPr>
          <w:noProof/>
        </w:rPr>
      </w:pPr>
      <w:r w:rsidRPr="00F56FDC">
        <w:rPr>
          <w:noProof/>
        </w:rPr>
        <w:t>Členské státy musí být schopny rychle a účinně reagovat na aktuální vývoj a získávat podporu Unie pro tento účel.</w:t>
      </w:r>
    </w:p>
    <w:p w14:paraId="4BD9F834" w14:textId="77777777" w:rsidR="00BE09E6" w:rsidRPr="00F56FDC" w:rsidRDefault="00E57952" w:rsidP="00FA3905">
      <w:pPr>
        <w:rPr>
          <w:noProof/>
        </w:rPr>
      </w:pPr>
      <w:r w:rsidRPr="00F56FDC">
        <w:rPr>
          <w:noProof/>
        </w:rPr>
        <w:t>Je zásadní zajistit rozvoj, bezpečný provoz a údržbu rozsáhlých informačních systémů v souladu s právem Unie v oblasti správy hranic, konkrétně Schengenského informačního systému (SIS), Vízového informačního systému (VIS), Eurodacu, Systému vstupu/výstupu (EES) a Evropského systému pro cestovní informace a povolení (EITAS), včetně jejich interoperability, a rovněž příslušné komunikační infrastruktury. Tento nástroj by měl také přispívat k akcím, jejichž cílem je zlepšit kvalitu údajů a poskytování informací.</w:t>
      </w:r>
    </w:p>
    <w:p w14:paraId="0413D35D" w14:textId="77777777" w:rsidR="008C306E" w:rsidRPr="00F56FDC" w:rsidRDefault="008C306E" w:rsidP="00D81B8C">
      <w:pPr>
        <w:rPr>
          <w:noProof/>
        </w:rPr>
      </w:pPr>
      <w:bookmarkStart w:id="3" w:name="_Hlk202880202"/>
      <w:bookmarkEnd w:id="3"/>
      <w:r w:rsidRPr="00F56FDC">
        <w:rPr>
          <w:noProof/>
        </w:rPr>
        <w:t>Podpora Unie by měla být rovněž členským státům k dispozici pro získání odborných znalostí a provozní způsobilosti, které jsou nezbytné k provádění příslušných prvků Paktu o migraci a azylu, konkrétně nařízení (EU) 2024/1356</w:t>
      </w:r>
      <w:r w:rsidRPr="00F56FDC">
        <w:rPr>
          <w:rStyle w:val="FootnoteReference"/>
          <w:noProof/>
        </w:rPr>
        <w:footnoteReference w:id="1"/>
      </w:r>
      <w:r w:rsidRPr="00F56FDC">
        <w:rPr>
          <w:noProof/>
        </w:rPr>
        <w:t xml:space="preserve"> (dále jen „nařízení o prověřování“), jež přispívá k účinné správě hranic. </w:t>
      </w:r>
    </w:p>
    <w:p w14:paraId="07A03C8E" w14:textId="77777777" w:rsidR="00D81B8C" w:rsidRPr="00F56FDC" w:rsidRDefault="00D81B8C" w:rsidP="00D81B8C">
      <w:pPr>
        <w:rPr>
          <w:noProof/>
        </w:rPr>
      </w:pPr>
      <w:r w:rsidRPr="00F56FDC">
        <w:rPr>
          <w:noProof/>
        </w:rPr>
        <w:t>Jak občané EU, tak občané třetích zemí procházejí při překračování vnějších hranic EU systematickými kontrolami. Vzhledem k tomu, že pouze v roce 2023 bylo zaznamenáno téměř 600 milionů překročení hranic a očekává se, že v nadcházejících letech bude počet překročení hranic nadále stoupat, je zřejmé, že kontroly pomocí informačních systémů se musí provádět rychle a účinně, a současně je třeba zachovat vysokou úroveň bezpečnosti a zajistit, aby byl zkontrolován každý cestující.</w:t>
      </w:r>
    </w:p>
    <w:p w14:paraId="293FB5AE" w14:textId="77777777" w:rsidR="00B9223C" w:rsidRPr="00F56FDC" w:rsidRDefault="00B9223C" w:rsidP="00B9223C">
      <w:pPr>
        <w:rPr>
          <w:noProof/>
        </w:rPr>
      </w:pPr>
      <w:r w:rsidRPr="00F56FDC">
        <w:rPr>
          <w:noProof/>
        </w:rPr>
        <w:t xml:space="preserve">Členské státy by měly úzce spolupracovat s příslušnými agenturami EU, včetně agentur Frontex a eu-LISA, které by měly poskytovat nezbytné odborné znalosti a technologické prostředky pro ostrahu a situační orientaci. V širším smyslu by Komise měla zapojit příslušné orgány, instituce a jiné subjekty Unie do souvisejících činností s cílem zajistit soulad opatření podporovaných Unií s příslušným </w:t>
      </w:r>
      <w:r w:rsidRPr="00F56FDC">
        <w:rPr>
          <w:i/>
          <w:iCs/>
          <w:noProof/>
        </w:rPr>
        <w:t>acquis</w:t>
      </w:r>
      <w:r w:rsidRPr="00F56FDC">
        <w:rPr>
          <w:noProof/>
        </w:rPr>
        <w:t xml:space="preserve"> a schválenými prioritami Unie.</w:t>
      </w:r>
    </w:p>
    <w:p w14:paraId="0C29A07E" w14:textId="77777777" w:rsidR="00B9223C" w:rsidRPr="00F56FDC" w:rsidRDefault="00B9223C" w:rsidP="00B9223C">
      <w:pPr>
        <w:rPr>
          <w:noProof/>
        </w:rPr>
      </w:pPr>
      <w:r w:rsidRPr="00F56FDC">
        <w:rPr>
          <w:noProof/>
        </w:rPr>
        <w:t>Pro lepší zabezpečení hranic a řízení migrace má klíčový význam rovněž silná vízová politika EU. Podpora Unie by zejména měla členským státům pomoci zvýšit účinnost vyřizování víz a bránit zneužívání vízového režimu Unie. Podpora Unie je zapotřebí za účelem digitalizace vyřizování víz, jakož i lepšího pokrytí konzulárními službami po celém světě a poskytování lepších služeb pro žadatele.</w:t>
      </w:r>
    </w:p>
    <w:p w14:paraId="33FEB1CE" w14:textId="335F2A4B" w:rsidR="00B9223C" w:rsidRPr="00F56FDC" w:rsidRDefault="00B9223C" w:rsidP="001F3E4C">
      <w:pPr>
        <w:rPr>
          <w:noProof/>
        </w:rPr>
      </w:pPr>
      <w:r w:rsidRPr="00F56FDC">
        <w:rPr>
          <w:noProof/>
        </w:rPr>
        <w:t>Cílem návrhu je řešit potřebu zvýšení flexibility při řízení podpory Unie, včetně větší orientace na výkonnost, a dosáhnout zjednodušení pro všechny subjekty zapojené do jejího provádění. Proto se návrh úzce doplňuje s návrhem nařízení (EU) […], kterým se zřizuje Evropský fond pro hospodářskou, sociální a územní soudržnost, zemědělství a venkovské oblasti, rybolov a námořní záležitosti, prosperitu a bezpečnost, jenž zavádí nové mechanismy pro přidělování finančních prostředků na sdílené, přímé a nepřímé řízení. Vzhledem k tomu, že výzvy v oblasti správy hranic a migrace se neustále vyvíjejí, je rovněž třeba reagovat na naléhavé potřeby a změny politických a unijních priorit</w:t>
      </w:r>
      <w:bookmarkStart w:id="4" w:name="_Hlk202775281"/>
      <w:bookmarkEnd w:id="4"/>
      <w:r w:rsidRPr="00F56FDC">
        <w:rPr>
          <w:noProof/>
        </w:rPr>
        <w:t>, řešit nedostatky zjištěné prostřednictvím schengenských hodnocení a posouzení zranitelnosti agentury Frontex a zaměřit financování na akce s vysokou přidanou hodnotou Unie, zejména pomocí nástroje EU, který poskytuje při řízení podpory Unie flexibilitu.</w:t>
      </w:r>
    </w:p>
    <w:p w14:paraId="4CF7EFDF" w14:textId="64E65124" w:rsidR="00EB6497" w:rsidRPr="00F56FDC" w:rsidRDefault="00EB6497" w:rsidP="001F3E4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noProof/>
        </w:rPr>
      </w:pPr>
      <w:r w:rsidRPr="00F56FDC">
        <w:rPr>
          <w:noProof/>
        </w:rPr>
        <w:t xml:space="preserve">Tento návrh spolu s návrhem nařízení, kterým se zavádí podpora Unie pro azyl, migraci a integraci, a návrhem nařízení, kterým se zavádí podpora Unie pro vnitřní bezpečnost, poskytují zvláštní právní rámec pro činnost Unie v oblasti evropské integrované správy hranic na vnějších hranicích, dobře fungujícího schengenského prostoru a evropské vízové politiky, účinného řízení migračních toků a vnitřní bezpečnosti. Tato tři nařízení se vzájemně doplňují a přispívají k cílům nařízení (EU) […], kterým se zřizuje Evropský fond pro hospodářskou, sociální a územní soudržnost, zemědělství a venkovské oblasti, rybolov a námořní záležitosti, prosperitu a bezpečnost, jehož prostřednictvím budou prováděna. </w:t>
      </w:r>
    </w:p>
    <w:p w14:paraId="5EBA1527" w14:textId="77777777" w:rsidR="00EB6497" w:rsidRPr="00F56FDC" w:rsidRDefault="00EB6497" w:rsidP="00EB6497">
      <w:pPr>
        <w:rPr>
          <w:noProof/>
        </w:rPr>
      </w:pPr>
      <w:r w:rsidRPr="00F56FDC">
        <w:rPr>
          <w:noProof/>
        </w:rPr>
        <w:t>Navrhované nařízení vychází z nařízení (EU) 2021/1148</w:t>
      </w:r>
      <w:r w:rsidRPr="00F56FDC">
        <w:rPr>
          <w:rStyle w:val="FootnoteReference"/>
          <w:rFonts w:eastAsia="Arial Unicode MS"/>
          <w:noProof/>
        </w:rPr>
        <w:footnoteReference w:id="2"/>
      </w:r>
      <w:r w:rsidRPr="00F56FDC">
        <w:rPr>
          <w:noProof/>
        </w:rPr>
        <w:t xml:space="preserve"> a zároveň zohledňuje nový vývoj politiky a potřebu pružně reagovat na vyvíjející se výzvy v evropské integrované správě hranic, včetně řádného fungování schengenského prostoru, jakož i ve vízové politice EU.</w:t>
      </w:r>
    </w:p>
    <w:p w14:paraId="23CA5C86" w14:textId="77777777" w:rsidR="00286E0D" w:rsidRPr="00F56FDC" w:rsidRDefault="00286E0D" w:rsidP="00286E0D">
      <w:pPr>
        <w:pStyle w:val="ManualHeading2"/>
        <w:rPr>
          <w:rFonts w:eastAsia="Arial Unicode MS"/>
          <w:noProof/>
          <w:color w:val="000000"/>
          <w:u w:color="000000"/>
          <w:bdr w:val="nil"/>
        </w:rPr>
      </w:pPr>
      <w:r w:rsidRPr="00F56FDC">
        <w:rPr>
          <w:noProof/>
          <w:color w:val="000000"/>
          <w:u w:color="000000"/>
          <w:bdr w:val="nil"/>
        </w:rPr>
        <w:t>•</w:t>
      </w:r>
      <w:r w:rsidRPr="00F56FDC">
        <w:rPr>
          <w:noProof/>
        </w:rPr>
        <w:tab/>
        <w:t>Soulad se stávajícími ustanoveními v dané oblasti politiky</w:t>
      </w:r>
    </w:p>
    <w:p w14:paraId="254C54FA" w14:textId="77777777" w:rsidR="00286E0D" w:rsidRPr="00F56FDC" w:rsidRDefault="00286E0D" w:rsidP="00286E0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noProof/>
        </w:rPr>
      </w:pPr>
      <w:r w:rsidRPr="00F56FDC">
        <w:rPr>
          <w:noProof/>
        </w:rPr>
        <w:t xml:space="preserve">Provádění podpory Unie pro evropskou integrovanou správu hranic a evropskou vízovou politiku se bude úzce doplňovat s ostatními politikami v oblasti působnosti plánů národního a regionálního partnerství, čímž se podpoří součinnost mezi těmito politikami. Je také třeba usilovat o součinnost a doplňkovost se schengenským </w:t>
      </w:r>
      <w:r w:rsidRPr="00F56FDC">
        <w:rPr>
          <w:i/>
          <w:iCs/>
          <w:noProof/>
        </w:rPr>
        <w:t>acquis</w:t>
      </w:r>
      <w:r w:rsidRPr="00F56FDC">
        <w:rPr>
          <w:noProof/>
        </w:rPr>
        <w:t xml:space="preserve"> a s legislativním balíčkem, z něhož vychází Pakt o migraci a azylu, který vstoupil v platnost dne 11. června 2024. Intenzivnější politika EU v oblasti evropské integrované správy hranic a vízové politiky EU však vyžaduje opatření napříč celým spektrem nástrojů, které jsou k dispozici, včetně činností příslušných decentralizovaných agentur Unie.</w:t>
      </w:r>
    </w:p>
    <w:p w14:paraId="7C64BB8E" w14:textId="77777777" w:rsidR="00EB6497" w:rsidRPr="00F56FDC" w:rsidRDefault="00EB6497" w:rsidP="00286E0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noProof/>
        </w:rPr>
      </w:pPr>
      <w:bookmarkStart w:id="5" w:name="_Hlk202880469"/>
      <w:r w:rsidRPr="00F56FDC">
        <w:rPr>
          <w:noProof/>
          <w:color w:val="000000" w:themeColor="text1"/>
        </w:rPr>
        <w:t>Šest decentralizovaných agentur v oblasti vnitřních věcí (Frontex, Europol, EUAA, eu-LISA, EUDA a CEPOL) hraje při provádění politik v oblasti vnitřních věcí významnou a stále výraznější úlohu. Je nezbytné zajistit soudržnost mezi politickými strategiemi stanovenými na úrovni EU a operativními činnostmi decentralizovaných agentur, čímž se rovněž maximalizuje příspěvek k cílům politiky EU z finančních prostředků EU poskytovaných decentralizovaným agenturám. Operativní úloha decentralizovaných agentur může vyžadovat další posílení doprovázené odpovídajícím navýšením finančních prostředků.</w:t>
      </w:r>
    </w:p>
    <w:bookmarkEnd w:id="5"/>
    <w:p w14:paraId="3F7C3464" w14:textId="77777777" w:rsidR="00286E0D" w:rsidRPr="00F56FDC" w:rsidRDefault="00286E0D" w:rsidP="00336FEB">
      <w:pPr>
        <w:pStyle w:val="ManualHeading2"/>
        <w:ind w:left="851" w:hanging="851"/>
        <w:rPr>
          <w:rFonts w:eastAsia="Arial Unicode MS"/>
          <w:noProof/>
        </w:rPr>
      </w:pPr>
      <w:r w:rsidRPr="00F56FDC">
        <w:rPr>
          <w:noProof/>
          <w:color w:val="000000"/>
          <w:u w:color="000000"/>
          <w:bdr w:val="nil"/>
        </w:rPr>
        <w:t>•</w:t>
      </w:r>
      <w:r w:rsidRPr="00F56FDC">
        <w:rPr>
          <w:noProof/>
        </w:rPr>
        <w:tab/>
        <w:t>Soulad s ostatními politikami Unie</w:t>
      </w:r>
    </w:p>
    <w:p w14:paraId="1AF2B945" w14:textId="77777777" w:rsidR="0031749A" w:rsidRPr="00F56FDC" w:rsidRDefault="00286E0D" w:rsidP="00286E0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noProof/>
          <w:color w:val="000000" w:themeColor="text1"/>
        </w:rPr>
      </w:pPr>
      <w:r w:rsidRPr="00F56FDC">
        <w:rPr>
          <w:noProof/>
        </w:rPr>
        <w:t>Evropská integrovaná správa hranic a vízová politika se opírají o synergie a soudržnost s příslušnými politikami EU, jako je politika v oblasti azylu a migrace a vnitřní bezpečnosti a vnější politiky Unie na podporu třetích zemí, především na základě nařízení (EU) […] [Globální Evropa], které pokrývají širokou škálu oblastí s významnými vazbami na vnitřní politiky, včetně politiky správy hranic a vízové politiky. Je důležité především zajistit větší soudržnost s podporou Unie určenou na spolupráci v oblasti správy hranic s partnerskými zeměmi v rámci Globální Evropy, aby byl podpořen koordinovaný, holistický a strukturovaný přístup, který maximálně využívá synergií a uplatňuje nezbytný pákový efekt.</w:t>
      </w:r>
      <w:r w:rsidRPr="00F56FDC">
        <w:rPr>
          <w:noProof/>
          <w:color w:val="000000" w:themeColor="text1"/>
        </w:rPr>
        <w:t xml:space="preserve"> V této souvislosti je podpora přeshraniční spolupráce v rámci Globální Evropy obzvláště relevantní pro posílení správy hranic a v úsilí o předcházení nelegální migraci.</w:t>
      </w:r>
    </w:p>
    <w:p w14:paraId="6CBA56D8" w14:textId="77777777" w:rsidR="00286E0D" w:rsidRPr="00F56FDC" w:rsidRDefault="00286E0D" w:rsidP="0031749A">
      <w:pPr>
        <w:pBdr>
          <w:top w:val="nil"/>
          <w:left w:val="nil"/>
          <w:bottom w:val="nil"/>
          <w:right w:val="nil"/>
          <w:between w:val="nil"/>
          <w:bar w:val="nil"/>
        </w:pBdr>
        <w:rPr>
          <w:noProof/>
          <w:szCs w:val="24"/>
        </w:rPr>
      </w:pPr>
      <w:r w:rsidRPr="00F56FDC">
        <w:rPr>
          <w:noProof/>
        </w:rPr>
        <w:t>Na podporu programu v oblasti konkurenceschopnosti by měly být zváženy také investice založené na inovativních metodách nebo nových technologiích, včetně opatření zaměřených na testování a ověřování výsledků výzkumných projektů financovaných Unií.</w:t>
      </w:r>
    </w:p>
    <w:p w14:paraId="43A280F3" w14:textId="77777777" w:rsidR="00B9223C" w:rsidRPr="00F56FDC" w:rsidRDefault="00AD5AEE" w:rsidP="00AD5AEE">
      <w:pPr>
        <w:pStyle w:val="ManualHeading2"/>
        <w:ind w:left="851" w:hanging="851"/>
        <w:rPr>
          <w:rFonts w:eastAsia="Arial Unicode MS"/>
          <w:noProof/>
          <w:color w:val="000000"/>
          <w:u w:color="000000"/>
          <w:bdr w:val="nil"/>
        </w:rPr>
      </w:pPr>
      <w:r w:rsidRPr="00F56FDC">
        <w:rPr>
          <w:noProof/>
          <w:color w:val="000000"/>
          <w:u w:color="000000"/>
          <w:bdr w:val="nil"/>
        </w:rPr>
        <w:t>•</w:t>
      </w:r>
      <w:r w:rsidRPr="00F56FDC">
        <w:rPr>
          <w:noProof/>
        </w:rPr>
        <w:tab/>
      </w:r>
      <w:r w:rsidRPr="00F56FDC">
        <w:rPr>
          <w:noProof/>
          <w:color w:val="000000"/>
          <w:u w:color="000000"/>
          <w:bdr w:val="nil"/>
        </w:rPr>
        <w:t>Proměnná geometrie</w:t>
      </w:r>
    </w:p>
    <w:p w14:paraId="4C39B415" w14:textId="77777777" w:rsidR="00C244F7" w:rsidRPr="00F56FDC" w:rsidRDefault="00B9223C" w:rsidP="00B9223C">
      <w:pPr>
        <w:rPr>
          <w:rFonts w:eastAsia="Arial Unicode MS"/>
          <w:noProof/>
        </w:rPr>
      </w:pPr>
      <w:r w:rsidRPr="00F56FDC">
        <w:rPr>
          <w:noProof/>
        </w:rPr>
        <w:t xml:space="preserve">Toto nařízení rozvíjí schengenské </w:t>
      </w:r>
      <w:r w:rsidRPr="00F56FDC">
        <w:rPr>
          <w:i/>
          <w:iCs/>
          <w:noProof/>
        </w:rPr>
        <w:t>acquis</w:t>
      </w:r>
      <w:r w:rsidRPr="00F56FDC">
        <w:rPr>
          <w:noProof/>
        </w:rPr>
        <w:t>. V důsledku toho se na použití tohoto nařízení na Dánsko a Irsko vztahují zvláštní ustanovení obsažená v protokolech č. 19 a 22 připojených ke Smlouvě o EU a Smlouvě o fungování EU.</w:t>
      </w:r>
    </w:p>
    <w:p w14:paraId="5CBE603F" w14:textId="77777777" w:rsidR="00C244F7" w:rsidRPr="00F56FDC" w:rsidRDefault="00C244F7" w:rsidP="00B9223C">
      <w:pPr>
        <w:rPr>
          <w:rFonts w:eastAsia="Times New Roman"/>
          <w:noProof/>
          <w:color w:val="000000" w:themeColor="text1"/>
        </w:rPr>
      </w:pPr>
      <w:r w:rsidRPr="00F56FDC">
        <w:rPr>
          <w:noProof/>
        </w:rPr>
        <w:t xml:space="preserve">V souladu s články 1 a 2 protokolu č. 22 není toto nařízení v Dánsku závazné ani použitelné. Podle článku 4 protokolu č. 22 se však Dánsko rozhodne, zda opatření navazující na schengenské </w:t>
      </w:r>
      <w:r w:rsidRPr="00F56FDC">
        <w:rPr>
          <w:i/>
          <w:iCs/>
          <w:noProof/>
        </w:rPr>
        <w:t>acquis</w:t>
      </w:r>
      <w:r w:rsidRPr="00F56FDC">
        <w:rPr>
          <w:noProof/>
        </w:rPr>
        <w:t xml:space="preserve"> provede a zda jimi bude vázáno.</w:t>
      </w:r>
      <w:r w:rsidRPr="00F56FDC">
        <w:rPr>
          <w:i/>
          <w:noProof/>
          <w:color w:val="000000" w:themeColor="text1"/>
        </w:rPr>
        <w:t xml:space="preserve"> </w:t>
      </w:r>
      <w:r w:rsidRPr="00F56FDC">
        <w:rPr>
          <w:noProof/>
          <w:color w:val="000000" w:themeColor="text1"/>
        </w:rPr>
        <w:t>Přijme-li takové rozhodnutí, zakládá toto opatření povinnost podle mezinárodního práva mezi Dánskem a ostatními členskými státy.</w:t>
      </w:r>
    </w:p>
    <w:p w14:paraId="0E7F29D4" w14:textId="77777777" w:rsidR="00B9223C" w:rsidRPr="00F56FDC" w:rsidRDefault="00C244F7" w:rsidP="00FA3905">
      <w:pPr>
        <w:rPr>
          <w:rFonts w:eastAsia="Times New Roman"/>
          <w:noProof/>
          <w:color w:val="000000" w:themeColor="text1"/>
        </w:rPr>
      </w:pPr>
      <w:r w:rsidRPr="00F56FDC">
        <w:rPr>
          <w:noProof/>
          <w:color w:val="000000" w:themeColor="text1"/>
        </w:rPr>
        <w:t xml:space="preserve">Podle článku 4 protokolu č. 19 může Irsko kdykoli požádat, aby se na ně vztahovala některá nebo veškerá ustanovení schengenského </w:t>
      </w:r>
      <w:r w:rsidRPr="00F56FDC">
        <w:rPr>
          <w:i/>
          <w:iCs/>
          <w:noProof/>
          <w:color w:val="000000" w:themeColor="text1"/>
        </w:rPr>
        <w:t>acquis</w:t>
      </w:r>
      <w:r w:rsidRPr="00F56FDC">
        <w:rPr>
          <w:noProof/>
          <w:color w:val="000000" w:themeColor="text1"/>
        </w:rPr>
        <w:t xml:space="preserve">. Irsko se sice některých částí schengenského </w:t>
      </w:r>
      <w:r w:rsidRPr="00F56FDC">
        <w:rPr>
          <w:i/>
          <w:iCs/>
          <w:noProof/>
          <w:color w:val="000000" w:themeColor="text1"/>
        </w:rPr>
        <w:t xml:space="preserve">acquis </w:t>
      </w:r>
      <w:r w:rsidRPr="00F56FDC">
        <w:rPr>
          <w:noProof/>
          <w:color w:val="000000" w:themeColor="text1"/>
        </w:rPr>
        <w:t xml:space="preserve">účastní, avšak toto nařízení se netýká těch částí schengenského </w:t>
      </w:r>
      <w:r w:rsidRPr="00F56FDC">
        <w:rPr>
          <w:i/>
          <w:iCs/>
          <w:noProof/>
          <w:color w:val="000000" w:themeColor="text1"/>
        </w:rPr>
        <w:t>acquis</w:t>
      </w:r>
      <w:r w:rsidRPr="00F56FDC">
        <w:rPr>
          <w:noProof/>
          <w:color w:val="000000" w:themeColor="text1"/>
        </w:rPr>
        <w:t xml:space="preserve">, jichž se Irsko účastní. </w:t>
      </w:r>
      <w:r w:rsidRPr="00F56FDC">
        <w:rPr>
          <w:noProof/>
        </w:rPr>
        <w:t xml:space="preserve">Jako opatření představující rozvoj schengenského </w:t>
      </w:r>
      <w:r w:rsidRPr="00F56FDC">
        <w:rPr>
          <w:i/>
          <w:iCs/>
          <w:noProof/>
        </w:rPr>
        <w:t>acquis</w:t>
      </w:r>
      <w:r w:rsidRPr="00F56FDC">
        <w:rPr>
          <w:noProof/>
        </w:rPr>
        <w:t xml:space="preserve"> má být toto nařízení oznámeno čtyřem zemím (Islandu, Norskému království, Švýcarské konfederaci a Lichtenštejnskému knížectví), které nejsou členskými státy Unie, ale které se účastní schengenského prostoru bez kontrol na vnitřních hranicích na základě dohod o přidružení uzavřených s Unií. Po oznámení budou tyto čtyři země přidružené k Schengenu povinny potvrdit, že s obsahem nařízení souhlasí, a provést jej ve svém vnitrostátním právu. Navrhovaná opatření budou v důsledku toho platit i pro tyto čtyři země.</w:t>
      </w:r>
    </w:p>
    <w:p w14:paraId="3F7474CB" w14:textId="77777777" w:rsidR="00286E0D" w:rsidRPr="00F56FDC" w:rsidRDefault="00286E0D" w:rsidP="00286E0D">
      <w:pPr>
        <w:pStyle w:val="ManualHeading1"/>
        <w:rPr>
          <w:noProof/>
        </w:rPr>
      </w:pPr>
      <w:r w:rsidRPr="00F56FDC">
        <w:rPr>
          <w:noProof/>
        </w:rPr>
        <w:t>2.</w:t>
      </w:r>
      <w:r w:rsidRPr="00F56FDC">
        <w:rPr>
          <w:noProof/>
        </w:rPr>
        <w:tab/>
        <w:t>PRÁVNÍ ZÁKLAD, SUBSIDIARITA A PROPORCIONALITA</w:t>
      </w:r>
    </w:p>
    <w:p w14:paraId="71B17439" w14:textId="77777777" w:rsidR="00286E0D" w:rsidRPr="00F56FDC" w:rsidRDefault="00286E0D" w:rsidP="00286E0D">
      <w:pPr>
        <w:pStyle w:val="ManualHeading2"/>
        <w:rPr>
          <w:rFonts w:eastAsia="Arial Unicode MS"/>
          <w:noProof/>
          <w:u w:color="000000"/>
          <w:bdr w:val="nil"/>
        </w:rPr>
      </w:pPr>
      <w:r w:rsidRPr="00F56FDC">
        <w:rPr>
          <w:noProof/>
          <w:u w:color="000000"/>
          <w:bdr w:val="nil"/>
        </w:rPr>
        <w:t>•</w:t>
      </w:r>
      <w:r w:rsidRPr="00F56FDC">
        <w:rPr>
          <w:noProof/>
        </w:rPr>
        <w:tab/>
      </w:r>
      <w:r w:rsidRPr="00F56FDC">
        <w:rPr>
          <w:noProof/>
          <w:u w:color="000000"/>
          <w:bdr w:val="nil"/>
        </w:rPr>
        <w:t>Právní základ</w:t>
      </w:r>
    </w:p>
    <w:p w14:paraId="3FC49ECD" w14:textId="77777777" w:rsidR="00286E0D" w:rsidRPr="00F56FDC" w:rsidRDefault="00286E0D" w:rsidP="00286E0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noProof/>
        </w:rPr>
      </w:pPr>
      <w:r w:rsidRPr="00F56FDC">
        <w:rPr>
          <w:noProof/>
        </w:rPr>
        <w:t>V čl. 3 odst. 2 Smlouvy o Evropské unii se stanoví, že „Unie poskytuje svým občanům prostor svobody, bezpečnosti a práva bez vnitřních hranic, ve kterém je zaručen volný pohyb osob ve spojení s vhodnými opatřeními týkajícími se ochrany vnějších hranic, azylu, přistěhovalectví a předcházení a potírání zločinnosti“. Právní základ tohoto návrhu lze nalézt v opatřeních uvedených v čl. 77 odst. 2 a čl. 79 odst. 2 písm. c) a d) Smlouvy o fungování Evropské unie (SFEU).</w:t>
      </w:r>
    </w:p>
    <w:p w14:paraId="750CEE1E" w14:textId="77777777" w:rsidR="00286E0D" w:rsidRPr="00F56FDC" w:rsidRDefault="00286E0D" w:rsidP="00286E0D">
      <w:pPr>
        <w:pStyle w:val="ManualHeading2"/>
        <w:rPr>
          <w:rFonts w:eastAsia="Arial Unicode MS"/>
          <w:noProof/>
          <w:u w:color="000000"/>
          <w:bdr w:val="nil"/>
        </w:rPr>
      </w:pPr>
      <w:r w:rsidRPr="00F56FDC">
        <w:rPr>
          <w:noProof/>
          <w:u w:color="000000"/>
          <w:bdr w:val="nil"/>
        </w:rPr>
        <w:t>•</w:t>
      </w:r>
      <w:r w:rsidRPr="00F56FDC">
        <w:rPr>
          <w:noProof/>
        </w:rPr>
        <w:tab/>
      </w:r>
      <w:r w:rsidRPr="00F56FDC">
        <w:rPr>
          <w:noProof/>
          <w:u w:color="000000"/>
          <w:bdr w:val="nil"/>
        </w:rPr>
        <w:t xml:space="preserve">Subsidiarita (v případě nevýlučné pravomoci) </w:t>
      </w:r>
    </w:p>
    <w:p w14:paraId="0C17F853" w14:textId="77777777" w:rsidR="00286E0D" w:rsidRPr="00F56FDC" w:rsidRDefault="0031749A" w:rsidP="00D35A8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noProof/>
        </w:rPr>
      </w:pPr>
      <w:r w:rsidRPr="00F56FDC">
        <w:rPr>
          <w:noProof/>
          <w:color w:val="000000" w:themeColor="text1"/>
        </w:rPr>
        <w:t xml:space="preserve">Cílů návrhu nemůže být dosaženo na úrovni členských států jednajících samostatně, neboť problémy mají přeshraniční povahu a nejsou omezeny na jednotlivé členské státy nebo na podskupinu členských států. </w:t>
      </w:r>
      <w:r w:rsidRPr="00F56FDC">
        <w:rPr>
          <w:noProof/>
        </w:rPr>
        <w:t xml:space="preserve">Podpora Unie vytváří přidanou hodnotu tím, že podporuje společný přístup všech členských států při provádění </w:t>
      </w:r>
      <w:r w:rsidRPr="00F56FDC">
        <w:rPr>
          <w:i/>
          <w:iCs/>
          <w:noProof/>
        </w:rPr>
        <w:t>acquis</w:t>
      </w:r>
      <w:r w:rsidRPr="00F56FDC">
        <w:rPr>
          <w:noProof/>
        </w:rPr>
        <w:t xml:space="preserve"> a norem EU a posiluje spolupráci mezi členskými státy v nadnárodních otázkách.</w:t>
      </w:r>
    </w:p>
    <w:p w14:paraId="0E9E52B6" w14:textId="77777777" w:rsidR="00286E0D" w:rsidRPr="00F56FDC" w:rsidRDefault="00286E0D" w:rsidP="00286E0D">
      <w:pPr>
        <w:pStyle w:val="ManualHeading2"/>
        <w:rPr>
          <w:rFonts w:eastAsia="Arial Unicode MS"/>
          <w:noProof/>
          <w:u w:color="000000"/>
          <w:bdr w:val="nil"/>
        </w:rPr>
      </w:pPr>
      <w:r w:rsidRPr="00F56FDC">
        <w:rPr>
          <w:noProof/>
          <w:u w:color="000000"/>
          <w:bdr w:val="nil"/>
        </w:rPr>
        <w:t>•</w:t>
      </w:r>
      <w:r w:rsidRPr="00F56FDC">
        <w:rPr>
          <w:noProof/>
        </w:rPr>
        <w:tab/>
      </w:r>
      <w:r w:rsidRPr="00F56FDC">
        <w:rPr>
          <w:noProof/>
          <w:u w:color="000000"/>
          <w:bdr w:val="nil"/>
        </w:rPr>
        <w:t>Proporcionalita</w:t>
      </w:r>
    </w:p>
    <w:p w14:paraId="6AD7B953" w14:textId="77777777" w:rsidR="00286E0D" w:rsidRPr="00F56FDC" w:rsidRDefault="0031749A" w:rsidP="00FA390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noProof/>
          <w:color w:val="000000" w:themeColor="text1"/>
        </w:rPr>
      </w:pPr>
      <w:r w:rsidRPr="00F56FDC">
        <w:rPr>
          <w:noProof/>
          <w:color w:val="000000" w:themeColor="text1"/>
        </w:rPr>
        <w:t>Tento návrh nepřekračuje rámec toho, co je nezbytné pro dosažení cílů uvedených v oddíle 1. Spadá do oblasti působnosti opatření v prostoru svobody, bezpečnosti a práva, jak je definován v hlavě V části třetí SFEU. Cíle a příslušná podpora Unie jsou úměrné tomu, čeho chce nástroj dosáhnout.</w:t>
      </w:r>
    </w:p>
    <w:p w14:paraId="70EDA19B" w14:textId="77777777" w:rsidR="00286E0D" w:rsidRPr="00F56FDC" w:rsidRDefault="00286E0D" w:rsidP="00286E0D">
      <w:pPr>
        <w:pStyle w:val="ManualHeading2"/>
        <w:rPr>
          <w:rFonts w:eastAsia="Arial Unicode MS"/>
          <w:noProof/>
          <w:u w:color="000000"/>
          <w:bdr w:val="nil"/>
        </w:rPr>
      </w:pPr>
      <w:r w:rsidRPr="00F56FDC">
        <w:rPr>
          <w:noProof/>
          <w:u w:color="000000"/>
          <w:bdr w:val="nil"/>
        </w:rPr>
        <w:t>•</w:t>
      </w:r>
      <w:r w:rsidRPr="00F56FDC">
        <w:rPr>
          <w:noProof/>
        </w:rPr>
        <w:tab/>
      </w:r>
      <w:r w:rsidRPr="00F56FDC">
        <w:rPr>
          <w:noProof/>
          <w:u w:color="000000"/>
          <w:bdr w:val="nil"/>
        </w:rPr>
        <w:t>Volba nástroje</w:t>
      </w:r>
    </w:p>
    <w:p w14:paraId="675DAC45" w14:textId="5D8E2C52" w:rsidR="0031749A" w:rsidRPr="00F56FDC" w:rsidRDefault="0031749A" w:rsidP="001F3E4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noProof/>
          <w:color w:val="000000" w:themeColor="text1"/>
        </w:rPr>
      </w:pPr>
      <w:r w:rsidRPr="00F56FDC">
        <w:rPr>
          <w:noProof/>
        </w:rPr>
        <w:t>Nejvhodnějším nástrojem pro provádění tohoto návrhu je nařízení Evropského parlamentu a Rady, kterým se zavádí podpora Unie pro správu hranic na období od 1. ledna 2028 do 31. prosince 2034 a doplňuje návrh nařízení (EU) […], kterým se zřizuje Evropský fond pro hospodářskou, sociální a územní soudržnost, zemědělství a venkovské oblasti, rybolov a námořní záležitosti, prosperitu a bezpečnost.</w:t>
      </w:r>
    </w:p>
    <w:p w14:paraId="0FA6C1BD" w14:textId="77777777" w:rsidR="00286E0D" w:rsidRPr="00F56FDC" w:rsidRDefault="00286E0D" w:rsidP="00286E0D">
      <w:pPr>
        <w:pStyle w:val="ManualHeading1"/>
        <w:rPr>
          <w:noProof/>
        </w:rPr>
      </w:pPr>
      <w:r w:rsidRPr="00F56FDC">
        <w:rPr>
          <w:noProof/>
        </w:rPr>
        <w:t>3.</w:t>
      </w:r>
      <w:r w:rsidRPr="00F56FDC">
        <w:rPr>
          <w:noProof/>
        </w:rPr>
        <w:tab/>
        <w:t>VÝSLEDKY ZPĚTNÝCH HODNOCENÍ, KONZULTACÍ SE ZÚČASTNĚNÝMI STRANAMI A POSOUZENÍ DOPADŮ</w:t>
      </w:r>
    </w:p>
    <w:p w14:paraId="0B632E01" w14:textId="77777777" w:rsidR="00286E0D" w:rsidRPr="00F56FDC" w:rsidRDefault="00286E0D" w:rsidP="00286E0D">
      <w:pPr>
        <w:pStyle w:val="ManualHeading2"/>
        <w:rPr>
          <w:rFonts w:eastAsia="Arial Unicode MS"/>
          <w:noProof/>
          <w:u w:color="000000"/>
          <w:bdr w:val="nil"/>
        </w:rPr>
      </w:pPr>
      <w:r w:rsidRPr="00F56FDC">
        <w:rPr>
          <w:noProof/>
          <w:u w:color="000000"/>
          <w:bdr w:val="nil"/>
        </w:rPr>
        <w:t>•</w:t>
      </w:r>
      <w:r w:rsidRPr="00F56FDC">
        <w:rPr>
          <w:noProof/>
        </w:rPr>
        <w:tab/>
      </w:r>
      <w:r w:rsidRPr="00F56FDC">
        <w:rPr>
          <w:noProof/>
          <w:u w:color="000000"/>
          <w:bdr w:val="nil"/>
        </w:rPr>
        <w:t>Zpětná hodnocení / kontroly účelnosti platných právních předpisů</w:t>
      </w:r>
    </w:p>
    <w:p w14:paraId="76E894A2" w14:textId="77777777" w:rsidR="00286E0D" w:rsidRPr="00F56FDC" w:rsidRDefault="00286E0D" w:rsidP="00EB649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noProof/>
        </w:rPr>
      </w:pPr>
      <w:r w:rsidRPr="00F56FDC">
        <w:rPr>
          <w:noProof/>
        </w:rPr>
        <w:t xml:space="preserve">Předběžné výsledky probíhajícího hodnocení </w:t>
      </w:r>
      <w:r w:rsidRPr="00F56FDC">
        <w:rPr>
          <w:i/>
          <w:iCs/>
          <w:noProof/>
        </w:rPr>
        <w:t>ex post</w:t>
      </w:r>
      <w:r w:rsidRPr="00F56FDC">
        <w:rPr>
          <w:noProof/>
        </w:rPr>
        <w:t xml:space="preserve"> Fondu pro vnitřní bezpečnost – hranice a víza (dále jen „fond ISF – hranice a víza“) za programové období 2014–2020 potvrzují, že tento fond účinně podporoval členské státy při dosahování jejich cílů v oblasti vízové politiky a správy vnějších hranic. Zavedení víceletého plánování a vnitrostátních pravidel způsobilosti přispělo ke snížení administrativní zátěže. Možnosti zjednodušeného vykazování nákladů, pokud byly použity, byly při snižování administrativní zátěže úspěšné, nebyly však široce uplatňovány. Fond ISF – hranice a víza vykázal různou míru nákladové efektivnosti a účinnosti. V rámci svých vlastních složek a v rámci dalších fondů EU byl soudržný, ale soudržnost s programem Horizont Evropa, jakož i mezi vnitrostátními programy a činností Unie by mohla být posílena. Fond ISF – hranice a víza významně přispěl k přidané hodnotě EU. </w:t>
      </w:r>
      <w:bookmarkStart w:id="6" w:name="_Hlk202880568"/>
      <w:r w:rsidRPr="00F56FDC">
        <w:rPr>
          <w:noProof/>
        </w:rPr>
        <w:t xml:space="preserve">Hodnocení </w:t>
      </w:r>
      <w:r w:rsidRPr="00F56FDC">
        <w:rPr>
          <w:i/>
          <w:iCs/>
          <w:noProof/>
        </w:rPr>
        <w:t>ex post</w:t>
      </w:r>
      <w:r w:rsidRPr="00F56FDC">
        <w:rPr>
          <w:noProof/>
        </w:rPr>
        <w:t xml:space="preserve"> dospělo k předběžnému závěru, že zjednodušením požadavků na podávání zpráv a administrativních postupů se může výrazně zvýšit účinnost, aniž by přitom došlo ke snížení kvality a omezení nezbytných kvantitativních informací pro sledování provádění. Tento přístup by měl minimalizovat administrativní zátěž a zúčastněným stranám umožňuje, aby se zaměřovaly spíše na dosahování výsledků než na orientaci v byrokratických postupech.</w:t>
      </w:r>
      <w:bookmarkEnd w:id="6"/>
    </w:p>
    <w:p w14:paraId="539AF480" w14:textId="77777777" w:rsidR="00286E0D" w:rsidRPr="00F56FDC" w:rsidRDefault="00286E0D" w:rsidP="00EB649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i/>
          <w:noProof/>
        </w:rPr>
      </w:pPr>
      <w:r w:rsidRPr="00F56FDC">
        <w:rPr>
          <w:noProof/>
        </w:rPr>
        <w:t xml:space="preserve">Předběžné výsledky hodnocení v polovině období, pokud jde o Nástroj pro správu hranic a víza (NSHV) na programové období 2021–2027, potvrzují, že rámec pro monitorování a hodnocení NSHV se ve srovnání s obdobím 2014–2020 významně zlepšil. Členské státy a příjemci zdůraznili, že mají obavy ohledně administrativní zátěže. Řídicí orgány dosud jen v omezené míře využívaly postupy, jež by mohly snížit administrativní zátěž, tj. zjednodušené vykazování nákladů a financování, které není spojeno s náklady. Programy členských států a pracovní programy Komise pro tematický nástroj jsou soudržné s ostatními vnitrostátními a unijními nástroji financování. Soudržnost mezi činností Unie a programy členských států, jakož i s programem Horizont Evropa by však mohla být dále posílena, aby se zvýšilo využívání inovativních technologických řešení. NSHV dále podpořil spolupráci, zajišťuje soulad s normami EU a posílil kolektivní rámec EU pro správu hranic a vízovou politiku. </w:t>
      </w:r>
      <w:bookmarkStart w:id="7" w:name="_Hlk202880726"/>
      <w:r w:rsidRPr="00F56FDC">
        <w:rPr>
          <w:noProof/>
        </w:rPr>
        <w:t>Zúčastněné strany obzvláště ocenily specifické akce, které jsou flexibilní a poskytují dodatečné finanční prostředky</w:t>
      </w:r>
      <w:r w:rsidRPr="00F56FDC">
        <w:rPr>
          <w:i/>
          <w:iCs/>
          <w:noProof/>
        </w:rPr>
        <w:t xml:space="preserve"> ad hoc</w:t>
      </w:r>
      <w:r w:rsidRPr="00F56FDC">
        <w:rPr>
          <w:noProof/>
        </w:rPr>
        <w:t xml:space="preserve"> na konkrétní priority. </w:t>
      </w:r>
      <w:bookmarkEnd w:id="7"/>
      <w:r w:rsidRPr="00F56FDC">
        <w:rPr>
          <w:noProof/>
        </w:rPr>
        <w:t>Hodnocení v polovině období rovněž zdůrazňuje to, že je důležité dále zjednodušit poskytování finančních prostředků a lépe vysvětlit řídicím orgánům, jak může výkonnostní rámec přispět k účinnému řízení programů, a to v rozsahu přesahujícím čistě formální podávání zpráv požadované nařízením.</w:t>
      </w:r>
    </w:p>
    <w:p w14:paraId="7AA2B0D5" w14:textId="77777777" w:rsidR="00286E0D" w:rsidRPr="00F56FDC" w:rsidRDefault="00286E0D" w:rsidP="00286E0D">
      <w:pPr>
        <w:pStyle w:val="ManualHeading2"/>
        <w:rPr>
          <w:rFonts w:eastAsia="Arial Unicode MS"/>
          <w:noProof/>
          <w:u w:color="000000"/>
          <w:bdr w:val="nil"/>
        </w:rPr>
      </w:pPr>
      <w:r w:rsidRPr="00F56FDC">
        <w:rPr>
          <w:noProof/>
          <w:u w:color="000000"/>
          <w:bdr w:val="nil"/>
        </w:rPr>
        <w:t>•</w:t>
      </w:r>
      <w:r w:rsidRPr="00F56FDC">
        <w:rPr>
          <w:noProof/>
        </w:rPr>
        <w:tab/>
      </w:r>
      <w:r w:rsidRPr="00F56FDC">
        <w:rPr>
          <w:noProof/>
          <w:u w:color="000000"/>
          <w:bdr w:val="nil"/>
        </w:rPr>
        <w:t>Konzultace se zúčastněnými stranami</w:t>
      </w:r>
    </w:p>
    <w:p w14:paraId="4E66CF84" w14:textId="32471CB5" w:rsidR="00286E0D" w:rsidRPr="00F56FDC" w:rsidRDefault="00286E0D" w:rsidP="001F3E4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noProof/>
        </w:rPr>
      </w:pPr>
      <w:r w:rsidRPr="00F56FDC">
        <w:rPr>
          <w:noProof/>
        </w:rPr>
        <w:t>V rámci procesu souvisejícího s touto iniciativou Komise aktivně spolupracovala se zúčastněnými stranami, zejména prostřednictvím specializovaných akcí a aktivit veřejných konzultací, jak je podrobně uvedeno v příslušné kapitole důvodové zprávy k návrhu nařízení (EU) […], kterým se zřizuje Evropský fond pro hospodářskou, sociální a územní soudržnost, zemědělství a venkovské oblasti, rybolov a námořní záležitosti, prosperitu a bezpečnost</w:t>
      </w:r>
      <w:bookmarkStart w:id="8" w:name="_Hlk202112428"/>
      <w:bookmarkStart w:id="9" w:name="_Hlk201931196"/>
      <w:bookmarkEnd w:id="8"/>
      <w:bookmarkEnd w:id="9"/>
      <w:r w:rsidRPr="00F56FDC">
        <w:rPr>
          <w:noProof/>
        </w:rPr>
        <w:t xml:space="preserve">. </w:t>
      </w:r>
    </w:p>
    <w:p w14:paraId="5933E9C5" w14:textId="77777777" w:rsidR="00286E0D" w:rsidRPr="00F56FDC" w:rsidRDefault="00286E0D" w:rsidP="00286E0D">
      <w:pPr>
        <w:pStyle w:val="ManualHeading2"/>
        <w:rPr>
          <w:rFonts w:eastAsia="Arial Unicode MS"/>
          <w:noProof/>
          <w:u w:color="000000"/>
          <w:bdr w:val="nil"/>
        </w:rPr>
      </w:pPr>
      <w:r w:rsidRPr="00F56FDC">
        <w:rPr>
          <w:noProof/>
          <w:u w:color="000000"/>
          <w:bdr w:val="nil"/>
        </w:rPr>
        <w:t>•</w:t>
      </w:r>
      <w:r w:rsidRPr="00F56FDC">
        <w:rPr>
          <w:noProof/>
        </w:rPr>
        <w:tab/>
      </w:r>
      <w:r w:rsidRPr="00F56FDC">
        <w:rPr>
          <w:noProof/>
          <w:u w:color="000000"/>
          <w:bdr w:val="nil"/>
        </w:rPr>
        <w:t>Externí poznatky</w:t>
      </w:r>
    </w:p>
    <w:p w14:paraId="379C1D35" w14:textId="03883662" w:rsidR="00286E0D" w:rsidRPr="00F56FDC" w:rsidRDefault="00286E0D" w:rsidP="00286E0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noProof/>
        </w:rPr>
      </w:pPr>
      <w:r w:rsidRPr="00F56FDC">
        <w:rPr>
          <w:noProof/>
        </w:rPr>
        <w:t>Informace o tom, jak Komise využívá externí odborné poradenství, jsou uvedeny v příslušné kapitole důvodové zprávy k návrhu nařízení (EU) […], kterým se zřizuje Evropský fond pro hospodářskou, sociální a územní soudržnost, zemědělství a venkovské oblasti, rybolov a námořní záležitosti, prosperitu a bezpečnost.</w:t>
      </w:r>
    </w:p>
    <w:p w14:paraId="7B1950A5" w14:textId="77777777" w:rsidR="00286E0D" w:rsidRPr="00F56FDC" w:rsidRDefault="00286E0D" w:rsidP="00286E0D">
      <w:pPr>
        <w:pStyle w:val="ManualHeading2"/>
        <w:rPr>
          <w:rFonts w:eastAsia="Arial Unicode MS"/>
          <w:noProof/>
          <w:u w:color="000000"/>
          <w:bdr w:val="nil"/>
        </w:rPr>
      </w:pPr>
      <w:r w:rsidRPr="00F56FDC">
        <w:rPr>
          <w:noProof/>
          <w:u w:color="000000"/>
          <w:bdr w:val="nil"/>
        </w:rPr>
        <w:t>•</w:t>
      </w:r>
      <w:r w:rsidRPr="00F56FDC">
        <w:rPr>
          <w:noProof/>
        </w:rPr>
        <w:tab/>
      </w:r>
      <w:r w:rsidRPr="00F56FDC">
        <w:rPr>
          <w:noProof/>
          <w:u w:color="000000"/>
          <w:bdr w:val="nil"/>
        </w:rPr>
        <w:t>Posouzení dopadů</w:t>
      </w:r>
    </w:p>
    <w:p w14:paraId="1537B458" w14:textId="1B9AF564" w:rsidR="00286E0D" w:rsidRPr="00F56FDC" w:rsidRDefault="00286E0D" w:rsidP="00286E0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noProof/>
        </w:rPr>
      </w:pPr>
      <w:bookmarkStart w:id="10" w:name="_Hlk201931214"/>
      <w:bookmarkEnd w:id="10"/>
      <w:r w:rsidRPr="00F56FDC">
        <w:rPr>
          <w:noProof/>
        </w:rPr>
        <w:t>Informace o posouzení dopadů vypracovaném Komisí jsou uvedeny v příslušné kapitole důvodové zprávy k návrhu nařízení (EU) […], kterým se zřizuje Evropský fond pro hospodářskou, sociální a územní soudržnost, zemědělství a venkovské oblasti, rybolov a námořní záležitosti, prosperitu a bezpečnost.</w:t>
      </w:r>
    </w:p>
    <w:p w14:paraId="150E44C0" w14:textId="77777777" w:rsidR="00286E0D" w:rsidRPr="00F56FDC" w:rsidRDefault="00286E0D" w:rsidP="00286E0D">
      <w:pPr>
        <w:pStyle w:val="ManualHeading2"/>
        <w:rPr>
          <w:rFonts w:eastAsia="Arial Unicode MS"/>
          <w:noProof/>
          <w:u w:color="000000"/>
          <w:bdr w:val="nil"/>
        </w:rPr>
      </w:pPr>
      <w:r w:rsidRPr="00F56FDC">
        <w:rPr>
          <w:noProof/>
          <w:u w:color="000000"/>
          <w:bdr w:val="nil"/>
        </w:rPr>
        <w:t>•</w:t>
      </w:r>
      <w:r w:rsidRPr="00F56FDC">
        <w:rPr>
          <w:noProof/>
        </w:rPr>
        <w:tab/>
      </w:r>
      <w:r w:rsidRPr="00F56FDC">
        <w:rPr>
          <w:noProof/>
          <w:u w:color="000000"/>
          <w:bdr w:val="nil"/>
        </w:rPr>
        <w:t>Zjednodušení</w:t>
      </w:r>
    </w:p>
    <w:p w14:paraId="5F7036BD" w14:textId="2B3428DA" w:rsidR="00286E0D" w:rsidRPr="00F56FDC" w:rsidRDefault="00286E0D" w:rsidP="00286E0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Calibri"/>
          <w:noProof/>
        </w:rPr>
      </w:pPr>
      <w:r w:rsidRPr="00F56FDC">
        <w:rPr>
          <w:noProof/>
        </w:rPr>
        <w:t>Očekává se, že tato iniciativa přispěje k významnému snížení administrativní zátěže a nákladů, jakož i ke zvýšení účinnosti při provádění podpory Unie, viz rovněž odpovídající kapitola důvodové zprávy k návrhu nařízení (EU) […], kterým se zřizuje Evropský fond pro hospodářskou, sociální a územní soudržnost, zemědělství a venkovské oblasti, rybolov a námořní záležitosti, prosperitu a bezpečnost.</w:t>
      </w:r>
    </w:p>
    <w:p w14:paraId="6EF0EB51" w14:textId="77777777" w:rsidR="00286E0D" w:rsidRPr="00F56FDC" w:rsidRDefault="00286E0D" w:rsidP="00286E0D">
      <w:pPr>
        <w:pStyle w:val="ManualHeading2"/>
        <w:rPr>
          <w:rFonts w:eastAsia="Arial Unicode MS"/>
          <w:noProof/>
          <w:u w:color="000000"/>
          <w:bdr w:val="nil"/>
        </w:rPr>
      </w:pPr>
      <w:r w:rsidRPr="00F56FDC">
        <w:rPr>
          <w:noProof/>
          <w:u w:color="000000"/>
          <w:bdr w:val="nil"/>
        </w:rPr>
        <w:t>•</w:t>
      </w:r>
      <w:r w:rsidRPr="00F56FDC">
        <w:rPr>
          <w:noProof/>
        </w:rPr>
        <w:tab/>
      </w:r>
      <w:r w:rsidRPr="00F56FDC">
        <w:rPr>
          <w:noProof/>
          <w:u w:color="000000"/>
          <w:bdr w:val="nil"/>
        </w:rPr>
        <w:t>Základní práva</w:t>
      </w:r>
    </w:p>
    <w:p w14:paraId="2B806987" w14:textId="4EBE1154" w:rsidR="00286E0D" w:rsidRPr="00F56FDC" w:rsidRDefault="00286E0D" w:rsidP="00286E0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noProof/>
        </w:rPr>
      </w:pPr>
      <w:r w:rsidRPr="00F56FDC">
        <w:rPr>
          <w:noProof/>
        </w:rPr>
        <w:t>Podpora Unie bude prováděna v souladu s Listinou základních práv Evropské unie a zásadou právního státu, jak je stanoveno v čl. 2 písm. a) nařízení (EU, Euratom) 2020/2092; viz rovněž odpovídající oddíl důvodové zprávy připojené k návrhu Komise na nařízení (EU) […], kterým se zřizuje Evropský fond pro hospodářskou, sociální a územní soudržnost, zemědělství a venkovské oblasti, rybolov a námořní záležitosti, prosperitu a bezpečnost.</w:t>
      </w:r>
    </w:p>
    <w:p w14:paraId="785D377B" w14:textId="77777777" w:rsidR="00286E0D" w:rsidRPr="00F56FDC" w:rsidRDefault="00286E0D" w:rsidP="00286E0D">
      <w:pPr>
        <w:pStyle w:val="ManualHeading1"/>
        <w:rPr>
          <w:noProof/>
        </w:rPr>
      </w:pPr>
      <w:r w:rsidRPr="00F56FDC">
        <w:rPr>
          <w:noProof/>
        </w:rPr>
        <w:t>4.</w:t>
      </w:r>
      <w:r w:rsidRPr="00F56FDC">
        <w:rPr>
          <w:noProof/>
        </w:rPr>
        <w:tab/>
        <w:t>ROZPOČTOVÉ DŮSLEDKY</w:t>
      </w:r>
    </w:p>
    <w:p w14:paraId="3E5D695D" w14:textId="406E1912" w:rsidR="00401265" w:rsidRPr="00F56FDC" w:rsidRDefault="00401265" w:rsidP="0040126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noProof/>
          <w:color w:val="000000" w:themeColor="text1"/>
        </w:rPr>
      </w:pPr>
      <w:r w:rsidRPr="00F56FDC">
        <w:rPr>
          <w:noProof/>
        </w:rPr>
        <w:t>Orientační finanční krytí pro provádění cílů v rámci podpory Unie je stanoveno na 15 396 750 000 miliard EUR na období 2028–2034 v běžných cenách.</w:t>
      </w:r>
      <w:r w:rsidRPr="00F56FDC">
        <w:rPr>
          <w:noProof/>
          <w:color w:val="000000" w:themeColor="text1"/>
        </w:rPr>
        <w:t> Provádění bude v souladu s horizontálními pravidly pro plány národního a regionálního partnerství stanovenými v nařízení (EU) […], kterým se zřizuje Evropský fond pro hospodářskou, sociální a územní soudržnost, zemědělství a venkovské oblasti, rybolov a námořní záležitosti, prosperitu a bezpečnost.</w:t>
      </w:r>
    </w:p>
    <w:p w14:paraId="2B2668EA" w14:textId="42F468FB" w:rsidR="00286E0D" w:rsidRPr="00F56FDC" w:rsidRDefault="00286E0D" w:rsidP="00401265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color w:val="0000FF"/>
        </w:rPr>
      </w:pPr>
    </w:p>
    <w:p w14:paraId="7B939CF7" w14:textId="77777777" w:rsidR="00286E0D" w:rsidRPr="00F56FDC" w:rsidRDefault="00286E0D" w:rsidP="00286E0D">
      <w:pPr>
        <w:pStyle w:val="ManualHeading1"/>
        <w:rPr>
          <w:noProof/>
        </w:rPr>
      </w:pPr>
      <w:r w:rsidRPr="00F56FDC">
        <w:rPr>
          <w:noProof/>
        </w:rPr>
        <w:t>5.</w:t>
      </w:r>
      <w:r w:rsidRPr="00F56FDC">
        <w:rPr>
          <w:noProof/>
        </w:rPr>
        <w:tab/>
        <w:t>OSTATNÍ PRVKY</w:t>
      </w:r>
    </w:p>
    <w:p w14:paraId="68F9A644" w14:textId="77777777" w:rsidR="00286E0D" w:rsidRPr="00F56FDC" w:rsidRDefault="00286E0D" w:rsidP="00286E0D">
      <w:pPr>
        <w:pStyle w:val="ManualHeading2"/>
        <w:rPr>
          <w:rFonts w:eastAsia="Arial Unicode MS"/>
          <w:noProof/>
          <w:u w:color="000000"/>
          <w:bdr w:val="nil"/>
        </w:rPr>
      </w:pPr>
      <w:r w:rsidRPr="00F56FDC">
        <w:rPr>
          <w:noProof/>
          <w:u w:color="000000"/>
          <w:bdr w:val="nil"/>
        </w:rPr>
        <w:t>•</w:t>
      </w:r>
      <w:r w:rsidRPr="00F56FDC">
        <w:rPr>
          <w:noProof/>
        </w:rPr>
        <w:tab/>
      </w:r>
      <w:r w:rsidRPr="00F56FDC">
        <w:rPr>
          <w:noProof/>
          <w:u w:color="000000"/>
          <w:bdr w:val="nil"/>
        </w:rPr>
        <w:t>Plány provádění a způsoby monitorování, hodnocení a podávání zpráv</w:t>
      </w:r>
    </w:p>
    <w:p w14:paraId="4C6C6654" w14:textId="78D78654" w:rsidR="00286E0D" w:rsidRPr="00F56FDC" w:rsidRDefault="00286E0D" w:rsidP="00B8681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noProof/>
        </w:rPr>
      </w:pPr>
      <w:r w:rsidRPr="00F56FDC">
        <w:rPr>
          <w:noProof/>
        </w:rPr>
        <w:t>Podpora Unie podle tohoto návrhu bude prováděna prostřednictvím sdíleného řízení členskými státy a přímého a nepřímého řízení Komisí. Provádění podpory Unie bude monitorováno prostřednictvím výkonnostního rámce platného pro víceletý finanční rámec na období 2028–2034, který je stanoven v návrhu nařízení (EU) […], kterým se stanoví rámec pro sledování rozpočtových výdajů a výkonnost rozpočtu a další horizontální pravidla programů a činností Unie.</w:t>
      </w:r>
    </w:p>
    <w:p w14:paraId="759E865E" w14:textId="77777777" w:rsidR="00286E0D" w:rsidRPr="00F56FDC" w:rsidRDefault="00286E0D" w:rsidP="00286E0D">
      <w:pPr>
        <w:pStyle w:val="ManualHeading2"/>
        <w:rPr>
          <w:rFonts w:eastAsia="Arial Unicode MS"/>
          <w:noProof/>
          <w:u w:color="000000"/>
          <w:bdr w:val="nil"/>
        </w:rPr>
      </w:pPr>
      <w:r w:rsidRPr="00F56FDC">
        <w:rPr>
          <w:noProof/>
          <w:u w:color="000000"/>
          <w:bdr w:val="nil"/>
        </w:rPr>
        <w:t>•</w:t>
      </w:r>
      <w:r w:rsidRPr="00F56FDC">
        <w:rPr>
          <w:noProof/>
        </w:rPr>
        <w:tab/>
      </w:r>
      <w:r w:rsidRPr="00F56FDC">
        <w:rPr>
          <w:noProof/>
          <w:u w:color="000000"/>
          <w:bdr w:val="nil"/>
        </w:rPr>
        <w:t>Podrobné vysvětlení konkrétních ustanovení návrhu</w:t>
      </w:r>
    </w:p>
    <w:p w14:paraId="5D95CCE4" w14:textId="35B09D1E" w:rsidR="002779C4" w:rsidRPr="00F56FDC" w:rsidRDefault="00286E0D" w:rsidP="002779C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noProof/>
        </w:rPr>
      </w:pPr>
      <w:r w:rsidRPr="00F56FDC">
        <w:rPr>
          <w:noProof/>
        </w:rPr>
        <w:t xml:space="preserve"> Navrhované nařízení vymezuje v článku 1 rozsah podpory Unie pro integrovanou správu hranic EU a vízovou politiku EU na období od 1. ledna 2028 do 31. prosince 2034. Za tímto účelem jsou v článku 2 uvedeny základní definice a v článku 3 definovány cíle v souladu s podporou Unie, která bude poskytována podle horizontálních pravidel Evropského fondu pro hospodářskou, sociální a územní soudržnost, zemědělství a venkovské oblasti, rybolov a námořní záležitosti, prosperitu a bezpečnost zřízeného nařízením (EU) […].  </w:t>
      </w:r>
    </w:p>
    <w:p w14:paraId="56E233B3" w14:textId="5502E0FB" w:rsidR="002779C4" w:rsidRPr="00F56FDC" w:rsidRDefault="002779C4" w:rsidP="00286E0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noProof/>
        </w:rPr>
      </w:pPr>
      <w:r w:rsidRPr="00F56FDC">
        <w:rPr>
          <w:noProof/>
        </w:rPr>
        <w:t xml:space="preserve">Článek 4 návrhu obsahuje ustanovení o financování podpory Unie, článek 5 ustanovení týkající se zemí přidružených k Schengenu a článek 6 prováděcí ustanovení týkající se provádění operací v rámci zvláštního režimu průjezdu v Litvě. </w:t>
      </w:r>
    </w:p>
    <w:p w14:paraId="3EE630F2" w14:textId="0FA4DF22" w:rsidR="00286E0D" w:rsidRPr="00F56FDC" w:rsidRDefault="00286E0D" w:rsidP="00286E0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noProof/>
        </w:rPr>
      </w:pPr>
      <w:r w:rsidRPr="00F56FDC">
        <w:rPr>
          <w:noProof/>
        </w:rPr>
        <w:t>Navrhované nařízení rovněž stanoví v článku 7 pravidla pro rozpočtové zacházení se zdroji určenými na provozní náklady Evropského systému pro cestovní informace a povolení podle nařízení (EU) 2018/1240 a v článku 8 pravidla pro rozpočtové zacházení s finančními příspěvky členských států pro účely ročního rezervoáru solidarity zřízeného nařízením Evropského parlamentu a Rady</w:t>
      </w:r>
      <w:bookmarkStart w:id="11" w:name="_Hlk201927609"/>
      <w:bookmarkEnd w:id="11"/>
      <w:r w:rsidRPr="00F56FDC">
        <w:rPr>
          <w:noProof/>
        </w:rPr>
        <w:t xml:space="preserve"> (EU) 2024/1351 ze dne 14. května 2024</w:t>
      </w:r>
      <w:r w:rsidRPr="00F56FDC">
        <w:rPr>
          <w:rStyle w:val="FootnoteReference"/>
          <w:noProof/>
        </w:rPr>
        <w:footnoteReference w:id="3"/>
      </w:r>
      <w:r w:rsidRPr="00F56FDC">
        <w:rPr>
          <w:noProof/>
        </w:rPr>
        <w:t>.</w:t>
      </w:r>
    </w:p>
    <w:p w14:paraId="1FF0825E" w14:textId="72B484A4" w:rsidR="00286E0D" w:rsidRPr="00F56FDC" w:rsidRDefault="00631DBC" w:rsidP="00286E0D">
      <w:pPr>
        <w:pBdr>
          <w:top w:val="nil"/>
          <w:left w:val="nil"/>
          <w:bottom w:val="nil"/>
          <w:right w:val="nil"/>
          <w:between w:val="nil"/>
          <w:bar w:val="nil"/>
        </w:pBdr>
        <w:rPr>
          <w:noProof/>
        </w:rPr>
      </w:pPr>
      <w:r w:rsidRPr="00F56FDC">
        <w:rPr>
          <w:noProof/>
        </w:rPr>
        <w:t>Článek 9 stanoví přechodná ustanovení. Datum vstupu navrhovaného nařízení v platnost je stanoveno v článku 10, který stanoví, že nařízení bude závazné v celém rozsahu a přímo použitelné ve všech členských státech v souladu se Smlouvami ode dne 1. ledna 2028.</w:t>
      </w:r>
    </w:p>
    <w:p w14:paraId="68C60A71" w14:textId="77777777" w:rsidR="00286E0D" w:rsidRPr="00F56FDC" w:rsidRDefault="00286E0D" w:rsidP="00286E0D">
      <w:pPr>
        <w:spacing w:before="0" w:after="200" w:line="276" w:lineRule="auto"/>
        <w:jc w:val="left"/>
        <w:rPr>
          <w:rFonts w:eastAsia="Arial Unicode MS"/>
          <w:noProof/>
          <w:color w:val="000000" w:themeColor="text1"/>
        </w:rPr>
      </w:pPr>
      <w:r w:rsidRPr="00F56FDC">
        <w:rPr>
          <w:noProof/>
        </w:rPr>
        <w:br w:type="page"/>
      </w:r>
    </w:p>
    <w:p w14:paraId="567EEDE0" w14:textId="2C579818" w:rsidR="00835316" w:rsidRPr="00F56FDC" w:rsidRDefault="00F56FDC" w:rsidP="00F56FDC">
      <w:pPr>
        <w:pStyle w:val="Rfrenceinterinstitutionnelle"/>
        <w:rPr>
          <w:noProof/>
        </w:rPr>
      </w:pPr>
      <w:r>
        <w:rPr>
          <w:noProof/>
        </w:rPr>
        <w:t>2025/0541 (COD)</w:t>
      </w:r>
    </w:p>
    <w:p w14:paraId="108B7708" w14:textId="422342DC" w:rsidR="00286E0D" w:rsidRPr="00F56FDC" w:rsidRDefault="00F56FDC" w:rsidP="00F56FDC">
      <w:pPr>
        <w:pStyle w:val="Statut"/>
        <w:rPr>
          <w:noProof/>
        </w:rPr>
      </w:pPr>
      <w:r w:rsidRPr="00F56FDC">
        <w:rPr>
          <w:noProof/>
        </w:rPr>
        <w:t>Návrh</w:t>
      </w:r>
    </w:p>
    <w:p w14:paraId="5162298C" w14:textId="78EAC447" w:rsidR="00286E0D" w:rsidRPr="00F56FDC" w:rsidRDefault="00F56FDC" w:rsidP="00F56FDC">
      <w:pPr>
        <w:pStyle w:val="Typedudocument"/>
        <w:rPr>
          <w:noProof/>
        </w:rPr>
      </w:pPr>
      <w:r w:rsidRPr="00F56FDC">
        <w:rPr>
          <w:noProof/>
        </w:rPr>
        <w:t>NAŘÍZENÍ EVROPSKÉHO PARLAMENTU A RADY,</w:t>
      </w:r>
    </w:p>
    <w:p w14:paraId="3DE0D02D" w14:textId="754DB495" w:rsidR="00286E0D" w:rsidRPr="00F56FDC" w:rsidRDefault="00F56FDC" w:rsidP="00F56FDC">
      <w:pPr>
        <w:pStyle w:val="Titreobjet"/>
        <w:rPr>
          <w:noProof/>
        </w:rPr>
      </w:pPr>
      <w:r w:rsidRPr="00F56FDC">
        <w:rPr>
          <w:noProof/>
        </w:rPr>
        <w:t>kterým se zavádí podpora Unie pro schengenský prostor, evropskou integrovanou správu hranic a společnou vízovou politiku na období 2028–2034</w:t>
      </w:r>
    </w:p>
    <w:p w14:paraId="749F32E6" w14:textId="77777777" w:rsidR="00286E0D" w:rsidRPr="00F56FDC" w:rsidRDefault="00286E0D" w:rsidP="00286E0D">
      <w:pPr>
        <w:pStyle w:val="Institutionquiagit"/>
        <w:rPr>
          <w:noProof/>
        </w:rPr>
      </w:pPr>
      <w:r w:rsidRPr="00F56FDC">
        <w:rPr>
          <w:noProof/>
        </w:rPr>
        <w:t>EVROPSKÝ PARLAMENT A RADA EVROPSKÉ UNIE,</w:t>
      </w:r>
    </w:p>
    <w:p w14:paraId="1A70989E" w14:textId="77777777" w:rsidR="00286E0D" w:rsidRPr="00F56FDC" w:rsidRDefault="00286E0D" w:rsidP="00286E0D">
      <w:pPr>
        <w:rPr>
          <w:noProof/>
        </w:rPr>
      </w:pPr>
      <w:r w:rsidRPr="00F56FDC">
        <w:rPr>
          <w:noProof/>
        </w:rPr>
        <w:t>s ohledem na Smlouvu o fungování Evropské unie, a zejména na čl. 77 odst. 2 a čl. 79 odst. 2 písm. c) a d) této smlouvy,</w:t>
      </w:r>
    </w:p>
    <w:p w14:paraId="6C9BB100" w14:textId="77777777" w:rsidR="00286E0D" w:rsidRPr="00F56FDC" w:rsidRDefault="00286E0D" w:rsidP="00286E0D">
      <w:pPr>
        <w:rPr>
          <w:noProof/>
        </w:rPr>
      </w:pPr>
      <w:r w:rsidRPr="00F56FDC">
        <w:rPr>
          <w:noProof/>
        </w:rPr>
        <w:t>s ohledem na návrh Evropské komise,</w:t>
      </w:r>
    </w:p>
    <w:p w14:paraId="2BE23168" w14:textId="77777777" w:rsidR="00286E0D" w:rsidRPr="00F56FDC" w:rsidRDefault="00286E0D" w:rsidP="00286E0D">
      <w:pPr>
        <w:rPr>
          <w:noProof/>
        </w:rPr>
      </w:pPr>
      <w:r w:rsidRPr="00F56FDC">
        <w:rPr>
          <w:noProof/>
        </w:rPr>
        <w:t>po postoupení návrhu legislativního aktu vnitrostátním parlamentům,</w:t>
      </w:r>
    </w:p>
    <w:p w14:paraId="1F8E258B" w14:textId="77777777" w:rsidR="00286E0D" w:rsidRPr="00F56FDC" w:rsidRDefault="00286E0D" w:rsidP="00286E0D">
      <w:pPr>
        <w:rPr>
          <w:i/>
          <w:noProof/>
        </w:rPr>
      </w:pPr>
      <w:r w:rsidRPr="00F56FDC">
        <w:rPr>
          <w:noProof/>
        </w:rPr>
        <w:t>s ohledem na stanovisko Evropského hospodářského a sociálního výboru</w:t>
      </w:r>
      <w:r w:rsidRPr="00F56FDC">
        <w:rPr>
          <w:rStyle w:val="FootnoteReference"/>
          <w:noProof/>
        </w:rPr>
        <w:footnoteReference w:id="4"/>
      </w:r>
      <w:r w:rsidRPr="00F56FDC">
        <w:rPr>
          <w:noProof/>
        </w:rPr>
        <w:t>,</w:t>
      </w:r>
    </w:p>
    <w:p w14:paraId="2B431944" w14:textId="77777777" w:rsidR="00286E0D" w:rsidRPr="00F56FDC" w:rsidRDefault="00286E0D" w:rsidP="00286E0D">
      <w:pPr>
        <w:rPr>
          <w:noProof/>
        </w:rPr>
      </w:pPr>
      <w:r w:rsidRPr="00F56FDC">
        <w:rPr>
          <w:noProof/>
        </w:rPr>
        <w:t>po konzultaci s Výborem regionů,</w:t>
      </w:r>
    </w:p>
    <w:p w14:paraId="482D2264" w14:textId="77777777" w:rsidR="00286E0D" w:rsidRPr="00F56FDC" w:rsidRDefault="00286E0D" w:rsidP="00286E0D">
      <w:pPr>
        <w:rPr>
          <w:noProof/>
        </w:rPr>
      </w:pPr>
      <w:r w:rsidRPr="00F56FDC">
        <w:rPr>
          <w:noProof/>
        </w:rPr>
        <w:t>v souladu s řádným legislativním postupem</w:t>
      </w:r>
      <w:r w:rsidRPr="00F56FDC">
        <w:rPr>
          <w:rStyle w:val="FootnoteReference"/>
          <w:noProof/>
        </w:rPr>
        <w:footnoteReference w:id="5"/>
      </w:r>
      <w:r w:rsidRPr="00F56FDC">
        <w:rPr>
          <w:noProof/>
        </w:rPr>
        <w:t>,</w:t>
      </w:r>
    </w:p>
    <w:p w14:paraId="068D2442" w14:textId="77777777" w:rsidR="00286E0D" w:rsidRPr="00F56FDC" w:rsidRDefault="00286E0D" w:rsidP="00286E0D">
      <w:pPr>
        <w:rPr>
          <w:noProof/>
        </w:rPr>
      </w:pPr>
      <w:r w:rsidRPr="00F56FDC">
        <w:rPr>
          <w:noProof/>
        </w:rPr>
        <w:t>vzhledem k těmto důvodům:</w:t>
      </w:r>
    </w:p>
    <w:p w14:paraId="6FB4A7DA" w14:textId="01BB9975" w:rsidR="00286E0D" w:rsidRPr="00F56FDC" w:rsidRDefault="00B779F5" w:rsidP="003347AC">
      <w:pPr>
        <w:pStyle w:val="ManualConsidrant"/>
        <w:rPr>
          <w:noProof/>
        </w:rPr>
      </w:pPr>
      <w:r>
        <w:rPr>
          <w:noProof/>
        </w:rPr>
        <w:t>(</w:t>
      </w:r>
      <w:r w:rsidR="003347AC" w:rsidRPr="00F56FDC">
        <w:rPr>
          <w:noProof/>
        </w:rPr>
        <w:t>1)</w:t>
      </w:r>
      <w:r w:rsidR="003347AC" w:rsidRPr="00F56FDC">
        <w:rPr>
          <w:noProof/>
        </w:rPr>
        <w:tab/>
        <w:t>K dosažení cíle Unie vytvořit prostor svobody, bezpečnosti a práva v souladu s čl. 67 odst. 1 Smlouvy o fungování Evropské unie (dále jen „Smlouva o fungování EU“) by mělo být využito poskytování podpory Unie na rozvoj společné politiky Unie v oblasti ochrany vnějších hranic, a to i pokud jde o společnou vízovou politiku podle čl. 77 odst. 2 písm. a) Smlouvy o fungování EU.</w:t>
      </w:r>
    </w:p>
    <w:p w14:paraId="00985906" w14:textId="14FAD448" w:rsidR="00286E0D" w:rsidRPr="00F56FDC" w:rsidRDefault="00B779F5" w:rsidP="003347AC">
      <w:pPr>
        <w:pStyle w:val="ManualConsidrant"/>
        <w:rPr>
          <w:noProof/>
          <w:szCs w:val="24"/>
        </w:rPr>
      </w:pPr>
      <w:bookmarkStart w:id="12" w:name="_Hlk201766894"/>
      <w:r>
        <w:rPr>
          <w:noProof/>
        </w:rPr>
        <w:t>(</w:t>
      </w:r>
      <w:r w:rsidR="003347AC" w:rsidRPr="00F56FDC">
        <w:rPr>
          <w:noProof/>
        </w:rPr>
        <w:t>2)</w:t>
      </w:r>
      <w:r w:rsidR="003347AC" w:rsidRPr="00F56FDC">
        <w:rPr>
          <w:noProof/>
        </w:rPr>
        <w:tab/>
        <w:t>Pro zajištění účinného a efektivního fungování schengenského prostoru bez vnitřních hranic, jakož i pro zajištění jeho integrity a odolnosti má zásadní význam silný rámec správy, účinná evropská integrovaná správa hranic prováděná Evropskou pohraniční a pobřežní stráží zřízenou nařízením Evropského parlamentu a Rady (EU) 2019/1896</w:t>
      </w:r>
      <w:r w:rsidR="003347AC" w:rsidRPr="00F56FDC">
        <w:rPr>
          <w:rStyle w:val="FootnoteReference"/>
          <w:noProof/>
        </w:rPr>
        <w:footnoteReference w:id="6"/>
      </w:r>
      <w:r w:rsidR="003347AC" w:rsidRPr="00F56FDC">
        <w:rPr>
          <w:noProof/>
        </w:rPr>
        <w:t xml:space="preserve"> a vízová politika EU.</w:t>
      </w:r>
    </w:p>
    <w:bookmarkEnd w:id="12"/>
    <w:p w14:paraId="6F9BF459" w14:textId="75AE792A" w:rsidR="00286E0D" w:rsidRPr="00F56FDC" w:rsidRDefault="00B779F5" w:rsidP="003347AC">
      <w:pPr>
        <w:pStyle w:val="ManualConsidrant"/>
        <w:rPr>
          <w:rFonts w:eastAsia="Arial Unicode MS"/>
          <w:noProof/>
          <w:szCs w:val="24"/>
        </w:rPr>
      </w:pPr>
      <w:r>
        <w:rPr>
          <w:noProof/>
        </w:rPr>
        <w:t>(</w:t>
      </w:r>
      <w:r w:rsidR="003347AC" w:rsidRPr="00F56FDC">
        <w:rPr>
          <w:noProof/>
        </w:rPr>
        <w:t>3)</w:t>
      </w:r>
      <w:r w:rsidR="003347AC" w:rsidRPr="00F56FDC">
        <w:rPr>
          <w:noProof/>
        </w:rPr>
        <w:tab/>
        <w:t>Na úsilí členských států spojené s ochranou vnějších hranic Unie, omezováním nedovoleného překračování hranic a neoprávněného pohybu mezi členskými státy, jakož i modernizací a zvýšením celkové účinnosti vyřizování víz a předcházením zneužívání vízového režimu Unie by proto měla být poskytována podpora Unie. Tato podpora Unie by se měla poskytovat v souladu s horizontálními pravidly Evropského fondu pro hospodářskou, sociální a územní soudržnost, zemědělství a venkovské oblasti, rybolov a námořní záležitosti, prosperitu a bezpečnost zřízeného nařízením (EU) […].</w:t>
      </w:r>
    </w:p>
    <w:p w14:paraId="4CF9EAE0" w14:textId="416B3B24" w:rsidR="00BE09E6" w:rsidRPr="00F56FDC" w:rsidRDefault="00B779F5" w:rsidP="003347AC">
      <w:pPr>
        <w:pStyle w:val="ManualConsidrant"/>
        <w:rPr>
          <w:noProof/>
          <w:sz w:val="22"/>
        </w:rPr>
      </w:pPr>
      <w:r>
        <w:rPr>
          <w:noProof/>
        </w:rPr>
        <w:t>(</w:t>
      </w:r>
      <w:r w:rsidR="003347AC" w:rsidRPr="00F56FDC">
        <w:rPr>
          <w:noProof/>
        </w:rPr>
        <w:t>4)</w:t>
      </w:r>
      <w:r w:rsidR="003347AC" w:rsidRPr="00F56FDC">
        <w:rPr>
          <w:noProof/>
        </w:rPr>
        <w:tab/>
        <w:t xml:space="preserve">Podpora Unie by měla být rovněž poskytována na účinné provádění, uplatňování a rozvoj schengenského rámce na evropské a vnitrostátní úrovni, a to i prostřednictvím posílení správy schengenského prostoru na vnitrostátní úrovni zahrnující účinné koordinační struktury a strategické procesy, které mají pro řádné fungování schengenského prostoru zásadní význam. </w:t>
      </w:r>
    </w:p>
    <w:p w14:paraId="2AB47203" w14:textId="49C8A9B9" w:rsidR="00286E0D" w:rsidRPr="00F56FDC" w:rsidRDefault="00B779F5" w:rsidP="003347AC">
      <w:pPr>
        <w:pStyle w:val="ManualConsidrant"/>
        <w:rPr>
          <w:noProof/>
          <w:szCs w:val="24"/>
        </w:rPr>
      </w:pPr>
      <w:r>
        <w:rPr>
          <w:noProof/>
        </w:rPr>
        <w:t>(</w:t>
      </w:r>
      <w:r w:rsidR="003347AC" w:rsidRPr="00F56FDC">
        <w:rPr>
          <w:noProof/>
        </w:rPr>
        <w:t>5)</w:t>
      </w:r>
      <w:r w:rsidR="003347AC" w:rsidRPr="00F56FDC">
        <w:rPr>
          <w:noProof/>
        </w:rPr>
        <w:tab/>
        <w:t>Toto nařízení stanoví cíle podpory Unie poskytované v zájmu dobře fungujícího schengenského prostoru bez kontrol na vnitřních hranicích, a to i pokud jde o evropskou integrovanou správu hranic, včetně podpory fungování schengenského prostoru, a v zájmu evropské vízové politiky (dále jen „podpora Unie“).</w:t>
      </w:r>
      <w:bookmarkStart w:id="13" w:name="_Hlk201766871"/>
      <w:r w:rsidR="003347AC" w:rsidRPr="00F56FDC">
        <w:rPr>
          <w:noProof/>
        </w:rPr>
        <w:t xml:space="preserve"> Členské státy by měly zajistit, aby se jejich plány národního a regionálního partnerství zabývaly veškerými cíli stanovenými v tomto nařízení. </w:t>
      </w:r>
      <w:bookmarkEnd w:id="13"/>
    </w:p>
    <w:p w14:paraId="6786A060" w14:textId="3223E949" w:rsidR="007947CD" w:rsidRPr="00F56FDC" w:rsidRDefault="00B779F5" w:rsidP="003347AC">
      <w:pPr>
        <w:pStyle w:val="ManualConsidrant"/>
        <w:rPr>
          <w:noProof/>
          <w:szCs w:val="24"/>
        </w:rPr>
      </w:pPr>
      <w:r>
        <w:rPr>
          <w:noProof/>
        </w:rPr>
        <w:t>(</w:t>
      </w:r>
      <w:r w:rsidR="003347AC" w:rsidRPr="00F56FDC">
        <w:rPr>
          <w:noProof/>
        </w:rPr>
        <w:t>6)</w:t>
      </w:r>
      <w:r w:rsidR="003347AC" w:rsidRPr="00F56FDC">
        <w:rPr>
          <w:noProof/>
        </w:rPr>
        <w:tab/>
        <w:t>V souladu s aktem o přistoupení Litvy k EU řeší toto nařízení rovněž potřebu podpořit Litvu při řízení průjezdu osob mezi Kaliningradskou oblastí a ostatními částmi Ruské federace.</w:t>
      </w:r>
    </w:p>
    <w:p w14:paraId="32C36110" w14:textId="26B96F83" w:rsidR="00286E0D" w:rsidRPr="00F56FDC" w:rsidRDefault="00B779F5" w:rsidP="003347AC">
      <w:pPr>
        <w:pStyle w:val="ManualConsidrant"/>
        <w:rPr>
          <w:noProof/>
        </w:rPr>
      </w:pPr>
      <w:r>
        <w:rPr>
          <w:noProof/>
        </w:rPr>
        <w:t>(</w:t>
      </w:r>
      <w:r w:rsidR="003347AC" w:rsidRPr="00F56FDC">
        <w:rPr>
          <w:noProof/>
        </w:rPr>
        <w:t>7)</w:t>
      </w:r>
      <w:r w:rsidR="003347AC" w:rsidRPr="00F56FDC">
        <w:rPr>
          <w:noProof/>
        </w:rPr>
        <w:tab/>
        <w:t>Částky, které mají být přiděleny jednotlivým členským státům, by Komise měla stanovit v souladu s metodikou přidělování stanovenou v nařízení (EU) […], kterým se zřizuje Evropský fond pro hospodářskou, sociální a územní soudržnost, zemědělství a venkovské oblasti, rybolov a námořní záležitosti, prosperitu a bezpečnost, a to prostřednictvím jediného prováděcího rozhodnutí. Uvedené rozhodnutí by se mělo zpravidla vztahovat i na částky podle nařízení (EU) […], kterým se zřizuje Evropský fond pro hospodářskou, sociální a územní soudržnost, zemědělství a venkovské oblasti, rybolov a námořní záležitosti, prosperitu a bezpečnost, nařízení (EU) […], kterým se zavádí podpora Unie pro azyl, migraci a integraci, a nařízení (EU) […], kterým se zavádí podpora Unie pro vnitřní bezpečnost.</w:t>
      </w:r>
    </w:p>
    <w:p w14:paraId="0C6F62A8" w14:textId="32F7ADD6" w:rsidR="00286E0D" w:rsidRPr="00F56FDC" w:rsidRDefault="00B779F5" w:rsidP="003347AC">
      <w:pPr>
        <w:pStyle w:val="ManualConsidrant"/>
        <w:rPr>
          <w:noProof/>
        </w:rPr>
      </w:pPr>
      <w:r>
        <w:rPr>
          <w:noProof/>
        </w:rPr>
        <w:t>(</w:t>
      </w:r>
      <w:r w:rsidR="003347AC" w:rsidRPr="00F56FDC">
        <w:rPr>
          <w:noProof/>
        </w:rPr>
        <w:t>8)</w:t>
      </w:r>
      <w:r w:rsidR="003347AC" w:rsidRPr="00F56FDC">
        <w:rPr>
          <w:noProof/>
        </w:rPr>
        <w:tab/>
        <w:t>Podpora Unie by měla být založena na výsledcích a investicích předchozích programových období v rámci: i) Fondu pro vnější hranice na období 2007–2013 zřízeného rozhodnutím Evropského parlamentu a Rady č. 574/2007/ES</w:t>
      </w:r>
      <w:r w:rsidR="003347AC" w:rsidRPr="00F56FDC">
        <w:rPr>
          <w:rStyle w:val="FootnoteReference"/>
          <w:noProof/>
        </w:rPr>
        <w:footnoteReference w:id="7"/>
      </w:r>
      <w:r w:rsidR="003347AC" w:rsidRPr="00F56FDC">
        <w:rPr>
          <w:noProof/>
        </w:rPr>
        <w:t>; ii) nástroje pro vnější hranice a víza, který je součástí Fondu pro vnitřní bezpečnost na období 2014–2020, zřízeného nařízením Evropského parlamentu a Rady (EU) č. 515/2014</w:t>
      </w:r>
      <w:r w:rsidR="003347AC" w:rsidRPr="00F56FDC">
        <w:rPr>
          <w:rStyle w:val="FootnoteReference"/>
          <w:noProof/>
        </w:rPr>
        <w:footnoteReference w:id="8"/>
      </w:r>
      <w:r w:rsidR="003347AC" w:rsidRPr="00F56FDC">
        <w:rPr>
          <w:noProof/>
        </w:rPr>
        <w:t>, a iii) Nástroje pro finanční podporu správy hranic a vízové politiky, který je součástí Fondu pro integrovanou správu hranic na období 2021–2027, zřízeného nařízením Evropského parlamentu a Rady (EU) 2021/1148</w:t>
      </w:r>
      <w:r w:rsidR="003347AC" w:rsidRPr="00F56FDC">
        <w:rPr>
          <w:rStyle w:val="FootnoteReference"/>
          <w:noProof/>
          <w:szCs w:val="24"/>
        </w:rPr>
        <w:footnoteReference w:id="9"/>
      </w:r>
      <w:r w:rsidR="003347AC" w:rsidRPr="00F56FDC">
        <w:rPr>
          <w:noProof/>
        </w:rPr>
        <w:t xml:space="preserve">. </w:t>
      </w:r>
    </w:p>
    <w:p w14:paraId="28287138" w14:textId="62D4BBE3" w:rsidR="00B9223C" w:rsidRPr="00F56FDC" w:rsidRDefault="00B779F5" w:rsidP="003347AC">
      <w:pPr>
        <w:pStyle w:val="ManualConsidrant"/>
        <w:rPr>
          <w:rFonts w:eastAsia="Arial Unicode MS"/>
          <w:noProof/>
          <w:szCs w:val="24"/>
        </w:rPr>
      </w:pPr>
      <w:r>
        <w:rPr>
          <w:noProof/>
        </w:rPr>
        <w:t>(</w:t>
      </w:r>
      <w:r w:rsidR="003347AC" w:rsidRPr="00F56FDC">
        <w:rPr>
          <w:noProof/>
        </w:rPr>
        <w:t>9)</w:t>
      </w:r>
      <w:r w:rsidR="003347AC" w:rsidRPr="00F56FDC">
        <w:rPr>
          <w:noProof/>
        </w:rPr>
        <w:tab/>
        <w:t>S ohledem na měnící se globální prostředí a rostoucí nestabilitu musí Unie a její členské státy spojit své zdroje v zájmu účinné ochrany vnějších hranic Unie, aby mohly řešit mimo jiné nelegální migraci, převaděčství migrantů a obchodování s lidmi, a musí reagovat na státní aktéry, kteří chtějí destabilizovat Evropskou unii a její členské státy tím, že uměle vytvářejí a usnadňují nelegální migraci, využívají migrační toky jako nástroj pro politické účely a používají taktiky hybridní války, například zneužívání migrace jako zbraně</w:t>
      </w:r>
      <w:r w:rsidR="003347AC" w:rsidRPr="00F56FDC">
        <w:rPr>
          <w:rStyle w:val="FootnoteReference"/>
          <w:noProof/>
        </w:rPr>
        <w:footnoteReference w:id="10"/>
      </w:r>
      <w:r w:rsidR="003347AC" w:rsidRPr="00F56FDC">
        <w:rPr>
          <w:noProof/>
        </w:rPr>
        <w:t xml:space="preserve">. V zájmu solidarity v celém schengenském prostoru a v duchu sdílené odpovědnosti za ochranu vnějších hranic Unie by plány národního a regionálního partnerství členských států měly adekvátně řešit zjištěné výzvy, zejména v kontextu Evropské strategie integrované správy hranic, evropské strategie v oblasti vízové politiky a nové architektury informačních technologií (IT) schengenského prostoru založené na rozsáhlých IT systémech zavedených k řízení vnějších hranic a bezpečnosti, jakož i na interoperabilitě těchto systémů. Kromě toho by mělo být zváženo zavedení technologií a digitálních řešení na podporu úkolu ochrany hranic.   </w:t>
      </w:r>
    </w:p>
    <w:p w14:paraId="748664DD" w14:textId="1638E8CE" w:rsidR="00FA5BBE" w:rsidRPr="00F56FDC" w:rsidRDefault="00B779F5" w:rsidP="003347AC">
      <w:pPr>
        <w:pStyle w:val="ManualConsidrant"/>
        <w:rPr>
          <w:noProof/>
        </w:rPr>
      </w:pPr>
      <w:r>
        <w:rPr>
          <w:noProof/>
        </w:rPr>
        <w:t>(</w:t>
      </w:r>
      <w:r w:rsidR="003347AC" w:rsidRPr="00F56FDC">
        <w:rPr>
          <w:noProof/>
        </w:rPr>
        <w:t>10)</w:t>
      </w:r>
      <w:r w:rsidR="003347AC" w:rsidRPr="00F56FDC">
        <w:rPr>
          <w:noProof/>
        </w:rPr>
        <w:tab/>
        <w:t>Podpora Unie by měla přispět k zajištění konzistentnosti, soudržnosti, synergií a doplňkovosti mezi vnitřními a vnějšími politikami Unie. Je nutná větší soudržnost mezi migrační, azylovou, návratovou a vnější politikou a je důležité zajistit, aby vnější pomoc Unie a podpora Unie podle tohoto nařízení přispívaly ke koordinovanému, holistickému a strukturovanému přístupu k migraci, maximalizovaly synergie a zvyšovaly pákový efekt. Podpora Unie podle tohoto nařízení může v řádně odůvodněných případech zahrnovat rovněž podporu relevantních zdrojů delegací EU a může být ve fázích plánování a provádění koordinována mezi členskými státy a Komisí.</w:t>
      </w:r>
    </w:p>
    <w:p w14:paraId="46F16C80" w14:textId="1F689679" w:rsidR="00DC6F83" w:rsidRPr="00F56FDC" w:rsidRDefault="00B779F5" w:rsidP="003347AC">
      <w:pPr>
        <w:pStyle w:val="ManualConsidrant"/>
        <w:rPr>
          <w:noProof/>
        </w:rPr>
      </w:pPr>
      <w:r>
        <w:rPr>
          <w:noProof/>
        </w:rPr>
        <w:t>(</w:t>
      </w:r>
      <w:r w:rsidR="003347AC" w:rsidRPr="00F56FDC">
        <w:rPr>
          <w:noProof/>
        </w:rPr>
        <w:t>11)</w:t>
      </w:r>
      <w:r w:rsidR="003347AC" w:rsidRPr="00F56FDC">
        <w:rPr>
          <w:noProof/>
        </w:rPr>
        <w:tab/>
        <w:t>Evropa musí chránit své bezpečnostní zájmy proti dodavatelům, kteří by mohli představovat trvalé bezpečnostní riziko kvůli možnému vměšování třetích zemí a praktikám těchto dodavatelů v oblasti kybernetické bezpečnosti. Je proto nezbytné snížit riziko přetrvávající závislosti vnitřního trhu na vysoce rizikových dodavatelích, kteří by potenciálně mohli mít závažné negativní důsledky pro bezpečnost uživatelů, společností a veřejných subjektů v celé EU, jakož i kritické infrastruktury EU, pokud jde o integritu dat a služeb a dostupnost služeb. Toto vyloučení by mělo vycházet z přiměřeného posouzení rizik a být založeno na souvisejících zmírňujících opatřeních definovaných v politikách a právních předpisech Unie.</w:t>
      </w:r>
    </w:p>
    <w:p w14:paraId="36DC56FF" w14:textId="7D1EBDE9" w:rsidR="00286E0D" w:rsidRPr="00F56FDC" w:rsidRDefault="00B779F5" w:rsidP="003347AC">
      <w:pPr>
        <w:pStyle w:val="ManualConsidrant"/>
        <w:rPr>
          <w:rFonts w:eastAsia="Arial Unicode MS"/>
          <w:noProof/>
          <w:szCs w:val="24"/>
        </w:rPr>
      </w:pPr>
      <w:r>
        <w:rPr>
          <w:noProof/>
        </w:rPr>
        <w:t>(</w:t>
      </w:r>
      <w:r w:rsidR="003347AC" w:rsidRPr="00F56FDC">
        <w:rPr>
          <w:noProof/>
        </w:rPr>
        <w:t>12)</w:t>
      </w:r>
      <w:r w:rsidR="003347AC" w:rsidRPr="00F56FDC">
        <w:rPr>
          <w:noProof/>
        </w:rPr>
        <w:tab/>
        <w:t>Jelikož se výzvy v oblasti správy hranic a vízové politiky neustále vyvíjejí, je nutné přizpůsobovat přidělování podpory Unie změnám priorit v oblasti správy vnějších hranic a vízové politiky, mimo jiné změnám v důsledku zvýšeného tlaku na hranicích, a potřebě zaměřit financování na priority s nejvyšší přidanou hodnotou Unie. Aby bylo možné reagovat na naléhavé potřeby a změny v rámci politik a priorit Unie a zaměřit financování na akce s vysokou úrovní přidané hodnoty Unie, měla by být část podpory Unie prováděna formou přímého, sdíleného a nepřímého řízení prostřednictvím Facility EU zřízené podle nařízení (EU) […], kterým se zřizuje Evropský fond pro hospodářskou, sociální a územní soudržnost, zemědělství a venkovské oblasti, rybolov a námořní záležitosti, prosperitu a bezpečnost. Facilita EU nabízí flexibilitu při řízení podpory Unie a v případě sdíleného řízení by měl být prováděn prostřednictvím plánů národního a regionálního partnerství členských států.</w:t>
      </w:r>
    </w:p>
    <w:p w14:paraId="3E024F13" w14:textId="324E339C" w:rsidR="00286E0D" w:rsidRPr="00F56FDC" w:rsidRDefault="00B779F5" w:rsidP="003347AC">
      <w:pPr>
        <w:pStyle w:val="ManualConsidrant"/>
        <w:rPr>
          <w:rFonts w:eastAsia="Arial Unicode MS"/>
          <w:noProof/>
          <w:szCs w:val="24"/>
        </w:rPr>
      </w:pPr>
      <w:r>
        <w:rPr>
          <w:noProof/>
        </w:rPr>
        <w:t>(</w:t>
      </w:r>
      <w:r w:rsidR="003347AC" w:rsidRPr="00F56FDC">
        <w:rPr>
          <w:noProof/>
        </w:rPr>
        <w:t>13)</w:t>
      </w:r>
      <w:r w:rsidR="003347AC" w:rsidRPr="00F56FDC">
        <w:rPr>
          <w:noProof/>
        </w:rPr>
        <w:tab/>
        <w:t xml:space="preserve">Komise a členské státy by měly zajistit, aby byly při provádění opatření nebo řešení výzev souvisejících s řízením migrace, ochranou a správou hranic a vnitřní bezpečností zohledněny znalosti a zkušenosti orgánů, institucí a jiných subjektů Unie. Ve vhodných případech by Komise měla mít rovněž možnost zapojit příslušné orgány, instituce a jiné subjekty Unie do činností, jejichž cílem je zajistit, aby opatření financovaná z podpory Unie byla v souladu s příslušným </w:t>
      </w:r>
      <w:r w:rsidR="003347AC" w:rsidRPr="00F56FDC">
        <w:rPr>
          <w:i/>
          <w:iCs/>
          <w:noProof/>
        </w:rPr>
        <w:t>acquis</w:t>
      </w:r>
      <w:r w:rsidR="003347AC" w:rsidRPr="00F56FDC">
        <w:rPr>
          <w:noProof/>
        </w:rPr>
        <w:t xml:space="preserve"> Unie a schválenými prioritami Unie.</w:t>
      </w:r>
    </w:p>
    <w:p w14:paraId="79A06EF4" w14:textId="522D637A" w:rsidR="00286E0D" w:rsidRPr="00F56FDC" w:rsidRDefault="00B779F5" w:rsidP="003347AC">
      <w:pPr>
        <w:pStyle w:val="ManualConsidrant"/>
        <w:rPr>
          <w:noProof/>
        </w:rPr>
      </w:pPr>
      <w:r>
        <w:rPr>
          <w:noProof/>
        </w:rPr>
        <w:t>(</w:t>
      </w:r>
      <w:r w:rsidR="003347AC" w:rsidRPr="00F56FDC">
        <w:rPr>
          <w:noProof/>
        </w:rPr>
        <w:t>14)</w:t>
      </w:r>
      <w:r w:rsidR="003347AC" w:rsidRPr="00F56FDC">
        <w:rPr>
          <w:noProof/>
        </w:rPr>
        <w:tab/>
        <w:t xml:space="preserve">Podpora Unie by měla být určena na opatření, která se týkají ochrany vnějších hranic na území zemí, jež uplatňují schengenské </w:t>
      </w:r>
      <w:r w:rsidR="003347AC" w:rsidRPr="00F56FDC">
        <w:rPr>
          <w:i/>
          <w:iCs/>
          <w:noProof/>
        </w:rPr>
        <w:t>acquis</w:t>
      </w:r>
      <w:r w:rsidR="003347AC" w:rsidRPr="00F56FDC">
        <w:rPr>
          <w:noProof/>
        </w:rPr>
        <w:t xml:space="preserve">, v rámci provádění evropské integrované správy hranic, která posiluje celkové fungování schengenského prostoru. Za účelem stanovení povahy a způsobů účasti zemí přidružených k provádění, uplatňování a rozvoji schengenského </w:t>
      </w:r>
      <w:r w:rsidR="003347AC" w:rsidRPr="00F56FDC">
        <w:rPr>
          <w:i/>
          <w:iCs/>
          <w:noProof/>
        </w:rPr>
        <w:t>acquis</w:t>
      </w:r>
      <w:r w:rsidR="003347AC" w:rsidRPr="00F56FDC">
        <w:rPr>
          <w:noProof/>
        </w:rPr>
        <w:t xml:space="preserve"> na podpoře Unie by měla být uzavřena další ujednání mezi Unií a těmito zeměmi na základě příslušných ustanovení jednotlivých dohod o přidružení mezi těmito zeměmi a Unií. </w:t>
      </w:r>
    </w:p>
    <w:p w14:paraId="1ACD8BCA" w14:textId="1FE93F48" w:rsidR="00286E0D" w:rsidRPr="00F56FDC" w:rsidRDefault="00B779F5" w:rsidP="003347AC">
      <w:pPr>
        <w:pStyle w:val="ManualConsidrant"/>
        <w:rPr>
          <w:noProof/>
        </w:rPr>
      </w:pPr>
      <w:r>
        <w:rPr>
          <w:noProof/>
        </w:rPr>
        <w:t>(</w:t>
      </w:r>
      <w:r w:rsidR="003347AC" w:rsidRPr="00F56FDC">
        <w:rPr>
          <w:noProof/>
        </w:rPr>
        <w:t>15)</w:t>
      </w:r>
      <w:r w:rsidR="003347AC" w:rsidRPr="00F56FDC">
        <w:rPr>
          <w:noProof/>
        </w:rPr>
        <w:tab/>
        <w:t xml:space="preserve">Podpora Unie by měla trvale přispívat k provádění, rozvoji a správě schengenského prostoru s cílem zasazovat se o prostor bez kontrol na vnitřních hranicích. Podpora Unie by měla trvale podporovat opatření, která se týkají ochrany vnějších hranic na území zemí, jež uplatňují schengenské </w:t>
      </w:r>
      <w:r w:rsidR="003347AC" w:rsidRPr="00F56FDC">
        <w:rPr>
          <w:i/>
          <w:iCs/>
          <w:noProof/>
        </w:rPr>
        <w:t>acquis</w:t>
      </w:r>
      <w:r w:rsidR="003347AC" w:rsidRPr="00F56FDC">
        <w:rPr>
          <w:noProof/>
        </w:rPr>
        <w:t>, v rámci provádění evropské integrované správy hranic, která posiluje celkové fungování schengenského prostoru.</w:t>
      </w:r>
    </w:p>
    <w:p w14:paraId="5A7895AE" w14:textId="6FDA2C7A" w:rsidR="00286E0D" w:rsidRPr="00F56FDC" w:rsidRDefault="00B779F5" w:rsidP="003347AC">
      <w:pPr>
        <w:pStyle w:val="ManualConsidrant"/>
        <w:rPr>
          <w:noProof/>
        </w:rPr>
      </w:pPr>
      <w:r>
        <w:rPr>
          <w:noProof/>
        </w:rPr>
        <w:t>(</w:t>
      </w:r>
      <w:r w:rsidR="003347AC" w:rsidRPr="00F56FDC">
        <w:rPr>
          <w:noProof/>
        </w:rPr>
        <w:t>16)</w:t>
      </w:r>
      <w:r w:rsidR="003347AC" w:rsidRPr="00F56FDC">
        <w:rPr>
          <w:noProof/>
        </w:rPr>
        <w:tab/>
        <w:t>Podpora Unie by měla přispívat k modernizaci a zvýšení účinnosti vyřizování víz, pokud jde o zjišťování a posuzování bezpečnostních rizik a rizik nelegální migrace, aby bylo zajištěno účinné provádění vízového kodexu. Zejména by podpora Unie měla přispívat k digitalizaci vyřizování víz s cílem zajistit rychlé, bezpečné a klientsky přívětivé postupy udělování víz, ze kterých budou mít prospěch jak žadatelé o vízum, tak konzuláty. Podpora Unie by měla rovněž sloužit ke zlepšení služeb pro žadatele o vízum, mimo jiné prostřednictvím lepšího pokrytí konzulárními službami po celém světě.</w:t>
      </w:r>
    </w:p>
    <w:p w14:paraId="5F13111F" w14:textId="125F5F5D" w:rsidR="00286E0D" w:rsidRPr="00F56FDC" w:rsidRDefault="00B779F5" w:rsidP="003347AC">
      <w:pPr>
        <w:pStyle w:val="ManualConsidrant"/>
        <w:rPr>
          <w:noProof/>
        </w:rPr>
      </w:pPr>
      <w:bookmarkStart w:id="14" w:name="_Hlk201962914"/>
      <w:r>
        <w:rPr>
          <w:noProof/>
        </w:rPr>
        <w:t>(</w:t>
      </w:r>
      <w:r w:rsidR="003347AC" w:rsidRPr="00F56FDC">
        <w:rPr>
          <w:noProof/>
        </w:rPr>
        <w:t>17)</w:t>
      </w:r>
      <w:r w:rsidR="003347AC" w:rsidRPr="00F56FDC">
        <w:rPr>
          <w:noProof/>
        </w:rPr>
        <w:tab/>
        <w:t>Členské státy mohou při provádění podpory Unie vycházet ze zásady partnerství, aby byla v rámci přístupu ke správě zajištěna kontinuita.</w:t>
      </w:r>
      <w:bookmarkEnd w:id="14"/>
    </w:p>
    <w:p w14:paraId="7984B517" w14:textId="47974C85" w:rsidR="00286E0D" w:rsidRPr="00F56FDC" w:rsidRDefault="00B779F5" w:rsidP="003347AC">
      <w:pPr>
        <w:pStyle w:val="ManualConsidrant"/>
        <w:rPr>
          <w:noProof/>
        </w:rPr>
      </w:pPr>
      <w:r>
        <w:rPr>
          <w:noProof/>
        </w:rPr>
        <w:t>(</w:t>
      </w:r>
      <w:r w:rsidR="003347AC" w:rsidRPr="00F56FDC">
        <w:rPr>
          <w:noProof/>
        </w:rPr>
        <w:t>18)</w:t>
      </w:r>
      <w:r w:rsidR="003347AC" w:rsidRPr="00F56FDC">
        <w:rPr>
          <w:noProof/>
        </w:rPr>
        <w:tab/>
        <w:t>Podle článku 86 nařízení Evropského parlamentu a Rady (EU) 2018/1240</w:t>
      </w:r>
      <w:r w:rsidR="003347AC" w:rsidRPr="00F56FDC">
        <w:rPr>
          <w:rStyle w:val="FootnoteReference"/>
          <w:noProof/>
          <w:szCs w:val="24"/>
        </w:rPr>
        <w:footnoteReference w:id="11"/>
      </w:r>
      <w:r w:rsidR="003347AC" w:rsidRPr="00F56FDC">
        <w:rPr>
          <w:noProof/>
        </w:rPr>
        <w:t xml:space="preserve"> by provozní náklady Evropského systému pro cestovní informace a povolení (ETIAS) měly být hrazeny z příjmů plynoucích z poplatků za cestovní povolení. Toto nařízení by mělo stanovit pravidla, podle nichž se členským státům pro zpřístupňují jejich podíly na poplatcích ETIAS, za účelem pokrytí jejich příslušných provozních nákladů, a to včetně postupů v případech, kdy jejich celkové provozní náklady v daném roce překročí dostupné příjmy z ETIAS.</w:t>
      </w:r>
      <w:bookmarkStart w:id="15" w:name="_Hlk202881236"/>
      <w:bookmarkEnd w:id="15"/>
      <w:r w:rsidR="003347AC" w:rsidRPr="00F56FDC">
        <w:rPr>
          <w:noProof/>
        </w:rPr>
        <w:t xml:space="preserve"> </w:t>
      </w:r>
    </w:p>
    <w:p w14:paraId="73242398" w14:textId="08CD5089" w:rsidR="00286E0D" w:rsidRPr="00F56FDC" w:rsidRDefault="00B779F5" w:rsidP="003347AC">
      <w:pPr>
        <w:pStyle w:val="ManualConsidrant"/>
        <w:rPr>
          <w:noProof/>
        </w:rPr>
      </w:pPr>
      <w:r>
        <w:rPr>
          <w:noProof/>
        </w:rPr>
        <w:t>(</w:t>
      </w:r>
      <w:r w:rsidR="003347AC" w:rsidRPr="00F56FDC">
        <w:rPr>
          <w:noProof/>
        </w:rPr>
        <w:t>19)</w:t>
      </w:r>
      <w:r w:rsidR="003347AC" w:rsidRPr="00F56FDC">
        <w:rPr>
          <w:noProof/>
        </w:rPr>
        <w:tab/>
        <w:t>Jelikož členské státy vystavené migračnímu tlaku musí mít možnost spolehnout se na podporu Unie, měla by být v tomto nařízení stanovena pravidla pro zpřístupnění příslušného podílu finančních příspěvků zahrnutých do ročního rezervoáru solidarity zřízeného nařízením (EU) 2024/1351</w:t>
      </w:r>
      <w:r w:rsidR="003347AC" w:rsidRPr="00F56FDC">
        <w:rPr>
          <w:rStyle w:val="FootnoteReference"/>
          <w:rFonts w:eastAsia="Arial Unicode MS"/>
          <w:noProof/>
          <w:szCs w:val="24"/>
          <w:lang w:eastAsia="en-IE"/>
        </w:rPr>
        <w:footnoteReference w:id="12"/>
      </w:r>
      <w:r w:rsidR="003347AC" w:rsidRPr="00F56FDC">
        <w:rPr>
          <w:noProof/>
        </w:rPr>
        <w:t xml:space="preserve"> členským státům, které využívají pomoci.</w:t>
      </w:r>
    </w:p>
    <w:p w14:paraId="4C768251" w14:textId="32DDFA05" w:rsidR="006866F6" w:rsidRPr="00F56FDC" w:rsidRDefault="00B779F5" w:rsidP="003347AC">
      <w:pPr>
        <w:pStyle w:val="ManualConsidrant"/>
        <w:rPr>
          <w:noProof/>
        </w:rPr>
      </w:pPr>
      <w:bookmarkStart w:id="16" w:name="_Hlk202881260"/>
      <w:r>
        <w:rPr>
          <w:noProof/>
        </w:rPr>
        <w:t>(</w:t>
      </w:r>
      <w:r w:rsidR="003347AC" w:rsidRPr="00F56FDC">
        <w:rPr>
          <w:noProof/>
        </w:rPr>
        <w:t>20)</w:t>
      </w:r>
      <w:r w:rsidR="003347AC" w:rsidRPr="00F56FDC">
        <w:rPr>
          <w:noProof/>
        </w:rPr>
        <w:tab/>
        <w:t xml:space="preserve">Všechny akce financované z podpory Unie podle tohoto nařízení by měly být prováděny podle práv a zásad zakotvených v </w:t>
      </w:r>
      <w:r w:rsidR="003347AC" w:rsidRPr="00F56FDC">
        <w:rPr>
          <w:i/>
          <w:iCs/>
          <w:noProof/>
        </w:rPr>
        <w:t>acquis</w:t>
      </w:r>
      <w:r w:rsidR="003347AC" w:rsidRPr="00F56FDC">
        <w:rPr>
          <w:noProof/>
        </w:rPr>
        <w:t xml:space="preserve"> Unie a Listině základních práv Evropské unie a měly by být v souladu s mezinárodními závazky Unie a členských států vyplývajícími z mezinárodních nástrojů, jichž jsou stranami.</w:t>
      </w:r>
    </w:p>
    <w:bookmarkEnd w:id="16"/>
    <w:p w14:paraId="79724041" w14:textId="45E665D8" w:rsidR="00286E0D" w:rsidRPr="00F56FDC" w:rsidRDefault="00B779F5" w:rsidP="003347AC">
      <w:pPr>
        <w:pStyle w:val="ManualConsidrant"/>
        <w:rPr>
          <w:noProof/>
        </w:rPr>
      </w:pPr>
      <w:r>
        <w:rPr>
          <w:noProof/>
        </w:rPr>
        <w:t>(</w:t>
      </w:r>
      <w:r w:rsidR="003347AC" w:rsidRPr="00F56FDC">
        <w:rPr>
          <w:noProof/>
        </w:rPr>
        <w:t>21)</w:t>
      </w:r>
      <w:r w:rsidR="003347AC" w:rsidRPr="00F56FDC">
        <w:rPr>
          <w:noProof/>
        </w:rPr>
        <w:tab/>
        <w:t>V souladu s Protokolem č. 5 k aktu o přistoupení o pozemním průjezdu osob mezi Kaliningradskou oblastí a ostatními částmi Ruské federace z roku 2003</w:t>
      </w:r>
      <w:r w:rsidR="003347AC" w:rsidRPr="00F56FDC">
        <w:rPr>
          <w:rStyle w:val="FootnoteReference"/>
          <w:noProof/>
          <w:szCs w:val="24"/>
        </w:rPr>
        <w:footnoteReference w:id="13"/>
      </w:r>
      <w:r w:rsidR="003347AC" w:rsidRPr="00F56FDC">
        <w:rPr>
          <w:noProof/>
        </w:rPr>
        <w:t xml:space="preserve"> bude Unie nápomocna Litvě v řízení průjezdu osob mezi Kaliningradskou oblastí a ostatními částmi Ruské federace a ponese zejména veškeré dodatečné náklady vynaložené při provádění zvláštních ustanovení </w:t>
      </w:r>
      <w:r w:rsidR="003347AC" w:rsidRPr="00F56FDC">
        <w:rPr>
          <w:i/>
          <w:iCs/>
          <w:noProof/>
        </w:rPr>
        <w:t>acquis</w:t>
      </w:r>
      <w:r w:rsidR="003347AC" w:rsidRPr="00F56FDC">
        <w:rPr>
          <w:noProof/>
        </w:rPr>
        <w:t>, která se týkají poskytování tohoto průjezdu. Toto nařízení by proto mělo stanovit pravidla pro finanční podporu na zvláštní režim průjezdu stanovený nařízením Rady (ES) č. 693/2003</w:t>
      </w:r>
      <w:r w:rsidR="003347AC" w:rsidRPr="00F56FDC">
        <w:rPr>
          <w:rStyle w:val="FootnoteReference"/>
          <w:noProof/>
          <w:szCs w:val="24"/>
        </w:rPr>
        <w:footnoteReference w:id="14"/>
      </w:r>
      <w:r w:rsidR="003347AC" w:rsidRPr="00F56FDC">
        <w:rPr>
          <w:noProof/>
        </w:rPr>
        <w:t>.</w:t>
      </w:r>
    </w:p>
    <w:p w14:paraId="2F17EDDB" w14:textId="4A554FE2" w:rsidR="00286E0D" w:rsidRPr="00F56FDC" w:rsidRDefault="00B779F5" w:rsidP="003347AC">
      <w:pPr>
        <w:pStyle w:val="ManualConsidrant"/>
        <w:rPr>
          <w:noProof/>
        </w:rPr>
      </w:pPr>
      <w:r>
        <w:rPr>
          <w:noProof/>
        </w:rPr>
        <w:t>(</w:t>
      </w:r>
      <w:r w:rsidR="003347AC" w:rsidRPr="00F56FDC">
        <w:rPr>
          <w:noProof/>
        </w:rPr>
        <w:t>22)</w:t>
      </w:r>
      <w:r w:rsidR="003347AC" w:rsidRPr="00F56FDC">
        <w:rPr>
          <w:noProof/>
        </w:rPr>
        <w:tab/>
        <w:t xml:space="preserve">Pokud jde o Island a Norsko, rozvíjí toto nařízení ta ustanovení schengenského </w:t>
      </w:r>
      <w:r w:rsidR="003347AC" w:rsidRPr="00F56FDC">
        <w:rPr>
          <w:i/>
          <w:iCs/>
          <w:noProof/>
        </w:rPr>
        <w:t>acquis</w:t>
      </w:r>
      <w:r w:rsidR="003347AC" w:rsidRPr="00F56FDC">
        <w:rPr>
          <w:noProof/>
        </w:rPr>
        <w:t xml:space="preserve"> ve smyslu Dohody uzavřené mezi Radou Evropské unie a Islandskou republikou a Norským královstvím o přidružení těchto dvou států k provádění, uplatňování a rozvoji schengenského </w:t>
      </w:r>
      <w:r w:rsidR="003347AC" w:rsidRPr="00F56FDC">
        <w:rPr>
          <w:i/>
          <w:iCs/>
          <w:noProof/>
        </w:rPr>
        <w:t>acquis</w:t>
      </w:r>
      <w:r w:rsidR="003347AC" w:rsidRPr="00F56FDC">
        <w:rPr>
          <w:rStyle w:val="FootnoteReference"/>
          <w:noProof/>
          <w:szCs w:val="24"/>
        </w:rPr>
        <w:footnoteReference w:id="15"/>
      </w:r>
      <w:r w:rsidR="003347AC" w:rsidRPr="00F56FDC">
        <w:rPr>
          <w:noProof/>
        </w:rPr>
        <w:t>, která spadají do oblasti uvedené v čl. 1 bodech A a B rozhodnutí Rady 1999/437/ES</w:t>
      </w:r>
      <w:r w:rsidR="003347AC" w:rsidRPr="00F56FDC">
        <w:rPr>
          <w:rStyle w:val="FootnoteReference"/>
          <w:noProof/>
          <w:szCs w:val="24"/>
        </w:rPr>
        <w:footnoteReference w:id="16"/>
      </w:r>
      <w:r w:rsidR="003347AC" w:rsidRPr="00F56FDC">
        <w:rPr>
          <w:noProof/>
        </w:rPr>
        <w:t>.</w:t>
      </w:r>
    </w:p>
    <w:p w14:paraId="440CC84B" w14:textId="40A30DCD" w:rsidR="00286E0D" w:rsidRPr="00F56FDC" w:rsidRDefault="00B779F5" w:rsidP="003347AC">
      <w:pPr>
        <w:pStyle w:val="ManualConsidrant"/>
        <w:rPr>
          <w:noProof/>
        </w:rPr>
      </w:pPr>
      <w:r>
        <w:rPr>
          <w:noProof/>
        </w:rPr>
        <w:t>(</w:t>
      </w:r>
      <w:r w:rsidR="003347AC" w:rsidRPr="00F56FDC">
        <w:rPr>
          <w:noProof/>
        </w:rPr>
        <w:t>23)</w:t>
      </w:r>
      <w:r w:rsidR="003347AC" w:rsidRPr="00F56FDC">
        <w:rPr>
          <w:noProof/>
        </w:rPr>
        <w:tab/>
        <w:t xml:space="preserve">Pokud jde o Švýcarsko, rozvíjí toto nařízení ta ustanovení schengenského </w:t>
      </w:r>
      <w:r w:rsidR="003347AC" w:rsidRPr="00F56FDC">
        <w:rPr>
          <w:i/>
          <w:iCs/>
          <w:noProof/>
        </w:rPr>
        <w:t>acquis</w:t>
      </w:r>
      <w:r w:rsidR="003347AC" w:rsidRPr="00F56FDC">
        <w:rPr>
          <w:noProof/>
        </w:rPr>
        <w:t xml:space="preserve"> ve smyslu Dohody mezi Evropskou unií, Evropským společenstvím a Švýcarskou konfederací o přidružení Švýcarské konfederace k provádění, uplatňování a rozvoji schengenského </w:t>
      </w:r>
      <w:r w:rsidR="003347AC" w:rsidRPr="00F56FDC">
        <w:rPr>
          <w:i/>
          <w:iCs/>
          <w:noProof/>
        </w:rPr>
        <w:t>acquis</w:t>
      </w:r>
      <w:r w:rsidR="003347AC" w:rsidRPr="00F56FDC">
        <w:rPr>
          <w:rStyle w:val="FootnoteReference"/>
          <w:noProof/>
          <w:szCs w:val="24"/>
        </w:rPr>
        <w:footnoteReference w:id="17"/>
      </w:r>
      <w:r w:rsidR="003347AC" w:rsidRPr="00F56FDC">
        <w:rPr>
          <w:noProof/>
        </w:rPr>
        <w:t>, která spadají do oblasti uvedené v čl. 1 bodech A a B rozhodnutí 1999/437/ES ve spojení s článkem 3 rozhodnutí Rady 2008/146/ES</w:t>
      </w:r>
      <w:r w:rsidR="003347AC" w:rsidRPr="00F56FDC">
        <w:rPr>
          <w:rStyle w:val="FootnoteReference"/>
          <w:noProof/>
          <w:szCs w:val="24"/>
        </w:rPr>
        <w:footnoteReference w:id="18"/>
      </w:r>
      <w:r w:rsidR="003347AC" w:rsidRPr="00F56FDC">
        <w:rPr>
          <w:noProof/>
        </w:rPr>
        <w:t>.</w:t>
      </w:r>
    </w:p>
    <w:p w14:paraId="396CC801" w14:textId="3F5F288A" w:rsidR="00286E0D" w:rsidRPr="00F56FDC" w:rsidRDefault="00B779F5" w:rsidP="003347AC">
      <w:pPr>
        <w:pStyle w:val="ManualConsidrant"/>
        <w:rPr>
          <w:noProof/>
        </w:rPr>
      </w:pPr>
      <w:r>
        <w:rPr>
          <w:noProof/>
        </w:rPr>
        <w:t>(</w:t>
      </w:r>
      <w:r w:rsidR="003347AC" w:rsidRPr="00F56FDC">
        <w:rPr>
          <w:noProof/>
        </w:rPr>
        <w:t>24)</w:t>
      </w:r>
      <w:r w:rsidR="003347AC" w:rsidRPr="00F56FDC">
        <w:rPr>
          <w:noProof/>
        </w:rPr>
        <w:tab/>
        <w:t xml:space="preserve">Pokud jde o Lichtenštejnsko, rozvíjí toto nařízení ta ustanovení schengenského </w:t>
      </w:r>
      <w:r w:rsidR="003347AC" w:rsidRPr="00F56FDC">
        <w:rPr>
          <w:i/>
          <w:iCs/>
          <w:noProof/>
        </w:rPr>
        <w:t>acquis</w:t>
      </w:r>
      <w:r w:rsidR="003347AC" w:rsidRPr="00F56FDC">
        <w:rPr>
          <w:noProof/>
        </w:rPr>
        <w:t xml:space="preserve"> ve smyslu Protokolu mezi Evropskou unií, Evropským společenstvím, Švýcarskou konfederací a Lichtenštejnským knížectvím o přistoupení Lichtenštejnského knížectví k Dohodě mezi Evropskou unií, Evropským společenstvím a Švýcarskou konfederací o přidružení Švýcarské konfederace k provádění, uplatňování a rozvoji schengenského </w:t>
      </w:r>
      <w:r w:rsidR="003347AC" w:rsidRPr="00F56FDC">
        <w:rPr>
          <w:i/>
          <w:iCs/>
          <w:noProof/>
        </w:rPr>
        <w:t>acquis</w:t>
      </w:r>
      <w:r w:rsidR="003347AC" w:rsidRPr="00F56FDC">
        <w:rPr>
          <w:rStyle w:val="FootnoteReference"/>
          <w:noProof/>
          <w:szCs w:val="24"/>
        </w:rPr>
        <w:footnoteReference w:id="19"/>
      </w:r>
      <w:r w:rsidR="003347AC" w:rsidRPr="00F56FDC">
        <w:rPr>
          <w:noProof/>
        </w:rPr>
        <w:t>, která spadají do oblastí uvedených v čl. 1 bodech A a B rozhodnutí 1999/437/ES ve spojení s článkem 3 rozhodnutí Rady 2011/350/EU</w:t>
      </w:r>
      <w:r w:rsidR="003347AC" w:rsidRPr="00F56FDC">
        <w:rPr>
          <w:rStyle w:val="FootnoteReference"/>
          <w:noProof/>
          <w:szCs w:val="24"/>
        </w:rPr>
        <w:footnoteReference w:id="20"/>
      </w:r>
      <w:r w:rsidR="003347AC" w:rsidRPr="00F56FDC">
        <w:rPr>
          <w:noProof/>
        </w:rPr>
        <w:t>.</w:t>
      </w:r>
    </w:p>
    <w:p w14:paraId="1D419147" w14:textId="022422FE" w:rsidR="00806AC4" w:rsidRPr="00F56FDC" w:rsidRDefault="00B779F5" w:rsidP="003347AC">
      <w:pPr>
        <w:pStyle w:val="ManualConsidrant"/>
        <w:rPr>
          <w:noProof/>
        </w:rPr>
      </w:pPr>
      <w:r>
        <w:rPr>
          <w:noProof/>
        </w:rPr>
        <w:t>(</w:t>
      </w:r>
      <w:r w:rsidR="003347AC" w:rsidRPr="00F56FDC">
        <w:rPr>
          <w:noProof/>
        </w:rPr>
        <w:t>25)</w:t>
      </w:r>
      <w:r w:rsidR="003347AC" w:rsidRPr="00F56FDC">
        <w:rPr>
          <w:noProof/>
        </w:rPr>
        <w:tab/>
        <w:t xml:space="preserve">V souladu s články 1 a 2 Protokolu č. 22 o postavení Dánska, připojeného ke Smlouvě o EU a Smlouvě o fungování EU, se Dánsko neúčastní přijímání tohoto nařízení a toto nařízení pro ně není závazné ani použitelné. Vzhledem k tomu, že toto nařízení navazuje na schengenské </w:t>
      </w:r>
      <w:r w:rsidR="003347AC" w:rsidRPr="00F56FDC">
        <w:rPr>
          <w:i/>
          <w:iCs/>
          <w:noProof/>
        </w:rPr>
        <w:t>acquis</w:t>
      </w:r>
      <w:r w:rsidR="003347AC" w:rsidRPr="00F56FDC">
        <w:rPr>
          <w:noProof/>
        </w:rPr>
        <w:t>, rozhodne se Dánsko v souladu s článkem 4 uvedeného protokolu do šesti měsíců ode dne přijetí tohoto nařízení Radou, zda je provede ve svém vnitrostátním právu.</w:t>
      </w:r>
    </w:p>
    <w:p w14:paraId="776F0C22" w14:textId="2047EB8C" w:rsidR="00286E0D" w:rsidRPr="00F56FDC" w:rsidRDefault="00B779F5" w:rsidP="003347AC">
      <w:pPr>
        <w:pStyle w:val="ManualConsidrant"/>
        <w:rPr>
          <w:noProof/>
        </w:rPr>
      </w:pPr>
      <w:r>
        <w:rPr>
          <w:noProof/>
        </w:rPr>
        <w:t>(</w:t>
      </w:r>
      <w:r w:rsidR="003347AC" w:rsidRPr="00F56FDC">
        <w:rPr>
          <w:noProof/>
        </w:rPr>
        <w:t>26)</w:t>
      </w:r>
      <w:r w:rsidR="003347AC" w:rsidRPr="00F56FDC">
        <w:rPr>
          <w:noProof/>
        </w:rPr>
        <w:tab/>
        <w:t xml:space="preserve">Toto nařízení rozvíjí ta ustanovení schengenského </w:t>
      </w:r>
      <w:r w:rsidR="003347AC" w:rsidRPr="00F56FDC">
        <w:rPr>
          <w:i/>
          <w:iCs/>
          <w:noProof/>
        </w:rPr>
        <w:t>acquis</w:t>
      </w:r>
      <w:r w:rsidR="003347AC" w:rsidRPr="00F56FDC">
        <w:rPr>
          <w:noProof/>
        </w:rPr>
        <w:t>, kterých se neúčastní Irsko v souladu s rozhodnutím Rady 2002/192/ES</w:t>
      </w:r>
      <w:r w:rsidR="003347AC" w:rsidRPr="00F56FDC">
        <w:rPr>
          <w:rStyle w:val="FootnoteReference"/>
          <w:noProof/>
          <w:szCs w:val="24"/>
        </w:rPr>
        <w:footnoteReference w:id="21"/>
      </w:r>
      <w:r w:rsidR="003347AC" w:rsidRPr="00F56FDC">
        <w:rPr>
          <w:noProof/>
        </w:rPr>
        <w:t>. Irsko se tedy na přijímání tohoto nařízení nepodílí a toto nařízení pro ně není závazné ani použitelné,</w:t>
      </w:r>
    </w:p>
    <w:p w14:paraId="7A316F28" w14:textId="77777777" w:rsidR="00286E0D" w:rsidRPr="00F56FDC" w:rsidRDefault="00286E0D" w:rsidP="00286E0D">
      <w:pPr>
        <w:pStyle w:val="Formuledadoption"/>
        <w:rPr>
          <w:noProof/>
        </w:rPr>
      </w:pPr>
      <w:r w:rsidRPr="00F56FDC">
        <w:rPr>
          <w:noProof/>
        </w:rPr>
        <w:t>PŘIJALY TOTO NAŘÍZENÍ:</w:t>
      </w:r>
    </w:p>
    <w:p w14:paraId="558246A5" w14:textId="77777777" w:rsidR="00286E0D" w:rsidRPr="00F56FDC" w:rsidRDefault="00286E0D" w:rsidP="00286E0D">
      <w:pPr>
        <w:pStyle w:val="Titrearticle"/>
        <w:rPr>
          <w:noProof/>
        </w:rPr>
      </w:pPr>
      <w:r w:rsidRPr="00F56FDC">
        <w:rPr>
          <w:noProof/>
        </w:rPr>
        <w:t>Článek 1</w:t>
      </w:r>
    </w:p>
    <w:p w14:paraId="01DCFE30" w14:textId="77777777" w:rsidR="00286E0D" w:rsidRPr="00F56FDC" w:rsidRDefault="00286E0D" w:rsidP="00286E0D">
      <w:pPr>
        <w:pStyle w:val="Titrearticle"/>
        <w:rPr>
          <w:b/>
          <w:bCs/>
          <w:noProof/>
        </w:rPr>
      </w:pPr>
      <w:r w:rsidRPr="00F56FDC">
        <w:rPr>
          <w:b/>
          <w:noProof/>
        </w:rPr>
        <w:t>Předmět</w:t>
      </w:r>
    </w:p>
    <w:p w14:paraId="16102D8A" w14:textId="77777777" w:rsidR="00B9223C" w:rsidRPr="00F56FDC" w:rsidRDefault="00B9223C" w:rsidP="00B9223C">
      <w:pPr>
        <w:rPr>
          <w:noProof/>
          <w:szCs w:val="24"/>
        </w:rPr>
      </w:pPr>
      <w:r w:rsidRPr="00F56FDC">
        <w:rPr>
          <w:noProof/>
        </w:rPr>
        <w:t xml:space="preserve">Toto nařízení stanoví cíle podpory Unie pro evropskou integrovanou správu hranic a evropskou vízovou politiku a financování této podpory Unie na období od 1. ledna 2028 do 31. prosince 2034. Podpora Unie přispívá k fungování schengenského prostoru, k účinné správě vnějších hranic a k účinnosti vízové politiky, mimo jiné poskytováním podpory na provádění, posilování a rozvoj příslušných prvků Paktu o migraci a azylu, jakož i k vysoké úrovni vnitřní bezpečnosti v Unii při zachování absence kontrol osob při překračování vnitřních hranic. </w:t>
      </w:r>
    </w:p>
    <w:p w14:paraId="05AFC029" w14:textId="53D595F0" w:rsidR="00286E0D" w:rsidRPr="00F56FDC" w:rsidRDefault="00286E0D" w:rsidP="00A257BB">
      <w:pPr>
        <w:rPr>
          <w:noProof/>
          <w:szCs w:val="24"/>
        </w:rPr>
      </w:pPr>
      <w:r w:rsidRPr="00F56FDC">
        <w:rPr>
          <w:noProof/>
        </w:rPr>
        <w:t>Tato podpora Unie je poskytována podle horizontálních pravidel Evropského fondu pro hospodářskou, sociální a územní soudržnost, zemědělství a venkovské oblasti, rybolov a námořní záležitosti, prosperitu a bezpečnost zřízeného nařízením (EU) […].</w:t>
      </w:r>
    </w:p>
    <w:p w14:paraId="426B91C7" w14:textId="77777777" w:rsidR="00286E0D" w:rsidRPr="00F56FDC" w:rsidRDefault="00286E0D" w:rsidP="00286E0D">
      <w:pPr>
        <w:pStyle w:val="Titrearticle"/>
        <w:rPr>
          <w:noProof/>
        </w:rPr>
      </w:pPr>
      <w:r w:rsidRPr="00F56FDC">
        <w:rPr>
          <w:noProof/>
        </w:rPr>
        <w:t>Článek 2</w:t>
      </w:r>
    </w:p>
    <w:p w14:paraId="33C45191" w14:textId="77777777" w:rsidR="00286E0D" w:rsidRPr="00F56FDC" w:rsidRDefault="00286E0D" w:rsidP="00286E0D">
      <w:pPr>
        <w:pStyle w:val="Titrearticle"/>
        <w:rPr>
          <w:b/>
          <w:bCs/>
          <w:noProof/>
        </w:rPr>
      </w:pPr>
      <w:r w:rsidRPr="00F56FDC">
        <w:rPr>
          <w:b/>
          <w:noProof/>
        </w:rPr>
        <w:t>Definice</w:t>
      </w:r>
    </w:p>
    <w:p w14:paraId="0D79EC17" w14:textId="77777777" w:rsidR="00286E0D" w:rsidRPr="00F56FDC" w:rsidRDefault="00286E0D" w:rsidP="00286E0D">
      <w:pPr>
        <w:rPr>
          <w:noProof/>
          <w:color w:val="000000"/>
          <w:szCs w:val="24"/>
        </w:rPr>
      </w:pPr>
      <w:r w:rsidRPr="00F56FDC">
        <w:rPr>
          <w:noProof/>
          <w:color w:val="000000"/>
        </w:rPr>
        <w:t>Pro účely tohoto nařízení se rozumí:</w:t>
      </w:r>
    </w:p>
    <w:p w14:paraId="1962DB9D" w14:textId="3332A915" w:rsidR="00286E0D" w:rsidRPr="00F56FDC" w:rsidRDefault="003347AC" w:rsidP="003347AC">
      <w:pPr>
        <w:pStyle w:val="Point0"/>
        <w:rPr>
          <w:noProof/>
        </w:rPr>
      </w:pPr>
      <w:r w:rsidRPr="00F56FDC">
        <w:rPr>
          <w:noProof/>
        </w:rPr>
        <w:t>1)</w:t>
      </w:r>
      <w:r w:rsidRPr="00F56FDC">
        <w:rPr>
          <w:noProof/>
        </w:rPr>
        <w:tab/>
        <w:t>„hraničním přechodem“ hraniční přechod ve smyslu čl. 2 bodu 8 nařízení (EU) 2016/399</w:t>
      </w:r>
      <w:r w:rsidRPr="00F56FDC">
        <w:rPr>
          <w:rStyle w:val="FootnoteReference"/>
          <w:noProof/>
          <w:szCs w:val="24"/>
        </w:rPr>
        <w:footnoteReference w:id="22"/>
      </w:r>
      <w:r w:rsidRPr="00F56FDC">
        <w:rPr>
          <w:noProof/>
        </w:rPr>
        <w:t>;</w:t>
      </w:r>
    </w:p>
    <w:p w14:paraId="008FE4CA" w14:textId="2C9A36BD" w:rsidR="00286E0D" w:rsidRPr="00F56FDC" w:rsidRDefault="003347AC" w:rsidP="003347AC">
      <w:pPr>
        <w:pStyle w:val="Point0"/>
        <w:rPr>
          <w:noProof/>
        </w:rPr>
      </w:pPr>
      <w:r w:rsidRPr="00F56FDC">
        <w:rPr>
          <w:noProof/>
        </w:rPr>
        <w:t>2)</w:t>
      </w:r>
      <w:r w:rsidRPr="00F56FDC">
        <w:rPr>
          <w:noProof/>
        </w:rPr>
        <w:tab/>
        <w:t>„evropskou integrovanou správou hranic“ evropská integrovaná správa hranic ve smyslu článku 3 nařízení (EU) 2019/1896</w:t>
      </w:r>
      <w:r w:rsidRPr="00F56FDC">
        <w:rPr>
          <w:rStyle w:val="FootnoteReference"/>
          <w:noProof/>
          <w:szCs w:val="24"/>
        </w:rPr>
        <w:footnoteReference w:id="23"/>
      </w:r>
      <w:r w:rsidRPr="00F56FDC">
        <w:rPr>
          <w:noProof/>
        </w:rPr>
        <w:t>;</w:t>
      </w:r>
    </w:p>
    <w:p w14:paraId="2B48C930" w14:textId="436C4B86" w:rsidR="00286E0D" w:rsidRPr="00F56FDC" w:rsidRDefault="003347AC" w:rsidP="003347AC">
      <w:pPr>
        <w:pStyle w:val="Point0"/>
        <w:rPr>
          <w:noProof/>
        </w:rPr>
      </w:pPr>
      <w:r w:rsidRPr="00F56FDC">
        <w:rPr>
          <w:noProof/>
        </w:rPr>
        <w:t>3)</w:t>
      </w:r>
      <w:r w:rsidRPr="00F56FDC">
        <w:rPr>
          <w:noProof/>
        </w:rPr>
        <w:tab/>
        <w:t>„vnějšími hranicemi“ vnější hranice ve smyslu čl. 2 bodu 2 nařízení (EU) 2016/399</w:t>
      </w:r>
      <w:r w:rsidRPr="00F56FDC">
        <w:rPr>
          <w:rStyle w:val="FootnoteReference"/>
          <w:noProof/>
          <w:szCs w:val="24"/>
        </w:rPr>
        <w:footnoteReference w:id="24"/>
      </w:r>
      <w:r w:rsidRPr="00F56FDC">
        <w:rPr>
          <w:noProof/>
        </w:rPr>
        <w:t xml:space="preserve"> a vnitřní hranice, na kterých doposud nebyly zrušeny kontroly;</w:t>
      </w:r>
    </w:p>
    <w:p w14:paraId="225B0BEF" w14:textId="0E4D380F" w:rsidR="00286E0D" w:rsidRPr="00F56FDC" w:rsidRDefault="003347AC" w:rsidP="003347AC">
      <w:pPr>
        <w:pStyle w:val="Point0"/>
        <w:rPr>
          <w:noProof/>
        </w:rPr>
      </w:pPr>
      <w:r w:rsidRPr="00F56FDC">
        <w:rPr>
          <w:noProof/>
        </w:rPr>
        <w:t>4)</w:t>
      </w:r>
      <w:r w:rsidRPr="00F56FDC">
        <w:rPr>
          <w:noProof/>
        </w:rPr>
        <w:tab/>
        <w:t>„úsekem vnějších hranic“ úsek vnějších hranic ve smyslu čl. 2 bodu 11 nařízení (EU) 2019/1896</w:t>
      </w:r>
      <w:r w:rsidRPr="00F56FDC">
        <w:rPr>
          <w:rStyle w:val="FootnoteReference"/>
          <w:noProof/>
          <w:szCs w:val="24"/>
        </w:rPr>
        <w:footnoteReference w:id="25"/>
      </w:r>
      <w:r w:rsidRPr="00F56FDC">
        <w:rPr>
          <w:noProof/>
        </w:rPr>
        <w:t>;</w:t>
      </w:r>
    </w:p>
    <w:p w14:paraId="19E59878" w14:textId="1371C2DC" w:rsidR="00286E0D" w:rsidRPr="00F56FDC" w:rsidRDefault="003347AC" w:rsidP="003347AC">
      <w:pPr>
        <w:pStyle w:val="Point0"/>
        <w:rPr>
          <w:noProof/>
        </w:rPr>
      </w:pPr>
      <w:r w:rsidRPr="00F56FDC">
        <w:rPr>
          <w:noProof/>
        </w:rPr>
        <w:t>5)</w:t>
      </w:r>
      <w:r w:rsidRPr="00F56FDC">
        <w:rPr>
          <w:noProof/>
        </w:rPr>
        <w:tab/>
        <w:t>„vnitřními hranicemi, na kterých doposud nebyly zrušeny kontroly“:</w:t>
      </w:r>
    </w:p>
    <w:p w14:paraId="1816FE1D" w14:textId="1AE66307" w:rsidR="00286E0D" w:rsidRPr="00F56FDC" w:rsidRDefault="003347AC" w:rsidP="003347AC">
      <w:pPr>
        <w:pStyle w:val="Point1"/>
        <w:rPr>
          <w:noProof/>
        </w:rPr>
      </w:pPr>
      <w:r w:rsidRPr="00F56FDC">
        <w:rPr>
          <w:noProof/>
        </w:rPr>
        <w:t>a)</w:t>
      </w:r>
      <w:r w:rsidRPr="00F56FDC">
        <w:rPr>
          <w:noProof/>
        </w:rPr>
        <w:tab/>
        <w:t xml:space="preserve">společná hranice mezi členským státem, který v plném rozsahu provádí schengenské </w:t>
      </w:r>
      <w:r w:rsidRPr="00F56FDC">
        <w:rPr>
          <w:i/>
          <w:iCs/>
          <w:noProof/>
        </w:rPr>
        <w:t>acquis</w:t>
      </w:r>
      <w:r w:rsidRPr="00F56FDC">
        <w:rPr>
          <w:noProof/>
        </w:rPr>
        <w:t xml:space="preserve">, a členským státem, který je povinen toto </w:t>
      </w:r>
      <w:r w:rsidRPr="00F56FDC">
        <w:rPr>
          <w:i/>
          <w:iCs/>
          <w:noProof/>
        </w:rPr>
        <w:t>acquis</w:t>
      </w:r>
      <w:r w:rsidRPr="00F56FDC">
        <w:rPr>
          <w:noProof/>
        </w:rPr>
        <w:t xml:space="preserve"> v plném rozsahu uplatňovat v souladu se svým aktem o přistoupení, pro nějž však příslušné rozhodnutí Rady, které ho zmocňuje toto </w:t>
      </w:r>
      <w:r w:rsidRPr="00F56FDC">
        <w:rPr>
          <w:i/>
          <w:iCs/>
          <w:noProof/>
        </w:rPr>
        <w:t>acquis</w:t>
      </w:r>
      <w:r w:rsidRPr="00F56FDC">
        <w:rPr>
          <w:noProof/>
        </w:rPr>
        <w:t xml:space="preserve"> plně uplatňovat, zatím nevstoupilo v platnost;</w:t>
      </w:r>
    </w:p>
    <w:p w14:paraId="451F5771" w14:textId="7F81354A" w:rsidR="00286E0D" w:rsidRPr="00F56FDC" w:rsidRDefault="003347AC" w:rsidP="003347AC">
      <w:pPr>
        <w:pStyle w:val="Point1"/>
        <w:rPr>
          <w:noProof/>
        </w:rPr>
      </w:pPr>
      <w:r w:rsidRPr="00F56FDC">
        <w:rPr>
          <w:noProof/>
        </w:rPr>
        <w:t>b)</w:t>
      </w:r>
      <w:r w:rsidRPr="00F56FDC">
        <w:rPr>
          <w:noProof/>
        </w:rPr>
        <w:tab/>
        <w:t xml:space="preserve">společná hranice mezi dvěma členskými státy, které jsou povinny uplatňovat schengenské </w:t>
      </w:r>
      <w:r w:rsidRPr="00F56FDC">
        <w:rPr>
          <w:i/>
          <w:iCs/>
          <w:noProof/>
        </w:rPr>
        <w:t>acquis</w:t>
      </w:r>
      <w:r w:rsidRPr="00F56FDC">
        <w:rPr>
          <w:noProof/>
        </w:rPr>
        <w:t xml:space="preserve"> v plném rozsahu v souladu se svými akty o přistoupení, pro něž však příslušné rozhodnutí Rady, které je zmocňuje toto </w:t>
      </w:r>
      <w:r w:rsidRPr="00F56FDC">
        <w:rPr>
          <w:i/>
          <w:iCs/>
          <w:noProof/>
        </w:rPr>
        <w:t>acquis</w:t>
      </w:r>
      <w:r w:rsidRPr="00F56FDC">
        <w:rPr>
          <w:noProof/>
        </w:rPr>
        <w:t xml:space="preserve"> plně uplatňovat, zatím nevstoupilo v platnost;</w:t>
      </w:r>
    </w:p>
    <w:p w14:paraId="5E6A7562" w14:textId="76DFB720" w:rsidR="00286E0D" w:rsidRPr="00F56FDC" w:rsidRDefault="003347AC" w:rsidP="003347AC">
      <w:pPr>
        <w:pStyle w:val="Point0"/>
        <w:rPr>
          <w:noProof/>
        </w:rPr>
      </w:pPr>
      <w:r w:rsidRPr="00F56FDC">
        <w:rPr>
          <w:noProof/>
        </w:rPr>
        <w:t>6)</w:t>
      </w:r>
      <w:r w:rsidRPr="00F56FDC">
        <w:rPr>
          <w:noProof/>
        </w:rPr>
        <w:tab/>
        <w:t>„členským státem, který využívá pomoci“ členský stát, který využívá pomoci, ve smyslu čl. 2 bodu 19 nařízení (EU) 2024/1351;</w:t>
      </w:r>
    </w:p>
    <w:p w14:paraId="35262557" w14:textId="3A660522" w:rsidR="00F0474E" w:rsidRPr="00F56FDC" w:rsidRDefault="003347AC" w:rsidP="003347AC">
      <w:pPr>
        <w:pStyle w:val="Point0"/>
        <w:rPr>
          <w:noProof/>
        </w:rPr>
      </w:pPr>
      <w:r w:rsidRPr="00F56FDC">
        <w:rPr>
          <w:noProof/>
        </w:rPr>
        <w:t>7)</w:t>
      </w:r>
      <w:r w:rsidRPr="00F56FDC">
        <w:rPr>
          <w:noProof/>
        </w:rPr>
        <w:tab/>
        <w:t>„přispívajícím členským státem“ přispívající členský stát ve smyslu čl. 2 bodu 20 nařízení (EU) 2024/1351;</w:t>
      </w:r>
    </w:p>
    <w:p w14:paraId="1373544C" w14:textId="341C3D3C" w:rsidR="00286E0D" w:rsidRPr="00F56FDC" w:rsidRDefault="003347AC" w:rsidP="003347AC">
      <w:pPr>
        <w:pStyle w:val="Point0"/>
        <w:rPr>
          <w:noProof/>
        </w:rPr>
      </w:pPr>
      <w:r w:rsidRPr="00F56FDC">
        <w:rPr>
          <w:noProof/>
        </w:rPr>
        <w:t>8)</w:t>
      </w:r>
      <w:r w:rsidRPr="00F56FDC">
        <w:rPr>
          <w:noProof/>
        </w:rPr>
        <w:tab/>
        <w:t xml:space="preserve">„finančními příspěvky“ finanční příspěvky v souladu s čl. 56 odst. 2 písm. b) nařízení (EU) 2024/1351. </w:t>
      </w:r>
    </w:p>
    <w:p w14:paraId="4A75AB58" w14:textId="77777777" w:rsidR="00286E0D" w:rsidRPr="00F56FDC" w:rsidRDefault="00286E0D" w:rsidP="00286E0D">
      <w:pPr>
        <w:pStyle w:val="Titrearticle"/>
        <w:rPr>
          <w:noProof/>
        </w:rPr>
      </w:pPr>
      <w:r w:rsidRPr="00F56FDC">
        <w:rPr>
          <w:noProof/>
        </w:rPr>
        <w:t>Článek 3</w:t>
      </w:r>
    </w:p>
    <w:p w14:paraId="1F3B309A" w14:textId="77777777" w:rsidR="00286E0D" w:rsidRPr="00F56FDC" w:rsidRDefault="00286E0D" w:rsidP="00286E0D">
      <w:pPr>
        <w:pStyle w:val="Titrearticle"/>
        <w:rPr>
          <w:b/>
          <w:bCs/>
          <w:noProof/>
        </w:rPr>
      </w:pPr>
      <w:bookmarkStart w:id="17" w:name="_Hlk202174420"/>
      <w:r w:rsidRPr="00F56FDC">
        <w:rPr>
          <w:b/>
          <w:noProof/>
        </w:rPr>
        <w:t>Cíle podpory Unie pro schengenský prostor, evropskou integrovanou správu hranic na vnějších hranicích a společnou vízovou politiku</w:t>
      </w:r>
    </w:p>
    <w:bookmarkEnd w:id="17"/>
    <w:p w14:paraId="3CC4516C" w14:textId="15FD5E6D" w:rsidR="00286E0D" w:rsidRPr="00F56FDC" w:rsidRDefault="003347AC" w:rsidP="003347AC">
      <w:pPr>
        <w:pStyle w:val="ManualNumPar1"/>
        <w:rPr>
          <w:noProof/>
        </w:rPr>
      </w:pPr>
      <w:r w:rsidRPr="00F56FDC">
        <w:rPr>
          <w:noProof/>
        </w:rPr>
        <w:t>1.</w:t>
      </w:r>
      <w:r w:rsidRPr="00F56FDC">
        <w:rPr>
          <w:noProof/>
        </w:rPr>
        <w:tab/>
        <w:t>V zájmu zajištění silné a účinné evropské integrované správy hranic na vnějších hranicích, dobře fungujícího schengenského prostoru a účinné vízové politiky přispívá podpora Unie ke všem těmto cílům:</w:t>
      </w:r>
    </w:p>
    <w:p w14:paraId="52746F08" w14:textId="0F6AF9C9" w:rsidR="0058101A" w:rsidRPr="00F56FDC" w:rsidRDefault="003347AC" w:rsidP="003347AC">
      <w:pPr>
        <w:pStyle w:val="Point1"/>
        <w:rPr>
          <w:rFonts w:eastAsiaTheme="minorEastAsia" w:cstheme="majorHAnsi"/>
          <w:noProof/>
          <w:szCs w:val="20"/>
        </w:rPr>
      </w:pPr>
      <w:r w:rsidRPr="00F56FDC">
        <w:rPr>
          <w:noProof/>
        </w:rPr>
        <w:t>a)</w:t>
      </w:r>
      <w:r w:rsidRPr="00F56FDC">
        <w:rPr>
          <w:noProof/>
        </w:rPr>
        <w:tab/>
        <w:t>k podpoře účinného provádění, uplatňování a rozvoje schengenského rámce a k posílení správy, integrity a bezpečnosti schengenského prostoru bez vnitřních hranic;</w:t>
      </w:r>
    </w:p>
    <w:p w14:paraId="57D454BB" w14:textId="5676320D" w:rsidR="00286E0D" w:rsidRPr="00F56FDC" w:rsidRDefault="003347AC" w:rsidP="003347AC">
      <w:pPr>
        <w:pStyle w:val="Point1"/>
        <w:rPr>
          <w:rStyle w:val="Instructions"/>
          <w:rFonts w:eastAsiaTheme="minorEastAsia"/>
          <w:i w:val="0"/>
          <w:iCs w:val="0"/>
          <w:noProof/>
          <w:color w:val="auto"/>
        </w:rPr>
      </w:pPr>
      <w:r w:rsidRPr="00F56FDC">
        <w:rPr>
          <w:rStyle w:val="Instructions"/>
          <w:rFonts w:eastAsiaTheme="minorHAnsi"/>
          <w:noProof/>
        </w:rPr>
        <w:t>b)</w:t>
      </w:r>
      <w:r w:rsidRPr="00F56FDC">
        <w:rPr>
          <w:noProof/>
        </w:rPr>
        <w:tab/>
        <w:t>k podpoře účinné evropské integrované správy hranic na vnějších hranicích prováděné Evropskou pohraniční a pobřežní stráží v rámci sdílené odpovědnosti Evropské agentury pro pohraniční a pobřežní stráž a vnitrostátních orgánů odpovědných za správu hranic, a to i pomocí inovativních metod a nových technologií, s cílem usnadnit legitimní překračování hranic, předcházet nedovolenému přistěhovalectví, přeshraniční trestné činnosti a účelovému využívání nelegální migrace a jejímu zneužívání jako zbraně a odhalovat tyto jevy, jakož i přispívat k účinnému navracení;</w:t>
      </w:r>
    </w:p>
    <w:p w14:paraId="07C36713" w14:textId="25EE2425" w:rsidR="00286E0D" w:rsidRPr="00F56FDC" w:rsidRDefault="003347AC" w:rsidP="003347AC">
      <w:pPr>
        <w:pStyle w:val="Point1"/>
        <w:rPr>
          <w:rFonts w:eastAsiaTheme="minorEastAsia" w:cstheme="majorHAnsi"/>
          <w:noProof/>
          <w:szCs w:val="20"/>
        </w:rPr>
      </w:pPr>
      <w:r w:rsidRPr="00F56FDC">
        <w:rPr>
          <w:noProof/>
        </w:rPr>
        <w:t>c)</w:t>
      </w:r>
      <w:r w:rsidRPr="00F56FDC">
        <w:rPr>
          <w:noProof/>
        </w:rPr>
        <w:tab/>
        <w:t>k podpoře společné vízové politiky s cílem zajistit harmonizovaný přístup, pokud jde o včasné udělování víz, a usnadnit legální cestování, a zároveň předcházet migračním a bezpečnostním rizikům a přispívat k bezpečnosti a řádnému fungování schengenského prostoru.</w:t>
      </w:r>
    </w:p>
    <w:p w14:paraId="6E55EEE9" w14:textId="68EA180C" w:rsidR="00286E0D" w:rsidRPr="00F56FDC" w:rsidRDefault="00286E0D" w:rsidP="00A257BB">
      <w:pPr>
        <w:ind w:left="720"/>
        <w:rPr>
          <w:noProof/>
          <w:szCs w:val="24"/>
        </w:rPr>
      </w:pPr>
      <w:bookmarkStart w:id="18" w:name="_Hlk201962005"/>
      <w:bookmarkEnd w:id="18"/>
      <w:r w:rsidRPr="00F56FDC">
        <w:rPr>
          <w:noProof/>
        </w:rPr>
        <w:t>Podpora Unie se provádí způsobem, který je plně v souladu s cíli stanovenými v nařízení (EU) […], kterým se zřizuje Evropský fond pro hospodářskou, sociální a územní soudržnost, zemědělství a venkovské oblasti, rybolov a námořní záležitosti, prosperitu a bezpečnost.</w:t>
      </w:r>
    </w:p>
    <w:p w14:paraId="71BB4485" w14:textId="5233BD33" w:rsidR="00286E0D" w:rsidRPr="00F56FDC" w:rsidRDefault="003347AC" w:rsidP="003347AC">
      <w:pPr>
        <w:pStyle w:val="ManualNumPar1"/>
        <w:rPr>
          <w:noProof/>
          <w:szCs w:val="24"/>
        </w:rPr>
      </w:pPr>
      <w:r w:rsidRPr="00F56FDC">
        <w:rPr>
          <w:noProof/>
        </w:rPr>
        <w:t>2.</w:t>
      </w:r>
      <w:r w:rsidRPr="00F56FDC">
        <w:rPr>
          <w:noProof/>
        </w:rPr>
        <w:tab/>
        <w:t xml:space="preserve">Podpora Unie se provádí v souladu s příslušným </w:t>
      </w:r>
      <w:r w:rsidRPr="00F56FDC">
        <w:rPr>
          <w:i/>
          <w:iCs/>
          <w:noProof/>
        </w:rPr>
        <w:t>acquis</w:t>
      </w:r>
      <w:r w:rsidRPr="00F56FDC">
        <w:rPr>
          <w:noProof/>
        </w:rPr>
        <w:t xml:space="preserve"> Unie a mezinárodními závazky Unie a členských států, které vyplývají z mezinárodních nástrojů, jichž jsou stranami.</w:t>
      </w:r>
    </w:p>
    <w:p w14:paraId="3840A777" w14:textId="132A20A9" w:rsidR="00286E0D" w:rsidRPr="00F56FDC" w:rsidRDefault="003347AC" w:rsidP="003347AC">
      <w:pPr>
        <w:pStyle w:val="ManualNumPar1"/>
        <w:rPr>
          <w:noProof/>
          <w:szCs w:val="24"/>
        </w:rPr>
      </w:pPr>
      <w:r w:rsidRPr="00F56FDC">
        <w:rPr>
          <w:noProof/>
        </w:rPr>
        <w:t>3.</w:t>
      </w:r>
      <w:r w:rsidRPr="00F56FDC">
        <w:rPr>
          <w:noProof/>
        </w:rPr>
        <w:tab/>
        <w:t>Členské státy zajistí, aby priority jejich plánů národního a regionálního partnerství zahrnovaly opatření k dosažení každého z cílů podpory Unie podle tohoto nařízení a aby rozdělení zdrojů na jednotlivé cíle bylo přiměřené zjištěným výzvám a potřebám.</w:t>
      </w:r>
    </w:p>
    <w:p w14:paraId="23655188" w14:textId="77777777" w:rsidR="00286E0D" w:rsidRPr="00F56FDC" w:rsidRDefault="00286E0D" w:rsidP="00286E0D">
      <w:pPr>
        <w:pStyle w:val="Titrearticle"/>
        <w:rPr>
          <w:noProof/>
        </w:rPr>
      </w:pPr>
      <w:r w:rsidRPr="00F56FDC">
        <w:rPr>
          <w:noProof/>
        </w:rPr>
        <w:t>Článek 4</w:t>
      </w:r>
    </w:p>
    <w:p w14:paraId="00F584F5" w14:textId="77777777" w:rsidR="00286E0D" w:rsidRPr="00F56FDC" w:rsidRDefault="00286E0D" w:rsidP="00286E0D">
      <w:pPr>
        <w:pStyle w:val="Titrearticle"/>
        <w:rPr>
          <w:b/>
          <w:bCs/>
          <w:noProof/>
        </w:rPr>
      </w:pPr>
      <w:r w:rsidRPr="00F56FDC">
        <w:rPr>
          <w:b/>
          <w:noProof/>
        </w:rPr>
        <w:t>Financování</w:t>
      </w:r>
    </w:p>
    <w:p w14:paraId="3C31D26E" w14:textId="6DC7558E" w:rsidR="005507F3" w:rsidRPr="00F56FDC" w:rsidRDefault="003347AC" w:rsidP="003347AC">
      <w:pPr>
        <w:pStyle w:val="ManualNumPar1"/>
        <w:rPr>
          <w:noProof/>
        </w:rPr>
      </w:pPr>
      <w:r w:rsidRPr="00F56FDC">
        <w:rPr>
          <w:noProof/>
        </w:rPr>
        <w:t>1.</w:t>
      </w:r>
      <w:r w:rsidRPr="00F56FDC">
        <w:rPr>
          <w:noProof/>
        </w:rPr>
        <w:tab/>
        <w:t xml:space="preserve">Orientační finanční krytí pro provádění cílů stanovených v článku 3 na období 2028–2034 činí 15 396 750 000 EUR v běžných cenách. Provádí se v souladu s horizontálními pravidly pro plány národního a regionálního partnerství stanovenými v nařízení (EU) […], kterým se zřizuje Evropský fond pro hospodářskou, sociální a územní soudržnost, zemědělství a venkovské oblasti, rybolov a námořní záležitosti, prosperitu a bezpečnost. </w:t>
      </w:r>
    </w:p>
    <w:p w14:paraId="73B43C2B" w14:textId="1F933790" w:rsidR="00623F90" w:rsidRPr="00F56FDC" w:rsidRDefault="003347AC" w:rsidP="003347AC">
      <w:pPr>
        <w:pStyle w:val="ManualNumPar1"/>
        <w:rPr>
          <w:noProof/>
        </w:rPr>
      </w:pPr>
      <w:r w:rsidRPr="00F56FDC">
        <w:rPr>
          <w:noProof/>
        </w:rPr>
        <w:t>2.</w:t>
      </w:r>
      <w:r w:rsidRPr="00F56FDC">
        <w:rPr>
          <w:noProof/>
        </w:rPr>
        <w:tab/>
        <w:t>Komise přijme prováděcí akt, kterým stanoví částky pro jednotlivé členské státy za použití metodiky přidělování stanovené v oddíle B přílohy I nařízení (EU) […], kterým se zřizuje Evropský fond pro hospodářskou, sociální a územní soudržnost, zemědělství a venkovské oblasti, rybolov a námořní záležitosti, prosperitu a bezpečnost.</w:t>
      </w:r>
    </w:p>
    <w:p w14:paraId="5E629589" w14:textId="25F76966" w:rsidR="005507F3" w:rsidRPr="00F56FDC" w:rsidRDefault="003347AC" w:rsidP="003347AC">
      <w:pPr>
        <w:pStyle w:val="ManualNumPar1"/>
        <w:rPr>
          <w:noProof/>
        </w:rPr>
      </w:pPr>
      <w:r w:rsidRPr="00F56FDC">
        <w:rPr>
          <w:noProof/>
        </w:rPr>
        <w:t>3.</w:t>
      </w:r>
      <w:r w:rsidRPr="00F56FDC">
        <w:rPr>
          <w:noProof/>
        </w:rPr>
        <w:tab/>
        <w:t>Kromě toho se v rámci ročního rozpočtového procesu vymezeného v článku 314 Smlouvy o fungování EU stanoví rozpočtové prostředky na cíle stanovené v článku 3 tohoto nařízení, které jsou prováděny prostřednictvím Facility EU podle hlavy IV nařízení (EU) […], kterým se zřizuje Evropský fond pro hospodářskou, sociální a územní soudržnost, zemědělství a venkovské oblasti, rybolov a námořní záležitosti, prosperitu a bezpečnost.</w:t>
      </w:r>
    </w:p>
    <w:p w14:paraId="070F7EDE" w14:textId="013D411B" w:rsidR="005507F3" w:rsidRPr="00F56FDC" w:rsidRDefault="003347AC" w:rsidP="003347AC">
      <w:pPr>
        <w:pStyle w:val="ManualNumPar1"/>
        <w:rPr>
          <w:noProof/>
        </w:rPr>
      </w:pPr>
      <w:r w:rsidRPr="00F56FDC">
        <w:rPr>
          <w:noProof/>
        </w:rPr>
        <w:t>4.</w:t>
      </w:r>
      <w:r w:rsidRPr="00F56FDC">
        <w:rPr>
          <w:noProof/>
        </w:rPr>
        <w:tab/>
        <w:t xml:space="preserve">Pokud Komise dospěje k závěru, že opatření, která se týkají cílů stanovených v článku 3 tohoto nařízení, splňují požadavky tohoto nařízení a nařízení (EU) […], kterým se zřizuje Evropský fond pro hospodářskou, sociální a územní soudržnost, zemědělství a venkovské oblasti, rybolov a námořní záležitosti, prosperitu a bezpečnost, a navrhne-li Komise prováděcí rozhodnutí Rady o schválení plánu národního a regionálního partnerství dotčeného členského státu v souladu s postupem stanoveným v článku 23 nařízení (EU) […], kterým se zřizuje Evropský fond pro hospodářskou, sociální a územní soudržnost, zemědělství a venkovské oblasti, rybolov a námořní záležitosti, prosperitu a bezpečnost, předloží Komise návrh prováděcího rozhodnutí Rady, kterým se tato opatření schvalují. </w:t>
      </w:r>
    </w:p>
    <w:p w14:paraId="6930FE95" w14:textId="12E1F33E" w:rsidR="005507F3" w:rsidRPr="00F56FDC" w:rsidRDefault="003347AC" w:rsidP="003347AC">
      <w:pPr>
        <w:pStyle w:val="ManualNumPar1"/>
        <w:rPr>
          <w:noProof/>
        </w:rPr>
      </w:pPr>
      <w:r w:rsidRPr="00F56FDC">
        <w:rPr>
          <w:noProof/>
        </w:rPr>
        <w:t>5.</w:t>
      </w:r>
      <w:r w:rsidRPr="00F56FDC">
        <w:rPr>
          <w:noProof/>
        </w:rPr>
        <w:tab/>
        <w:t>Při předkládání návrhu prováděcího rozhodnutí Rady o opatřeních, která se týkají cílů stanovených v článku 3 tohoto nařízení, stanoví Komise v návrhu prvky uvedené v čl. 23 odst. 4 nařízení (EU) […], kterým se zřizuje Evropský fond pro hospodářskou, sociální a územní soudržnost, zemědělství a venkovské oblasti, rybolov a námořní záležitosti, prosperitu a bezpečnost, s ohledem na cíle stanovené v článku 3.</w:t>
      </w:r>
    </w:p>
    <w:p w14:paraId="1388C5B4" w14:textId="5EDB01D3" w:rsidR="00596698" w:rsidRPr="00F56FDC" w:rsidRDefault="003347AC" w:rsidP="003347AC">
      <w:pPr>
        <w:pStyle w:val="ManualNumPar1"/>
        <w:rPr>
          <w:noProof/>
        </w:rPr>
      </w:pPr>
      <w:r w:rsidRPr="00F56FDC">
        <w:rPr>
          <w:noProof/>
        </w:rPr>
        <w:t>6.</w:t>
      </w:r>
      <w:r w:rsidRPr="00F56FDC">
        <w:rPr>
          <w:noProof/>
        </w:rPr>
        <w:tab/>
        <w:t>Rada přijme prováděcí rozhodnutí uvedené v odstavci 4 zpravidla do čtyř týdnů od přijetí návrhu Komise a společně s prováděcími rozhodnutími uvedenými v čl. 23 odst. 1 [</w:t>
      </w:r>
      <w:r w:rsidRPr="00F56FDC">
        <w:rPr>
          <w:i/>
          <w:iCs/>
          <w:noProof/>
        </w:rPr>
        <w:t>návrhu Komise a prováděcího rozhodnutí Rady</w:t>
      </w:r>
      <w:r w:rsidRPr="00F56FDC">
        <w:rPr>
          <w:noProof/>
        </w:rPr>
        <w:t>] nařízení (EU) […], kterým se zřizuje Evropský fond pro hospodářskou, sociální a územní soudržnost, zemědělství a venkovské oblasti, rybolov a námořní záležitosti, prosperitu a bezpečnost.</w:t>
      </w:r>
    </w:p>
    <w:p w14:paraId="256B33DF" w14:textId="0BE8C5E2" w:rsidR="00623F90" w:rsidRPr="00F56FDC" w:rsidRDefault="003347AC" w:rsidP="003347AC">
      <w:pPr>
        <w:pStyle w:val="ManualNumPar1"/>
        <w:rPr>
          <w:noProof/>
        </w:rPr>
      </w:pPr>
      <w:r w:rsidRPr="00F56FDC">
        <w:rPr>
          <w:noProof/>
        </w:rPr>
        <w:t>7.</w:t>
      </w:r>
      <w:r w:rsidRPr="00F56FDC">
        <w:rPr>
          <w:noProof/>
        </w:rPr>
        <w:tab/>
        <w:t>Článek 24 nařízení (EU) […], kterým se zřizuje Evropský fond pro hospodářskou, sociální a územní soudržnost, zemědělství a venkovské oblasti, rybolov a námořní záležitosti, prosperitu a bezpečnost, týkající se změny plánů se použije za předpokladu, že návrh Komise a prováděcí rozhodnutí Rady, kterými se schvalují změny prvků uvedených v čl. 23 odst. 4, se vztahují pouze na cíle uvedené v článku 3 tohoto nařízení.</w:t>
      </w:r>
    </w:p>
    <w:p w14:paraId="51868DA9" w14:textId="77777777" w:rsidR="00596698" w:rsidRPr="00F56FDC" w:rsidRDefault="00596698" w:rsidP="00596698">
      <w:pPr>
        <w:pStyle w:val="Titrearticle"/>
        <w:rPr>
          <w:noProof/>
        </w:rPr>
      </w:pPr>
      <w:r w:rsidRPr="00F56FDC">
        <w:rPr>
          <w:noProof/>
        </w:rPr>
        <w:t xml:space="preserve">Článek 5 </w:t>
      </w:r>
    </w:p>
    <w:p w14:paraId="31F56137" w14:textId="0DDFC603" w:rsidR="00596698" w:rsidRPr="00F56FDC" w:rsidRDefault="00596698" w:rsidP="00596698">
      <w:pPr>
        <w:pStyle w:val="Titrearticle"/>
        <w:rPr>
          <w:noProof/>
          <w:szCs w:val="24"/>
        </w:rPr>
      </w:pPr>
      <w:r w:rsidRPr="00F56FDC">
        <w:rPr>
          <w:b/>
          <w:noProof/>
        </w:rPr>
        <w:t>Státy přidružené k Schengenu</w:t>
      </w:r>
    </w:p>
    <w:p w14:paraId="5F98EE1A" w14:textId="4DD41066" w:rsidR="00286E0D" w:rsidRPr="00F56FDC" w:rsidRDefault="00596698" w:rsidP="00287E8A">
      <w:pPr>
        <w:pStyle w:val="Text1"/>
        <w:ind w:left="0"/>
        <w:rPr>
          <w:rStyle w:val="eop"/>
          <w:rFonts w:eastAsiaTheme="majorEastAsia"/>
          <w:noProof/>
        </w:rPr>
      </w:pPr>
      <w:r w:rsidRPr="00F56FDC">
        <w:rPr>
          <w:noProof/>
        </w:rPr>
        <w:t xml:space="preserve">V souladu s příslušnými ustanoveními jednotlivých dohod o přidružení budou vypracována ujednání, která určí povahu a způsoby účasti zemí přidružených k provádění, uplatňování a rozvoji schengenského </w:t>
      </w:r>
      <w:r w:rsidRPr="00F56FDC">
        <w:rPr>
          <w:i/>
          <w:iCs/>
          <w:noProof/>
        </w:rPr>
        <w:t>acquis</w:t>
      </w:r>
      <w:r w:rsidRPr="00F56FDC">
        <w:rPr>
          <w:noProof/>
        </w:rPr>
        <w:t xml:space="preserve"> na podpoře Unie. Co nejdříve poté, co dotčená země v souladu s příslušnou dohodou o přidružení oznámí své rozhodnutí přijmout obsah podpory Unie a provést ho ve svém vnitrostátním právním řádu, předloží Komise Radě doporučení k zahájení jednání o těchto ujednáních podle čl. 218 odst. 3 Smlouvy o fungování EU. Rada neprodleně po obdržení doporučení rozhodne o zmocnění k zahájení těchto jednání. Finanční příspěvky od těchto zemí se připočtou k celkovým zdrojům dostupným z finančního krytí podle článku 4.</w:t>
      </w:r>
    </w:p>
    <w:p w14:paraId="08F346E5" w14:textId="15F26995" w:rsidR="00286E0D" w:rsidRPr="00F56FDC" w:rsidRDefault="00286E0D" w:rsidP="007D3199">
      <w:pPr>
        <w:pStyle w:val="Titrearticle"/>
        <w:rPr>
          <w:noProof/>
        </w:rPr>
      </w:pPr>
      <w:r w:rsidRPr="00F56FDC">
        <w:rPr>
          <w:noProof/>
        </w:rPr>
        <w:t>Článek 6</w:t>
      </w:r>
    </w:p>
    <w:p w14:paraId="77F384CC" w14:textId="77777777" w:rsidR="00286E0D" w:rsidRPr="00F56FDC" w:rsidRDefault="00286E0D" w:rsidP="00286E0D">
      <w:pPr>
        <w:pStyle w:val="Titrearticle"/>
        <w:rPr>
          <w:b/>
          <w:bCs/>
          <w:noProof/>
          <w:szCs w:val="24"/>
        </w:rPr>
      </w:pPr>
      <w:bookmarkStart w:id="19" w:name="_Hlk195020056"/>
      <w:r w:rsidRPr="00F56FDC">
        <w:rPr>
          <w:b/>
          <w:noProof/>
        </w:rPr>
        <w:t>Podpora pro zvláštní režim průjezdu</w:t>
      </w:r>
    </w:p>
    <w:p w14:paraId="543A7C7F" w14:textId="3CC5D0D1" w:rsidR="00286E0D" w:rsidRPr="00F56FDC" w:rsidRDefault="003347AC" w:rsidP="003347AC">
      <w:pPr>
        <w:pStyle w:val="ManualNumPar1"/>
        <w:rPr>
          <w:noProof/>
        </w:rPr>
      </w:pPr>
      <w:r w:rsidRPr="00F56FDC">
        <w:rPr>
          <w:noProof/>
        </w:rPr>
        <w:t>1.</w:t>
      </w:r>
      <w:r w:rsidRPr="00F56FDC">
        <w:rPr>
          <w:noProof/>
        </w:rPr>
        <w:tab/>
        <w:t>Na litevský plán národního a regionálního partnerství se podle nařízení (EU) […], kterým se zřizuje Evropský fond pro hospodářskou, sociální a územní soudržnost, zemědělství a venkovské oblasti, rybolov a námořní záležitosti, prosperitu a bezpečnost, přiděluje částka až do výše 450 000 000 EUR s cílem poskytnout podporu na ušlý příjem v důsledku vyřizování krátkodobých víz a na dodatečné náklady na provádění režimu dokladu k usnadnění průjezdu (FTD) a dokladu k usnadnění průjezdu po železnici (FRTD) v souladu s nařízením Rady (ES) č. 693/2003 a nařízením (ES) č. 694/2003 ve znění nařízení Evropského parlamentu a Rady (EU) 2023/2667.</w:t>
      </w:r>
    </w:p>
    <w:p w14:paraId="62C6EDAD" w14:textId="16EDD309" w:rsidR="00286E0D" w:rsidRPr="00F56FDC" w:rsidRDefault="003347AC" w:rsidP="003347AC">
      <w:pPr>
        <w:pStyle w:val="ManualNumPar1"/>
        <w:rPr>
          <w:noProof/>
        </w:rPr>
      </w:pPr>
      <w:r w:rsidRPr="00F56FDC">
        <w:rPr>
          <w:noProof/>
        </w:rPr>
        <w:t>2.</w:t>
      </w:r>
      <w:r w:rsidRPr="00F56FDC">
        <w:rPr>
          <w:noProof/>
        </w:rPr>
        <w:tab/>
        <w:t xml:space="preserve">Pro účely odstavce 1 je podpora Unie na ušlý příjem založena na vydávání dokladů k usnadnění průjezdu (FTD) a dokladů k usnadnění průjezdu po železnici (FRTD). Strop podpory je stanoven na 100 000 000 EUR. </w:t>
      </w:r>
    </w:p>
    <w:p w14:paraId="0498E203" w14:textId="70EB88D9" w:rsidR="00286E0D" w:rsidRPr="00F56FDC" w:rsidRDefault="003347AC" w:rsidP="003347AC">
      <w:pPr>
        <w:pStyle w:val="ManualNumPar1"/>
        <w:rPr>
          <w:noProof/>
        </w:rPr>
      </w:pPr>
      <w:r w:rsidRPr="00F56FDC">
        <w:rPr>
          <w:noProof/>
        </w:rPr>
        <w:t>3.</w:t>
      </w:r>
      <w:r w:rsidRPr="00F56FDC">
        <w:rPr>
          <w:noProof/>
        </w:rPr>
        <w:tab/>
        <w:t>Pro účely odstavce 1 se podpora Unie vztahuje na dodatečné odhadované náklady, které přímo vyplývají ze specifických požadavků na provádění operací v rámci zvláštního režimu průjezdu a které nevznikly v důsledku udělování víz podle nařízení Evropského parlamentu a Rady (ES) č. 810/2009</w:t>
      </w:r>
      <w:r w:rsidRPr="00F56FDC">
        <w:rPr>
          <w:rStyle w:val="FootnoteReference"/>
          <w:noProof/>
        </w:rPr>
        <w:footnoteReference w:id="26"/>
      </w:r>
      <w:r w:rsidRPr="00F56FDC">
        <w:rPr>
          <w:noProof/>
        </w:rPr>
        <w:t>.</w:t>
      </w:r>
    </w:p>
    <w:p w14:paraId="78235099" w14:textId="79CB3179" w:rsidR="00286E0D" w:rsidRPr="00F56FDC" w:rsidRDefault="00286E0D" w:rsidP="006B174B">
      <w:pPr>
        <w:ind w:left="850"/>
        <w:rPr>
          <w:noProof/>
          <w:color w:val="000000"/>
          <w:szCs w:val="24"/>
        </w:rPr>
      </w:pPr>
      <w:r w:rsidRPr="00F56FDC">
        <w:rPr>
          <w:noProof/>
          <w:color w:val="000000"/>
        </w:rPr>
        <w:t>Maximální příspěvek z rozpočtu Unie činí 100 % celkových odhadovaných nákladů. Strop této podpory je stanoven na 350 000 000 EUR.</w:t>
      </w:r>
    </w:p>
    <w:p w14:paraId="7DD7F0AB" w14:textId="77777777" w:rsidR="00286E0D" w:rsidRPr="00F56FDC" w:rsidRDefault="00286E0D" w:rsidP="006B174B">
      <w:pPr>
        <w:ind w:left="346" w:firstLine="504"/>
        <w:rPr>
          <w:noProof/>
          <w:szCs w:val="24"/>
        </w:rPr>
      </w:pPr>
      <w:r w:rsidRPr="00F56FDC">
        <w:rPr>
          <w:noProof/>
          <w:color w:val="000000"/>
        </w:rPr>
        <w:t xml:space="preserve">Dodatečné odhadované náklady zahrnují zejména: </w:t>
      </w:r>
    </w:p>
    <w:p w14:paraId="6038D052" w14:textId="77777777" w:rsidR="00286E0D" w:rsidRPr="00F56FDC" w:rsidRDefault="00286E0D" w:rsidP="006A2F81">
      <w:pPr>
        <w:pStyle w:val="ListNumber"/>
        <w:numPr>
          <w:ilvl w:val="0"/>
          <w:numId w:val="17"/>
        </w:numPr>
        <w:ind w:left="1094" w:hanging="357"/>
        <w:rPr>
          <w:rFonts w:eastAsia="Aptos"/>
          <w:noProof/>
          <w:color w:val="000000"/>
          <w:kern w:val="2"/>
          <w:szCs w:val="24"/>
        </w:rPr>
      </w:pPr>
      <w:r w:rsidRPr="00F56FDC">
        <w:rPr>
          <w:noProof/>
        </w:rPr>
        <w:t>investice do infrastruktury, dopravních prostředků a systémů a vybavení IKT nezbytných pro provádění operací v rámci zvláštního režimu průjezdu;</w:t>
      </w:r>
    </w:p>
    <w:p w14:paraId="7E9CD1E5" w14:textId="77777777" w:rsidR="00286E0D" w:rsidRPr="00F56FDC" w:rsidRDefault="00286E0D" w:rsidP="006A2F81">
      <w:pPr>
        <w:pStyle w:val="ListNumber"/>
        <w:numPr>
          <w:ilvl w:val="0"/>
          <w:numId w:val="17"/>
        </w:numPr>
        <w:ind w:left="1094" w:hanging="357"/>
        <w:rPr>
          <w:rFonts w:eastAsia="Aptos"/>
          <w:noProof/>
          <w:kern w:val="2"/>
          <w:szCs w:val="24"/>
        </w:rPr>
      </w:pPr>
      <w:r w:rsidRPr="00F56FDC">
        <w:rPr>
          <w:noProof/>
        </w:rPr>
        <w:t>odbornou přípravu zaměstnanců provádějících zvláštní režim průjezdu;</w:t>
      </w:r>
    </w:p>
    <w:p w14:paraId="612D44E9" w14:textId="77777777" w:rsidR="00286E0D" w:rsidRPr="00F56FDC" w:rsidRDefault="00286E0D" w:rsidP="006A2F81">
      <w:pPr>
        <w:pStyle w:val="ListNumber"/>
        <w:numPr>
          <w:ilvl w:val="0"/>
          <w:numId w:val="17"/>
        </w:numPr>
        <w:ind w:left="1094" w:hanging="357"/>
        <w:rPr>
          <w:rFonts w:eastAsia="Aptos"/>
          <w:noProof/>
          <w:kern w:val="2"/>
          <w:szCs w:val="24"/>
        </w:rPr>
      </w:pPr>
      <w:r w:rsidRPr="00F56FDC">
        <w:rPr>
          <w:noProof/>
        </w:rPr>
        <w:t xml:space="preserve">dodatečné provozní náklady, včetně nákladů na zaměstnance v souvislosti s prováděním zvláštního režimu průjezdu. </w:t>
      </w:r>
    </w:p>
    <w:p w14:paraId="20B98F44" w14:textId="04D816B3" w:rsidR="00286E0D" w:rsidRPr="00F56FDC" w:rsidRDefault="003347AC" w:rsidP="003347AC">
      <w:pPr>
        <w:pStyle w:val="ManualNumPar1"/>
        <w:rPr>
          <w:noProof/>
        </w:rPr>
      </w:pPr>
      <w:r w:rsidRPr="00F56FDC">
        <w:rPr>
          <w:noProof/>
        </w:rPr>
        <w:t>4.</w:t>
      </w:r>
      <w:r w:rsidRPr="00F56FDC">
        <w:rPr>
          <w:noProof/>
        </w:rPr>
        <w:tab/>
        <w:t>Komise a Litva přezkoumají použití tohoto článku v případě nepředvídaných okolností, které mají dopad na existenci nebo fungování zvláštního režimu průjezdu.</w:t>
      </w:r>
    </w:p>
    <w:p w14:paraId="09B9D768" w14:textId="20E1787D" w:rsidR="00286E0D" w:rsidRPr="00F56FDC" w:rsidRDefault="003347AC" w:rsidP="003347AC">
      <w:pPr>
        <w:pStyle w:val="ManualNumPar1"/>
        <w:rPr>
          <w:noProof/>
        </w:rPr>
      </w:pPr>
      <w:r w:rsidRPr="00F56FDC">
        <w:rPr>
          <w:noProof/>
        </w:rPr>
        <w:t>5.</w:t>
      </w:r>
      <w:r w:rsidRPr="00F56FDC">
        <w:rPr>
          <w:noProof/>
        </w:rPr>
        <w:tab/>
        <w:t xml:space="preserve">Částky uvedené v odstavcích 2 a 3 jsou přiděleny na litevský plán národního a regionálního partnerství. Tyto částky se nepoužijí na jiná opatření plánu, s výjimkou řádně odůvodněných okolností, kdy to schválí Komise prostřednictvím změny tohoto plánu v souladu s článkem 24 nařízení (EU) […], kterým se zřizuje Evropský fond pro hospodářskou, sociální a územní soudržnost, zemědělství a venkovské oblasti, rybolov a námořní záležitosti, prosperitu a bezpečnost. </w:t>
      </w:r>
    </w:p>
    <w:p w14:paraId="398970FF" w14:textId="10C76A9D" w:rsidR="00286E0D" w:rsidRPr="00F56FDC" w:rsidRDefault="00286E0D" w:rsidP="0042042F">
      <w:pPr>
        <w:rPr>
          <w:noProof/>
        </w:rPr>
      </w:pPr>
      <w:r w:rsidRPr="00F56FDC">
        <w:rPr>
          <w:noProof/>
        </w:rPr>
        <w:t>Na základě odůvodněné žádosti Litvy může být částka uvedená v odstavci 3 přezkoumána a v případě potřeby upravena před přijetím posledního pracovního programu podle článku 31 nařízení (EU) […], kterým se zřizuje Evropský fond pro hospodářskou, sociální a územní soudržnost, zemědělství a venkovské oblasti, rybolov a námořní záležitosti, prosperitu a bezpečnost. Veškeré dodatečné částky budou přiděleny na litevský plán národního a regionálního partnerství v souladu s čl. 31 odst. 7 nařízení (EU) […], kterým se zřizuje Evropský fond pro hospodářskou, sociální a územní soudržnost, zemědělství a venkovské oblasti, rybolov a námořní záležitosti, prosperitu a bezpečnost.</w:t>
      </w:r>
    </w:p>
    <w:bookmarkEnd w:id="19"/>
    <w:p w14:paraId="68C0B3A9" w14:textId="13E23B66" w:rsidR="00286E0D" w:rsidRPr="00F56FDC" w:rsidRDefault="00286E0D" w:rsidP="00286E0D">
      <w:pPr>
        <w:pStyle w:val="Titrearticle"/>
        <w:rPr>
          <w:noProof/>
        </w:rPr>
      </w:pPr>
      <w:r w:rsidRPr="00F56FDC">
        <w:rPr>
          <w:noProof/>
        </w:rPr>
        <w:t>Článek 7</w:t>
      </w:r>
    </w:p>
    <w:p w14:paraId="43B9501B" w14:textId="77777777" w:rsidR="00286E0D" w:rsidRPr="00F56FDC" w:rsidRDefault="00286E0D" w:rsidP="00286E0D">
      <w:pPr>
        <w:pStyle w:val="Titrearticle"/>
        <w:rPr>
          <w:b/>
          <w:bCs/>
          <w:noProof/>
        </w:rPr>
      </w:pPr>
      <w:r w:rsidRPr="00F56FDC">
        <w:rPr>
          <w:b/>
          <w:noProof/>
        </w:rPr>
        <w:t>Zdroje určené na provozní náklady Evropského systému pro cestovní informace a povolení (ETIAS)</w:t>
      </w:r>
    </w:p>
    <w:p w14:paraId="3743035C" w14:textId="03E26FA3" w:rsidR="00286E0D" w:rsidRPr="00F56FDC" w:rsidRDefault="003347AC" w:rsidP="003347AC">
      <w:pPr>
        <w:pStyle w:val="ManualNumPar1"/>
        <w:rPr>
          <w:noProof/>
        </w:rPr>
      </w:pPr>
      <w:r w:rsidRPr="00F56FDC">
        <w:rPr>
          <w:noProof/>
        </w:rPr>
        <w:t>1.</w:t>
      </w:r>
      <w:r w:rsidRPr="00F56FDC">
        <w:rPr>
          <w:noProof/>
        </w:rPr>
        <w:tab/>
        <w:t xml:space="preserve">Každý členský stát zavede účinný a spolehlivý systém, který zajistí, aby provozní náklady vzniklé tomuto členskému státu podle čl. 85 odst. 2 a 3 nařízení (EU) 2018/1240 byly odpovídajícím způsobem identifikovány a zaznamenány. Do 31. ledna každého roku a poprvé do 31. ledna 2029 sdělí členské státy Komisi celkové provozní náklady vzniklé za předchozí rok. </w:t>
      </w:r>
    </w:p>
    <w:p w14:paraId="20E4BB50" w14:textId="727B6BC6" w:rsidR="00F0474E" w:rsidRPr="00F56FDC" w:rsidRDefault="003347AC" w:rsidP="003347AC">
      <w:pPr>
        <w:pStyle w:val="ManualNumPar1"/>
        <w:rPr>
          <w:noProof/>
        </w:rPr>
      </w:pPr>
      <w:r w:rsidRPr="00F56FDC">
        <w:rPr>
          <w:noProof/>
        </w:rPr>
        <w:t>2.</w:t>
      </w:r>
      <w:r w:rsidRPr="00F56FDC">
        <w:rPr>
          <w:noProof/>
        </w:rPr>
        <w:tab/>
        <w:t xml:space="preserve">Na základě informací sdělených členskými státy v souladu s odstavcem 1 stanoví Komise výši příjmů plynoucích z poplatků ETIAS, které mají být přiděleny v souladu s čl. 86 druhou větou nařízení (EU) 2018/1240 na pokrytí provozních nákladů vzniklých členským státům. Komise poskytne každému členskému státu jeho příslušný podíl na této částce. </w:t>
      </w:r>
    </w:p>
    <w:p w14:paraId="55C50CF3" w14:textId="560E024F" w:rsidR="00286E0D" w:rsidRPr="00F56FDC" w:rsidRDefault="003347AC" w:rsidP="003347AC">
      <w:pPr>
        <w:pStyle w:val="ManualNumPar1"/>
        <w:rPr>
          <w:noProof/>
        </w:rPr>
      </w:pPr>
      <w:r w:rsidRPr="00F56FDC">
        <w:rPr>
          <w:noProof/>
        </w:rPr>
        <w:t>3.</w:t>
      </w:r>
      <w:r w:rsidRPr="00F56FDC">
        <w:rPr>
          <w:noProof/>
        </w:rPr>
        <w:tab/>
        <w:t>Pokud výše celkových provozních nákladů sdělená členskými státy podle odstavce 1 překročí dostupné příjmy z ETIAS nebo pokud výše výdajů vynaložených na přizpůsobení a automatizaci hraničních kontrol za účelem provádění ETIAS překročí limity stanovené v čl. 85 odst. 3 nařízení (EU) 2018/1240, vypočítá Komise poměrné snížení těchto částek.</w:t>
      </w:r>
    </w:p>
    <w:p w14:paraId="038E99C1" w14:textId="18ECF8B5" w:rsidR="00DD664E" w:rsidRPr="00F56FDC" w:rsidRDefault="003347AC" w:rsidP="003347AC">
      <w:pPr>
        <w:pStyle w:val="ManualNumPar1"/>
        <w:rPr>
          <w:noProof/>
        </w:rPr>
      </w:pPr>
      <w:bookmarkStart w:id="20" w:name="_Hlk202881652"/>
      <w:r w:rsidRPr="00F56FDC">
        <w:rPr>
          <w:noProof/>
        </w:rPr>
        <w:t>4.</w:t>
      </w:r>
      <w:r w:rsidRPr="00F56FDC">
        <w:rPr>
          <w:noProof/>
        </w:rPr>
        <w:tab/>
        <w:t>Pokud výše celkových provozních nákladů v daném roce překročí dostupné příjmy z ETIAS, Komise následně poskytne členským státům částku odpovídající poměrnému snížení jejich celkových provozních nákladů z příjmů plynoucích z poplatků ETIAS.</w:t>
      </w:r>
    </w:p>
    <w:bookmarkEnd w:id="20"/>
    <w:p w14:paraId="10AD3292" w14:textId="060D27B2" w:rsidR="00286E0D" w:rsidRPr="00F56FDC" w:rsidRDefault="00286E0D" w:rsidP="00286E0D">
      <w:pPr>
        <w:pStyle w:val="Titrearticle"/>
        <w:rPr>
          <w:noProof/>
          <w:szCs w:val="24"/>
        </w:rPr>
      </w:pPr>
      <w:r w:rsidRPr="00F56FDC">
        <w:rPr>
          <w:noProof/>
        </w:rPr>
        <w:t>Článek 8</w:t>
      </w:r>
    </w:p>
    <w:p w14:paraId="5F79BA04" w14:textId="77777777" w:rsidR="00286E0D" w:rsidRPr="00F56FDC" w:rsidRDefault="006866F6" w:rsidP="00286E0D">
      <w:pPr>
        <w:pStyle w:val="Titrearticle"/>
        <w:rPr>
          <w:noProof/>
          <w:szCs w:val="24"/>
        </w:rPr>
      </w:pPr>
      <w:r w:rsidRPr="00F56FDC">
        <w:rPr>
          <w:b/>
          <w:noProof/>
        </w:rPr>
        <w:t>Finanční příspěvky do ročního rezervoáru solidarity</w:t>
      </w:r>
    </w:p>
    <w:p w14:paraId="0E0DC514" w14:textId="07076A59" w:rsidR="00286E0D" w:rsidRPr="00F56FDC" w:rsidRDefault="006866F6" w:rsidP="00653241">
      <w:pPr>
        <w:rPr>
          <w:noProof/>
          <w:szCs w:val="24"/>
        </w:rPr>
      </w:pPr>
      <w:r w:rsidRPr="00F56FDC">
        <w:rPr>
          <w:noProof/>
        </w:rPr>
        <w:t>Komise vypočítá a zpřístupní každému členskému státu, který využívá pomoci, příslušný podíl finančních příspěvků převedených přispívajícími členskými státy v souladu s čl. 64 odst. 1 nařízení (EU) 2024/1351 pro účely provádění akcí stanovených v čl. 56 odst. 2 písm. b) nařízení (EU) 2024/1351.</w:t>
      </w:r>
    </w:p>
    <w:p w14:paraId="414E4803" w14:textId="2814B288" w:rsidR="00286E0D" w:rsidRPr="00F56FDC" w:rsidRDefault="00286E0D" w:rsidP="00286E0D">
      <w:pPr>
        <w:pStyle w:val="Titrearticle"/>
        <w:rPr>
          <w:noProof/>
        </w:rPr>
      </w:pPr>
      <w:r w:rsidRPr="00F56FDC">
        <w:rPr>
          <w:noProof/>
        </w:rPr>
        <w:t xml:space="preserve">Článek 9 </w:t>
      </w:r>
    </w:p>
    <w:p w14:paraId="732D7A52" w14:textId="77777777" w:rsidR="00286E0D" w:rsidRPr="00F56FDC" w:rsidRDefault="00286E0D" w:rsidP="00286E0D">
      <w:pPr>
        <w:pStyle w:val="Titrearticle"/>
        <w:rPr>
          <w:i w:val="0"/>
          <w:noProof/>
        </w:rPr>
      </w:pPr>
      <w:r w:rsidRPr="00F56FDC">
        <w:rPr>
          <w:b/>
          <w:noProof/>
        </w:rPr>
        <w:t>Přechodná ustanovení</w:t>
      </w:r>
    </w:p>
    <w:p w14:paraId="32BA96D3" w14:textId="6427F63E" w:rsidR="00286E0D" w:rsidRPr="00F56FDC" w:rsidRDefault="00631DBC" w:rsidP="00A257BB">
      <w:pPr>
        <w:rPr>
          <w:noProof/>
        </w:rPr>
      </w:pPr>
      <w:r w:rsidRPr="00F56FDC">
        <w:rPr>
          <w:noProof/>
        </w:rPr>
        <w:t>Tímto nařízením není dotčeno pokračování ani změna akcí zahájených podle nařízení (EU) 2021/1148, které se na příslušné akce použije až do jejich ukončení.</w:t>
      </w:r>
    </w:p>
    <w:p w14:paraId="3B38DA05" w14:textId="09D4A97E" w:rsidR="00286E0D" w:rsidRPr="00F56FDC" w:rsidRDefault="00286E0D" w:rsidP="00286E0D">
      <w:pPr>
        <w:pStyle w:val="Titrearticle"/>
        <w:rPr>
          <w:noProof/>
        </w:rPr>
      </w:pPr>
      <w:r w:rsidRPr="00F56FDC">
        <w:rPr>
          <w:noProof/>
        </w:rPr>
        <w:t>Článek 10</w:t>
      </w:r>
    </w:p>
    <w:p w14:paraId="0F10C298" w14:textId="77777777" w:rsidR="00286E0D" w:rsidRPr="00F56FDC" w:rsidRDefault="00286E0D" w:rsidP="00286E0D">
      <w:pPr>
        <w:pStyle w:val="Titrearticle"/>
        <w:rPr>
          <w:b/>
          <w:bCs/>
          <w:noProof/>
        </w:rPr>
      </w:pPr>
      <w:r w:rsidRPr="00F56FDC">
        <w:rPr>
          <w:b/>
          <w:noProof/>
        </w:rPr>
        <w:t>Vstup v platnost a použitelnost</w:t>
      </w:r>
    </w:p>
    <w:p w14:paraId="1105ED5B" w14:textId="77777777" w:rsidR="00286E0D" w:rsidRPr="00F56FDC" w:rsidRDefault="00286E0D" w:rsidP="00286E0D">
      <w:pPr>
        <w:rPr>
          <w:noProof/>
          <w:szCs w:val="24"/>
        </w:rPr>
      </w:pPr>
      <w:r w:rsidRPr="00F56FDC">
        <w:rPr>
          <w:noProof/>
        </w:rPr>
        <w:t xml:space="preserve">Toto nařízení vstupuje v platnost [dvacátým] dnem po vyhlášení v </w:t>
      </w:r>
      <w:r w:rsidRPr="00F56FDC">
        <w:rPr>
          <w:i/>
          <w:iCs/>
          <w:noProof/>
        </w:rPr>
        <w:t>Úředním věstníku Evropské unie</w:t>
      </w:r>
      <w:r w:rsidRPr="00F56FDC">
        <w:rPr>
          <w:noProof/>
        </w:rPr>
        <w:t>.</w:t>
      </w:r>
    </w:p>
    <w:p w14:paraId="2B6F6F03" w14:textId="6A003581" w:rsidR="00286E0D" w:rsidRPr="00F56FDC" w:rsidRDefault="00286E0D" w:rsidP="00A257BB">
      <w:pPr>
        <w:rPr>
          <w:noProof/>
        </w:rPr>
      </w:pPr>
      <w:r w:rsidRPr="00F56FDC">
        <w:rPr>
          <w:noProof/>
        </w:rPr>
        <w:t>Použije se ode dne použitelnosti nařízení (EU) […], kterým se zřizuje Evropský fond pro hospodářskou, sociální a územní soudržnost, zemědělství a venkovské oblasti, rybolov a námořní záležitosti, prosperitu a bezpečnost na období 2028–2034.</w:t>
      </w:r>
    </w:p>
    <w:p w14:paraId="6D028D58" w14:textId="77777777" w:rsidR="00286E0D" w:rsidRPr="00F56FDC" w:rsidRDefault="00286E0D" w:rsidP="00286E0D">
      <w:pPr>
        <w:pStyle w:val="Applicationdirecte"/>
        <w:spacing w:before="120"/>
        <w:rPr>
          <w:noProof/>
          <w:szCs w:val="24"/>
        </w:rPr>
      </w:pPr>
      <w:r w:rsidRPr="00F56FDC">
        <w:rPr>
          <w:noProof/>
        </w:rPr>
        <w:t>Toto nařízení je závazné v celém rozsahu a přímo použitelné v členských státech v souladu se Smlouvami.</w:t>
      </w:r>
    </w:p>
    <w:p w14:paraId="15F55F35" w14:textId="18762079" w:rsidR="00286E0D" w:rsidRPr="00F56FDC" w:rsidRDefault="00F56FDC" w:rsidP="00850815">
      <w:pPr>
        <w:pStyle w:val="Fait"/>
        <w:rPr>
          <w:noProof/>
        </w:rPr>
      </w:pPr>
      <w:r>
        <w:rPr>
          <w:noProof/>
        </w:rPr>
        <w:t>V Bruselu dne</w:t>
      </w:r>
    </w:p>
    <w:p w14:paraId="50B73B1B" w14:textId="77777777" w:rsidR="00363133" w:rsidRPr="00F56FDC" w:rsidRDefault="00363133" w:rsidP="00850815">
      <w:pPr>
        <w:pStyle w:val="Institutionquisigne"/>
        <w:rPr>
          <w:noProof/>
        </w:rPr>
      </w:pPr>
      <w:r w:rsidRPr="00F56FDC">
        <w:rPr>
          <w:noProof/>
        </w:rPr>
        <w:t>Za Evropský parlament</w:t>
      </w:r>
      <w:r w:rsidRPr="00F56FDC">
        <w:rPr>
          <w:noProof/>
        </w:rPr>
        <w:tab/>
        <w:t>Za Radu</w:t>
      </w:r>
    </w:p>
    <w:p w14:paraId="20635673" w14:textId="77777777" w:rsidR="00363133" w:rsidRPr="00F56FDC" w:rsidRDefault="00363133" w:rsidP="00363133">
      <w:pPr>
        <w:pStyle w:val="Personnequisigne"/>
        <w:rPr>
          <w:noProof/>
        </w:rPr>
      </w:pPr>
      <w:r w:rsidRPr="00F56FDC">
        <w:rPr>
          <w:noProof/>
        </w:rPr>
        <w:t>předseda/předsedkyně</w:t>
      </w:r>
      <w:r w:rsidRPr="00F56FDC">
        <w:rPr>
          <w:noProof/>
        </w:rPr>
        <w:tab/>
        <w:t>předseda/předsedkyně</w:t>
      </w:r>
    </w:p>
    <w:sectPr w:rsidR="00363133" w:rsidRPr="00F56FDC" w:rsidSect="00713C3F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9A93" w14:textId="77777777" w:rsidR="0045264C" w:rsidRDefault="0045264C" w:rsidP="00286E0D">
      <w:pPr>
        <w:spacing w:before="0" w:after="0"/>
      </w:pPr>
      <w:r>
        <w:separator/>
      </w:r>
    </w:p>
  </w:endnote>
  <w:endnote w:type="continuationSeparator" w:id="0">
    <w:p w14:paraId="08BEDAFF" w14:textId="77777777" w:rsidR="0045264C" w:rsidRDefault="0045264C" w:rsidP="00286E0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13771" w14:textId="2E2353A0" w:rsidR="00713C3F" w:rsidRPr="00713C3F" w:rsidRDefault="00713C3F" w:rsidP="00713C3F">
    <w:pPr>
      <w:pStyle w:val="Footer"/>
      <w:rPr>
        <w:rFonts w:ascii="Arial" w:hAnsi="Arial" w:cs="Arial"/>
        <w:b/>
        <w:sz w:val="48"/>
      </w:rPr>
    </w:pPr>
    <w:r w:rsidRPr="00713C3F">
      <w:rPr>
        <w:rFonts w:ascii="Arial" w:hAnsi="Arial" w:cs="Arial"/>
        <w:b/>
        <w:sz w:val="48"/>
      </w:rPr>
      <w:t>CS</w:t>
    </w:r>
    <w:r w:rsidRPr="00713C3F">
      <w:rPr>
        <w:rFonts w:ascii="Arial" w:hAnsi="Arial" w:cs="Arial"/>
        <w:b/>
        <w:sz w:val="48"/>
      </w:rPr>
      <w:tab/>
    </w:r>
    <w:r w:rsidRPr="00713C3F">
      <w:rPr>
        <w:rFonts w:ascii="Arial" w:hAnsi="Arial" w:cs="Arial"/>
        <w:b/>
        <w:sz w:val="48"/>
      </w:rPr>
      <w:tab/>
    </w:r>
    <w:r w:rsidRPr="00713C3F">
      <w:tab/>
    </w:r>
    <w:r w:rsidRPr="00713C3F">
      <w:rPr>
        <w:rFonts w:ascii="Arial" w:hAnsi="Arial" w:cs="Arial"/>
        <w:b/>
        <w:sz w:val="48"/>
      </w:rPr>
      <w:t>CS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230D7" w14:textId="5BEC1FD3" w:rsidR="00713C3F" w:rsidRPr="00713C3F" w:rsidRDefault="00713C3F" w:rsidP="00713C3F">
    <w:pPr>
      <w:pStyle w:val="Footer"/>
      <w:rPr>
        <w:rFonts w:ascii="Arial" w:hAnsi="Arial" w:cs="Arial"/>
        <w:b/>
        <w:sz w:val="48"/>
      </w:rPr>
    </w:pPr>
    <w:r w:rsidRPr="00713C3F">
      <w:rPr>
        <w:rFonts w:ascii="Arial" w:hAnsi="Arial" w:cs="Arial"/>
        <w:b/>
        <w:sz w:val="48"/>
      </w:rPr>
      <w:t>CS</w:t>
    </w:r>
    <w:r w:rsidRPr="00713C3F">
      <w:rPr>
        <w:rFonts w:ascii="Arial" w:hAnsi="Arial" w:cs="Arial"/>
        <w:b/>
        <w:sz w:val="48"/>
      </w:rPr>
      <w:tab/>
    </w:r>
    <w:r w:rsidRPr="00713C3F">
      <w:rPr>
        <w:rFonts w:ascii="Arial" w:hAnsi="Arial" w:cs="Arial"/>
        <w:b/>
        <w:sz w:val="48"/>
      </w:rPr>
      <w:tab/>
    </w:r>
    <w:r w:rsidRPr="00713C3F">
      <w:tab/>
    </w:r>
    <w:r w:rsidRPr="00713C3F">
      <w:rPr>
        <w:rFonts w:ascii="Arial" w:hAnsi="Arial" w:cs="Arial"/>
        <w:b/>
        <w:sz w:val="48"/>
      </w:rPr>
      <w:t>CS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F35BE" w14:textId="77777777" w:rsidR="00713C3F" w:rsidRDefault="00713C3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8DEE5" w14:textId="1F731A51" w:rsidR="00713C3F" w:rsidRPr="00713C3F" w:rsidRDefault="00713C3F" w:rsidP="00713C3F">
    <w:pPr>
      <w:pStyle w:val="Footer"/>
      <w:rPr>
        <w:rFonts w:ascii="Arial" w:hAnsi="Arial" w:cs="Arial"/>
        <w:b/>
        <w:sz w:val="48"/>
      </w:rPr>
    </w:pPr>
    <w:r w:rsidRPr="00713C3F">
      <w:rPr>
        <w:rFonts w:ascii="Arial" w:hAnsi="Arial" w:cs="Arial"/>
        <w:b/>
        <w:sz w:val="48"/>
      </w:rPr>
      <w:t>CS</w:t>
    </w:r>
    <w:r w:rsidRPr="00713C3F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850815">
      <w:rPr>
        <w:noProof/>
      </w:rPr>
      <w:t>17</w:t>
    </w:r>
    <w:r>
      <w:fldChar w:fldCharType="end"/>
    </w:r>
    <w:r>
      <w:tab/>
    </w:r>
    <w:r w:rsidRPr="00713C3F">
      <w:tab/>
    </w:r>
    <w:r w:rsidRPr="00713C3F">
      <w:rPr>
        <w:rFonts w:ascii="Arial" w:hAnsi="Arial" w:cs="Arial"/>
        <w:b/>
        <w:sz w:val="48"/>
      </w:rPr>
      <w:t>CS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382E4" w14:textId="77777777" w:rsidR="00713C3F" w:rsidRDefault="00713C3F" w:rsidP="00713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1E789" w14:textId="77777777" w:rsidR="0045264C" w:rsidRDefault="0045264C" w:rsidP="00286E0D">
      <w:pPr>
        <w:spacing w:before="0" w:after="0"/>
      </w:pPr>
      <w:r>
        <w:separator/>
      </w:r>
    </w:p>
  </w:footnote>
  <w:footnote w:type="continuationSeparator" w:id="0">
    <w:p w14:paraId="24477736" w14:textId="77777777" w:rsidR="0045264C" w:rsidRDefault="0045264C" w:rsidP="00286E0D">
      <w:pPr>
        <w:spacing w:before="0" w:after="0"/>
      </w:pPr>
      <w:r>
        <w:continuationSeparator/>
      </w:r>
    </w:p>
  </w:footnote>
  <w:footnote w:id="1">
    <w:p w14:paraId="70CC9307" w14:textId="2B0206F5" w:rsidR="008C306E" w:rsidRPr="00FA3905" w:rsidRDefault="008C306E" w:rsidP="008C306E">
      <w:pPr>
        <w:pStyle w:val="FootnoteText"/>
      </w:pPr>
      <w:r>
        <w:rPr>
          <w:rStyle w:val="FootnoteReference"/>
        </w:rPr>
        <w:footnoteRef/>
      </w:r>
      <w:r>
        <w:tab/>
        <w:t>Nařízení Evropského parlamentu a Rady (EU) 2024/1356 ze dne 14. května 2024, kterým se zavádí prověřování státních příslušníků třetích zemí na vnějších hranicích a mění nařízení (ES) č. 767/2008, (EU) 2017/2226, (EU) 2018/1240 a (EU) 2019/817 (Úř. věst. L, 2024/1356, 22.5.2024, ELI: </w:t>
      </w:r>
      <w:hyperlink r:id="rId1" w:tgtFrame="_blank" w:tooltip="Umožňuje přístup k tomuto dokumentu prostřednictvím jeho identifikátoru ELI URI." w:history="1">
        <w:r>
          <w:rPr>
            <w:rStyle w:val="Hyperlink"/>
          </w:rPr>
          <w:t>http://data.europa.eu/eli/reg/2024/1356/oj</w:t>
        </w:r>
      </w:hyperlink>
      <w:r>
        <w:t>). </w:t>
      </w:r>
    </w:p>
  </w:footnote>
  <w:footnote w:id="2">
    <w:p w14:paraId="7331594B" w14:textId="77777777" w:rsidR="00EB6497" w:rsidRPr="002F57CD" w:rsidRDefault="00EB6497" w:rsidP="00EB6497">
      <w:pPr>
        <w:pStyle w:val="FootnoteText"/>
      </w:pPr>
      <w:r>
        <w:rPr>
          <w:rStyle w:val="FootnoteReference"/>
        </w:rPr>
        <w:footnoteRef/>
      </w:r>
      <w:r>
        <w:tab/>
        <w:t xml:space="preserve">Nařízení Evropského parlamentu a Rady (EU) 2021/1148 ze dne 7. července 2021, kterým se jako součást Fondu pro integrovanou správu hranic zřizuje Nástroj pro finanční podporu správy hranic a vízové politiky. </w:t>
      </w:r>
    </w:p>
  </w:footnote>
  <w:footnote w:id="3">
    <w:p w14:paraId="6343CBFD" w14:textId="77777777" w:rsidR="00970B74" w:rsidRPr="00970B74" w:rsidRDefault="00653241" w:rsidP="00970B74">
      <w:pPr>
        <w:pStyle w:val="FootnoteText"/>
        <w:rPr>
          <w:b/>
          <w:bCs/>
        </w:rPr>
      </w:pPr>
      <w:r>
        <w:rPr>
          <w:rStyle w:val="FootnoteReference"/>
        </w:rPr>
        <w:footnoteRef/>
      </w:r>
      <w:r>
        <w:tab/>
        <w:t>Nařízení Evropského parlamentu a Rady (EU) 2024/1351 ze dne 14. května 2024 o řízení azylu a migrace, o změně nařízení (EU) 2021/1147 a (EU) 2021/1060 a o zrušení nařízení (EU) č. 604/2013 (Úř. věst. L, 2024/1351, 22.5.2024, ELI:</w:t>
      </w:r>
      <w:r>
        <w:rPr>
          <w:b/>
        </w:rPr>
        <w:t xml:space="preserve"> </w:t>
      </w:r>
      <w:hyperlink r:id="rId2" w:tgtFrame="_blank" w:tooltip="Umožňuje přístup k tomuto dokumentu prostřednictvím jeho identifikátoru ELI URI." w:history="1">
        <w:r>
          <w:rPr>
            <w:rStyle w:val="Hyperlink"/>
            <w:b/>
            <w:bCs/>
          </w:rPr>
          <w:t>http://data.europa.eu/eli/reg/2024/1351/oj</w:t>
        </w:r>
      </w:hyperlink>
      <w:r>
        <w:rPr>
          <w:b/>
          <w:bCs/>
        </w:rPr>
        <w:t>).</w:t>
      </w:r>
    </w:p>
    <w:p w14:paraId="473B85DC" w14:textId="3AF592A2" w:rsidR="00286E0D" w:rsidRPr="00B779F5" w:rsidRDefault="00286E0D" w:rsidP="00D274F9">
      <w:pPr>
        <w:pStyle w:val="FootnoteText"/>
        <w:rPr>
          <w:lang w:val="de-DE"/>
        </w:rPr>
      </w:pPr>
    </w:p>
  </w:footnote>
  <w:footnote w:id="4">
    <w:p w14:paraId="518B2D40" w14:textId="77777777" w:rsidR="00286E0D" w:rsidRPr="00431333" w:rsidRDefault="00286E0D" w:rsidP="00286E0D">
      <w:pPr>
        <w:pStyle w:val="FootnoteText"/>
      </w:pPr>
      <w:r>
        <w:rPr>
          <w:rStyle w:val="FootnoteReference"/>
        </w:rPr>
        <w:footnoteRef/>
      </w:r>
      <w:r>
        <w:tab/>
        <w:t>Úř. věst. C , , s. .</w:t>
      </w:r>
    </w:p>
  </w:footnote>
  <w:footnote w:id="5">
    <w:p w14:paraId="6353D267" w14:textId="77777777" w:rsidR="00286E0D" w:rsidRPr="008B2F77" w:rsidRDefault="00286E0D" w:rsidP="00286E0D">
      <w:pPr>
        <w:pStyle w:val="FootnoteText"/>
      </w:pPr>
      <w:r>
        <w:rPr>
          <w:rStyle w:val="FootnoteReference"/>
        </w:rPr>
        <w:footnoteRef/>
      </w:r>
      <w:r>
        <w:tab/>
        <w:t>Postoj Evropského parlamentu ze dne … a postoj Rady ze dne ….</w:t>
      </w:r>
    </w:p>
  </w:footnote>
  <w:footnote w:id="6">
    <w:p w14:paraId="21BBB7AD" w14:textId="77777777" w:rsidR="00286E0D" w:rsidRPr="00A60815" w:rsidRDefault="00286E0D" w:rsidP="00286E0D">
      <w:pPr>
        <w:pStyle w:val="FootnoteText"/>
      </w:pPr>
      <w:r>
        <w:rPr>
          <w:rStyle w:val="FootnoteReference"/>
        </w:rPr>
        <w:footnoteRef/>
      </w:r>
      <w:r>
        <w:tab/>
        <w:t>Nařízení Evropského parlamentu a Rady (EU) 2019/1896 ze dne 13. listopadu 2019 o Evropské pohraniční a pobřežní stráži a o zrušení nařízení (EU) č. 1052/2013 a (EU) 2016/1624 (Úř. věst. L 295, 14.11.2019, s. 1, ELI: http://data.europa.eu/eli/reg/2019/1896/oj).</w:t>
      </w:r>
    </w:p>
  </w:footnote>
  <w:footnote w:id="7">
    <w:p w14:paraId="4FBDEC8E" w14:textId="77777777" w:rsidR="00286E0D" w:rsidRPr="008B2F77" w:rsidRDefault="00286E0D" w:rsidP="00286E0D">
      <w:pPr>
        <w:pStyle w:val="FootnoteText"/>
      </w:pPr>
      <w:r>
        <w:rPr>
          <w:rStyle w:val="FootnoteReference"/>
        </w:rPr>
        <w:footnoteRef/>
      </w:r>
      <w:r>
        <w:tab/>
        <w:t>Úř. věst. L 144, 6.6.2007, s. 22.</w:t>
      </w:r>
    </w:p>
  </w:footnote>
  <w:footnote w:id="8">
    <w:p w14:paraId="4428EE6F" w14:textId="77777777" w:rsidR="00286E0D" w:rsidRPr="003A4850" w:rsidRDefault="00286E0D" w:rsidP="00286E0D">
      <w:pPr>
        <w:pStyle w:val="FootnoteText"/>
      </w:pPr>
      <w:r>
        <w:rPr>
          <w:rStyle w:val="FootnoteReference"/>
        </w:rPr>
        <w:footnoteRef/>
      </w:r>
      <w:r>
        <w:tab/>
        <w:t xml:space="preserve">Nařízení Evropského parlamentu a Rady (EU) č. 515/2014 ze dne 16. dubna 2014, kterým se jako součást Fondu pro vnitřní bezpečnost zřizuje nástroj pro finanční podporu v oblasti vnějších hranic a víz a zrušuje rozhodnutí č. 574/2007/ES (Úř. věst. L 150, 20.5.2014, s. 143, ELI: </w:t>
      </w:r>
      <w:hyperlink r:id="rId3" w:history="1">
        <w:r>
          <w:rPr>
            <w:rStyle w:val="Hyperlink"/>
          </w:rPr>
          <w:t>http://data.europa.eu/eli/reg/2014/515/oj</w:t>
        </w:r>
      </w:hyperlink>
      <w:r>
        <w:t>).</w:t>
      </w:r>
    </w:p>
  </w:footnote>
  <w:footnote w:id="9">
    <w:p w14:paraId="714FF2E9" w14:textId="77777777" w:rsidR="00286E0D" w:rsidRPr="002F600E" w:rsidRDefault="00286E0D" w:rsidP="00286E0D">
      <w:pPr>
        <w:pStyle w:val="FootnoteText"/>
      </w:pPr>
      <w:r>
        <w:rPr>
          <w:rStyle w:val="FootnoteReference"/>
        </w:rPr>
        <w:footnoteRef/>
      </w:r>
      <w:r>
        <w:tab/>
        <w:t xml:space="preserve">Nařízení Evropského parlamentu a Rady (EU) 2021/1148 ze dne 7. července 2021, kterým se jako součást Fondu pro integrovanou správu hranic zřizuje Nástroj pro finanční podporu správy hranic a vízové politiky (Úř. věst. L 251, 15.7.2021, s. 48, ELI: </w:t>
      </w:r>
      <w:hyperlink r:id="rId4" w:history="1">
        <w:r>
          <w:rPr>
            <w:rStyle w:val="Hyperlink"/>
          </w:rPr>
          <w:t>http://data.europa.eu/eli/reg/2021/1148/oj</w:t>
        </w:r>
      </w:hyperlink>
      <w:r>
        <w:t>).</w:t>
      </w:r>
    </w:p>
  </w:footnote>
  <w:footnote w:id="10">
    <w:p w14:paraId="2326C5A3" w14:textId="77777777" w:rsidR="00BA3EDB" w:rsidRPr="00B83CD2" w:rsidRDefault="00BA3EDB" w:rsidP="00BA3EDB">
      <w:pPr>
        <w:pStyle w:val="FootnoteText"/>
      </w:pPr>
      <w:r>
        <w:rPr>
          <w:rStyle w:val="FootnoteReference"/>
        </w:rPr>
        <w:footnoteRef/>
      </w:r>
      <w:r>
        <w:tab/>
        <w:t>Sdělení Komise Evropskému parlamentu a Radě o boji proti hybridním hrozbám vyplývajícím ze zneužívání migrace jako zbraně a o posilování bezpečnosti na vnějších hranicích EU (COM(2024) 570 final ze dne 11. prosince 2024).</w:t>
      </w:r>
    </w:p>
  </w:footnote>
  <w:footnote w:id="11">
    <w:p w14:paraId="2178D4C2" w14:textId="77777777" w:rsidR="00286E0D" w:rsidRPr="009D6D48" w:rsidRDefault="00286E0D" w:rsidP="00286E0D">
      <w:pPr>
        <w:pStyle w:val="FootnoteText"/>
      </w:pPr>
      <w:r>
        <w:rPr>
          <w:rStyle w:val="FootnoteReference"/>
        </w:rPr>
        <w:footnoteRef/>
      </w:r>
      <w:r>
        <w:tab/>
        <w:t xml:space="preserve">Nařízení Evropského parlamentu a Rady (EU) 2018/1240 ze dne 12. září 2018, kterým se zřizuje Evropský systém pro cestovní informace a povolení (ETIAS) a kterým se mění nařízení (EU) č. 1077/2011, (EU) č. 515/2014, (EU) 2016/399, (EU) 2016/1624 a (EU) 2017/2226 (Úř. věst. L 236, 19.9.2018, s. 1, ELI: </w:t>
      </w:r>
      <w:hyperlink r:id="rId5" w:history="1">
        <w:r>
          <w:rPr>
            <w:rStyle w:val="Hyperlink"/>
          </w:rPr>
          <w:t>http://data.europa.eu/eli/reg/2018/1240/oj</w:t>
        </w:r>
      </w:hyperlink>
      <w:r>
        <w:t>).</w:t>
      </w:r>
    </w:p>
  </w:footnote>
  <w:footnote w:id="12">
    <w:p w14:paraId="3386E873" w14:textId="77777777" w:rsidR="00286E0D" w:rsidRPr="00A81B6D" w:rsidRDefault="00286E0D" w:rsidP="00286E0D">
      <w:pPr>
        <w:pStyle w:val="FootnoteText"/>
      </w:pPr>
      <w:r>
        <w:rPr>
          <w:rStyle w:val="FootnoteReference"/>
        </w:rPr>
        <w:footnoteRef/>
      </w:r>
      <w:r>
        <w:tab/>
        <w:t xml:space="preserve">Nařízení Evropského parlamentu a Rady (EU) 2024/1351 ze dne 14. května 2024 o řízení azylu a migrace, o změně nařízení (EU) 2021/1147 a (EU) 2021/1060 a o zrušení nařízení (EU) č. 604/2013 (Úř. věst. L, 2024/1351, 22.5.2024, ELI: </w:t>
      </w:r>
      <w:hyperlink r:id="rId6" w:history="1">
        <w:r>
          <w:rPr>
            <w:rStyle w:val="Hyperlink"/>
          </w:rPr>
          <w:t>http://data.europa.eu/eli/reg/2024/1351/oj</w:t>
        </w:r>
      </w:hyperlink>
      <w:r>
        <w:t>).</w:t>
      </w:r>
    </w:p>
  </w:footnote>
  <w:footnote w:id="13">
    <w:p w14:paraId="599052AD" w14:textId="77777777" w:rsidR="00286E0D" w:rsidRPr="009D6D48" w:rsidRDefault="00286E0D" w:rsidP="00286E0D">
      <w:pPr>
        <w:pStyle w:val="FootnoteText"/>
      </w:pPr>
      <w:r>
        <w:rPr>
          <w:rStyle w:val="FootnoteReference"/>
        </w:rPr>
        <w:footnoteRef/>
      </w:r>
      <w:r>
        <w:tab/>
        <w:t>Akt o podmínkách přistoupení České republiky, Estonské republiky, Kyperské republiky, Lotyšské republiky, Litevské republiky, Maďarské republiky, Republiky Malta, Polské republiky, Republiky Slovinsko a Slovenské republiky a o úpravách smluv, na nichž je založena Evropská unie (Úř. věst. L 236, 23.9.2003, s. 955, ELI: http://data.europa.eu/eli/treaty/acc_2003/act_1/pro_10/sign).</w:t>
      </w:r>
    </w:p>
  </w:footnote>
  <w:footnote w:id="14">
    <w:p w14:paraId="10C09AF4" w14:textId="77777777" w:rsidR="00286E0D" w:rsidRPr="009D6D48" w:rsidRDefault="00286E0D" w:rsidP="00286E0D">
      <w:pPr>
        <w:pStyle w:val="FootnoteText"/>
      </w:pPr>
      <w:r>
        <w:rPr>
          <w:rStyle w:val="FootnoteReference"/>
        </w:rPr>
        <w:footnoteRef/>
      </w:r>
      <w:r>
        <w:tab/>
        <w:t xml:space="preserve">Nařízení Rady (ES) č. 693/2003 ze dne 14. dubna 2003 o zavedení dokladu k usnadnění průjezdu (FTD) a dokladu k usnadnění průjezdu po železnici (FRTD) a o změně Společné konzulární instrukce a Společné příručky (Úř. věst. L 99, 17.4.2003, s. 8, ELI: </w:t>
      </w:r>
      <w:hyperlink r:id="rId7" w:history="1">
        <w:r>
          <w:rPr>
            <w:rStyle w:val="Hyperlink"/>
          </w:rPr>
          <w:t>http://data.europa.eu/eli/reg/2003/693/oj</w:t>
        </w:r>
      </w:hyperlink>
      <w:r>
        <w:t>).</w:t>
      </w:r>
    </w:p>
  </w:footnote>
  <w:footnote w:id="15">
    <w:p w14:paraId="48054FE4" w14:textId="77777777" w:rsidR="00286E0D" w:rsidRPr="009D6D48" w:rsidRDefault="00286E0D" w:rsidP="00286E0D">
      <w:pPr>
        <w:pStyle w:val="FootnoteText"/>
      </w:pPr>
      <w:r>
        <w:rPr>
          <w:rStyle w:val="FootnoteReference"/>
        </w:rPr>
        <w:footnoteRef/>
      </w:r>
      <w:r>
        <w:tab/>
        <w:t>Úř. věst. L 176, 10.7.1999, s. 36.</w:t>
      </w:r>
    </w:p>
  </w:footnote>
  <w:footnote w:id="16">
    <w:p w14:paraId="0ED6C216" w14:textId="77777777" w:rsidR="00286E0D" w:rsidRPr="009D6D48" w:rsidRDefault="00286E0D" w:rsidP="00286E0D">
      <w:pPr>
        <w:pStyle w:val="FootnoteText"/>
      </w:pPr>
      <w:r>
        <w:rPr>
          <w:rStyle w:val="FootnoteReference"/>
        </w:rPr>
        <w:footnoteRef/>
      </w:r>
      <w:r>
        <w:tab/>
        <w:t xml:space="preserve">Rozhodnutí Rady 1999/437/ES ze dne 17. května 1999 o některých opatřeních pro uplatňování dohody uzavřené mezi Radou Evropské unie a Islandskou republikou a Norským královstvím o přidružení těchto dvou států k provádění, uplatňování a rozvoji schengenského </w:t>
      </w:r>
      <w:r>
        <w:rPr>
          <w:i/>
          <w:iCs/>
        </w:rPr>
        <w:t>acquis</w:t>
      </w:r>
      <w:r>
        <w:t xml:space="preserve"> (Úř. věst. L 176, 10.7.1999, s. 31, ELI: </w:t>
      </w:r>
      <w:hyperlink r:id="rId8" w:history="1">
        <w:r>
          <w:rPr>
            <w:rStyle w:val="Hyperlink"/>
          </w:rPr>
          <w:t>http://data.europa.eu/eli/dec/1999/437/oj</w:t>
        </w:r>
      </w:hyperlink>
      <w:r>
        <w:t>).</w:t>
      </w:r>
    </w:p>
  </w:footnote>
  <w:footnote w:id="17">
    <w:p w14:paraId="5FE07AD1" w14:textId="77777777" w:rsidR="00286E0D" w:rsidRPr="009D6D48" w:rsidRDefault="00286E0D" w:rsidP="00286E0D">
      <w:pPr>
        <w:pStyle w:val="FootnoteText"/>
      </w:pPr>
      <w:r>
        <w:rPr>
          <w:rStyle w:val="FootnoteReference"/>
        </w:rPr>
        <w:footnoteRef/>
      </w:r>
      <w:r>
        <w:tab/>
        <w:t>Úř. věst. L 53, 27.2.2008, s. 52.</w:t>
      </w:r>
    </w:p>
  </w:footnote>
  <w:footnote w:id="18">
    <w:p w14:paraId="41D47FF0" w14:textId="77777777" w:rsidR="00286E0D" w:rsidRPr="009D6D48" w:rsidRDefault="00286E0D" w:rsidP="00286E0D">
      <w:pPr>
        <w:pStyle w:val="FootnoteText"/>
      </w:pPr>
      <w:r>
        <w:rPr>
          <w:rStyle w:val="FootnoteReference"/>
        </w:rPr>
        <w:footnoteRef/>
      </w:r>
      <w:r>
        <w:tab/>
        <w:t xml:space="preserve">Rozhodnutí Rady 2008/146/ES ze dne 28. ledna 2008 o uzavření Dohody mezi Evropskou unií, Evropským společenstvím a Švýcarskou konfederací o přidružení Švýcarské konfederace k provádění, uplatňování a rozvoji schengenského </w:t>
      </w:r>
      <w:r>
        <w:rPr>
          <w:i/>
          <w:iCs/>
        </w:rPr>
        <w:t>acquis</w:t>
      </w:r>
      <w:r>
        <w:t xml:space="preserve"> jménem Evropského společenství (Úř. věst. L 53, 27.2.2008, s. 1, ELI: </w:t>
      </w:r>
      <w:hyperlink r:id="rId9" w:history="1">
        <w:r>
          <w:rPr>
            <w:rStyle w:val="Hyperlink"/>
          </w:rPr>
          <w:t>http://data.europa.eu/eli/dec/2008/146/oj</w:t>
        </w:r>
      </w:hyperlink>
      <w:r>
        <w:t>).</w:t>
      </w:r>
    </w:p>
  </w:footnote>
  <w:footnote w:id="19">
    <w:p w14:paraId="103CF621" w14:textId="77777777" w:rsidR="00286E0D" w:rsidRPr="00404366" w:rsidRDefault="00286E0D" w:rsidP="00286E0D">
      <w:pPr>
        <w:pStyle w:val="FootnoteText"/>
      </w:pPr>
      <w:r>
        <w:rPr>
          <w:rStyle w:val="FootnoteReference"/>
        </w:rPr>
        <w:footnoteRef/>
      </w:r>
      <w:r>
        <w:tab/>
        <w:t>Úř. věst. L 160, 18.6.2011, s. 21, ELI: http://data.europa.eu/eli/prot/2011/350/oj.</w:t>
      </w:r>
    </w:p>
  </w:footnote>
  <w:footnote w:id="20">
    <w:p w14:paraId="0DBAFE99" w14:textId="77777777" w:rsidR="00286E0D" w:rsidRPr="009D6D48" w:rsidRDefault="00286E0D" w:rsidP="00286E0D">
      <w:pPr>
        <w:pStyle w:val="FootnoteText"/>
      </w:pPr>
      <w:r>
        <w:rPr>
          <w:rStyle w:val="FootnoteReference"/>
        </w:rPr>
        <w:footnoteRef/>
      </w:r>
      <w:r>
        <w:tab/>
        <w:t xml:space="preserve">Rozhodnutí Rady 2011/350/EU ze dne 7. března 2011 o uzavření Protokolu mezi Evropskou unií, Evropským společenstvím, Švýcarskou konfederací a Lichtenštejnským knížectvím o přistoupení Lichtenštejnského knížectví k dohodě mezi Evropskou unií, Evropským společenstvím a Švýcarskou konfederací o přidružení Švýcarské konfederace k provádění, uplatňování a rozvoji schengenského </w:t>
      </w:r>
      <w:r>
        <w:rPr>
          <w:i/>
          <w:iCs/>
        </w:rPr>
        <w:t>acquis</w:t>
      </w:r>
      <w:r>
        <w:t xml:space="preserve"> jménem Evropské unie, pokud jde o zrušení kontrol na vnitřních hranicích a pohyb osob (Úř. věst. L 160, 18.6.2011, s. 19, ELI: </w:t>
      </w:r>
      <w:hyperlink r:id="rId10" w:history="1">
        <w:r>
          <w:rPr>
            <w:rStyle w:val="Hyperlink"/>
          </w:rPr>
          <w:t>http://data.europa.eu/eli/dec/2011/350/oj</w:t>
        </w:r>
      </w:hyperlink>
      <w:r>
        <w:t>).</w:t>
      </w:r>
    </w:p>
  </w:footnote>
  <w:footnote w:id="21">
    <w:p w14:paraId="59C5E64F" w14:textId="77777777" w:rsidR="00286E0D" w:rsidRPr="009D6D48" w:rsidRDefault="00286E0D" w:rsidP="00286E0D">
      <w:pPr>
        <w:pStyle w:val="FootnoteText"/>
      </w:pPr>
      <w:r>
        <w:rPr>
          <w:rStyle w:val="FootnoteReference"/>
        </w:rPr>
        <w:footnoteRef/>
      </w:r>
      <w:r>
        <w:tab/>
        <w:t xml:space="preserve">Rozhodnutí Rady 2002/192/ES ze dne 28. února 2002 o žádosti Irska, aby se na ně vztahovala některá ustanovení schengenského </w:t>
      </w:r>
      <w:r>
        <w:rPr>
          <w:i/>
          <w:iCs/>
        </w:rPr>
        <w:t>acquis</w:t>
      </w:r>
      <w:r>
        <w:t xml:space="preserve"> (Úř. věst. L 64, 7.3.2002, s. 20, ELI: http://data.europa.eu/eli/dec/2002/192/oj).</w:t>
      </w:r>
    </w:p>
  </w:footnote>
  <w:footnote w:id="22">
    <w:p w14:paraId="18213D6B" w14:textId="77777777" w:rsidR="00286E0D" w:rsidRPr="009D63A2" w:rsidRDefault="00286E0D" w:rsidP="00286E0D">
      <w:pPr>
        <w:pStyle w:val="FootnoteText"/>
      </w:pPr>
      <w:r>
        <w:rPr>
          <w:rStyle w:val="FootnoteReference"/>
        </w:rPr>
        <w:footnoteRef/>
      </w:r>
      <w:r>
        <w:tab/>
        <w:t>Nařízení Evropského parlamentu a Rady (EU) 2016/399 ze dne 9. března 2016, kterým se stanoví kodex Unie o pravidlech upravujících přeshraniční pohyb osob (Schengenský hraniční kodex) (kodifikované znění) (Úř. věst. L 77, 23.3.2016, s. 1, ELI: http://data.europa.eu/eli/reg/2016/399/oj).</w:t>
      </w:r>
    </w:p>
  </w:footnote>
  <w:footnote w:id="23">
    <w:p w14:paraId="4E3DE7BE" w14:textId="77777777" w:rsidR="00286E0D" w:rsidRPr="009D63A2" w:rsidRDefault="00286E0D" w:rsidP="00286E0D">
      <w:pPr>
        <w:pStyle w:val="FootnoteText"/>
      </w:pPr>
      <w:r>
        <w:rPr>
          <w:rStyle w:val="FootnoteReference"/>
        </w:rPr>
        <w:footnoteRef/>
      </w:r>
      <w:r>
        <w:tab/>
        <w:t>Nařízení Evropského parlamentu a Rady (EU) 2019/1896 ze dne 13. listopadu 2019 o Evropské pohraniční a pobřežní stráži a o zrušení nařízení (EU) č. 1052/2013 a (EU) 2016/1624 (Úř. věst. L 295, 14.11.2019, s. 1).</w:t>
      </w:r>
    </w:p>
  </w:footnote>
  <w:footnote w:id="24">
    <w:p w14:paraId="37F054DE" w14:textId="77777777" w:rsidR="00286E0D" w:rsidRPr="009D63A2" w:rsidRDefault="00286E0D" w:rsidP="00286E0D">
      <w:pPr>
        <w:pStyle w:val="FootnoteText"/>
      </w:pPr>
      <w:r>
        <w:rPr>
          <w:rStyle w:val="FootnoteReference"/>
        </w:rPr>
        <w:footnoteRef/>
      </w:r>
      <w:r>
        <w:tab/>
        <w:t>Nařízení Evropského parlamentu a Rady (EU) 2016/399 ze dne 9. března 2016, kterým se stanoví kodex Unie o pravidlech upravujících přeshraniční pohyb osob (Schengenský hraniční kodex) (kodifikované znění), Úř. věst. L 77, 23.3.2016, s. 1).</w:t>
      </w:r>
    </w:p>
  </w:footnote>
  <w:footnote w:id="25">
    <w:p w14:paraId="19F49142" w14:textId="77777777" w:rsidR="00286E0D" w:rsidRPr="009D63A2" w:rsidRDefault="00286E0D" w:rsidP="00286E0D">
      <w:pPr>
        <w:pStyle w:val="FootnoteText"/>
      </w:pPr>
      <w:r>
        <w:rPr>
          <w:rStyle w:val="FootnoteReference"/>
        </w:rPr>
        <w:footnoteRef/>
      </w:r>
      <w:r>
        <w:tab/>
        <w:t>Nařízení Evropského parlamentu a Rady (EU) 2019/1896 ze dne 13. listopadu 2019 o Evropské pohraniční a pobřežní stráži a o zrušení nařízení (EU) č. 1052/2013 a (EU) 2016/1624 (Úř. věst. L 295, 14.11.2019, s. 1).</w:t>
      </w:r>
    </w:p>
  </w:footnote>
  <w:footnote w:id="26">
    <w:p w14:paraId="567544D3" w14:textId="77777777" w:rsidR="00286E0D" w:rsidRPr="008665C8" w:rsidRDefault="00286E0D" w:rsidP="00D274F9">
      <w:pPr>
        <w:pStyle w:val="FootnoteText"/>
      </w:pPr>
      <w:r>
        <w:rPr>
          <w:rStyle w:val="FootnoteReference"/>
        </w:rPr>
        <w:footnoteRef/>
      </w:r>
      <w:r>
        <w:tab/>
        <w:t>Nařízení Evropského parlamentu a Rady (ES) č. 810/2009 ze dne 13. července 2009 o kodexu Společenství o vízech (vízový kodex) (Úř. věst. L 243, 15.9.2009, s. 1, ELI: http://data.europa.eu/eli/reg/2009/810/oj).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6B18A" w14:textId="77777777" w:rsidR="00713C3F" w:rsidRDefault="00713C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D9E52" w14:textId="77777777" w:rsidR="00713C3F" w:rsidRDefault="00713C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6A95"/>
    <w:multiLevelType w:val="singleLevel"/>
    <w:tmpl w:val="02BAFA82"/>
    <w:name w:val="List Bullet 1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1" w15:restartNumberingAfterBreak="0">
    <w:nsid w:val="128364B0"/>
    <w:multiLevelType w:val="singleLevel"/>
    <w:tmpl w:val="D084FB54"/>
    <w:lvl w:ilvl="0">
      <w:start w:val="1"/>
      <w:numFmt w:val="bullet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" w15:restartNumberingAfterBreak="0">
    <w:nsid w:val="13E4330B"/>
    <w:multiLevelType w:val="multilevel"/>
    <w:tmpl w:val="875C4416"/>
    <w:name w:val="List Dash 3"/>
    <w:lvl w:ilvl="0">
      <w:start w:val="1"/>
      <w:numFmt w:val="decimal"/>
      <w:pStyle w:val="ListNumber1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6" w15:restartNumberingAfterBreak="0">
    <w:nsid w:val="2CCE059D"/>
    <w:multiLevelType w:val="multilevel"/>
    <w:tmpl w:val="BF4077C8"/>
    <w:lvl w:ilvl="0">
      <w:start w:val="1"/>
      <w:numFmt w:val="lowerLetter"/>
      <w:lvlText w:val="(%1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7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8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D820C1F"/>
    <w:multiLevelType w:val="singleLevel"/>
    <w:tmpl w:val="7896AADE"/>
    <w:name w:val="List Dash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</w:abstractNum>
  <w:abstractNum w:abstractNumId="10" w15:restartNumberingAfterBreak="0">
    <w:nsid w:val="2F191641"/>
    <w:multiLevelType w:val="multilevel"/>
    <w:tmpl w:val="B67C4E92"/>
    <w:lvl w:ilvl="0">
      <w:start w:val="1"/>
      <w:numFmt w:val="decimal"/>
      <w:pStyle w:val="ListNumber3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3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3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31CD398A"/>
    <w:multiLevelType w:val="singleLevel"/>
    <w:tmpl w:val="0276BF00"/>
    <w:lvl w:ilvl="0">
      <w:start w:val="1"/>
      <w:numFmt w:val="bullet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2" w15:restartNumberingAfterBreak="0">
    <w:nsid w:val="398C015E"/>
    <w:multiLevelType w:val="multilevel"/>
    <w:tmpl w:val="027A66BA"/>
    <w:name w:val="List Dash 4"/>
    <w:lvl w:ilvl="0">
      <w:start w:val="1"/>
      <w:numFmt w:val="decimal"/>
      <w:pStyle w:val="ListNumber2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4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5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6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7" w15:restartNumberingAfterBreak="0">
    <w:nsid w:val="489D74ED"/>
    <w:multiLevelType w:val="singleLevel"/>
    <w:tmpl w:val="C2E2F936"/>
    <w:name w:val="List Dash 2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18" w15:restartNumberingAfterBreak="0">
    <w:nsid w:val="4D0C058A"/>
    <w:multiLevelType w:val="singleLevel"/>
    <w:tmpl w:val="BAE8D90E"/>
    <w:name w:val="List Dash 1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19" w15:restartNumberingAfterBreak="0">
    <w:nsid w:val="542A1204"/>
    <w:multiLevelType w:val="multilevel"/>
    <w:tmpl w:val="BC1E8404"/>
    <w:lvl w:ilvl="0">
      <w:start w:val="1"/>
      <w:numFmt w:val="decimal"/>
      <w:pStyle w:val="ListNumber4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4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4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1" w15:restartNumberingAfterBreak="0">
    <w:nsid w:val="5B0B0635"/>
    <w:multiLevelType w:val="singleLevel"/>
    <w:tmpl w:val="017E7CEE"/>
    <w:lvl w:ilvl="0">
      <w:start w:val="1"/>
      <w:numFmt w:val="bullet"/>
      <w:lvlRestart w:val="0"/>
      <w:pStyle w:val="List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22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3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5" w15:restartNumberingAfterBreak="0">
    <w:nsid w:val="5DF84969"/>
    <w:multiLevelType w:val="singleLevel"/>
    <w:tmpl w:val="1E12021A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26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8" w15:restartNumberingAfterBreak="0">
    <w:nsid w:val="71F06166"/>
    <w:multiLevelType w:val="multilevel"/>
    <w:tmpl w:val="C08066D2"/>
    <w:lvl w:ilvl="0">
      <w:start w:val="1"/>
      <w:numFmt w:val="decimal"/>
      <w:lvlRestart w:val="0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3D73F7A"/>
    <w:multiLevelType w:val="singleLevel"/>
    <w:tmpl w:val="26365734"/>
    <w:lvl w:ilvl="0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30" w15:restartNumberingAfterBreak="0">
    <w:nsid w:val="76BC5C11"/>
    <w:multiLevelType w:val="singleLevel"/>
    <w:tmpl w:val="E44CE82E"/>
    <w:lvl w:ilvl="0">
      <w:start w:val="1"/>
      <w:numFmt w:val="bullet"/>
      <w:pStyle w:val="ListBullet3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3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0"/>
  </w:num>
  <w:num w:numId="2">
    <w:abstractNumId w:val="21"/>
  </w:num>
  <w:num w:numId="3">
    <w:abstractNumId w:val="9"/>
  </w:num>
  <w:num w:numId="4">
    <w:abstractNumId w:val="18"/>
  </w:num>
  <w:num w:numId="5">
    <w:abstractNumId w:val="17"/>
  </w:num>
  <w:num w:numId="6">
    <w:abstractNumId w:val="28"/>
  </w:num>
  <w:num w:numId="7">
    <w:abstractNumId w:val="25"/>
  </w:num>
  <w:num w:numId="8">
    <w:abstractNumId w:val="29"/>
  </w:num>
  <w:num w:numId="9">
    <w:abstractNumId w:val="30"/>
  </w:num>
  <w:num w:numId="10">
    <w:abstractNumId w:val="1"/>
  </w:num>
  <w:num w:numId="11">
    <w:abstractNumId w:val="11"/>
  </w:num>
  <w:num w:numId="12">
    <w:abstractNumId w:val="2"/>
  </w:num>
  <w:num w:numId="13">
    <w:abstractNumId w:val="12"/>
  </w:num>
  <w:num w:numId="14">
    <w:abstractNumId w:val="10"/>
  </w:num>
  <w:num w:numId="15">
    <w:abstractNumId w:val="19"/>
  </w:num>
  <w:num w:numId="16">
    <w:abstractNumId w:val="8"/>
  </w:num>
  <w:num w:numId="17">
    <w:abstractNumId w:val="6"/>
  </w:num>
  <w:num w:numId="18">
    <w:abstractNumId w:val="24"/>
  </w:num>
  <w:num w:numId="19">
    <w:abstractNumId w:val="13"/>
  </w:num>
  <w:num w:numId="20">
    <w:abstractNumId w:val="27"/>
  </w:num>
  <w:num w:numId="21">
    <w:abstractNumId w:val="7"/>
  </w:num>
  <w:num w:numId="22">
    <w:abstractNumId w:val="14"/>
  </w:num>
  <w:num w:numId="23">
    <w:abstractNumId w:val="15"/>
  </w:num>
  <w:num w:numId="24">
    <w:abstractNumId w:val="4"/>
  </w:num>
  <w:num w:numId="25">
    <w:abstractNumId w:val="26"/>
  </w:num>
  <w:num w:numId="26">
    <w:abstractNumId w:val="3"/>
  </w:num>
  <w:num w:numId="27">
    <w:abstractNumId w:val="16"/>
  </w:num>
  <w:num w:numId="28">
    <w:abstractNumId w:val="22"/>
  </w:num>
  <w:num w:numId="29">
    <w:abstractNumId w:val="23"/>
  </w:num>
  <w:num w:numId="30">
    <w:abstractNumId w:val="5"/>
  </w:num>
  <w:num w:numId="31">
    <w:abstractNumId w:val="20"/>
  </w:num>
  <w:num w:numId="32">
    <w:abstractNumId w:val="31"/>
  </w:num>
  <w:num w:numId="33">
    <w:abstractNumId w:val="24"/>
  </w:num>
  <w:num w:numId="34">
    <w:abstractNumId w:val="13"/>
  </w:num>
  <w:num w:numId="35">
    <w:abstractNumId w:val="27"/>
  </w:num>
  <w:num w:numId="36">
    <w:abstractNumId w:val="7"/>
  </w:num>
  <w:num w:numId="37">
    <w:abstractNumId w:val="14"/>
  </w:num>
  <w:num w:numId="38">
    <w:abstractNumId w:val="15"/>
  </w:num>
  <w:num w:numId="39">
    <w:abstractNumId w:val="4"/>
  </w:num>
  <w:num w:numId="40">
    <w:abstractNumId w:val="26"/>
  </w:num>
  <w:num w:numId="41">
    <w:abstractNumId w:val="3"/>
  </w:num>
  <w:num w:numId="42">
    <w:abstractNumId w:val="16"/>
  </w:num>
  <w:num w:numId="43">
    <w:abstractNumId w:val="22"/>
  </w:num>
  <w:num w:numId="44">
    <w:abstractNumId w:val="23"/>
  </w:num>
  <w:num w:numId="45">
    <w:abstractNumId w:val="5"/>
  </w:num>
  <w:num w:numId="46">
    <w:abstractNumId w:val="20"/>
  </w:num>
  <w:num w:numId="47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5-09-03 14:15:17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2AB9A627-1DC7-4BA1-8C2B-40B484BC31E9"/>
    <w:docVar w:name="LW_COVERPAGE_TYPE" w:val="1"/>
    <w:docVar w:name="LW_CreatedUtc" w:val="2025-06-30T13:55:55.3687810Z"/>
    <w:docVar w:name="LW_CROSSREFERENCE" w:val="&lt;UNUSED&gt;"/>
    <w:docVar w:name="LW_DocType" w:val="COM"/>
    <w:docVar w:name="LW_EMISSION" w:val="16.7.2025"/>
    <w:docVar w:name="LW_EMISSION_ISODATE" w:val="2025-07-16"/>
    <w:docVar w:name="LW_EMISSION_LOCATION" w:val="BRX"/>
    <w:docVar w:name="LW_EMISSION_PREFIX" w:val="V Bruselu dne "/>
    <w:docVar w:name="LW_EMISSION_SUFFIX" w:val=" "/>
    <w:docVar w:name="LW_ID_DOCMODEL" w:val="SJ-023"/>
    <w:docVar w:name="LW_ID_DOCSIGNATURE" w:val="SJ-023"/>
    <w:docVar w:name="LW_ID_DOCSTRUCTURE" w:val="COM/PL/ORG"/>
    <w:docVar w:name="LW_ID_DOCTYPE" w:val="SJ-023"/>
    <w:docVar w:name="LW_ID_STATUT" w:val="SJ-023"/>
    <w:docVar w:name="LW_INSERT_EXP.MOTIFS.NEW" w:val="1"/>
    <w:docVar w:name="LW_INTERETEEE.CP" w:val="&lt;UNUSED&gt;"/>
    <w:docVar w:name="LW_LANGUE" w:val="CS"/>
    <w:docVar w:name="LW_LEVEL_OF_SENSITIVITY" w:val="Standard treatment"/>
    <w:docVar w:name="LW_NOM.INST" w:val="EVROPSKÁ KOMISE"/>
    <w:docVar w:name="LW_NOM.INST_JOINTDOC" w:val="&lt;EMPTY&gt;"/>
    <w:docVar w:name="LW_PART_NBR" w:val="1"/>
    <w:docVar w:name="LW_PART_NBR_TOTAL" w:val="1"/>
    <w:docVar w:name="LW_REF.II.NEW.CP" w:val="COD"/>
    <w:docVar w:name="LW_REF.II.NEW.CP_NUMBER" w:val="0541"/>
    <w:docVar w:name="LW_REF.II.NEW.CP_YEAR" w:val="2025"/>
    <w:docVar w:name="LW_REF.INST.NEW" w:val="COM"/>
    <w:docVar w:name="LW_REF.INST.NEW_ADOPTED" w:val="final"/>
    <w:docVar w:name="LW_REF.INST.NEW_TEXT" w:val="(2025) 541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TATUT.CP" w:val="Návrh"/>
    <w:docVar w:name="LW_SUPERTITRE" w:val="&lt;UNUSED&gt;"/>
    <w:docVar w:name="LW_TITRE.OBJ.CP" w:val="kterým se zavádí podpora Unie pro schengenský prostor, evropskou integrovanou správu hranic a spole\u269?nou vízovou politiku na období 2028\u8211?2034"/>
    <w:docVar w:name="LW_TYPE.DOC.CP" w:val="NA\u344?ÍZENÍ EVROPSKÉHO PARLAMENTU A RADY,"/>
    <w:docVar w:name="LwApiVersions" w:val="LW4CoDe 1.24.5.0; LW 9.0, Build 20240221"/>
  </w:docVars>
  <w:rsids>
    <w:rsidRoot w:val="00286E0D"/>
    <w:rsid w:val="000004BB"/>
    <w:rsid w:val="000011DD"/>
    <w:rsid w:val="00010C77"/>
    <w:rsid w:val="0001313C"/>
    <w:rsid w:val="00015B47"/>
    <w:rsid w:val="00023854"/>
    <w:rsid w:val="0003052C"/>
    <w:rsid w:val="000318D3"/>
    <w:rsid w:val="00034CAB"/>
    <w:rsid w:val="00035D80"/>
    <w:rsid w:val="0004117A"/>
    <w:rsid w:val="0004185D"/>
    <w:rsid w:val="0005515C"/>
    <w:rsid w:val="00067273"/>
    <w:rsid w:val="000706FB"/>
    <w:rsid w:val="00081D61"/>
    <w:rsid w:val="0008440D"/>
    <w:rsid w:val="00094C15"/>
    <w:rsid w:val="000963B2"/>
    <w:rsid w:val="000978AD"/>
    <w:rsid w:val="000B7F2F"/>
    <w:rsid w:val="000C55AA"/>
    <w:rsid w:val="000D21B0"/>
    <w:rsid w:val="000E118B"/>
    <w:rsid w:val="000F2A02"/>
    <w:rsid w:val="0010112C"/>
    <w:rsid w:val="0010490D"/>
    <w:rsid w:val="00105088"/>
    <w:rsid w:val="001065F5"/>
    <w:rsid w:val="00107901"/>
    <w:rsid w:val="00121B18"/>
    <w:rsid w:val="001238EF"/>
    <w:rsid w:val="00123EFE"/>
    <w:rsid w:val="00126F40"/>
    <w:rsid w:val="00137B11"/>
    <w:rsid w:val="00141554"/>
    <w:rsid w:val="00143446"/>
    <w:rsid w:val="00143CF0"/>
    <w:rsid w:val="001536A8"/>
    <w:rsid w:val="00154A8A"/>
    <w:rsid w:val="00155AA7"/>
    <w:rsid w:val="00157C92"/>
    <w:rsid w:val="00157D04"/>
    <w:rsid w:val="00166A0C"/>
    <w:rsid w:val="00172733"/>
    <w:rsid w:val="00176B1B"/>
    <w:rsid w:val="001811FA"/>
    <w:rsid w:val="00182AF9"/>
    <w:rsid w:val="00184A08"/>
    <w:rsid w:val="001857E1"/>
    <w:rsid w:val="00191B47"/>
    <w:rsid w:val="001925FD"/>
    <w:rsid w:val="00197613"/>
    <w:rsid w:val="001976EC"/>
    <w:rsid w:val="001A3ACA"/>
    <w:rsid w:val="001A5829"/>
    <w:rsid w:val="001A5F6D"/>
    <w:rsid w:val="001A7E56"/>
    <w:rsid w:val="001B1666"/>
    <w:rsid w:val="001C0E45"/>
    <w:rsid w:val="001C3E3A"/>
    <w:rsid w:val="001C585A"/>
    <w:rsid w:val="001D12A3"/>
    <w:rsid w:val="001D3B94"/>
    <w:rsid w:val="001D75F7"/>
    <w:rsid w:val="001F3E4C"/>
    <w:rsid w:val="001F5CEB"/>
    <w:rsid w:val="001F7A9C"/>
    <w:rsid w:val="0020085E"/>
    <w:rsid w:val="002017CB"/>
    <w:rsid w:val="00210ADD"/>
    <w:rsid w:val="0023067A"/>
    <w:rsid w:val="00233DC7"/>
    <w:rsid w:val="0023405B"/>
    <w:rsid w:val="0023416F"/>
    <w:rsid w:val="0023549D"/>
    <w:rsid w:val="002437DE"/>
    <w:rsid w:val="00244DBF"/>
    <w:rsid w:val="00247779"/>
    <w:rsid w:val="002509F8"/>
    <w:rsid w:val="00254508"/>
    <w:rsid w:val="00255526"/>
    <w:rsid w:val="00257EC0"/>
    <w:rsid w:val="00262A48"/>
    <w:rsid w:val="002779C4"/>
    <w:rsid w:val="00281DFF"/>
    <w:rsid w:val="00281EED"/>
    <w:rsid w:val="00285BEE"/>
    <w:rsid w:val="00286E0D"/>
    <w:rsid w:val="00287E8A"/>
    <w:rsid w:val="0029018F"/>
    <w:rsid w:val="0029533F"/>
    <w:rsid w:val="00295640"/>
    <w:rsid w:val="00296FB6"/>
    <w:rsid w:val="002A1112"/>
    <w:rsid w:val="002B13A7"/>
    <w:rsid w:val="002B30AF"/>
    <w:rsid w:val="002D1715"/>
    <w:rsid w:val="002D2A57"/>
    <w:rsid w:val="002D3158"/>
    <w:rsid w:val="002D5743"/>
    <w:rsid w:val="002E242E"/>
    <w:rsid w:val="002E2907"/>
    <w:rsid w:val="002E73D3"/>
    <w:rsid w:val="002F27AB"/>
    <w:rsid w:val="003062AD"/>
    <w:rsid w:val="0030778E"/>
    <w:rsid w:val="00312482"/>
    <w:rsid w:val="0031447B"/>
    <w:rsid w:val="00314647"/>
    <w:rsid w:val="0031749A"/>
    <w:rsid w:val="00322AD7"/>
    <w:rsid w:val="0032654D"/>
    <w:rsid w:val="0033344A"/>
    <w:rsid w:val="003339F9"/>
    <w:rsid w:val="003347AC"/>
    <w:rsid w:val="00336FEB"/>
    <w:rsid w:val="00340D61"/>
    <w:rsid w:val="003456B3"/>
    <w:rsid w:val="00350CA0"/>
    <w:rsid w:val="00350CE0"/>
    <w:rsid w:val="003515E3"/>
    <w:rsid w:val="00353B24"/>
    <w:rsid w:val="003549C2"/>
    <w:rsid w:val="00363133"/>
    <w:rsid w:val="003651E9"/>
    <w:rsid w:val="00366EC2"/>
    <w:rsid w:val="003679D2"/>
    <w:rsid w:val="00370E10"/>
    <w:rsid w:val="0037577F"/>
    <w:rsid w:val="00377DBC"/>
    <w:rsid w:val="003831D3"/>
    <w:rsid w:val="00385789"/>
    <w:rsid w:val="003859D9"/>
    <w:rsid w:val="00387972"/>
    <w:rsid w:val="00387A4E"/>
    <w:rsid w:val="003950D1"/>
    <w:rsid w:val="00395DD3"/>
    <w:rsid w:val="003A026B"/>
    <w:rsid w:val="003A13B3"/>
    <w:rsid w:val="003A1ADE"/>
    <w:rsid w:val="003A2F49"/>
    <w:rsid w:val="003A7625"/>
    <w:rsid w:val="003B4DFC"/>
    <w:rsid w:val="003B7C04"/>
    <w:rsid w:val="003C1393"/>
    <w:rsid w:val="003C28F8"/>
    <w:rsid w:val="003C54DF"/>
    <w:rsid w:val="003D7046"/>
    <w:rsid w:val="003E54BE"/>
    <w:rsid w:val="003E5A43"/>
    <w:rsid w:val="003E73CF"/>
    <w:rsid w:val="003E79E4"/>
    <w:rsid w:val="00401265"/>
    <w:rsid w:val="00404366"/>
    <w:rsid w:val="0040777A"/>
    <w:rsid w:val="0041089E"/>
    <w:rsid w:val="004168ED"/>
    <w:rsid w:val="00417A47"/>
    <w:rsid w:val="0042042F"/>
    <w:rsid w:val="004218BF"/>
    <w:rsid w:val="0042326B"/>
    <w:rsid w:val="0042648E"/>
    <w:rsid w:val="00431333"/>
    <w:rsid w:val="004405D4"/>
    <w:rsid w:val="004405D5"/>
    <w:rsid w:val="0044395A"/>
    <w:rsid w:val="0045264C"/>
    <w:rsid w:val="00453D29"/>
    <w:rsid w:val="00455242"/>
    <w:rsid w:val="00455E54"/>
    <w:rsid w:val="00461EBE"/>
    <w:rsid w:val="00476490"/>
    <w:rsid w:val="00477EEF"/>
    <w:rsid w:val="00482546"/>
    <w:rsid w:val="00483506"/>
    <w:rsid w:val="00485B42"/>
    <w:rsid w:val="004866EF"/>
    <w:rsid w:val="00492CDB"/>
    <w:rsid w:val="004936D2"/>
    <w:rsid w:val="004A1712"/>
    <w:rsid w:val="004B1847"/>
    <w:rsid w:val="004B248F"/>
    <w:rsid w:val="004C015A"/>
    <w:rsid w:val="004C16BD"/>
    <w:rsid w:val="004D75E7"/>
    <w:rsid w:val="004E32EB"/>
    <w:rsid w:val="004F274C"/>
    <w:rsid w:val="00511EE1"/>
    <w:rsid w:val="0051233B"/>
    <w:rsid w:val="0051293F"/>
    <w:rsid w:val="00513C1C"/>
    <w:rsid w:val="00517347"/>
    <w:rsid w:val="00525087"/>
    <w:rsid w:val="00530FD2"/>
    <w:rsid w:val="00535056"/>
    <w:rsid w:val="00540A01"/>
    <w:rsid w:val="005422CD"/>
    <w:rsid w:val="00544046"/>
    <w:rsid w:val="0054414F"/>
    <w:rsid w:val="005507F3"/>
    <w:rsid w:val="0055181F"/>
    <w:rsid w:val="005564DA"/>
    <w:rsid w:val="005629BF"/>
    <w:rsid w:val="005650D7"/>
    <w:rsid w:val="0056625A"/>
    <w:rsid w:val="0057186C"/>
    <w:rsid w:val="0058101A"/>
    <w:rsid w:val="00582B2F"/>
    <w:rsid w:val="00594A0B"/>
    <w:rsid w:val="00596698"/>
    <w:rsid w:val="00597A46"/>
    <w:rsid w:val="005A1922"/>
    <w:rsid w:val="005A32DB"/>
    <w:rsid w:val="005A423C"/>
    <w:rsid w:val="005A598E"/>
    <w:rsid w:val="005B1EB6"/>
    <w:rsid w:val="005B37BB"/>
    <w:rsid w:val="005B50B9"/>
    <w:rsid w:val="005B5BB7"/>
    <w:rsid w:val="005B6996"/>
    <w:rsid w:val="005C0A02"/>
    <w:rsid w:val="005C2118"/>
    <w:rsid w:val="005D0FC0"/>
    <w:rsid w:val="005E2919"/>
    <w:rsid w:val="005E2C68"/>
    <w:rsid w:val="005E60AC"/>
    <w:rsid w:val="005E6CEC"/>
    <w:rsid w:val="005F65F6"/>
    <w:rsid w:val="00606E69"/>
    <w:rsid w:val="00606E9A"/>
    <w:rsid w:val="0061311B"/>
    <w:rsid w:val="006177ED"/>
    <w:rsid w:val="0062249A"/>
    <w:rsid w:val="00623F90"/>
    <w:rsid w:val="0063135D"/>
    <w:rsid w:val="00631DBC"/>
    <w:rsid w:val="00633FC1"/>
    <w:rsid w:val="00641E22"/>
    <w:rsid w:val="00642090"/>
    <w:rsid w:val="00642994"/>
    <w:rsid w:val="0065120D"/>
    <w:rsid w:val="00653241"/>
    <w:rsid w:val="006541B6"/>
    <w:rsid w:val="00664DB0"/>
    <w:rsid w:val="0067311B"/>
    <w:rsid w:val="00673D2F"/>
    <w:rsid w:val="0067477A"/>
    <w:rsid w:val="006758A6"/>
    <w:rsid w:val="00682E01"/>
    <w:rsid w:val="00682EF5"/>
    <w:rsid w:val="00684308"/>
    <w:rsid w:val="006866F6"/>
    <w:rsid w:val="00692BF4"/>
    <w:rsid w:val="0069583F"/>
    <w:rsid w:val="006A2F81"/>
    <w:rsid w:val="006A4344"/>
    <w:rsid w:val="006A7E7F"/>
    <w:rsid w:val="006B174B"/>
    <w:rsid w:val="006B3F48"/>
    <w:rsid w:val="006B76EE"/>
    <w:rsid w:val="006C107E"/>
    <w:rsid w:val="006C7EF4"/>
    <w:rsid w:val="006D4B5A"/>
    <w:rsid w:val="006D73C5"/>
    <w:rsid w:val="006F4E07"/>
    <w:rsid w:val="007021E5"/>
    <w:rsid w:val="00705404"/>
    <w:rsid w:val="00713C3F"/>
    <w:rsid w:val="00714D60"/>
    <w:rsid w:val="00715604"/>
    <w:rsid w:val="00720922"/>
    <w:rsid w:val="007241DB"/>
    <w:rsid w:val="00727B12"/>
    <w:rsid w:val="0073110B"/>
    <w:rsid w:val="00731D25"/>
    <w:rsid w:val="00737284"/>
    <w:rsid w:val="00750A27"/>
    <w:rsid w:val="007517F9"/>
    <w:rsid w:val="007571EF"/>
    <w:rsid w:val="00762310"/>
    <w:rsid w:val="00763746"/>
    <w:rsid w:val="0077027E"/>
    <w:rsid w:val="00773331"/>
    <w:rsid w:val="00775A38"/>
    <w:rsid w:val="0078205A"/>
    <w:rsid w:val="007915DD"/>
    <w:rsid w:val="007932EF"/>
    <w:rsid w:val="007947CD"/>
    <w:rsid w:val="0079660C"/>
    <w:rsid w:val="00797A55"/>
    <w:rsid w:val="007A2B54"/>
    <w:rsid w:val="007B1680"/>
    <w:rsid w:val="007C5FAB"/>
    <w:rsid w:val="007C726D"/>
    <w:rsid w:val="007D07F8"/>
    <w:rsid w:val="007D3199"/>
    <w:rsid w:val="007E05B0"/>
    <w:rsid w:val="007F21BA"/>
    <w:rsid w:val="007F2C9B"/>
    <w:rsid w:val="00802740"/>
    <w:rsid w:val="008053F0"/>
    <w:rsid w:val="00806AC4"/>
    <w:rsid w:val="00813BB0"/>
    <w:rsid w:val="00816AF2"/>
    <w:rsid w:val="008252C7"/>
    <w:rsid w:val="00833EDD"/>
    <w:rsid w:val="00835316"/>
    <w:rsid w:val="008354EE"/>
    <w:rsid w:val="00835827"/>
    <w:rsid w:val="00843E75"/>
    <w:rsid w:val="008450AE"/>
    <w:rsid w:val="00850815"/>
    <w:rsid w:val="0085236F"/>
    <w:rsid w:val="00854872"/>
    <w:rsid w:val="00855B08"/>
    <w:rsid w:val="00860478"/>
    <w:rsid w:val="00860CAB"/>
    <w:rsid w:val="00863925"/>
    <w:rsid w:val="00873053"/>
    <w:rsid w:val="00874D22"/>
    <w:rsid w:val="008767CB"/>
    <w:rsid w:val="00880D74"/>
    <w:rsid w:val="00883432"/>
    <w:rsid w:val="00885335"/>
    <w:rsid w:val="008959F6"/>
    <w:rsid w:val="008A2914"/>
    <w:rsid w:val="008A29AE"/>
    <w:rsid w:val="008B04C7"/>
    <w:rsid w:val="008C306E"/>
    <w:rsid w:val="008E2F96"/>
    <w:rsid w:val="008E4D8E"/>
    <w:rsid w:val="008E5E5A"/>
    <w:rsid w:val="008F1C03"/>
    <w:rsid w:val="008F608D"/>
    <w:rsid w:val="00907CDB"/>
    <w:rsid w:val="00911349"/>
    <w:rsid w:val="00912E63"/>
    <w:rsid w:val="0091314F"/>
    <w:rsid w:val="0091542E"/>
    <w:rsid w:val="009218FA"/>
    <w:rsid w:val="00925BDE"/>
    <w:rsid w:val="0093788D"/>
    <w:rsid w:val="0094296D"/>
    <w:rsid w:val="009532AE"/>
    <w:rsid w:val="00956FF7"/>
    <w:rsid w:val="009600CC"/>
    <w:rsid w:val="00964BBE"/>
    <w:rsid w:val="00965300"/>
    <w:rsid w:val="00970B74"/>
    <w:rsid w:val="00974DF7"/>
    <w:rsid w:val="009757D4"/>
    <w:rsid w:val="00990454"/>
    <w:rsid w:val="00990C77"/>
    <w:rsid w:val="0099246A"/>
    <w:rsid w:val="00993D57"/>
    <w:rsid w:val="009A564D"/>
    <w:rsid w:val="009B3BA6"/>
    <w:rsid w:val="009B59A3"/>
    <w:rsid w:val="009B5F19"/>
    <w:rsid w:val="009C2581"/>
    <w:rsid w:val="009C3C4B"/>
    <w:rsid w:val="009C4158"/>
    <w:rsid w:val="009D7CC5"/>
    <w:rsid w:val="009E7CCD"/>
    <w:rsid w:val="009F5286"/>
    <w:rsid w:val="00A00E08"/>
    <w:rsid w:val="00A032EC"/>
    <w:rsid w:val="00A03C1D"/>
    <w:rsid w:val="00A06C2A"/>
    <w:rsid w:val="00A10916"/>
    <w:rsid w:val="00A16C67"/>
    <w:rsid w:val="00A257BB"/>
    <w:rsid w:val="00A26F33"/>
    <w:rsid w:val="00A277A2"/>
    <w:rsid w:val="00A3007C"/>
    <w:rsid w:val="00A33F32"/>
    <w:rsid w:val="00A42580"/>
    <w:rsid w:val="00A60815"/>
    <w:rsid w:val="00A61048"/>
    <w:rsid w:val="00A64159"/>
    <w:rsid w:val="00A6493C"/>
    <w:rsid w:val="00A66884"/>
    <w:rsid w:val="00A66D6F"/>
    <w:rsid w:val="00A72477"/>
    <w:rsid w:val="00A82AEC"/>
    <w:rsid w:val="00A86799"/>
    <w:rsid w:val="00A902CE"/>
    <w:rsid w:val="00A9292A"/>
    <w:rsid w:val="00AA4575"/>
    <w:rsid w:val="00AA59F2"/>
    <w:rsid w:val="00AB04B1"/>
    <w:rsid w:val="00AB3DBA"/>
    <w:rsid w:val="00AB49C1"/>
    <w:rsid w:val="00AB609E"/>
    <w:rsid w:val="00AD5AEE"/>
    <w:rsid w:val="00AD68B3"/>
    <w:rsid w:val="00AE0AA4"/>
    <w:rsid w:val="00AF0E7F"/>
    <w:rsid w:val="00AF3908"/>
    <w:rsid w:val="00AF6D8F"/>
    <w:rsid w:val="00B01C59"/>
    <w:rsid w:val="00B03A67"/>
    <w:rsid w:val="00B06CD5"/>
    <w:rsid w:val="00B07292"/>
    <w:rsid w:val="00B07856"/>
    <w:rsid w:val="00B147F8"/>
    <w:rsid w:val="00B157F4"/>
    <w:rsid w:val="00B17BF3"/>
    <w:rsid w:val="00B266CD"/>
    <w:rsid w:val="00B40083"/>
    <w:rsid w:val="00B40452"/>
    <w:rsid w:val="00B43F84"/>
    <w:rsid w:val="00B43FD1"/>
    <w:rsid w:val="00B44E20"/>
    <w:rsid w:val="00B51E33"/>
    <w:rsid w:val="00B532F9"/>
    <w:rsid w:val="00B623D7"/>
    <w:rsid w:val="00B62D05"/>
    <w:rsid w:val="00B631D1"/>
    <w:rsid w:val="00B6359E"/>
    <w:rsid w:val="00B66C10"/>
    <w:rsid w:val="00B733ED"/>
    <w:rsid w:val="00B74101"/>
    <w:rsid w:val="00B779F5"/>
    <w:rsid w:val="00B81C00"/>
    <w:rsid w:val="00B86814"/>
    <w:rsid w:val="00B87C02"/>
    <w:rsid w:val="00B9067D"/>
    <w:rsid w:val="00B91D87"/>
    <w:rsid w:val="00B9223C"/>
    <w:rsid w:val="00BA3EDB"/>
    <w:rsid w:val="00BB24AD"/>
    <w:rsid w:val="00BB30A8"/>
    <w:rsid w:val="00BB394C"/>
    <w:rsid w:val="00BD0C86"/>
    <w:rsid w:val="00BD3C08"/>
    <w:rsid w:val="00BD7306"/>
    <w:rsid w:val="00BE09E6"/>
    <w:rsid w:val="00BF5D3A"/>
    <w:rsid w:val="00C05D4C"/>
    <w:rsid w:val="00C12301"/>
    <w:rsid w:val="00C128F6"/>
    <w:rsid w:val="00C14287"/>
    <w:rsid w:val="00C14919"/>
    <w:rsid w:val="00C20592"/>
    <w:rsid w:val="00C217F8"/>
    <w:rsid w:val="00C244F7"/>
    <w:rsid w:val="00C34CE4"/>
    <w:rsid w:val="00C351E8"/>
    <w:rsid w:val="00C433F1"/>
    <w:rsid w:val="00C44050"/>
    <w:rsid w:val="00C51BA3"/>
    <w:rsid w:val="00C531FB"/>
    <w:rsid w:val="00C62284"/>
    <w:rsid w:val="00C810C1"/>
    <w:rsid w:val="00CA4015"/>
    <w:rsid w:val="00CA41A1"/>
    <w:rsid w:val="00CA5B85"/>
    <w:rsid w:val="00CA7A64"/>
    <w:rsid w:val="00CB1D36"/>
    <w:rsid w:val="00CC1722"/>
    <w:rsid w:val="00CC22DF"/>
    <w:rsid w:val="00CC3012"/>
    <w:rsid w:val="00CC69E7"/>
    <w:rsid w:val="00CD5494"/>
    <w:rsid w:val="00CD6540"/>
    <w:rsid w:val="00CE46A6"/>
    <w:rsid w:val="00CF1373"/>
    <w:rsid w:val="00D05667"/>
    <w:rsid w:val="00D1131E"/>
    <w:rsid w:val="00D13242"/>
    <w:rsid w:val="00D17276"/>
    <w:rsid w:val="00D20381"/>
    <w:rsid w:val="00D23EA3"/>
    <w:rsid w:val="00D25736"/>
    <w:rsid w:val="00D274F9"/>
    <w:rsid w:val="00D30169"/>
    <w:rsid w:val="00D3026E"/>
    <w:rsid w:val="00D3331F"/>
    <w:rsid w:val="00D35A81"/>
    <w:rsid w:val="00D40676"/>
    <w:rsid w:val="00D43786"/>
    <w:rsid w:val="00D45CCF"/>
    <w:rsid w:val="00D46164"/>
    <w:rsid w:val="00D50174"/>
    <w:rsid w:val="00D507F3"/>
    <w:rsid w:val="00D53EFA"/>
    <w:rsid w:val="00D54AAC"/>
    <w:rsid w:val="00D5516B"/>
    <w:rsid w:val="00D611FB"/>
    <w:rsid w:val="00D614DF"/>
    <w:rsid w:val="00D62300"/>
    <w:rsid w:val="00D72D1D"/>
    <w:rsid w:val="00D74F63"/>
    <w:rsid w:val="00D807C8"/>
    <w:rsid w:val="00D810BE"/>
    <w:rsid w:val="00D81B8C"/>
    <w:rsid w:val="00D82F11"/>
    <w:rsid w:val="00D8537E"/>
    <w:rsid w:val="00D94093"/>
    <w:rsid w:val="00D94EBC"/>
    <w:rsid w:val="00D95160"/>
    <w:rsid w:val="00DA0406"/>
    <w:rsid w:val="00DA0DFC"/>
    <w:rsid w:val="00DA3916"/>
    <w:rsid w:val="00DA7ED9"/>
    <w:rsid w:val="00DA7F4E"/>
    <w:rsid w:val="00DB12DF"/>
    <w:rsid w:val="00DB1D6F"/>
    <w:rsid w:val="00DB5CDB"/>
    <w:rsid w:val="00DC6F83"/>
    <w:rsid w:val="00DD664E"/>
    <w:rsid w:val="00DE01C6"/>
    <w:rsid w:val="00DE6516"/>
    <w:rsid w:val="00DE6BD0"/>
    <w:rsid w:val="00DF0C86"/>
    <w:rsid w:val="00DF12F9"/>
    <w:rsid w:val="00DF5074"/>
    <w:rsid w:val="00E03917"/>
    <w:rsid w:val="00E247E3"/>
    <w:rsid w:val="00E24956"/>
    <w:rsid w:val="00E25C86"/>
    <w:rsid w:val="00E31727"/>
    <w:rsid w:val="00E342BC"/>
    <w:rsid w:val="00E409A7"/>
    <w:rsid w:val="00E44E60"/>
    <w:rsid w:val="00E50CB5"/>
    <w:rsid w:val="00E54E28"/>
    <w:rsid w:val="00E56CFC"/>
    <w:rsid w:val="00E57952"/>
    <w:rsid w:val="00E6054B"/>
    <w:rsid w:val="00E656BD"/>
    <w:rsid w:val="00E65EF8"/>
    <w:rsid w:val="00E667AD"/>
    <w:rsid w:val="00E70044"/>
    <w:rsid w:val="00E73828"/>
    <w:rsid w:val="00E8012A"/>
    <w:rsid w:val="00E80373"/>
    <w:rsid w:val="00E82903"/>
    <w:rsid w:val="00E849FD"/>
    <w:rsid w:val="00E93942"/>
    <w:rsid w:val="00E944E9"/>
    <w:rsid w:val="00EA0671"/>
    <w:rsid w:val="00EA0F20"/>
    <w:rsid w:val="00EA1E0E"/>
    <w:rsid w:val="00EA2A3D"/>
    <w:rsid w:val="00EB093C"/>
    <w:rsid w:val="00EB153F"/>
    <w:rsid w:val="00EB6497"/>
    <w:rsid w:val="00EC363A"/>
    <w:rsid w:val="00ED4328"/>
    <w:rsid w:val="00ED47FD"/>
    <w:rsid w:val="00EE196C"/>
    <w:rsid w:val="00EE3AF5"/>
    <w:rsid w:val="00EE4701"/>
    <w:rsid w:val="00EF0F1C"/>
    <w:rsid w:val="00EF3278"/>
    <w:rsid w:val="00EF3651"/>
    <w:rsid w:val="00EF6664"/>
    <w:rsid w:val="00F0474E"/>
    <w:rsid w:val="00F04858"/>
    <w:rsid w:val="00F05DA2"/>
    <w:rsid w:val="00F06159"/>
    <w:rsid w:val="00F12E21"/>
    <w:rsid w:val="00F13FDE"/>
    <w:rsid w:val="00F23106"/>
    <w:rsid w:val="00F23C72"/>
    <w:rsid w:val="00F26D99"/>
    <w:rsid w:val="00F2782D"/>
    <w:rsid w:val="00F42277"/>
    <w:rsid w:val="00F46278"/>
    <w:rsid w:val="00F51546"/>
    <w:rsid w:val="00F537F0"/>
    <w:rsid w:val="00F555BE"/>
    <w:rsid w:val="00F568B4"/>
    <w:rsid w:val="00F569A5"/>
    <w:rsid w:val="00F56A00"/>
    <w:rsid w:val="00F56FDC"/>
    <w:rsid w:val="00F641C2"/>
    <w:rsid w:val="00F72201"/>
    <w:rsid w:val="00F82989"/>
    <w:rsid w:val="00F85687"/>
    <w:rsid w:val="00F91A52"/>
    <w:rsid w:val="00F91F56"/>
    <w:rsid w:val="00FA1E9B"/>
    <w:rsid w:val="00FA2069"/>
    <w:rsid w:val="00FA2A07"/>
    <w:rsid w:val="00FA3905"/>
    <w:rsid w:val="00FA401C"/>
    <w:rsid w:val="00FA5BBE"/>
    <w:rsid w:val="00FA5FF3"/>
    <w:rsid w:val="00FB0C48"/>
    <w:rsid w:val="00FB3613"/>
    <w:rsid w:val="00FC38F8"/>
    <w:rsid w:val="00FC7A52"/>
    <w:rsid w:val="00FD27CE"/>
    <w:rsid w:val="00FE20C3"/>
    <w:rsid w:val="00FF0E45"/>
    <w:rsid w:val="00FF5114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795A6B5"/>
  <w15:docId w15:val="{AC7F3027-3104-4D98-B185-C6F433E9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3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cs-CZ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40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40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40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40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40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40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40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4">
    <w:name w:val="List Bullet 4"/>
    <w:basedOn w:val="Normal"/>
    <w:rsid w:val="00286E0D"/>
    <w:pPr>
      <w:numPr>
        <w:numId w:val="2"/>
      </w:numPr>
      <w:tabs>
        <w:tab w:val="num" w:pos="360"/>
      </w:tabs>
      <w:ind w:left="0" w:firstLine="0"/>
    </w:pPr>
    <w:rPr>
      <w:rFonts w:eastAsia="Times New Roman"/>
      <w:lang w:eastAsia="de-DE"/>
    </w:rPr>
  </w:style>
  <w:style w:type="paragraph" w:styleId="ListNumber">
    <w:name w:val="List Number"/>
    <w:basedOn w:val="Normal"/>
    <w:uiPriority w:val="30"/>
    <w:rsid w:val="00286E0D"/>
    <w:pPr>
      <w:numPr>
        <w:numId w:val="6"/>
      </w:numPr>
    </w:pPr>
    <w:rPr>
      <w:rFonts w:eastAsia="Times New Roman"/>
      <w:lang w:eastAsia="de-DE"/>
    </w:rPr>
  </w:style>
  <w:style w:type="paragraph" w:customStyle="1" w:styleId="ListBullet1">
    <w:name w:val="List Bullet 1"/>
    <w:basedOn w:val="Normal"/>
    <w:rsid w:val="00286E0D"/>
    <w:pPr>
      <w:numPr>
        <w:numId w:val="1"/>
      </w:numPr>
    </w:pPr>
    <w:rPr>
      <w:rFonts w:eastAsia="Times New Roman"/>
      <w:lang w:eastAsia="de-DE"/>
    </w:rPr>
  </w:style>
  <w:style w:type="paragraph" w:customStyle="1" w:styleId="ListDash">
    <w:name w:val="List Dash"/>
    <w:basedOn w:val="Normal"/>
    <w:rsid w:val="00286E0D"/>
    <w:pPr>
      <w:numPr>
        <w:numId w:val="3"/>
      </w:numPr>
    </w:pPr>
    <w:rPr>
      <w:rFonts w:eastAsia="Times New Roman"/>
      <w:lang w:eastAsia="de-DE"/>
    </w:rPr>
  </w:style>
  <w:style w:type="paragraph" w:customStyle="1" w:styleId="ListDash1">
    <w:name w:val="List Dash 1"/>
    <w:basedOn w:val="Normal"/>
    <w:rsid w:val="00286E0D"/>
    <w:pPr>
      <w:numPr>
        <w:numId w:val="4"/>
      </w:numPr>
    </w:pPr>
    <w:rPr>
      <w:rFonts w:eastAsia="Times New Roman"/>
      <w:lang w:eastAsia="de-DE"/>
    </w:rPr>
  </w:style>
  <w:style w:type="paragraph" w:customStyle="1" w:styleId="ListDash2">
    <w:name w:val="List Dash 2"/>
    <w:basedOn w:val="Normal"/>
    <w:rsid w:val="00286E0D"/>
    <w:pPr>
      <w:numPr>
        <w:numId w:val="5"/>
      </w:numPr>
    </w:pPr>
    <w:rPr>
      <w:rFonts w:eastAsia="Times New Roman"/>
      <w:lang w:eastAsia="de-DE"/>
    </w:rPr>
  </w:style>
  <w:style w:type="paragraph" w:customStyle="1" w:styleId="ListNumberLevel2">
    <w:name w:val="List Number (Level 2)"/>
    <w:basedOn w:val="Normal"/>
    <w:uiPriority w:val="30"/>
    <w:rsid w:val="00286E0D"/>
    <w:pPr>
      <w:numPr>
        <w:ilvl w:val="1"/>
        <w:numId w:val="6"/>
      </w:numPr>
    </w:pPr>
    <w:rPr>
      <w:rFonts w:eastAsia="Times New Roman"/>
      <w:lang w:eastAsia="de-DE"/>
    </w:rPr>
  </w:style>
  <w:style w:type="paragraph" w:customStyle="1" w:styleId="ListNumberLevel3">
    <w:name w:val="List Number (Level 3)"/>
    <w:basedOn w:val="Normal"/>
    <w:uiPriority w:val="30"/>
    <w:rsid w:val="00286E0D"/>
    <w:pPr>
      <w:numPr>
        <w:ilvl w:val="2"/>
        <w:numId w:val="6"/>
      </w:numPr>
    </w:pPr>
    <w:rPr>
      <w:rFonts w:eastAsia="Times New Roman"/>
      <w:lang w:eastAsia="de-DE"/>
    </w:rPr>
  </w:style>
  <w:style w:type="paragraph" w:customStyle="1" w:styleId="ListNumberLevel4">
    <w:name w:val="List Number (Level 4)"/>
    <w:basedOn w:val="Normal"/>
    <w:uiPriority w:val="30"/>
    <w:rsid w:val="00286E0D"/>
    <w:pPr>
      <w:numPr>
        <w:ilvl w:val="3"/>
        <w:numId w:val="6"/>
      </w:numPr>
    </w:pPr>
    <w:rPr>
      <w:rFonts w:eastAsia="Times New Roman"/>
      <w:lang w:eastAsia="de-DE"/>
    </w:rPr>
  </w:style>
  <w:style w:type="table" w:styleId="TableGrid">
    <w:name w:val="Table Grid"/>
    <w:basedOn w:val="TableNormal"/>
    <w:rsid w:val="00286E0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86E0D"/>
    <w:rPr>
      <w:color w:val="0000FF"/>
      <w:u w:val="single"/>
    </w:rPr>
  </w:style>
  <w:style w:type="paragraph" w:styleId="ListBullet">
    <w:name w:val="List Bullet"/>
    <w:basedOn w:val="Normal"/>
    <w:rsid w:val="00286E0D"/>
    <w:pPr>
      <w:numPr>
        <w:numId w:val="7"/>
      </w:numPr>
    </w:pPr>
    <w:rPr>
      <w:rFonts w:eastAsia="Times New Roman"/>
      <w:lang w:eastAsia="en-GB"/>
    </w:rPr>
  </w:style>
  <w:style w:type="paragraph" w:styleId="ListBullet2">
    <w:name w:val="List Bullet 2"/>
    <w:basedOn w:val="Normal"/>
    <w:rsid w:val="00286E0D"/>
    <w:pPr>
      <w:numPr>
        <w:numId w:val="8"/>
      </w:numPr>
    </w:pPr>
    <w:rPr>
      <w:rFonts w:eastAsia="Times New Roman"/>
      <w:lang w:eastAsia="en-GB"/>
    </w:rPr>
  </w:style>
  <w:style w:type="paragraph" w:styleId="ListBullet3">
    <w:name w:val="List Bullet 3"/>
    <w:basedOn w:val="Normal"/>
    <w:rsid w:val="00286E0D"/>
    <w:pPr>
      <w:numPr>
        <w:numId w:val="9"/>
      </w:numPr>
    </w:pPr>
    <w:rPr>
      <w:rFonts w:eastAsia="Times New Roman"/>
      <w:lang w:eastAsia="en-GB"/>
    </w:rPr>
  </w:style>
  <w:style w:type="paragraph" w:styleId="ListNumber2">
    <w:name w:val="List Number 2"/>
    <w:basedOn w:val="Normal"/>
    <w:rsid w:val="00286E0D"/>
    <w:pPr>
      <w:numPr>
        <w:numId w:val="13"/>
      </w:numPr>
    </w:pPr>
    <w:rPr>
      <w:rFonts w:eastAsia="Times New Roman"/>
      <w:lang w:eastAsia="en-GB"/>
    </w:rPr>
  </w:style>
  <w:style w:type="paragraph" w:styleId="ListNumber3">
    <w:name w:val="List Number 3"/>
    <w:basedOn w:val="Normal"/>
    <w:rsid w:val="00286E0D"/>
    <w:pPr>
      <w:numPr>
        <w:numId w:val="14"/>
      </w:numPr>
    </w:pPr>
    <w:rPr>
      <w:rFonts w:eastAsia="Times New Roman"/>
      <w:lang w:eastAsia="en-GB"/>
    </w:rPr>
  </w:style>
  <w:style w:type="paragraph" w:styleId="ListNumber4">
    <w:name w:val="List Number 4"/>
    <w:basedOn w:val="Normal"/>
    <w:rsid w:val="00286E0D"/>
    <w:pPr>
      <w:numPr>
        <w:numId w:val="15"/>
      </w:numPr>
    </w:pPr>
    <w:rPr>
      <w:rFonts w:eastAsia="Times New Roman"/>
      <w:lang w:eastAsia="en-GB"/>
    </w:rPr>
  </w:style>
  <w:style w:type="paragraph" w:customStyle="1" w:styleId="ListDash3">
    <w:name w:val="List Dash 3"/>
    <w:basedOn w:val="Normal"/>
    <w:rsid w:val="00286E0D"/>
    <w:pPr>
      <w:numPr>
        <w:numId w:val="10"/>
      </w:numPr>
    </w:pPr>
    <w:rPr>
      <w:rFonts w:eastAsia="Times New Roman"/>
      <w:lang w:eastAsia="en-GB"/>
    </w:rPr>
  </w:style>
  <w:style w:type="paragraph" w:customStyle="1" w:styleId="ListDash4">
    <w:name w:val="List Dash 4"/>
    <w:basedOn w:val="Normal"/>
    <w:rsid w:val="00286E0D"/>
    <w:pPr>
      <w:numPr>
        <w:numId w:val="11"/>
      </w:numPr>
    </w:pPr>
    <w:rPr>
      <w:rFonts w:eastAsia="Times New Roman"/>
      <w:lang w:eastAsia="en-GB"/>
    </w:rPr>
  </w:style>
  <w:style w:type="paragraph" w:customStyle="1" w:styleId="ListNumber1">
    <w:name w:val="List Number 1"/>
    <w:basedOn w:val="Text1"/>
    <w:rsid w:val="00286E0D"/>
    <w:pPr>
      <w:numPr>
        <w:numId w:val="12"/>
      </w:numPr>
    </w:pPr>
    <w:rPr>
      <w:rFonts w:eastAsia="Times New Roman"/>
      <w:lang w:eastAsia="en-GB"/>
    </w:rPr>
  </w:style>
  <w:style w:type="paragraph" w:customStyle="1" w:styleId="ListNumber1Level2">
    <w:name w:val="List Number 1 (Level 2)"/>
    <w:basedOn w:val="Text1"/>
    <w:rsid w:val="00286E0D"/>
    <w:pPr>
      <w:numPr>
        <w:ilvl w:val="1"/>
        <w:numId w:val="12"/>
      </w:numPr>
    </w:pPr>
    <w:rPr>
      <w:rFonts w:eastAsia="Times New Roman"/>
      <w:lang w:eastAsia="en-GB"/>
    </w:rPr>
  </w:style>
  <w:style w:type="paragraph" w:customStyle="1" w:styleId="ListNumber2Level2">
    <w:name w:val="List Number 2 (Level 2)"/>
    <w:basedOn w:val="Text2"/>
    <w:rsid w:val="00286E0D"/>
    <w:pPr>
      <w:numPr>
        <w:ilvl w:val="1"/>
        <w:numId w:val="13"/>
      </w:numPr>
    </w:pPr>
    <w:rPr>
      <w:rFonts w:eastAsia="Times New Roman"/>
      <w:lang w:eastAsia="en-GB"/>
    </w:rPr>
  </w:style>
  <w:style w:type="paragraph" w:customStyle="1" w:styleId="ListNumber3Level2">
    <w:name w:val="List Number 3 (Level 2)"/>
    <w:basedOn w:val="Text3"/>
    <w:rsid w:val="00286E0D"/>
    <w:pPr>
      <w:numPr>
        <w:ilvl w:val="1"/>
        <w:numId w:val="14"/>
      </w:numPr>
    </w:pPr>
    <w:rPr>
      <w:rFonts w:eastAsia="Times New Roman"/>
      <w:lang w:eastAsia="en-GB"/>
    </w:rPr>
  </w:style>
  <w:style w:type="paragraph" w:customStyle="1" w:styleId="ListNumber4Level2">
    <w:name w:val="List Number 4 (Level 2)"/>
    <w:basedOn w:val="Text4"/>
    <w:rsid w:val="00286E0D"/>
    <w:pPr>
      <w:numPr>
        <w:ilvl w:val="1"/>
        <w:numId w:val="15"/>
      </w:numPr>
    </w:pPr>
    <w:rPr>
      <w:rFonts w:eastAsia="Times New Roman"/>
      <w:lang w:eastAsia="en-GB"/>
    </w:rPr>
  </w:style>
  <w:style w:type="paragraph" w:customStyle="1" w:styleId="ListNumber1Level3">
    <w:name w:val="List Number 1 (Level 3)"/>
    <w:basedOn w:val="Text1"/>
    <w:rsid w:val="00286E0D"/>
    <w:pPr>
      <w:numPr>
        <w:ilvl w:val="2"/>
        <w:numId w:val="12"/>
      </w:numPr>
    </w:pPr>
    <w:rPr>
      <w:rFonts w:eastAsia="Times New Roman"/>
      <w:lang w:eastAsia="en-GB"/>
    </w:rPr>
  </w:style>
  <w:style w:type="paragraph" w:customStyle="1" w:styleId="ListNumber2Level3">
    <w:name w:val="List Number 2 (Level 3)"/>
    <w:basedOn w:val="Text2"/>
    <w:rsid w:val="00286E0D"/>
    <w:pPr>
      <w:numPr>
        <w:ilvl w:val="2"/>
        <w:numId w:val="13"/>
      </w:numPr>
    </w:pPr>
    <w:rPr>
      <w:rFonts w:eastAsia="Times New Roman"/>
      <w:lang w:eastAsia="en-GB"/>
    </w:rPr>
  </w:style>
  <w:style w:type="paragraph" w:customStyle="1" w:styleId="ListNumber3Level3">
    <w:name w:val="List Number 3 (Level 3)"/>
    <w:basedOn w:val="Text3"/>
    <w:rsid w:val="00286E0D"/>
    <w:pPr>
      <w:numPr>
        <w:ilvl w:val="2"/>
        <w:numId w:val="14"/>
      </w:numPr>
    </w:pPr>
    <w:rPr>
      <w:rFonts w:eastAsia="Times New Roman"/>
      <w:lang w:eastAsia="en-GB"/>
    </w:rPr>
  </w:style>
  <w:style w:type="paragraph" w:customStyle="1" w:styleId="ListNumber4Level3">
    <w:name w:val="List Number 4 (Level 3)"/>
    <w:basedOn w:val="Text4"/>
    <w:rsid w:val="00286E0D"/>
    <w:pPr>
      <w:numPr>
        <w:ilvl w:val="2"/>
        <w:numId w:val="15"/>
      </w:numPr>
    </w:pPr>
    <w:rPr>
      <w:rFonts w:eastAsia="Times New Roman"/>
      <w:lang w:eastAsia="en-GB"/>
    </w:rPr>
  </w:style>
  <w:style w:type="paragraph" w:customStyle="1" w:styleId="ListNumber1Level4">
    <w:name w:val="List Number 1 (Level 4)"/>
    <w:basedOn w:val="Text1"/>
    <w:rsid w:val="00286E0D"/>
    <w:pPr>
      <w:numPr>
        <w:ilvl w:val="3"/>
        <w:numId w:val="12"/>
      </w:numPr>
    </w:pPr>
    <w:rPr>
      <w:rFonts w:eastAsia="Times New Roman"/>
      <w:lang w:eastAsia="en-GB"/>
    </w:rPr>
  </w:style>
  <w:style w:type="paragraph" w:customStyle="1" w:styleId="ListNumber2Level4">
    <w:name w:val="List Number 2 (Level 4)"/>
    <w:basedOn w:val="Text2"/>
    <w:rsid w:val="00286E0D"/>
    <w:pPr>
      <w:numPr>
        <w:ilvl w:val="3"/>
        <w:numId w:val="13"/>
      </w:numPr>
    </w:pPr>
    <w:rPr>
      <w:rFonts w:eastAsia="Times New Roman"/>
      <w:lang w:eastAsia="en-GB"/>
    </w:rPr>
  </w:style>
  <w:style w:type="paragraph" w:customStyle="1" w:styleId="ListNumber3Level4">
    <w:name w:val="List Number 3 (Level 4)"/>
    <w:basedOn w:val="Text3"/>
    <w:rsid w:val="00286E0D"/>
    <w:pPr>
      <w:numPr>
        <w:ilvl w:val="3"/>
        <w:numId w:val="14"/>
      </w:numPr>
    </w:pPr>
    <w:rPr>
      <w:rFonts w:eastAsia="Times New Roman"/>
      <w:lang w:eastAsia="en-GB"/>
    </w:rPr>
  </w:style>
  <w:style w:type="paragraph" w:customStyle="1" w:styleId="ListNumber4Level4">
    <w:name w:val="List Number 4 (Level 4)"/>
    <w:basedOn w:val="Text4"/>
    <w:rsid w:val="00286E0D"/>
    <w:pPr>
      <w:numPr>
        <w:ilvl w:val="3"/>
        <w:numId w:val="15"/>
      </w:numPr>
    </w:pPr>
    <w:rPr>
      <w:rFonts w:eastAsia="Times New Roman"/>
      <w:lang w:eastAsia="en-GB"/>
    </w:rPr>
  </w:style>
  <w:style w:type="paragraph" w:customStyle="1" w:styleId="Annexetitreacte">
    <w:name w:val="Annexe titre (acte)"/>
    <w:basedOn w:val="Normal"/>
    <w:next w:val="Normal"/>
    <w:rsid w:val="00286E0D"/>
    <w:pPr>
      <w:jc w:val="center"/>
    </w:pPr>
    <w:rPr>
      <w:rFonts w:eastAsia="Times New Roman"/>
      <w:b/>
      <w:u w:val="single"/>
      <w:lang w:eastAsia="en-GB"/>
    </w:rPr>
  </w:style>
  <w:style w:type="paragraph" w:customStyle="1" w:styleId="Annexetitreexposglobal">
    <w:name w:val="Annexe titre (exposé global)"/>
    <w:basedOn w:val="Normal"/>
    <w:next w:val="Normal"/>
    <w:rsid w:val="00286E0D"/>
    <w:pPr>
      <w:jc w:val="center"/>
    </w:pPr>
    <w:rPr>
      <w:rFonts w:eastAsia="Times New Roman"/>
      <w:b/>
      <w:u w:val="single"/>
      <w:lang w:eastAsia="en-GB"/>
    </w:rPr>
  </w:style>
  <w:style w:type="paragraph" w:customStyle="1" w:styleId="Annexetitrefichefinacte">
    <w:name w:val="Annexe titre (fiche fin. acte)"/>
    <w:basedOn w:val="Normal"/>
    <w:next w:val="Normal"/>
    <w:rsid w:val="00286E0D"/>
    <w:pPr>
      <w:jc w:val="center"/>
    </w:pPr>
    <w:rPr>
      <w:rFonts w:eastAsia="Times New Roman"/>
      <w:b/>
      <w:u w:val="single"/>
      <w:lang w:eastAsia="en-GB"/>
    </w:rPr>
  </w:style>
  <w:style w:type="paragraph" w:customStyle="1" w:styleId="Annexetitrefichefinglobale">
    <w:name w:val="Annexe titre (fiche fin. globale)"/>
    <w:basedOn w:val="Normal"/>
    <w:next w:val="Normal"/>
    <w:rsid w:val="00286E0D"/>
    <w:pPr>
      <w:jc w:val="center"/>
    </w:pPr>
    <w:rPr>
      <w:rFonts w:eastAsia="Times New Roman"/>
      <w:b/>
      <w:u w:val="single"/>
      <w:lang w:eastAsia="en-GB"/>
    </w:rPr>
  </w:style>
  <w:style w:type="paragraph" w:customStyle="1" w:styleId="Annexetitreglobale">
    <w:name w:val="Annexe titre (globale)"/>
    <w:basedOn w:val="Normal"/>
    <w:next w:val="Normal"/>
    <w:rsid w:val="00286E0D"/>
    <w:pPr>
      <w:jc w:val="center"/>
    </w:pPr>
    <w:rPr>
      <w:rFonts w:eastAsia="Times New Roman"/>
      <w:b/>
      <w:u w:val="single"/>
      <w:lang w:eastAsia="en-GB"/>
    </w:rPr>
  </w:style>
  <w:style w:type="paragraph" w:customStyle="1" w:styleId="Exposdesmotifstitreglobal">
    <w:name w:val="Exposé des motifs titre (global)"/>
    <w:basedOn w:val="Normal"/>
    <w:next w:val="Normal"/>
    <w:rsid w:val="00286E0D"/>
    <w:pPr>
      <w:jc w:val="center"/>
    </w:pPr>
    <w:rPr>
      <w:rFonts w:eastAsia="Times New Roman"/>
      <w:b/>
      <w:u w:val="single"/>
      <w:lang w:eastAsia="en-GB"/>
    </w:rPr>
  </w:style>
  <w:style w:type="paragraph" w:customStyle="1" w:styleId="Langueoriginale">
    <w:name w:val="Langue originale"/>
    <w:basedOn w:val="Normal"/>
    <w:rsid w:val="00286E0D"/>
    <w:pPr>
      <w:spacing w:before="360"/>
      <w:jc w:val="center"/>
    </w:pPr>
    <w:rPr>
      <w:rFonts w:eastAsia="Times New Roman"/>
      <w:caps/>
      <w:lang w:eastAsia="en-GB"/>
    </w:rPr>
  </w:style>
  <w:style w:type="paragraph" w:customStyle="1" w:styleId="Phrasefinale">
    <w:name w:val="Phrase finale"/>
    <w:basedOn w:val="Normal"/>
    <w:next w:val="Normal"/>
    <w:rsid w:val="00286E0D"/>
    <w:pPr>
      <w:spacing w:before="360" w:after="0"/>
      <w:jc w:val="center"/>
    </w:pPr>
    <w:rPr>
      <w:rFonts w:eastAsia="Times New Roman"/>
      <w:lang w:eastAsia="en-GB"/>
    </w:rPr>
  </w:style>
  <w:style w:type="paragraph" w:customStyle="1" w:styleId="Prliminairetitre">
    <w:name w:val="Préliminaire titre"/>
    <w:basedOn w:val="Normal"/>
    <w:next w:val="Normal"/>
    <w:rsid w:val="00286E0D"/>
    <w:pPr>
      <w:spacing w:before="360" w:after="360"/>
      <w:jc w:val="center"/>
    </w:pPr>
    <w:rPr>
      <w:rFonts w:eastAsia="Times New Roman"/>
      <w:b/>
      <w:lang w:eastAsia="en-GB"/>
    </w:rPr>
  </w:style>
  <w:style w:type="paragraph" w:customStyle="1" w:styleId="Prliminairetype">
    <w:name w:val="Préliminaire type"/>
    <w:basedOn w:val="Normal"/>
    <w:next w:val="Normal"/>
    <w:rsid w:val="00286E0D"/>
    <w:pPr>
      <w:spacing w:before="360" w:after="0"/>
      <w:jc w:val="center"/>
    </w:pPr>
    <w:rPr>
      <w:rFonts w:eastAsia="Times New Roman"/>
      <w:b/>
      <w:lang w:eastAsia="en-GB"/>
    </w:rPr>
  </w:style>
  <w:style w:type="paragraph" w:customStyle="1" w:styleId="Rfrenceinstitutionelle">
    <w:name w:val="Référence institutionelle"/>
    <w:basedOn w:val="Normal"/>
    <w:next w:val="Statut"/>
    <w:rsid w:val="00286E0D"/>
    <w:pPr>
      <w:spacing w:before="0" w:after="240"/>
      <w:ind w:left="5103"/>
      <w:jc w:val="left"/>
    </w:pPr>
    <w:rPr>
      <w:rFonts w:eastAsia="Times New Roman"/>
      <w:lang w:eastAsia="en-GB"/>
    </w:rPr>
  </w:style>
  <w:style w:type="paragraph" w:customStyle="1" w:styleId="Rfrenceinterinstitutionelle">
    <w:name w:val="Référence interinstitutionelle"/>
    <w:basedOn w:val="Normal"/>
    <w:next w:val="Statut"/>
    <w:rsid w:val="00286E0D"/>
    <w:pPr>
      <w:spacing w:before="0" w:after="0"/>
      <w:ind w:left="5103"/>
      <w:jc w:val="left"/>
    </w:pPr>
    <w:rPr>
      <w:rFonts w:eastAsia="Times New Roman"/>
      <w:lang w:eastAsia="en-GB"/>
    </w:rPr>
  </w:style>
  <w:style w:type="paragraph" w:customStyle="1" w:styleId="Rfrenceinterinstitutionelleprliminaire">
    <w:name w:val="Référence interinstitutionelle (préliminaire)"/>
    <w:basedOn w:val="Normal"/>
    <w:next w:val="Normal"/>
    <w:rsid w:val="00286E0D"/>
    <w:pPr>
      <w:spacing w:before="0" w:after="0"/>
      <w:ind w:left="5103"/>
      <w:jc w:val="left"/>
    </w:pPr>
    <w:rPr>
      <w:rFonts w:eastAsia="Times New Roman"/>
      <w:lang w:eastAsia="en-GB"/>
    </w:rPr>
  </w:style>
  <w:style w:type="paragraph" w:customStyle="1" w:styleId="Sous-titreobjetprliminaire">
    <w:name w:val="Sous-titre objet (préliminaire)"/>
    <w:basedOn w:val="Normal"/>
    <w:rsid w:val="00286E0D"/>
    <w:pPr>
      <w:spacing w:before="0" w:after="0"/>
      <w:jc w:val="center"/>
    </w:pPr>
    <w:rPr>
      <w:rFonts w:eastAsia="Times New Roman"/>
      <w:b/>
      <w:lang w:eastAsia="en-GB"/>
    </w:rPr>
  </w:style>
  <w:style w:type="paragraph" w:customStyle="1" w:styleId="Statutprliminaire">
    <w:name w:val="Statut (préliminaire)"/>
    <w:basedOn w:val="Normal"/>
    <w:next w:val="Normal"/>
    <w:rsid w:val="00286E0D"/>
    <w:pPr>
      <w:spacing w:before="360" w:after="0"/>
      <w:jc w:val="center"/>
    </w:pPr>
    <w:rPr>
      <w:rFonts w:eastAsia="Times New Roman"/>
      <w:lang w:eastAsia="en-GB"/>
    </w:rPr>
  </w:style>
  <w:style w:type="paragraph" w:customStyle="1" w:styleId="Titreobjetprliminaire">
    <w:name w:val="Titre objet (préliminaire)"/>
    <w:basedOn w:val="Normal"/>
    <w:next w:val="Normal"/>
    <w:rsid w:val="00286E0D"/>
    <w:pPr>
      <w:spacing w:before="360" w:after="360"/>
      <w:jc w:val="center"/>
    </w:pPr>
    <w:rPr>
      <w:rFonts w:eastAsia="Times New Roman"/>
      <w:b/>
      <w:lang w:eastAsia="en-GB"/>
    </w:rPr>
  </w:style>
  <w:style w:type="paragraph" w:customStyle="1" w:styleId="Typedudocumentprliminaire">
    <w:name w:val="Type du document (préliminaire)"/>
    <w:basedOn w:val="Normal"/>
    <w:next w:val="Normal"/>
    <w:rsid w:val="00286E0D"/>
    <w:pPr>
      <w:spacing w:before="360" w:after="0"/>
      <w:jc w:val="center"/>
    </w:pPr>
    <w:rPr>
      <w:rFonts w:eastAsia="Times New Roman"/>
      <w:b/>
      <w:lang w:eastAsia="en-GB"/>
    </w:rPr>
  </w:style>
  <w:style w:type="paragraph" w:customStyle="1" w:styleId="Fichefinancirestandardtitre">
    <w:name w:val="Fiche financière (standard) titre"/>
    <w:basedOn w:val="Normal"/>
    <w:next w:val="Normal"/>
    <w:rsid w:val="00286E0D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standardtitreacte">
    <w:name w:val="Fiche financière (standard) titre (acte)"/>
    <w:basedOn w:val="Normal"/>
    <w:next w:val="Normal"/>
    <w:rsid w:val="00286E0D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travailtitre">
    <w:name w:val="Fiche financière (travail) titre"/>
    <w:basedOn w:val="Normal"/>
    <w:next w:val="Normal"/>
    <w:rsid w:val="00286E0D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travailtitreacte">
    <w:name w:val="Fiche financière (travail) titre (acte)"/>
    <w:basedOn w:val="Normal"/>
    <w:next w:val="Normal"/>
    <w:rsid w:val="00286E0D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attributiontitre">
    <w:name w:val="Fiche financière (attribution) titre"/>
    <w:basedOn w:val="Normal"/>
    <w:next w:val="Normal"/>
    <w:rsid w:val="00286E0D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attributiontitreacte">
    <w:name w:val="Fiche financière (attribution) titre (acte)"/>
    <w:basedOn w:val="Normal"/>
    <w:next w:val="Normal"/>
    <w:rsid w:val="00286E0D"/>
    <w:pPr>
      <w:jc w:val="center"/>
    </w:pPr>
    <w:rPr>
      <w:rFonts w:eastAsia="Times New Roman"/>
      <w:b/>
      <w:u w:val="single"/>
      <w:lang w:eastAsia="en-GB"/>
    </w:rPr>
  </w:style>
  <w:style w:type="character" w:styleId="CommentReference">
    <w:name w:val="annotation reference"/>
    <w:uiPriority w:val="99"/>
    <w:rsid w:val="00286E0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86E0D"/>
    <w:rPr>
      <w:rFonts w:eastAsia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6E0D"/>
    <w:rPr>
      <w:rFonts w:ascii="Times New Roman" w:eastAsia="Times New Roman" w:hAnsi="Times New Roman" w:cs="Times New Roman"/>
      <w:sz w:val="20"/>
      <w:szCs w:val="20"/>
      <w:lang w:val="cs-CZ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286E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6E0D"/>
    <w:rPr>
      <w:rFonts w:ascii="Times New Roman" w:eastAsia="Times New Roman" w:hAnsi="Times New Roman" w:cs="Times New Roman"/>
      <w:b/>
      <w:bCs/>
      <w:sz w:val="20"/>
      <w:szCs w:val="20"/>
      <w:lang w:val="cs-CZ" w:eastAsia="en-GB"/>
    </w:rPr>
  </w:style>
  <w:style w:type="paragraph" w:styleId="BalloonText">
    <w:name w:val="Balloon Text"/>
    <w:basedOn w:val="Normal"/>
    <w:link w:val="BalloonTextChar"/>
    <w:rsid w:val="00286E0D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rsid w:val="00286E0D"/>
    <w:rPr>
      <w:rFonts w:ascii="Tahoma" w:eastAsia="Times New Roman" w:hAnsi="Tahoma" w:cs="Tahoma"/>
      <w:sz w:val="16"/>
      <w:szCs w:val="16"/>
      <w:lang w:val="cs-CZ" w:eastAsia="en-GB"/>
    </w:rPr>
  </w:style>
  <w:style w:type="paragraph" w:styleId="Caption">
    <w:name w:val="caption"/>
    <w:basedOn w:val="Normal"/>
    <w:next w:val="Normal"/>
    <w:qFormat/>
    <w:rsid w:val="00286E0D"/>
    <w:rPr>
      <w:rFonts w:eastAsia="Times New Roman"/>
      <w:b/>
      <w:bCs/>
      <w:sz w:val="20"/>
      <w:szCs w:val="20"/>
      <w:lang w:eastAsia="en-GB"/>
    </w:rPr>
  </w:style>
  <w:style w:type="paragraph" w:styleId="TableofFigures">
    <w:name w:val="table of figures"/>
    <w:basedOn w:val="Normal"/>
    <w:next w:val="Normal"/>
    <w:rsid w:val="00286E0D"/>
    <w:rPr>
      <w:rFonts w:eastAsia="Times New Roman"/>
      <w:lang w:eastAsia="en-GB"/>
    </w:rPr>
  </w:style>
  <w:style w:type="character" w:styleId="PageNumber">
    <w:name w:val="page number"/>
    <w:rsid w:val="00286E0D"/>
  </w:style>
  <w:style w:type="character" w:customStyle="1" w:styleId="tw4winMark">
    <w:name w:val="tw4winMark"/>
    <w:rsid w:val="00286E0D"/>
    <w:rPr>
      <w:vanish/>
      <w:color w:val="800080"/>
      <w:vertAlign w:val="subscript"/>
    </w:rPr>
  </w:style>
  <w:style w:type="character" w:styleId="FollowedHyperlink">
    <w:name w:val="FollowedHyperlink"/>
    <w:rsid w:val="00286E0D"/>
    <w:rPr>
      <w:color w:val="800080"/>
      <w:u w:val="single"/>
    </w:rPr>
  </w:style>
  <w:style w:type="paragraph" w:customStyle="1" w:styleId="Sous-titreobjet">
    <w:name w:val="Sous-titre objet"/>
    <w:basedOn w:val="Normal"/>
    <w:rsid w:val="00286E0D"/>
    <w:pPr>
      <w:spacing w:before="0" w:after="0"/>
      <w:jc w:val="center"/>
    </w:pPr>
    <w:rPr>
      <w:rFonts w:eastAsia="Times New Roman"/>
      <w:b/>
      <w:lang w:eastAsia="en-GB"/>
    </w:rPr>
  </w:style>
  <w:style w:type="paragraph" w:customStyle="1" w:styleId="Sous-titreobjetPagedecouverture">
    <w:name w:val="Sous-titre objet (Page de couverture)"/>
    <w:basedOn w:val="Sous-titreobjet"/>
    <w:rsid w:val="00286E0D"/>
  </w:style>
  <w:style w:type="paragraph" w:styleId="Revision">
    <w:name w:val="Revision"/>
    <w:hidden/>
    <w:uiPriority w:val="99"/>
    <w:semiHidden/>
    <w:rsid w:val="00286E0D"/>
    <w:rPr>
      <w:rFonts w:ascii="Calibri" w:eastAsia="Calibri" w:hAnsi="Calibri" w:cs="Times New Roman"/>
      <w:sz w:val="24"/>
      <w:lang w:eastAsia="en-GB"/>
    </w:rPr>
  </w:style>
  <w:style w:type="paragraph" w:customStyle="1" w:styleId="FooterCoverPage">
    <w:name w:val="Footer Cover Page"/>
    <w:basedOn w:val="Normal"/>
    <w:link w:val="FooterCoverPageChar"/>
    <w:rsid w:val="00286E0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rFonts w:eastAsia="Calibri"/>
      <w:lang w:eastAsia="en-GB"/>
    </w:rPr>
  </w:style>
  <w:style w:type="character" w:customStyle="1" w:styleId="TOCHeadingChar">
    <w:name w:val="TOC Heading Char"/>
    <w:uiPriority w:val="39"/>
    <w:rsid w:val="00286E0D"/>
    <w:rPr>
      <w:rFonts w:ascii="Times New Roman" w:hAnsi="Times New Roman" w:cs="Times New Roman"/>
      <w:b/>
      <w:sz w:val="28"/>
      <w:lang w:val="cs-CZ"/>
    </w:rPr>
  </w:style>
  <w:style w:type="character" w:customStyle="1" w:styleId="FooterCoverPageChar">
    <w:name w:val="Footer Cover Page Char"/>
    <w:link w:val="FooterCoverPage"/>
    <w:rsid w:val="00286E0D"/>
    <w:rPr>
      <w:rFonts w:ascii="Times New Roman" w:eastAsia="Calibri" w:hAnsi="Times New Roman" w:cs="Times New Roman"/>
      <w:sz w:val="24"/>
      <w:lang w:val="cs-CZ" w:eastAsia="en-GB"/>
    </w:rPr>
  </w:style>
  <w:style w:type="paragraph" w:customStyle="1" w:styleId="HeaderCoverPage">
    <w:name w:val="Header Cover Page"/>
    <w:basedOn w:val="Normal"/>
    <w:link w:val="HeaderCoverPageChar"/>
    <w:rsid w:val="00286E0D"/>
    <w:pPr>
      <w:tabs>
        <w:tab w:val="center" w:pos="4535"/>
        <w:tab w:val="right" w:pos="9071"/>
      </w:tabs>
      <w:spacing w:before="0"/>
    </w:pPr>
    <w:rPr>
      <w:rFonts w:eastAsia="Calibri"/>
      <w:lang w:eastAsia="en-GB"/>
    </w:rPr>
  </w:style>
  <w:style w:type="character" w:customStyle="1" w:styleId="HeaderCoverPageChar">
    <w:name w:val="Header Cover Page Char"/>
    <w:link w:val="HeaderCoverPage"/>
    <w:rsid w:val="00286E0D"/>
    <w:rPr>
      <w:rFonts w:ascii="Times New Roman" w:eastAsia="Calibri" w:hAnsi="Times New Roman" w:cs="Times New Roman"/>
      <w:sz w:val="24"/>
      <w:lang w:val="cs-CZ" w:eastAsia="en-GB"/>
    </w:rPr>
  </w:style>
  <w:style w:type="character" w:customStyle="1" w:styleId="FooterSensitivityChar">
    <w:name w:val="Footer Sensitivity Char"/>
    <w:rsid w:val="00286E0D"/>
    <w:rPr>
      <w:rFonts w:ascii="Times New Roman" w:hAnsi="Times New Roman" w:cs="Times New Roman"/>
      <w:b/>
      <w:sz w:val="32"/>
      <w:lang w:val="cs-CZ"/>
    </w:rPr>
  </w:style>
  <w:style w:type="character" w:customStyle="1" w:styleId="HeaderSensitivityChar">
    <w:name w:val="Header Sensitivity Char"/>
    <w:rsid w:val="00286E0D"/>
    <w:rPr>
      <w:rFonts w:ascii="Times New Roman" w:hAnsi="Times New Roman" w:cs="Times New Roman"/>
      <w:b/>
      <w:sz w:val="32"/>
      <w:lang w:val="cs-CZ"/>
    </w:rPr>
  </w:style>
  <w:style w:type="character" w:customStyle="1" w:styleId="HeaderSensitivityRightChar">
    <w:name w:val="Header Sensitivity Right Char"/>
    <w:rsid w:val="00286E0D"/>
    <w:rPr>
      <w:rFonts w:ascii="Times New Roman" w:hAnsi="Times New Roman" w:cs="Times New Roman"/>
      <w:sz w:val="28"/>
      <w:lang w:val="cs-CZ"/>
    </w:rPr>
  </w:style>
  <w:style w:type="paragraph" w:customStyle="1" w:styleId="LegalNumPar">
    <w:name w:val="LegalNumPar"/>
    <w:basedOn w:val="Normal"/>
    <w:rsid w:val="00286E0D"/>
    <w:pPr>
      <w:numPr>
        <w:numId w:val="16"/>
      </w:numPr>
      <w:spacing w:line="360" w:lineRule="auto"/>
    </w:pPr>
    <w:rPr>
      <w:rFonts w:eastAsia="Times New Roman"/>
      <w:lang w:eastAsia="en-GB"/>
    </w:rPr>
  </w:style>
  <w:style w:type="paragraph" w:customStyle="1" w:styleId="LegalNumPar2">
    <w:name w:val="LegalNumPar2"/>
    <w:basedOn w:val="Normal"/>
    <w:rsid w:val="00286E0D"/>
    <w:pPr>
      <w:numPr>
        <w:ilvl w:val="1"/>
        <w:numId w:val="16"/>
      </w:numPr>
      <w:spacing w:line="360" w:lineRule="auto"/>
    </w:pPr>
    <w:rPr>
      <w:rFonts w:eastAsia="Times New Roman"/>
      <w:lang w:eastAsia="en-GB"/>
    </w:rPr>
  </w:style>
  <w:style w:type="paragraph" w:customStyle="1" w:styleId="LegalNumPar3">
    <w:name w:val="LegalNumPar3"/>
    <w:basedOn w:val="Normal"/>
    <w:rsid w:val="00286E0D"/>
    <w:pPr>
      <w:numPr>
        <w:ilvl w:val="2"/>
        <w:numId w:val="16"/>
      </w:numPr>
      <w:spacing w:line="360" w:lineRule="auto"/>
    </w:pPr>
    <w:rPr>
      <w:rFonts w:eastAsia="Times New Roman"/>
      <w:lang w:eastAsia="en-GB"/>
    </w:rPr>
  </w:style>
  <w:style w:type="paragraph" w:styleId="ListParagraph">
    <w:name w:val="List Paragraph"/>
    <w:basedOn w:val="Normal"/>
    <w:uiPriority w:val="34"/>
    <w:qFormat/>
    <w:rsid w:val="00286E0D"/>
    <w:pPr>
      <w:ind w:left="720"/>
      <w:contextualSpacing/>
    </w:pPr>
    <w:rPr>
      <w:rFonts w:eastAsia="Times New Roman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6E0D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286E0D"/>
    <w:rPr>
      <w:b/>
      <w:bCs/>
    </w:rPr>
  </w:style>
  <w:style w:type="character" w:styleId="Emphasis">
    <w:name w:val="Emphasis"/>
    <w:basedOn w:val="DefaultParagraphFont"/>
    <w:qFormat/>
    <w:rsid w:val="00286E0D"/>
    <w:rPr>
      <w:i/>
      <w:iCs/>
    </w:rPr>
  </w:style>
  <w:style w:type="character" w:customStyle="1" w:styleId="Mention1">
    <w:name w:val="Mention1"/>
    <w:basedOn w:val="DefaultParagraphFont"/>
    <w:uiPriority w:val="99"/>
    <w:unhideWhenUsed/>
    <w:rsid w:val="00286E0D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286E0D"/>
  </w:style>
  <w:style w:type="character" w:customStyle="1" w:styleId="eop">
    <w:name w:val="eop"/>
    <w:basedOn w:val="DefaultParagraphFont"/>
    <w:rsid w:val="00286E0D"/>
  </w:style>
  <w:style w:type="paragraph" w:customStyle="1" w:styleId="paragraph">
    <w:name w:val="paragraph"/>
    <w:basedOn w:val="Normal"/>
    <w:rsid w:val="00286E0D"/>
    <w:pPr>
      <w:spacing w:before="100" w:beforeAutospacing="1" w:after="100" w:afterAutospacing="1"/>
      <w:jc w:val="left"/>
    </w:pPr>
    <w:rPr>
      <w:rFonts w:eastAsia="Times New Roman"/>
      <w:szCs w:val="24"/>
      <w:lang w:eastAsia="en-IE"/>
    </w:rPr>
  </w:style>
  <w:style w:type="character" w:customStyle="1" w:styleId="Instructions">
    <w:name w:val="Instructions"/>
    <w:basedOn w:val="SubtleEmphasis"/>
    <w:uiPriority w:val="1"/>
    <w:qFormat/>
    <w:rsid w:val="00286E0D"/>
    <w:rPr>
      <w:rFonts w:ascii="Times New Roman" w:eastAsia="Times New Roman" w:hAnsi="Times New Roman" w:cstheme="majorHAnsi" w:hint="default"/>
      <w:i/>
      <w:iCs/>
      <w:color w:val="008000"/>
      <w:kern w:val="0"/>
      <w:sz w:val="24"/>
      <w:szCs w:val="20"/>
      <w:lang w:val="cs-CZ" w:eastAsia="en-IE"/>
      <w14:ligatures w14:val="none"/>
    </w:rPr>
  </w:style>
  <w:style w:type="character" w:styleId="SubtleEmphasis">
    <w:name w:val="Subtle Emphasis"/>
    <w:basedOn w:val="DefaultParagraphFont"/>
    <w:uiPriority w:val="19"/>
    <w:qFormat/>
    <w:rsid w:val="00286E0D"/>
    <w:rPr>
      <w:i/>
      <w:iCs/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rsid w:val="00713C3F"/>
    <w:rPr>
      <w:rFonts w:ascii="Times New Roman" w:hAnsi="Times New Roman" w:cs="Times New Roman"/>
      <w:sz w:val="24"/>
      <w:lang w:val="cs-CZ"/>
    </w:rPr>
  </w:style>
  <w:style w:type="character" w:customStyle="1" w:styleId="FooterChar">
    <w:name w:val="Footer Char"/>
    <w:basedOn w:val="DefaultParagraphFont"/>
    <w:link w:val="Footer"/>
    <w:uiPriority w:val="99"/>
    <w:rsid w:val="00713C3F"/>
    <w:rPr>
      <w:rFonts w:ascii="Times New Roman" w:hAnsi="Times New Roman" w:cs="Times New Roman"/>
      <w:sz w:val="24"/>
      <w:lang w:val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shd w:val="clear" w:color="auto" w:fill="auto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713C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713C3F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713C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33"/>
      </w:numPr>
    </w:pPr>
  </w:style>
  <w:style w:type="paragraph" w:customStyle="1" w:styleId="Tiret1">
    <w:name w:val="Tiret 1"/>
    <w:basedOn w:val="Point1"/>
    <w:pPr>
      <w:numPr>
        <w:numId w:val="34"/>
      </w:numPr>
    </w:pPr>
  </w:style>
  <w:style w:type="paragraph" w:customStyle="1" w:styleId="Tiret2">
    <w:name w:val="Tiret 2"/>
    <w:basedOn w:val="Point2"/>
    <w:pPr>
      <w:numPr>
        <w:numId w:val="35"/>
      </w:numPr>
    </w:pPr>
  </w:style>
  <w:style w:type="paragraph" w:customStyle="1" w:styleId="Tiret3">
    <w:name w:val="Tiret 3"/>
    <w:basedOn w:val="Point3"/>
    <w:pPr>
      <w:numPr>
        <w:numId w:val="36"/>
      </w:numPr>
    </w:pPr>
  </w:style>
  <w:style w:type="paragraph" w:customStyle="1" w:styleId="Tiret4">
    <w:name w:val="Tiret 4"/>
    <w:basedOn w:val="Point4"/>
    <w:pPr>
      <w:numPr>
        <w:numId w:val="37"/>
      </w:numPr>
    </w:pPr>
  </w:style>
  <w:style w:type="paragraph" w:customStyle="1" w:styleId="Tiret5">
    <w:name w:val="Tiret 5"/>
    <w:basedOn w:val="Point5"/>
    <w:pPr>
      <w:numPr>
        <w:numId w:val="38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39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39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39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39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39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39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39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41"/>
      </w:numPr>
    </w:pPr>
  </w:style>
  <w:style w:type="paragraph" w:customStyle="1" w:styleId="Point1number">
    <w:name w:val="Point 1 (number)"/>
    <w:basedOn w:val="Normal"/>
    <w:pPr>
      <w:numPr>
        <w:ilvl w:val="2"/>
        <w:numId w:val="41"/>
      </w:numPr>
    </w:pPr>
  </w:style>
  <w:style w:type="paragraph" w:customStyle="1" w:styleId="Point2number">
    <w:name w:val="Point 2 (number)"/>
    <w:basedOn w:val="Normal"/>
    <w:pPr>
      <w:numPr>
        <w:ilvl w:val="4"/>
        <w:numId w:val="41"/>
      </w:numPr>
    </w:pPr>
  </w:style>
  <w:style w:type="paragraph" w:customStyle="1" w:styleId="Point3number">
    <w:name w:val="Point 3 (number)"/>
    <w:basedOn w:val="Normal"/>
    <w:pPr>
      <w:numPr>
        <w:ilvl w:val="6"/>
        <w:numId w:val="41"/>
      </w:numPr>
    </w:pPr>
  </w:style>
  <w:style w:type="paragraph" w:customStyle="1" w:styleId="Point0letter">
    <w:name w:val="Point 0 (letter)"/>
    <w:basedOn w:val="Normal"/>
    <w:pPr>
      <w:numPr>
        <w:ilvl w:val="1"/>
        <w:numId w:val="41"/>
      </w:numPr>
    </w:pPr>
  </w:style>
  <w:style w:type="paragraph" w:customStyle="1" w:styleId="Point1letter">
    <w:name w:val="Point 1 (letter)"/>
    <w:basedOn w:val="Normal"/>
    <w:pPr>
      <w:numPr>
        <w:ilvl w:val="3"/>
        <w:numId w:val="41"/>
      </w:numPr>
    </w:pPr>
  </w:style>
  <w:style w:type="paragraph" w:customStyle="1" w:styleId="Point2letter">
    <w:name w:val="Point 2 (letter)"/>
    <w:basedOn w:val="Normal"/>
    <w:pPr>
      <w:numPr>
        <w:ilvl w:val="5"/>
        <w:numId w:val="41"/>
      </w:numPr>
    </w:pPr>
  </w:style>
  <w:style w:type="paragraph" w:customStyle="1" w:styleId="Point3letter">
    <w:name w:val="Point 3 (letter)"/>
    <w:basedOn w:val="Normal"/>
    <w:pPr>
      <w:numPr>
        <w:ilvl w:val="7"/>
        <w:numId w:val="41"/>
      </w:numPr>
    </w:pPr>
  </w:style>
  <w:style w:type="paragraph" w:customStyle="1" w:styleId="Point4letter">
    <w:name w:val="Point 4 (letter)"/>
    <w:basedOn w:val="Normal"/>
    <w:pPr>
      <w:numPr>
        <w:ilvl w:val="8"/>
        <w:numId w:val="41"/>
      </w:numPr>
    </w:pPr>
  </w:style>
  <w:style w:type="paragraph" w:customStyle="1" w:styleId="Bullet0">
    <w:name w:val="Bullet 0"/>
    <w:basedOn w:val="Normal"/>
    <w:pPr>
      <w:numPr>
        <w:numId w:val="42"/>
      </w:numPr>
    </w:pPr>
  </w:style>
  <w:style w:type="paragraph" w:customStyle="1" w:styleId="Bullet1">
    <w:name w:val="Bullet 1"/>
    <w:basedOn w:val="Normal"/>
    <w:pPr>
      <w:numPr>
        <w:numId w:val="43"/>
      </w:numPr>
    </w:pPr>
  </w:style>
  <w:style w:type="paragraph" w:customStyle="1" w:styleId="Bullet2">
    <w:name w:val="Bullet 2"/>
    <w:basedOn w:val="Normal"/>
    <w:pPr>
      <w:numPr>
        <w:numId w:val="44"/>
      </w:numPr>
    </w:pPr>
  </w:style>
  <w:style w:type="paragraph" w:customStyle="1" w:styleId="Bullet3">
    <w:name w:val="Bullet 3"/>
    <w:basedOn w:val="Normal"/>
    <w:pPr>
      <w:numPr>
        <w:numId w:val="45"/>
      </w:numPr>
    </w:pPr>
  </w:style>
  <w:style w:type="paragraph" w:customStyle="1" w:styleId="Bullet4">
    <w:name w:val="Bullet 4"/>
    <w:basedOn w:val="Normal"/>
    <w:pPr>
      <w:numPr>
        <w:numId w:val="46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47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713C3F"/>
    <w:pPr>
      <w:tabs>
        <w:tab w:val="center" w:pos="4535"/>
        <w:tab w:val="right" w:pos="9071"/>
      </w:tabs>
      <w:spacing w:before="0"/>
    </w:pPr>
  </w:style>
  <w:style w:type="paragraph" w:customStyle="1" w:styleId="HeaderLandscape">
    <w:name w:val="HeaderLandscape"/>
    <w:basedOn w:val="Normal"/>
    <w:rsid w:val="00713C3F"/>
    <w:pPr>
      <w:tabs>
        <w:tab w:val="center" w:pos="7285"/>
        <w:tab w:val="right" w:pos="14003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713C3F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customStyle="1" w:styleId="FooterLandscape">
    <w:name w:val="FooterLandscape"/>
    <w:basedOn w:val="Normal"/>
    <w:rsid w:val="00713C3F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europa.eu/eli/dec/1999/437/oj" TargetMode="External"/><Relationship Id="rId3" Type="http://schemas.openxmlformats.org/officeDocument/2006/relationships/hyperlink" Target="http://data.europa.eu/eli/reg/2014/515/oj" TargetMode="External"/><Relationship Id="rId7" Type="http://schemas.openxmlformats.org/officeDocument/2006/relationships/hyperlink" Target="http://data.europa.eu/eli/reg/2003/693/oj" TargetMode="External"/><Relationship Id="rId2" Type="http://schemas.openxmlformats.org/officeDocument/2006/relationships/hyperlink" Target="http://data.europa.eu/eli/reg/2024/1351/oj" TargetMode="External"/><Relationship Id="rId1" Type="http://schemas.openxmlformats.org/officeDocument/2006/relationships/hyperlink" Target="http://data.europa.eu/eli/reg/2024/1356/oj" TargetMode="External"/><Relationship Id="rId6" Type="http://schemas.openxmlformats.org/officeDocument/2006/relationships/hyperlink" Target="http://data.europa.eu/eli/reg/2024/1351/oj" TargetMode="External"/><Relationship Id="rId5" Type="http://schemas.openxmlformats.org/officeDocument/2006/relationships/hyperlink" Target="http://data.europa.eu/eli/reg/2018/1240/oj" TargetMode="External"/><Relationship Id="rId10" Type="http://schemas.openxmlformats.org/officeDocument/2006/relationships/hyperlink" Target="http://data.europa.eu/eli/dec/2011/350/oj" TargetMode="External"/><Relationship Id="rId4" Type="http://schemas.openxmlformats.org/officeDocument/2006/relationships/hyperlink" Target="http://data.europa.eu/eli/reg/2021/1148/oj" TargetMode="External"/><Relationship Id="rId9" Type="http://schemas.openxmlformats.org/officeDocument/2006/relationships/hyperlink" Target="http://data.europa.eu/eli/dec/2008/146/o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C6327-961C-4610-B60A-8EDE3F134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12</TotalTime>
  <Pages>16</Pages>
  <Words>7013</Words>
  <Characters>39975</Characters>
  <Application>Microsoft Office Word</Application>
  <DocSecurity>0</DocSecurity>
  <Lines>333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EC CoDe</cp:lastModifiedBy>
  <cp:revision>47</cp:revision>
  <cp:lastPrinted>2025-07-15T11:32:00Z</cp:lastPrinted>
  <dcterms:created xsi:type="dcterms:W3CDTF">2025-07-17T12:06:00Z</dcterms:created>
  <dcterms:modified xsi:type="dcterms:W3CDTF">2025-09-03T12:15:00Z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Version">
    <vt:lpwstr>8.0.25.0</vt:lpwstr>
  </property>
  <property fmtid="{D5CDD505-2E9C-101B-9397-08002B2CF9AE}" pid="4" name="Last edited using">
    <vt:lpwstr>LW 9.1, Build 20240808</vt:lpwstr>
  </property>
  <property fmtid="{D5CDD505-2E9C-101B-9397-08002B2CF9AE}" pid="5" name="Created using">
    <vt:lpwstr>LW 9.1, Build 20240808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SJ-023</vt:lpwstr>
  </property>
  <property fmtid="{D5CDD505-2E9C-101B-9397-08002B2CF9AE}" pid="10" name="MSIP_Label_6bd9ddd1-4d20-43f6-abfa-fc3c07406f94_Enabled">
    <vt:lpwstr>true</vt:lpwstr>
  </property>
  <property fmtid="{D5CDD505-2E9C-101B-9397-08002B2CF9AE}" pid="11" name="MSIP_Label_6bd9ddd1-4d20-43f6-abfa-fc3c07406f94_SetDate">
    <vt:lpwstr>2025-07-17T12:06:02Z</vt:lpwstr>
  </property>
  <property fmtid="{D5CDD505-2E9C-101B-9397-08002B2CF9AE}" pid="12" name="MSIP_Label_6bd9ddd1-4d20-43f6-abfa-fc3c07406f94_Method">
    <vt:lpwstr>Privileged</vt:lpwstr>
  </property>
  <property fmtid="{D5CDD505-2E9C-101B-9397-08002B2CF9AE}" pid="13" name="MSIP_Label_6bd9ddd1-4d20-43f6-abfa-fc3c07406f94_Name">
    <vt:lpwstr>Commission Use</vt:lpwstr>
  </property>
  <property fmtid="{D5CDD505-2E9C-101B-9397-08002B2CF9AE}" pid="14" name="MSIP_Label_6bd9ddd1-4d20-43f6-abfa-fc3c07406f94_SiteId">
    <vt:lpwstr>b24c8b06-522c-46fe-9080-70926f8dddb1</vt:lpwstr>
  </property>
  <property fmtid="{D5CDD505-2E9C-101B-9397-08002B2CF9AE}" pid="15" name="MSIP_Label_6bd9ddd1-4d20-43f6-abfa-fc3c07406f94_ActionId">
    <vt:lpwstr>06166290-4e5e-45c9-b112-ff8139c61356</vt:lpwstr>
  </property>
  <property fmtid="{D5CDD505-2E9C-101B-9397-08002B2CF9AE}" pid="16" name="MSIP_Label_6bd9ddd1-4d20-43f6-abfa-fc3c07406f94_ContentBits">
    <vt:lpwstr>0</vt:lpwstr>
  </property>
  <property fmtid="{D5CDD505-2E9C-101B-9397-08002B2CF9AE}" pid="17" name="MSIP_Label_6bd9ddd1-4d20-43f6-abfa-fc3c07406f94_Tag">
    <vt:lpwstr>10, 0, 1, 1</vt:lpwstr>
  </property>
  <property fmtid="{D5CDD505-2E9C-101B-9397-08002B2CF9AE}" pid="18" name="DQCStatus">
    <vt:lpwstr>Green (DQC version 03)</vt:lpwstr>
  </property>
</Properties>
</file>