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13CEC" w14:textId="5BFC446E" w:rsidR="00286E0D" w:rsidRPr="002E11EE" w:rsidRDefault="007774B2" w:rsidP="007774B2">
      <w:pPr>
        <w:pStyle w:val="Pagedecouverture"/>
        <w:rPr>
          <w:noProof/>
        </w:rPr>
      </w:pPr>
      <w:r>
        <w:rPr>
          <w:noProof/>
        </w:rPr>
        <w:pict w14:anchorId="0A8E6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32F79B0-C015-4840-A547-450E76FFDB7D" style="width:455.25pt;height:355.5pt">
            <v:imagedata r:id="rId8" o:title=""/>
          </v:shape>
        </w:pict>
      </w:r>
    </w:p>
    <w:p w14:paraId="0D2B0620" w14:textId="77777777" w:rsidR="00286E0D" w:rsidRPr="002E11EE" w:rsidRDefault="00286E0D" w:rsidP="00286E0D">
      <w:pPr>
        <w:rPr>
          <w:noProof/>
        </w:rPr>
        <w:sectPr w:rsidR="00286E0D" w:rsidRPr="002E11EE" w:rsidSect="007774B2">
          <w:footerReference w:type="even" r:id="rId9"/>
          <w:footerReference w:type="default" r:id="rId10"/>
          <w:pgSz w:w="11907" w:h="16839"/>
          <w:pgMar w:top="1134" w:right="1417" w:bottom="1134" w:left="1417" w:header="709" w:footer="709" w:gutter="0"/>
          <w:pgNumType w:start="0"/>
          <w:cols w:space="720"/>
          <w:docGrid w:linePitch="360"/>
        </w:sectPr>
      </w:pPr>
    </w:p>
    <w:p w14:paraId="4696ABAD" w14:textId="77777777" w:rsidR="00286E0D" w:rsidRPr="002E11EE" w:rsidRDefault="00286E0D" w:rsidP="00286E0D">
      <w:pPr>
        <w:pStyle w:val="Exposdesmotifstitre"/>
        <w:rPr>
          <w:noProof/>
        </w:rPr>
      </w:pPr>
      <w:bookmarkStart w:id="0" w:name="_GoBack"/>
      <w:bookmarkEnd w:id="0"/>
      <w:r w:rsidRPr="002E11EE">
        <w:rPr>
          <w:noProof/>
        </w:rPr>
        <w:lastRenderedPageBreak/>
        <w:t>PERUSTELUT</w:t>
      </w:r>
    </w:p>
    <w:p w14:paraId="1D44F294" w14:textId="77777777" w:rsidR="00286E0D" w:rsidRPr="002E11EE" w:rsidRDefault="00286E0D" w:rsidP="00286E0D">
      <w:pPr>
        <w:rPr>
          <w:noProof/>
        </w:rPr>
      </w:pPr>
    </w:p>
    <w:p w14:paraId="791ACC5D" w14:textId="77777777" w:rsidR="00286E0D" w:rsidRPr="002E11EE" w:rsidRDefault="00286E0D" w:rsidP="00286E0D">
      <w:pPr>
        <w:pStyle w:val="ManualHeading1"/>
        <w:rPr>
          <w:noProof/>
        </w:rPr>
      </w:pPr>
      <w:r w:rsidRPr="002E11EE">
        <w:rPr>
          <w:noProof/>
        </w:rPr>
        <w:t>1.</w:t>
      </w:r>
      <w:r w:rsidRPr="002E11EE">
        <w:rPr>
          <w:noProof/>
        </w:rPr>
        <w:tab/>
        <w:t>EHDOTUKSEN TAUSTA</w:t>
      </w:r>
    </w:p>
    <w:p w14:paraId="141EF942" w14:textId="77777777" w:rsidR="00286E0D" w:rsidRPr="002E11EE" w:rsidRDefault="00286E0D" w:rsidP="00286E0D">
      <w:pPr>
        <w:pStyle w:val="ManualHeading2"/>
        <w:rPr>
          <w:rFonts w:eastAsia="Arial Unicode MS"/>
          <w:noProof/>
        </w:rPr>
      </w:pPr>
      <w:r w:rsidRPr="002E11EE">
        <w:rPr>
          <w:noProof/>
          <w:color w:val="000000"/>
          <w:u w:color="000000"/>
          <w:bdr w:val="nil"/>
        </w:rPr>
        <w:t>•</w:t>
      </w:r>
      <w:r w:rsidRPr="002E11EE">
        <w:rPr>
          <w:noProof/>
        </w:rPr>
        <w:tab/>
        <w:t xml:space="preserve">Perustelut ja tavoitteet </w:t>
      </w:r>
    </w:p>
    <w:p w14:paraId="034D1AFE" w14:textId="77777777" w:rsidR="004D75E7" w:rsidRPr="002E11EE" w:rsidRDefault="00B9223C" w:rsidP="004D75E7">
      <w:pPr>
        <w:rPr>
          <w:noProof/>
        </w:rPr>
      </w:pPr>
      <w:r w:rsidRPr="002E11EE">
        <w:rPr>
          <w:noProof/>
        </w:rPr>
        <w:t xml:space="preserve">Komission poliittisissa suuntaviivoissa vuosiksi 2024–2029 korostetaan tarvetta varmistaa Schengen-alueen valmiiksi saattaminen ja sen moitteeton toiminta ilman sisärajavalvontaa lisäämällä ulkorajojen turvallisuutta siten, että etusijalle asetetaan turvallisuus, muuttoliikkeen hallinta ja tehokkuus. Näiden toimien keskiössä on Euroopan yhdennetty rajaturvallisuus, jolla varmistetaan toisiinsa liittyvien, muun muassa rajoja, palautuksia ja valvontaa koskevien politiikanalojen keskinäinen johdonmukaisuus sekä Frontexin ja EU:n ulkorajojen rajaturvallisuuden ylläpitämisestä vastaavien kansallisten viranomaisten toiminnan johdonmukaisuus. Schengen-alueen hallinnointikehys, jota Schengen-arvioinnit tukevat, tarjoaa Schengen-alueen kehittämisessä poliittista ja strategista ohjausta, jonka avulla varmistetaan, että esimerkiksi tietojärjestelmien yhteentoimivuutta koskevat keskeiset aloitteet ja asiaankuuluvat säännöt otetaan käyttöön ja että järjestelmän heikkoudet havaitaan ja korjataan. Tämän voidaan odottaa edistävän jaetun vastuun tunnetta ja keskinäistä luottamusta jäsenvaltioiden ja Schengenin säännöstöön osallistuvien maiden välillä. </w:t>
      </w:r>
    </w:p>
    <w:p w14:paraId="401136B9" w14:textId="77777777" w:rsidR="00D81B8C" w:rsidRPr="002E11EE" w:rsidRDefault="00B9223C" w:rsidP="00B9223C">
      <w:pPr>
        <w:rPr>
          <w:noProof/>
        </w:rPr>
      </w:pPr>
      <w:r w:rsidRPr="002E11EE">
        <w:rPr>
          <w:noProof/>
        </w:rPr>
        <w:t xml:space="preserve">Euroopan huomattavasti muuttunut geopoliittinen tilanne vaikuttaa voimakkaasti rajaturvallisuuden ylläpitämiseen unionin ulkorajoilla. </w:t>
      </w:r>
      <w:bookmarkStart w:id="1" w:name="_Hlk202820988"/>
      <w:bookmarkEnd w:id="1"/>
      <w:r w:rsidRPr="002E11EE">
        <w:rPr>
          <w:noProof/>
        </w:rPr>
        <w:t xml:space="preserve">Hybridiuhkien ja muiden turvallisuusuhkien lisääntyminen, mukaan lukien muuttoliikkeen käyttäminen aseena, lisää ulkorajojen suojaamisen kiireellisyyttä. </w:t>
      </w:r>
      <w:bookmarkStart w:id="2" w:name="_Hlk202822882"/>
      <w:bookmarkEnd w:id="2"/>
      <w:r w:rsidRPr="002E11EE">
        <w:rPr>
          <w:noProof/>
        </w:rPr>
        <w:t xml:space="preserve">Samalla laiton muuttoliike on edelleen merkittävä tekijä, joka korostaa tarvetta varmistaa tehokas yhteistyö EU:n ulkopuolisten maiden kanssa yhdistettynä kokonaisvaltaisiin kumppanuuksiin lähtö- ja kauttakulkumaiden kanssa asetuksen (EU) [...] [Globaali Eurooppa] tuella. Muuttajien salakuljetus on kannattavaa liiketoimintaa rikollisverkostoille, joissa salakuljettajat käyttävät maa-, meri- ja lentoreittejä helpottaakseen laitonta muuttoa sekä Euroopan unioniin että sen sisällä. Siihen liittyy yhä enemmän vakavia ihmisoikeusloukkauksia ja kuolemantapauksia erityisesti silloin, kun se tapahtuu meritse. Muuttajien kuolemat salakuljettajien armoilla Välimerellä korostavat akuuttia tarvetta torjua muuttajien salakuljetusta kaikin käytettävissä olevin oikeudellisin, operatiivisin ja hallinnollisin keinoin. </w:t>
      </w:r>
    </w:p>
    <w:p w14:paraId="6F6D36BE" w14:textId="77777777" w:rsidR="00B9223C" w:rsidRPr="002E11EE" w:rsidRDefault="00B9223C" w:rsidP="00FA3905">
      <w:pPr>
        <w:rPr>
          <w:noProof/>
        </w:rPr>
      </w:pPr>
      <w:r w:rsidRPr="002E11EE">
        <w:rPr>
          <w:noProof/>
        </w:rPr>
        <w:t>Jäsenvaltioiden on voitava reagoida tapahtumiin nopeasti ja tuloksellisesti ja saatava unionilta tukea tähän tarkoitukseen.</w:t>
      </w:r>
    </w:p>
    <w:p w14:paraId="4BD9F834" w14:textId="77777777" w:rsidR="00BE09E6" w:rsidRPr="002E11EE" w:rsidRDefault="00E57952" w:rsidP="00FA3905">
      <w:pPr>
        <w:rPr>
          <w:noProof/>
        </w:rPr>
      </w:pPr>
      <w:r w:rsidRPr="002E11EE">
        <w:rPr>
          <w:noProof/>
        </w:rPr>
        <w:t>On olennaisen tärkeää varmistaa rajaturvallisuutta koskevaan unionin lainsäädäntöön perustuvien laaja-alaisten tietojärjestelmien eli Schengenin tietojärjestelmän (SIS), viisumitietojärjestelmän (VIS), Eurodacin, rajanylitystietojärjestelmän (EES) ja EU:n matkustustieto- ja -lupajärjestelmän (ETIAS) kehittäminen, varma toiminta ja ylläpito, mukaan lukien niiden yhteentoimivuus, sekä viestintäinfrastruktuuri. Ehdotetun toimintatavan voidaan odottaa edistävän myös toimia, joilla parannetaan tietojen laatua ja tarjontaa.</w:t>
      </w:r>
    </w:p>
    <w:p w14:paraId="0413D35D" w14:textId="77777777" w:rsidR="008C306E" w:rsidRPr="002E11EE" w:rsidRDefault="008C306E" w:rsidP="00D81B8C">
      <w:pPr>
        <w:rPr>
          <w:noProof/>
        </w:rPr>
      </w:pPr>
      <w:bookmarkStart w:id="3" w:name="_Hlk202880202"/>
      <w:bookmarkEnd w:id="3"/>
      <w:r w:rsidRPr="002E11EE">
        <w:rPr>
          <w:noProof/>
        </w:rPr>
        <w:t>Jäsenvaltioiden olisi myös voitava saada unionin tukea tarvittavan asiantuntemuksen ja operatiivisten valmiuksien luomiseksi turvapaikka- ja muuttoliikesopimuksen tätä aihepiiriä koskevien osien eli rajaturvallisuuden tehokasta ylläpitämistä edistävän asetuksen (EU) 2024/1356</w:t>
      </w:r>
      <w:r w:rsidRPr="002E11EE">
        <w:rPr>
          <w:rStyle w:val="FootnoteReference"/>
          <w:noProof/>
        </w:rPr>
        <w:footnoteReference w:id="1"/>
      </w:r>
      <w:r w:rsidRPr="002E11EE">
        <w:rPr>
          <w:noProof/>
        </w:rPr>
        <w:t xml:space="preserve">, jäljempänä ’seulonta-asetus’, täytäntöönpanoa varten. </w:t>
      </w:r>
    </w:p>
    <w:p w14:paraId="07A03C8E" w14:textId="77777777" w:rsidR="00D81B8C" w:rsidRPr="002E11EE" w:rsidRDefault="00D81B8C" w:rsidP="00D81B8C">
      <w:pPr>
        <w:rPr>
          <w:noProof/>
        </w:rPr>
      </w:pPr>
      <w:r w:rsidRPr="002E11EE">
        <w:rPr>
          <w:noProof/>
        </w:rPr>
        <w:t>Sekä EU:n kansalaiset että EU:n ulkopuolisten maiden kansalaiset tarkastetaan järjestelmällisesti heidän ylittäessään EU:n ulkorajat. Pelkästään vuonna 2023 kirjattiin lähes 600 miljoonaa rajanylitystä, ja ylitysten määrän odotetaan edelleen kasvavan tulevina vuosina. Tämän vuoksi on selvää, että tarkastukset on tehtävä nopeasti ja tehokkaasti tietoteknisillä järjestelmillä ja samalla on säilytettävä korkea turvallisuustaso ja varmistettava, että jokainen matkustaja tarkastetaan.</w:t>
      </w:r>
    </w:p>
    <w:p w14:paraId="293FB5AE" w14:textId="77777777" w:rsidR="00B9223C" w:rsidRPr="002E11EE" w:rsidRDefault="00B9223C" w:rsidP="00B9223C">
      <w:pPr>
        <w:rPr>
          <w:noProof/>
        </w:rPr>
      </w:pPr>
      <w:r w:rsidRPr="002E11EE">
        <w:rPr>
          <w:noProof/>
        </w:rPr>
        <w:t>Jäsenvaltioiden olisi tehtävä tiivistä yhteistyötä asiaankuuluvien EU:n virastojen, kuten Frontexin ja eu-LISAn, kanssa, ja näiden virastojen olisi tarjottava tarvittavaa teknistä asiantuntemusta ja teknisiä välineitä valvontaa ja tilannetietoisuutta varten. Yleisemmin komission olisi otettava asianomaiset unionin elimet, toimistot ja virastot mukaan toimiin, joilla pyritään varmistamaan, että unionin tukemat toimenpiteet ovat asiaa koskevan unionin säännöstön ja sovittujen unionin painopisteiden mukaisia.</w:t>
      </w:r>
    </w:p>
    <w:p w14:paraId="0C29A07E" w14:textId="77777777" w:rsidR="00B9223C" w:rsidRPr="002E11EE" w:rsidRDefault="00B9223C" w:rsidP="00B9223C">
      <w:pPr>
        <w:rPr>
          <w:noProof/>
        </w:rPr>
      </w:pPr>
      <w:r w:rsidRPr="002E11EE">
        <w:rPr>
          <w:noProof/>
        </w:rPr>
        <w:t>Vahva EU:n viisumipolitiikka on myös ratkaisevaa rajojen turvaamisen ja muuttoliikkeen hallinnan parantamisessa. Unionin tuella olisi erityisesti autettava jäsenvaltioita tehostamaan viisumien käsittelyä ja estämään unionin viisumijärjestelmän väärinkäyttö. Unionin tukea tarvitaan viisumihakemusten käsittelyn digitalisoimisessa sekä konsulipalvelujen maailmanlaajuisen kattavuuden ja hakijoille tarjottavien palvelujen parantamisessa.</w:t>
      </w:r>
    </w:p>
    <w:p w14:paraId="33FEB1CE" w14:textId="335F2A4B" w:rsidR="00B9223C" w:rsidRPr="002E11EE" w:rsidRDefault="00B9223C" w:rsidP="001F3E4C">
      <w:pPr>
        <w:rPr>
          <w:noProof/>
        </w:rPr>
      </w:pPr>
      <w:r w:rsidRPr="002E11EE">
        <w:rPr>
          <w:noProof/>
        </w:rPr>
        <w:t xml:space="preserve">Ehdotuksella pyritään vastaamaan tarpeeseen joustavoittaa unionin tuen hallinnointia muun muassa lisäämällä tulospainotteisuutta sekä yksinkertaistamalla tuen täytäntöönpanoa kaikkien toimijoiden kannalta. Tämän vuoksi tämä ehdotus täydentää Euroopan taloudellisen, sosiaalisen ja alueellisen yhteenkuuluvuuden, maatalouden ja maaseudun, kalatalouden ja merielinkeinojen, vaurauden ja turvallisuuden rahaston perustamista koskevaa ehdotusta asetukseksi (EU) [...], jolla otetaan käyttöön uusia mekanismeja rahoituksen jakamiseksi käyttäen yhteistyöhön perustuvaa, suoraa ja välillistä hallinnointia. Koska rajaturvallisuuteen ja muuttoliikkeeseen liittyvät haasteet muuttuvat jatkuvasti, on myös tarpeen vastata kiireellisiin tarpeisiin sekä politiikan ja unionin painopisteiden muutoksiin, </w:t>
      </w:r>
      <w:bookmarkStart w:id="4" w:name="_Hlk202775281"/>
      <w:bookmarkEnd w:id="4"/>
      <w:r w:rsidRPr="002E11EE">
        <w:rPr>
          <w:noProof/>
        </w:rPr>
        <w:t>korjata Schengen-arvioinneissa ja Frontexin haavoittuvuusarvioinnissa havaitut puutteet ja ohjata rahoitusta toimiin, joissa unionin lisäarvo on suurta, erityisesti sellaisen EU-välineen avulla, joka tarjoaa joustavuutta unionin tuen hallinnoinnissa.</w:t>
      </w:r>
    </w:p>
    <w:p w14:paraId="4CF7EFDF" w14:textId="66AE2EAE" w:rsidR="00EB6497" w:rsidRPr="002E11EE" w:rsidRDefault="00EB6497" w:rsidP="001F3E4C">
      <w:pPr>
        <w:pBdr>
          <w:top w:val="nil"/>
          <w:left w:val="nil"/>
          <w:bottom w:val="nil"/>
          <w:right w:val="nil"/>
          <w:between w:val="nil"/>
          <w:bar w:val="nil"/>
        </w:pBdr>
        <w:rPr>
          <w:rFonts w:eastAsia="Arial Unicode MS"/>
          <w:noProof/>
        </w:rPr>
      </w:pPr>
      <w:r w:rsidRPr="002E11EE">
        <w:rPr>
          <w:noProof/>
        </w:rPr>
        <w:t>Tämä ehdotus sekä ehdotus asetukseksi unionin turvapaikka-, maahanmuutto- ja kotouttamistuen vahvistamisesta ja ehdotus asetukseksi sisäistä turvallisuutta koskevan unionin tuen vahvistamisesta muodostavat oikeudellisen kehyksen unionin toiminnalle, joka koskee Euroopan yhdennettyä rajaturvallisuutta ulkorajoilla, Schengen-alueen toimivuutta, eurooppalaista viisumipolitiikkaa, muuttovirtojen tehokasta hallintaa ja sisäistä turvallisuutta.</w:t>
      </w:r>
      <w:r w:rsidR="000A3429">
        <w:rPr>
          <w:noProof/>
        </w:rPr>
        <w:t xml:space="preserve"> </w:t>
      </w:r>
      <w:r w:rsidRPr="002E11EE">
        <w:rPr>
          <w:noProof/>
        </w:rPr>
        <w:t xml:space="preserve">Nämä kolme asetusta täydentävät toisiaan sekä asetusta (EU) [...] Euroopan taloudellisen, sosiaalisen ja alueellisen yhteenkuuluvuuden, maatalouden ja maaseudun, kalatalouden ja merielinkeinojen, vaurauden ja turvallisuuden rahastosta, jonka avulla ne pannaan täytäntöön, ja edistävät viimeksi mainitun asetuksen tavoitteita. </w:t>
      </w:r>
    </w:p>
    <w:p w14:paraId="5EBA1527" w14:textId="77777777" w:rsidR="00EB6497" w:rsidRPr="002E11EE" w:rsidRDefault="00EB6497" w:rsidP="00EB6497">
      <w:pPr>
        <w:rPr>
          <w:noProof/>
        </w:rPr>
      </w:pPr>
      <w:r w:rsidRPr="002E11EE">
        <w:rPr>
          <w:noProof/>
        </w:rPr>
        <w:t>Ehdotetun asetuksen pohjana on asetus (EU) 2021/1148</w:t>
      </w:r>
      <w:r w:rsidRPr="002E11EE">
        <w:rPr>
          <w:rStyle w:val="FootnoteReference"/>
          <w:rFonts w:eastAsia="Arial Unicode MS"/>
          <w:noProof/>
        </w:rPr>
        <w:footnoteReference w:id="2"/>
      </w:r>
      <w:r w:rsidRPr="002E11EE">
        <w:rPr>
          <w:noProof/>
        </w:rPr>
        <w:t>, mutta siinä otetaan huomioon politiikan kehitys ja tarve vastata joustavasti Euroopan yhdennetyn rajaturvallisuuden muuttuviin haasteisiin, mukaan lukien Schengen-alueen moitteeton toiminta, ja EU:n viisumipolitiikkaan.</w:t>
      </w:r>
    </w:p>
    <w:p w14:paraId="23CA5C86" w14:textId="77777777" w:rsidR="00286E0D" w:rsidRPr="002E11EE" w:rsidRDefault="00286E0D" w:rsidP="00286E0D">
      <w:pPr>
        <w:pStyle w:val="ManualHeading2"/>
        <w:rPr>
          <w:rFonts w:eastAsia="Arial Unicode MS"/>
          <w:noProof/>
          <w:color w:val="000000"/>
          <w:u w:color="000000"/>
          <w:bdr w:val="nil"/>
        </w:rPr>
      </w:pPr>
      <w:r w:rsidRPr="002E11EE">
        <w:rPr>
          <w:noProof/>
          <w:color w:val="000000"/>
          <w:u w:color="000000"/>
          <w:bdr w:val="nil"/>
        </w:rPr>
        <w:t>•</w:t>
      </w:r>
      <w:r w:rsidRPr="002E11EE">
        <w:rPr>
          <w:noProof/>
        </w:rPr>
        <w:tab/>
        <w:t>Yhdenmukaisuus muiden alaa koskevien politiikkojen säännösten kanssa</w:t>
      </w:r>
    </w:p>
    <w:p w14:paraId="254C54FA" w14:textId="77777777" w:rsidR="00286E0D" w:rsidRPr="002E11EE" w:rsidRDefault="00286E0D" w:rsidP="00286E0D">
      <w:pPr>
        <w:pBdr>
          <w:top w:val="nil"/>
          <w:left w:val="nil"/>
          <w:bottom w:val="nil"/>
          <w:right w:val="nil"/>
          <w:between w:val="nil"/>
          <w:bar w:val="nil"/>
        </w:pBdr>
        <w:rPr>
          <w:rFonts w:eastAsia="Arial Unicode MS"/>
          <w:noProof/>
        </w:rPr>
      </w:pPr>
      <w:r w:rsidRPr="002E11EE">
        <w:rPr>
          <w:noProof/>
        </w:rPr>
        <w:t>Euroopan yhdennettyä rajaturvallisuutta ja eurooppalaista viisumipolitiikkaa koskeva unionin tuki täydentää kiinteästi muuta kansallisten ja alueellisten kumppanuussuunnitelmien soveltamisalaan kuuluvaa politiikkaa ja edistää siten synergiaa niiden välillä. Samoin on pyrittävä synergiaan ja täydentävyyteen erityisesti Schengenin säännöstön sekä muuttoliike- ja turvapaikkasopimukseen sisältyvän, 11. kesäkuuta 2024 voimaan tulleen lainsäädännön kanssa. Euroopan yhdennettyä rajaturvallisuutta koskevan EU:n politiikan ja EU:n viisumipolitiikan tehostaminen edellyttää kuitenkin toimia, jotka kattavat kaikki sen käytettävissä olevat välineet, mukaan lukien asiaan liittyvien unionin erillisvirastojen toimet.</w:t>
      </w:r>
    </w:p>
    <w:p w14:paraId="7C64BB8E" w14:textId="77777777" w:rsidR="00EB6497" w:rsidRPr="002E11EE" w:rsidRDefault="00EB6497" w:rsidP="00286E0D">
      <w:pPr>
        <w:pBdr>
          <w:top w:val="nil"/>
          <w:left w:val="nil"/>
          <w:bottom w:val="nil"/>
          <w:right w:val="nil"/>
          <w:between w:val="nil"/>
          <w:bar w:val="nil"/>
        </w:pBdr>
        <w:rPr>
          <w:rFonts w:eastAsia="Arial Unicode MS"/>
          <w:noProof/>
        </w:rPr>
      </w:pPr>
      <w:bookmarkStart w:id="5" w:name="_Hlk202880469"/>
      <w:r w:rsidRPr="002E11EE">
        <w:rPr>
          <w:noProof/>
          <w:color w:val="000000" w:themeColor="text1"/>
        </w:rPr>
        <w:t>Kuudella sisäasioiden erillisvirastolla (Frontex, Europol, EUAA, eu-LISA, EUDA ja Cepol) on tärkeä ja kasvava rooli sisäasioita koskevien politiikkojen täytäntöönpanossa. On olennaisen tärkeää varmistaa EU:n tasolla laadittujen poliittisten strategioiden ja erillisvirastojen operatiivisten toimien johdonmukaisuus, jotta erillisvirastoille myönnetyn EU:n rahoituksen vaikutus EU:n politiikkatavoitteiden saavuttamiseen voidaan myös maksimoida. Saattaa olla tarpeen vahvistaa edelleen erillisvirastojen operatiivista roolia ja lisätä vastaavasti rahoitusta.</w:t>
      </w:r>
    </w:p>
    <w:bookmarkEnd w:id="5"/>
    <w:p w14:paraId="3F7C3464" w14:textId="77777777" w:rsidR="00286E0D" w:rsidRPr="002E11EE" w:rsidRDefault="00286E0D" w:rsidP="00336FEB">
      <w:pPr>
        <w:pStyle w:val="ManualHeading2"/>
        <w:ind w:left="851" w:hanging="851"/>
        <w:rPr>
          <w:rFonts w:eastAsia="Arial Unicode MS"/>
          <w:noProof/>
        </w:rPr>
      </w:pPr>
      <w:r w:rsidRPr="002E11EE">
        <w:rPr>
          <w:noProof/>
          <w:color w:val="000000"/>
          <w:u w:color="000000"/>
          <w:bdr w:val="nil"/>
        </w:rPr>
        <w:t>•</w:t>
      </w:r>
      <w:r w:rsidRPr="002E11EE">
        <w:rPr>
          <w:noProof/>
        </w:rPr>
        <w:tab/>
        <w:t>Yhdenmukaisuus unionin muiden politiikkojen kanssa</w:t>
      </w:r>
    </w:p>
    <w:p w14:paraId="1AF2B945" w14:textId="77777777" w:rsidR="0031749A" w:rsidRPr="002E11EE" w:rsidRDefault="00286E0D" w:rsidP="00286E0D">
      <w:pPr>
        <w:pBdr>
          <w:top w:val="nil"/>
          <w:left w:val="nil"/>
          <w:bottom w:val="nil"/>
          <w:right w:val="nil"/>
          <w:between w:val="nil"/>
          <w:bar w:val="nil"/>
        </w:pBdr>
        <w:rPr>
          <w:rFonts w:eastAsia="Arial Unicode MS"/>
          <w:noProof/>
          <w:color w:val="000000" w:themeColor="text1"/>
        </w:rPr>
      </w:pPr>
      <w:r w:rsidRPr="002E11EE">
        <w:rPr>
          <w:noProof/>
        </w:rPr>
        <w:t>Euroopan yhdennetty rajaturvallisuus ja viisumipolitiikka perustuvat synergiaan ja keskinäiseen johdonmukaisuuteen samaan kokonaisuuteen kuuluvien EU:n politiikkojen, kuten turvapaikka- ja muuttoliikepolitiikan, sisäistä turvallisuutta koskevan politiikan ja sellaisten kolmansia maita erityisesti asetuksen (EU) [...] [Globaali Eurooppa] nojalla tukevien unionin ulkoisten politiikkojen kanssa, joilla on monenlaisia merkittäviä yhteyksiä sisäisiin politiikkoihin, mukaan lukien rajaturvallisuus- ja viisumipolitiikat. On erityisen tärkeää lisätä johdonmukaisuutta unionin tukiessa rajaturvallisuutta koskevaa yhteistyötä kumppanimaiden kanssa Globaali Eurooppa -välineen puitteissa, jotta voidaan edistää koordinoitua, kokonaisvaltaista ja jäsenneltyä toimintatapaa, jossa maksimoidaan synergiat ja hyödynnetään tarvittavaa vipuvaikutusta.</w:t>
      </w:r>
      <w:r w:rsidRPr="002E11EE">
        <w:rPr>
          <w:noProof/>
          <w:color w:val="000000" w:themeColor="text1"/>
        </w:rPr>
        <w:t xml:space="preserve"> Tässä yhteydessä tuki Globaali Eurooppa -välineen mukaiselle rajat ylittävälle yhteistyölle on erityisen tärkeää rajaturvallisuuden tehostamiseksi ja laittoman muuttoliikkeen ehkäisemiseksi toteutettavien toimien jatkamiseksi.</w:t>
      </w:r>
    </w:p>
    <w:p w14:paraId="6CBA56D8" w14:textId="77777777" w:rsidR="00286E0D" w:rsidRPr="002E11EE" w:rsidRDefault="00286E0D" w:rsidP="0031749A">
      <w:pPr>
        <w:pBdr>
          <w:top w:val="nil"/>
          <w:left w:val="nil"/>
          <w:bottom w:val="nil"/>
          <w:right w:val="nil"/>
          <w:between w:val="nil"/>
          <w:bar w:val="nil"/>
        </w:pBdr>
        <w:rPr>
          <w:noProof/>
          <w:szCs w:val="24"/>
        </w:rPr>
      </w:pPr>
      <w:r w:rsidRPr="002E11EE">
        <w:rPr>
          <w:noProof/>
        </w:rPr>
        <w:t>Kilpailukykyohjelman tukemiseksi olisi myös harkittava investointeja, jotka perustuvat innovatiivisiin menetelmiin tai uusiin teknologioihin, mukaan lukien toimenpiteet, joilla pyritään testaamaan ja validoimaan unionin rahoittamien tutkimushankkeiden tuotoksia.</w:t>
      </w:r>
    </w:p>
    <w:p w14:paraId="43A280F3" w14:textId="77777777" w:rsidR="00B9223C" w:rsidRPr="002E11EE" w:rsidRDefault="00AD5AEE" w:rsidP="00AD5AEE">
      <w:pPr>
        <w:pStyle w:val="ManualHeading2"/>
        <w:ind w:left="851" w:hanging="851"/>
        <w:rPr>
          <w:rFonts w:eastAsia="Arial Unicode MS"/>
          <w:noProof/>
          <w:color w:val="000000"/>
          <w:u w:color="000000"/>
          <w:bdr w:val="nil"/>
        </w:rPr>
      </w:pPr>
      <w:r w:rsidRPr="002E11EE">
        <w:rPr>
          <w:noProof/>
          <w:color w:val="000000"/>
          <w:u w:color="000000"/>
          <w:bdr w:val="nil"/>
        </w:rPr>
        <w:t>•</w:t>
      </w:r>
      <w:r w:rsidRPr="002E11EE">
        <w:rPr>
          <w:noProof/>
        </w:rPr>
        <w:tab/>
      </w:r>
      <w:r w:rsidRPr="002E11EE">
        <w:rPr>
          <w:noProof/>
          <w:color w:val="000000"/>
          <w:u w:color="000000"/>
          <w:bdr w:val="nil"/>
        </w:rPr>
        <w:t>Eriytetty yhdentyminen</w:t>
      </w:r>
    </w:p>
    <w:p w14:paraId="4C39B415" w14:textId="77777777" w:rsidR="00C244F7" w:rsidRPr="002E11EE" w:rsidRDefault="00B9223C" w:rsidP="00B9223C">
      <w:pPr>
        <w:rPr>
          <w:rFonts w:eastAsia="Arial Unicode MS"/>
          <w:noProof/>
        </w:rPr>
      </w:pPr>
      <w:r w:rsidRPr="002E11EE">
        <w:rPr>
          <w:noProof/>
        </w:rPr>
        <w:t>Tässä asetuksessa on kyse Schengenin säännöstön määräysten kehittämisestä. Näin ollen asetuksen soveltamisesta Tanskaan ja Irlantiin määrätään Euroopan unionista tehtyyn sopimukseen (SEU) ja Euroopan unionin toiminnasta tehtyyn sopimukseen (SEUT) liitetyissä pöytäkirjoissa N:o 19 ja N:o 22.</w:t>
      </w:r>
    </w:p>
    <w:p w14:paraId="5CBE603F" w14:textId="77777777" w:rsidR="00C244F7" w:rsidRPr="002E11EE" w:rsidRDefault="00C244F7" w:rsidP="00B9223C">
      <w:pPr>
        <w:rPr>
          <w:rFonts w:eastAsia="Times New Roman"/>
          <w:noProof/>
          <w:color w:val="000000" w:themeColor="text1"/>
        </w:rPr>
      </w:pPr>
      <w:r w:rsidRPr="002E11EE">
        <w:rPr>
          <w:noProof/>
        </w:rPr>
        <w:t>Asetus ei pöytäkirjassa N:o 22 olevan 1 ja 2 artiklan mukaisesti sido Tanskaa eikä sitä sovelleta Tanskassa. Pöytäkirjassa N:o 22 olevan 4 artiklan mukaan Tanska kuitenkin päättää, paneeko se Schengenin säännöstöön perustuvat toimenpiteet täytäntöön ja sitoutuuko se niihin.</w:t>
      </w:r>
      <w:r w:rsidRPr="002E11EE">
        <w:rPr>
          <w:i/>
          <w:noProof/>
          <w:color w:val="000000" w:themeColor="text1"/>
        </w:rPr>
        <w:t xml:space="preserve"> </w:t>
      </w:r>
      <w:r w:rsidRPr="002E11EE">
        <w:rPr>
          <w:noProof/>
          <w:color w:val="000000" w:themeColor="text1"/>
        </w:rPr>
        <w:t>Jos se päättää niin tehdä, toimenpide luo Tanskan ja muiden jäsenvaltioiden välille kansainvälisen oikeuden mukaisen velvoitteen.</w:t>
      </w:r>
    </w:p>
    <w:p w14:paraId="0E7F29D4" w14:textId="77777777" w:rsidR="00B9223C" w:rsidRPr="002E11EE" w:rsidRDefault="00C244F7" w:rsidP="00FA3905">
      <w:pPr>
        <w:rPr>
          <w:rFonts w:eastAsia="Times New Roman"/>
          <w:noProof/>
          <w:color w:val="000000" w:themeColor="text1"/>
        </w:rPr>
      </w:pPr>
      <w:r w:rsidRPr="002E11EE">
        <w:rPr>
          <w:noProof/>
          <w:color w:val="000000" w:themeColor="text1"/>
        </w:rPr>
        <w:t xml:space="preserve">Irlanti voi pöytäkirjassa N:o 19 olevan 4 artiklan nojalla milloin tahansa pyytää saada osallistua Schengenin säännöstöön kokonaisuudessaan tai sen osiin. Vaikka Irlanti osallistuu joihinkin Schengenin säännöstön osiin, tämä asetus ei koske niitä Schengenin säännöstön osia, joihin Irlanti osallistuu. </w:t>
      </w:r>
      <w:r w:rsidRPr="002E11EE">
        <w:rPr>
          <w:noProof/>
        </w:rPr>
        <w:t>Koska asetus on toimenpide, jolla kehitetään Schengenin säännöstöä, se on annettava tiedoksi neljälle maalle (Islanti, Norjan kuningaskunta, Sveitsin valaliitto ja Liechtensteinin ruhtinaskunta), jotka eivät ole unionin jäsenvaltioita mutta jotka osallistuvat unionin kanssa tehtyjen assosiaatiosopimusten perusteella Schengen-alueeseen, jolla ei suoriteta sisärajavalvontaa. Tiedoksiannon jälkeen näiden neljän Schengenin säännöstöön osallistuvan maan on vahvistettava hyväksyvänsä asetuksen sisältö ja saatettava se osaksi kansallista lainsäädäntöään. Tämän seurauksena ehdotettuja toimenpiteitä sovelletaan myös näihin neljään maahan.</w:t>
      </w:r>
    </w:p>
    <w:p w14:paraId="3F7474CB" w14:textId="77777777" w:rsidR="00286E0D" w:rsidRPr="002E11EE" w:rsidRDefault="00286E0D" w:rsidP="00286E0D">
      <w:pPr>
        <w:pStyle w:val="ManualHeading1"/>
        <w:rPr>
          <w:noProof/>
        </w:rPr>
      </w:pPr>
      <w:r w:rsidRPr="002E11EE">
        <w:rPr>
          <w:noProof/>
        </w:rPr>
        <w:t>2.</w:t>
      </w:r>
      <w:r w:rsidRPr="002E11EE">
        <w:rPr>
          <w:noProof/>
        </w:rPr>
        <w:tab/>
        <w:t>OIKEUSPERUSTA, TOISSIJAISUUSPERIAATE JA SUHTEELLISUUSPERIAATE</w:t>
      </w:r>
    </w:p>
    <w:p w14:paraId="71B17439" w14:textId="77777777" w:rsidR="00286E0D" w:rsidRPr="002E11EE" w:rsidRDefault="00286E0D" w:rsidP="00286E0D">
      <w:pPr>
        <w:pStyle w:val="ManualHeading2"/>
        <w:rPr>
          <w:rFonts w:eastAsia="Arial Unicode MS"/>
          <w:noProof/>
          <w:u w:color="000000"/>
          <w:bdr w:val="nil"/>
        </w:rPr>
      </w:pPr>
      <w:r w:rsidRPr="002E11EE">
        <w:rPr>
          <w:noProof/>
          <w:u w:color="000000"/>
          <w:bdr w:val="nil"/>
        </w:rPr>
        <w:t>•</w:t>
      </w:r>
      <w:r w:rsidRPr="002E11EE">
        <w:rPr>
          <w:noProof/>
        </w:rPr>
        <w:tab/>
      </w:r>
      <w:r w:rsidRPr="002E11EE">
        <w:rPr>
          <w:noProof/>
          <w:u w:color="000000"/>
          <w:bdr w:val="nil"/>
        </w:rPr>
        <w:t>Oikeusperusta</w:t>
      </w:r>
    </w:p>
    <w:p w14:paraId="3FC49ECD" w14:textId="77777777" w:rsidR="00286E0D" w:rsidRPr="002E11EE" w:rsidRDefault="00286E0D" w:rsidP="00286E0D">
      <w:pPr>
        <w:pBdr>
          <w:top w:val="nil"/>
          <w:left w:val="nil"/>
          <w:bottom w:val="nil"/>
          <w:right w:val="nil"/>
          <w:between w:val="nil"/>
          <w:bar w:val="nil"/>
        </w:pBdr>
        <w:rPr>
          <w:rFonts w:eastAsia="Arial Unicode MS"/>
          <w:noProof/>
        </w:rPr>
      </w:pPr>
      <w:r w:rsidRPr="002E11EE">
        <w:rPr>
          <w:noProof/>
        </w:rPr>
        <w:t>Euroopan unionista tehdyn sopimuksen 3 artiklan 2 kohdassa määrätään, että ”unioni tarjoaa kansalaisilleen vapauden, turvallisuuden ja oikeuden alueen, jolla ei ole sisärajoja ja jolla taataan henkilöiden vapaa liikkuvuus, toteuttaen samalla ulkorajoilla tehtäviä tarkastuksia, turvapaikkaa, maahanmuuttoa sekä rikollisuuden ehkäisyä ja torjuntaa koskevat aiheelliset toimenpiteet”. Tämän ehdotuksen oikeusperusta on SEUT-sopimuksen 77 artiklan 2 kohdassa ja 79 artiklan 2 kohdan c ja d alakohdassa tarkoitetuissa toimenpiteissä.</w:t>
      </w:r>
    </w:p>
    <w:p w14:paraId="750CEE1E" w14:textId="77777777" w:rsidR="00286E0D" w:rsidRPr="002E11EE" w:rsidRDefault="00286E0D" w:rsidP="00286E0D">
      <w:pPr>
        <w:pStyle w:val="ManualHeading2"/>
        <w:rPr>
          <w:rFonts w:eastAsia="Arial Unicode MS"/>
          <w:noProof/>
          <w:u w:color="000000"/>
          <w:bdr w:val="nil"/>
        </w:rPr>
      </w:pPr>
      <w:r w:rsidRPr="002E11EE">
        <w:rPr>
          <w:noProof/>
          <w:u w:color="000000"/>
          <w:bdr w:val="nil"/>
        </w:rPr>
        <w:t>•</w:t>
      </w:r>
      <w:r w:rsidRPr="002E11EE">
        <w:rPr>
          <w:noProof/>
        </w:rPr>
        <w:tab/>
      </w:r>
      <w:r w:rsidRPr="002E11EE">
        <w:rPr>
          <w:noProof/>
          <w:u w:color="000000"/>
          <w:bdr w:val="nil"/>
        </w:rPr>
        <w:t xml:space="preserve">Toissijaisuusperiaate (jaetun toimivallan osalta) </w:t>
      </w:r>
    </w:p>
    <w:p w14:paraId="0C17F853" w14:textId="77777777" w:rsidR="00286E0D" w:rsidRPr="002E11EE" w:rsidRDefault="0031749A" w:rsidP="00D35A81">
      <w:pPr>
        <w:pBdr>
          <w:top w:val="nil"/>
          <w:left w:val="nil"/>
          <w:bottom w:val="nil"/>
          <w:right w:val="nil"/>
          <w:between w:val="nil"/>
          <w:bar w:val="nil"/>
        </w:pBdr>
        <w:rPr>
          <w:rFonts w:eastAsia="Arial Unicode MS"/>
          <w:noProof/>
        </w:rPr>
      </w:pPr>
      <w:r w:rsidRPr="002E11EE">
        <w:rPr>
          <w:noProof/>
          <w:color w:val="000000" w:themeColor="text1"/>
        </w:rPr>
        <w:t xml:space="preserve">Ehdotuksen tavoitteita ei voida saavuttaa pelkästään jäsenvaltioiden toimin, koska haasteet ovat luonteeltaan rajat ylittäviä eivätkä rajoitu vain yhteen jäsenvaltioon tai vain joihinkin jäsenvaltioihin. </w:t>
      </w:r>
      <w:r w:rsidRPr="002E11EE">
        <w:rPr>
          <w:noProof/>
        </w:rPr>
        <w:t>Unionin tuki luo lisäarvoa edistämällä jäsenvaltioiden yhteistä lähestymistapaa EU:n säännöstön ja normien täytäntöönpanoon ja edistämällä jäsenvaltioiden yhteistyötä valtioiden rajat ylittävissä kysymyksissä.</w:t>
      </w:r>
    </w:p>
    <w:p w14:paraId="0E9E52B6" w14:textId="77777777" w:rsidR="00286E0D" w:rsidRPr="002E11EE" w:rsidRDefault="00286E0D" w:rsidP="00286E0D">
      <w:pPr>
        <w:pStyle w:val="ManualHeading2"/>
        <w:rPr>
          <w:rFonts w:eastAsia="Arial Unicode MS"/>
          <w:noProof/>
          <w:u w:color="000000"/>
          <w:bdr w:val="nil"/>
        </w:rPr>
      </w:pPr>
      <w:r w:rsidRPr="002E11EE">
        <w:rPr>
          <w:noProof/>
          <w:u w:color="000000"/>
          <w:bdr w:val="nil"/>
        </w:rPr>
        <w:t>•</w:t>
      </w:r>
      <w:r w:rsidRPr="002E11EE">
        <w:rPr>
          <w:noProof/>
        </w:rPr>
        <w:tab/>
      </w:r>
      <w:r w:rsidRPr="002E11EE">
        <w:rPr>
          <w:noProof/>
          <w:u w:color="000000"/>
          <w:bdr w:val="nil"/>
        </w:rPr>
        <w:t>Suhteellisuusperiaate</w:t>
      </w:r>
    </w:p>
    <w:p w14:paraId="6AD7B953" w14:textId="77777777" w:rsidR="00286E0D" w:rsidRPr="002E11EE" w:rsidRDefault="0031749A" w:rsidP="00FA3905">
      <w:pPr>
        <w:pBdr>
          <w:top w:val="nil"/>
          <w:left w:val="nil"/>
          <w:bottom w:val="nil"/>
          <w:right w:val="nil"/>
          <w:between w:val="nil"/>
          <w:bar w:val="nil"/>
        </w:pBdr>
        <w:rPr>
          <w:rFonts w:eastAsia="Arial Unicode MS"/>
          <w:noProof/>
          <w:color w:val="000000" w:themeColor="text1"/>
        </w:rPr>
      </w:pPr>
      <w:r w:rsidRPr="002E11EE">
        <w:rPr>
          <w:noProof/>
          <w:color w:val="000000" w:themeColor="text1"/>
        </w:rPr>
        <w:t>Ehdotuksessa ei ylitetä sitä, mikä on tarpeen 1 jaksossa mainittujen tavoitteiden saavuttamiseksi. Se kuuluu SEUT-sopimuksen kolmannen osan V osastossa määritellyn vapauden, turvallisuuden ja oikeuden alueen toiminta-alaan. Tavoitteet ja unionin tuki niitä varten ovat oikeassa suhteessa siihen nähden, mitä välineellä pyritään saavuttamaan.</w:t>
      </w:r>
    </w:p>
    <w:p w14:paraId="70EDA19B" w14:textId="77777777" w:rsidR="00286E0D" w:rsidRPr="002E11EE" w:rsidRDefault="00286E0D" w:rsidP="00286E0D">
      <w:pPr>
        <w:pStyle w:val="ManualHeading2"/>
        <w:rPr>
          <w:rFonts w:eastAsia="Arial Unicode MS"/>
          <w:noProof/>
          <w:u w:color="000000"/>
          <w:bdr w:val="nil"/>
        </w:rPr>
      </w:pPr>
      <w:r w:rsidRPr="002E11EE">
        <w:rPr>
          <w:noProof/>
          <w:u w:color="000000"/>
          <w:bdr w:val="nil"/>
        </w:rPr>
        <w:t>•</w:t>
      </w:r>
      <w:r w:rsidRPr="002E11EE">
        <w:rPr>
          <w:noProof/>
        </w:rPr>
        <w:tab/>
      </w:r>
      <w:r w:rsidRPr="002E11EE">
        <w:rPr>
          <w:noProof/>
          <w:u w:color="000000"/>
          <w:bdr w:val="nil"/>
        </w:rPr>
        <w:t>Toimintatavan valinta</w:t>
      </w:r>
    </w:p>
    <w:p w14:paraId="675DAC45" w14:textId="5D8E2C52" w:rsidR="0031749A" w:rsidRPr="002E11EE" w:rsidRDefault="0031749A" w:rsidP="001F3E4C">
      <w:pPr>
        <w:pBdr>
          <w:top w:val="nil"/>
          <w:left w:val="nil"/>
          <w:bottom w:val="nil"/>
          <w:right w:val="nil"/>
          <w:between w:val="nil"/>
          <w:bar w:val="nil"/>
        </w:pBdr>
        <w:rPr>
          <w:rFonts w:eastAsia="Arial Unicode MS"/>
          <w:noProof/>
          <w:color w:val="000000" w:themeColor="text1"/>
        </w:rPr>
      </w:pPr>
      <w:r w:rsidRPr="002E11EE">
        <w:rPr>
          <w:noProof/>
        </w:rPr>
        <w:t>Sopivin väline tämän ehdotuksen toteuttamiseksi on Euroopan parlamentin ja neuvoston asetus, joka annetaan rajaturvallisuutta koskevan unionin tuen vahvistamiseksi 1 päivän tammikuuta 2028 ja 31 päivän joulukuuta 2034 väliselle ajalle ja jolla täydennetään ehdotusta asetukseksi (EU) [...] Euroopan taloudellisen, sosiaalisen ja alueellisen yhteenkuuluvuuden, maatalouden ja maaseudun, kalatalouden ja merielinkeinojen, vaurauden ja turvallisuuden rahaston perustamisesta.</w:t>
      </w:r>
    </w:p>
    <w:p w14:paraId="0FA6C1BD" w14:textId="77777777" w:rsidR="00286E0D" w:rsidRPr="002E11EE" w:rsidRDefault="00286E0D" w:rsidP="00286E0D">
      <w:pPr>
        <w:pStyle w:val="ManualHeading1"/>
        <w:rPr>
          <w:noProof/>
        </w:rPr>
      </w:pPr>
      <w:r w:rsidRPr="002E11EE">
        <w:rPr>
          <w:noProof/>
        </w:rPr>
        <w:t>3.</w:t>
      </w:r>
      <w:r w:rsidRPr="002E11EE">
        <w:rPr>
          <w:noProof/>
        </w:rPr>
        <w:tab/>
        <w:t>JÄLKIARVIOINTIEN, SIDOSRYHMIEN KUULEMISTEN JA VAIKUTUSTENARVIOINTIEN TULOKSET</w:t>
      </w:r>
    </w:p>
    <w:p w14:paraId="0B632E01" w14:textId="77777777" w:rsidR="00286E0D" w:rsidRPr="002E11EE" w:rsidRDefault="00286E0D" w:rsidP="00286E0D">
      <w:pPr>
        <w:pStyle w:val="ManualHeading2"/>
        <w:rPr>
          <w:rFonts w:eastAsia="Arial Unicode MS"/>
          <w:noProof/>
          <w:u w:color="000000"/>
          <w:bdr w:val="nil"/>
        </w:rPr>
      </w:pPr>
      <w:r w:rsidRPr="002E11EE">
        <w:rPr>
          <w:noProof/>
          <w:u w:color="000000"/>
          <w:bdr w:val="nil"/>
        </w:rPr>
        <w:t>•</w:t>
      </w:r>
      <w:r w:rsidRPr="002E11EE">
        <w:rPr>
          <w:noProof/>
        </w:rPr>
        <w:tab/>
      </w:r>
      <w:r w:rsidRPr="002E11EE">
        <w:rPr>
          <w:noProof/>
          <w:u w:color="000000"/>
          <w:bdr w:val="nil"/>
        </w:rPr>
        <w:t>Jälkiarvioinnit/toimivuustarkastukset</w:t>
      </w:r>
    </w:p>
    <w:p w14:paraId="76E894A2" w14:textId="77777777" w:rsidR="00286E0D" w:rsidRPr="002E11EE" w:rsidRDefault="00286E0D" w:rsidP="00EB6497">
      <w:pPr>
        <w:pBdr>
          <w:top w:val="nil"/>
          <w:left w:val="nil"/>
          <w:bottom w:val="nil"/>
          <w:right w:val="nil"/>
          <w:between w:val="nil"/>
          <w:bar w:val="nil"/>
        </w:pBdr>
        <w:rPr>
          <w:rFonts w:eastAsia="Arial Unicode MS"/>
          <w:noProof/>
        </w:rPr>
      </w:pPr>
      <w:r w:rsidRPr="002E11EE">
        <w:rPr>
          <w:noProof/>
        </w:rPr>
        <w:t xml:space="preserve">Alustavat tulokset sisäisen turvallisuuden rahastoon kuuluvan ulkorajojen ja viisumipolitiikan rahoitusvälineen (ISF-BV) ohjelmakauden 2014–2020 meneillään olevasta jälkiarvioinnista vahvistavat, että ISF-BV auttoi jäsenvaltioita saavuttamaan tavoitteensa, jotka koskevat viisumipolitiikkaa ja rajaturvallisuuden ylläpitämistä ulkorajoilla. Monivuotisen ohjelmasuunnittelun ja kansallisten tukikelpoisuussääntöjen käyttöönotto vähensi osaltaan hallinnollista rasitetta. Yksinkertaistettujen kustannusvaihtoehtojen käytöllä onnistuttiin vähentämään hallinnollista rasitetta, mutta niitä ei käytetty laajalti. ISF-BV:n kustannusvaikuttavuus ja tehokkuus vaihtelivat. ISF-BV oli linjassaan yhtenäinen rahastonsa osien sekä muiden EU:n rahastojen kanssa, mutta yhteistä linjaa Horisontti Eurooppa -puiteohjelman kanssa sekä kansallisten ohjelmien ja unionin toimien välillä voitaisiin edelleen vahvistaa. ISF-BV toi merkittävästi EU:n lisäarvoa. </w:t>
      </w:r>
      <w:bookmarkStart w:id="6" w:name="_Hlk202880568"/>
      <w:r w:rsidRPr="002E11EE">
        <w:rPr>
          <w:noProof/>
        </w:rPr>
        <w:t>Jälkiarvioinnissa todetaan alustavasti, että raportointivaatimusten ja hallinnollisten menettelyjen yksinkertaistaminen laatua heikentämättä ja täytäntöönpanon seurantaa varten tarvittavia määrällisiä tietoja vähentämättä voi merkittävästi parantaa tehokkuutta. Näin on mahdollista minimoida hallinnollinen rasite ja antaa sidosryhmille mahdollisuus keskittyä tulosten tuottamiseen byrokraattisten prosessien suorittamisen sijasta.</w:t>
      </w:r>
      <w:bookmarkEnd w:id="6"/>
    </w:p>
    <w:p w14:paraId="539AF480" w14:textId="77777777" w:rsidR="00286E0D" w:rsidRPr="002E11EE" w:rsidRDefault="00286E0D" w:rsidP="00EB6497">
      <w:pPr>
        <w:pBdr>
          <w:top w:val="nil"/>
          <w:left w:val="nil"/>
          <w:bottom w:val="nil"/>
          <w:right w:val="nil"/>
          <w:between w:val="nil"/>
          <w:bar w:val="nil"/>
        </w:pBdr>
        <w:rPr>
          <w:rFonts w:eastAsia="Arial Unicode MS"/>
          <w:i/>
          <w:noProof/>
        </w:rPr>
      </w:pPr>
      <w:r w:rsidRPr="002E11EE">
        <w:rPr>
          <w:noProof/>
        </w:rPr>
        <w:t xml:space="preserve">Rajaturvallisuuden ja viisumipolitiikan rahoitustukivälineen (BMVI) ohjelmakauden 2021–2027 väliarvioinnin alustavat tulokset vahvistavat, että BMVI:n seuranta- ja arviointikehys on parantunut merkittävästi kauteen 2014–2020 verrattuna. Jäsenvaltiot ja tuensaajat toivat esiin huolensa hallinnollisesta rasitteesta. Hallintoviranomaiset ovat toistaiseksi hyödyntäneet vain vähän yksinkertaistettuja kustannusvaihtoehtoja ja kustannuksiin perustumatonta rahoitusta, jotka voisivat vähentää hallinnollista rasitetta. Kyseiseen temaattiseen välineeseen liittyvät jäsenvaltioiden ohjelmat ja komission työohjelmat ovat olleet linjassa muiden kansallisten ja EU:n rahoitusvälineiden kanssa. Yhteensopivuutta unionin toimien ja jäsenvaltioiden ohjelmien välillä sekä Horisontti Eurooppa -puiteohjelman kanssa olisi kuitenkin voitu vieläkin parantaa innovatiivisten teknologisten ratkaisujen käyttöönoton lisäämiseksi. BMVI on myös edistänyt yhteistyötä, varmistanut EU:n normien noudattamisen ja tukenut EU:n kollektiivista rajaturvallisuutta ja viisumipolitiikkaa koskevaa kehystä. </w:t>
      </w:r>
      <w:bookmarkStart w:id="7" w:name="_Hlk202880726"/>
      <w:r w:rsidRPr="002E11EE">
        <w:rPr>
          <w:noProof/>
        </w:rPr>
        <w:t xml:space="preserve">Sidosryhmät ovat arvostaneet erityisesti tiettyjä toimia niiden joustavuuden ja tiettyjen painopisteiden tapauskohtaisen lisärahoituksen vuoksi. </w:t>
      </w:r>
      <w:bookmarkEnd w:id="7"/>
      <w:r w:rsidRPr="002E11EE">
        <w:rPr>
          <w:noProof/>
        </w:rPr>
        <w:t>Väliarvioinnissa korostetaan myös, että on tärkeää jatkaa rahoituksen toteutuksen yksinkertaistamista ja selittää hallintoviranomaisille paremmin, miten tuloskehyksellä voidaan edistää ohjelmien tehokasta hallinnointia asetuksessa edellytetyn puhtaasti muodollisen raportoinnin lisäksi.</w:t>
      </w:r>
    </w:p>
    <w:p w14:paraId="7AA2B0D5" w14:textId="77777777" w:rsidR="00286E0D" w:rsidRPr="002E11EE" w:rsidRDefault="00286E0D" w:rsidP="00286E0D">
      <w:pPr>
        <w:pStyle w:val="ManualHeading2"/>
        <w:rPr>
          <w:rFonts w:eastAsia="Arial Unicode MS"/>
          <w:noProof/>
          <w:u w:color="000000"/>
          <w:bdr w:val="nil"/>
        </w:rPr>
      </w:pPr>
      <w:r w:rsidRPr="002E11EE">
        <w:rPr>
          <w:noProof/>
          <w:u w:color="000000"/>
          <w:bdr w:val="nil"/>
        </w:rPr>
        <w:t>•</w:t>
      </w:r>
      <w:r w:rsidRPr="002E11EE">
        <w:rPr>
          <w:noProof/>
        </w:rPr>
        <w:tab/>
      </w:r>
      <w:r w:rsidRPr="002E11EE">
        <w:rPr>
          <w:noProof/>
          <w:u w:color="000000"/>
          <w:bdr w:val="nil"/>
        </w:rPr>
        <w:t>Sidosryhmien kuuleminen</w:t>
      </w:r>
    </w:p>
    <w:p w14:paraId="4E66CF84" w14:textId="32471CB5" w:rsidR="00286E0D" w:rsidRPr="002E11EE" w:rsidRDefault="00286E0D" w:rsidP="001F3E4C">
      <w:pPr>
        <w:pBdr>
          <w:top w:val="nil"/>
          <w:left w:val="nil"/>
          <w:bottom w:val="nil"/>
          <w:right w:val="nil"/>
          <w:between w:val="nil"/>
          <w:bar w:val="nil"/>
        </w:pBdr>
        <w:rPr>
          <w:rFonts w:eastAsia="Arial Unicode MS"/>
          <w:noProof/>
        </w:rPr>
      </w:pPr>
      <w:r w:rsidRPr="002E11EE">
        <w:rPr>
          <w:noProof/>
        </w:rPr>
        <w:t>Komissio on ollut aktiivisesti yhteyksissä sidosryhmiin aloitetta koskevassa prosessissa, erityisesti järjestämällä asiaa käsitteleviä tapahtumia ja toteuttamalla julkisia kuulemisia, kuten Euroopan taloudellisen, sosiaalisen ja alueellisen yhteenkuuluvuuden, maatalouden ja maaseudun, kalatalouden ja merielinkeinojen, vaurauden ja turvallisuuden rahaston perustamista koskevan asetusehdotuksen (EU) [...] perusteluosan vastaavassa luvussa esitetään.</w:t>
      </w:r>
      <w:bookmarkStart w:id="8" w:name="_Hlk202112428"/>
      <w:bookmarkStart w:id="9" w:name="_Hlk201931196"/>
      <w:bookmarkEnd w:id="8"/>
      <w:bookmarkEnd w:id="9"/>
      <w:r w:rsidRPr="002E11EE">
        <w:rPr>
          <w:noProof/>
        </w:rPr>
        <w:t xml:space="preserve"> </w:t>
      </w:r>
    </w:p>
    <w:p w14:paraId="5933E9C5" w14:textId="77777777" w:rsidR="00286E0D" w:rsidRPr="002E11EE" w:rsidRDefault="00286E0D" w:rsidP="00286E0D">
      <w:pPr>
        <w:pStyle w:val="ManualHeading2"/>
        <w:rPr>
          <w:rFonts w:eastAsia="Arial Unicode MS"/>
          <w:noProof/>
          <w:u w:color="000000"/>
          <w:bdr w:val="nil"/>
        </w:rPr>
      </w:pPr>
      <w:r w:rsidRPr="002E11EE">
        <w:rPr>
          <w:noProof/>
          <w:u w:color="000000"/>
          <w:bdr w:val="nil"/>
        </w:rPr>
        <w:t>•</w:t>
      </w:r>
      <w:r w:rsidRPr="002E11EE">
        <w:rPr>
          <w:noProof/>
        </w:rPr>
        <w:tab/>
      </w:r>
      <w:r w:rsidRPr="002E11EE">
        <w:rPr>
          <w:noProof/>
          <w:u w:color="000000"/>
          <w:bdr w:val="nil"/>
        </w:rPr>
        <w:t>Ulkopuoliset asiantuntijat</w:t>
      </w:r>
    </w:p>
    <w:p w14:paraId="379C1D35" w14:textId="03883662" w:rsidR="00286E0D" w:rsidRPr="002E11EE" w:rsidRDefault="00286E0D" w:rsidP="00286E0D">
      <w:pPr>
        <w:pBdr>
          <w:top w:val="nil"/>
          <w:left w:val="nil"/>
          <w:bottom w:val="nil"/>
          <w:right w:val="nil"/>
          <w:between w:val="nil"/>
          <w:bar w:val="nil"/>
        </w:pBdr>
        <w:rPr>
          <w:rFonts w:eastAsia="Arial Unicode MS"/>
          <w:noProof/>
        </w:rPr>
      </w:pPr>
      <w:r w:rsidRPr="002E11EE">
        <w:rPr>
          <w:noProof/>
        </w:rPr>
        <w:t>Tietoja siitä, miten komissio on käyttänyt ulkopuolista asiantuntemusta, annetaan Euroopan taloudellisen, sosiaalisen ja alueellisen yhteenkuuluvuuden, maatalouden ja maaseudun, kalatalouden ja merielinkeinojen, vaurauden ja turvallisuuden rahaston perustamista koskevan asetusehdotuksen (EU) [...] perustelujen vastaavassa luvussa.</w:t>
      </w:r>
    </w:p>
    <w:p w14:paraId="7B1950A5" w14:textId="77777777" w:rsidR="00286E0D" w:rsidRPr="002E11EE" w:rsidRDefault="00286E0D" w:rsidP="00286E0D">
      <w:pPr>
        <w:pStyle w:val="ManualHeading2"/>
        <w:rPr>
          <w:rFonts w:eastAsia="Arial Unicode MS"/>
          <w:noProof/>
          <w:u w:color="000000"/>
          <w:bdr w:val="nil"/>
        </w:rPr>
      </w:pPr>
      <w:r w:rsidRPr="002E11EE">
        <w:rPr>
          <w:noProof/>
          <w:u w:color="000000"/>
          <w:bdr w:val="nil"/>
        </w:rPr>
        <w:t>•</w:t>
      </w:r>
      <w:r w:rsidRPr="002E11EE">
        <w:rPr>
          <w:noProof/>
        </w:rPr>
        <w:tab/>
      </w:r>
      <w:r w:rsidRPr="002E11EE">
        <w:rPr>
          <w:noProof/>
          <w:u w:color="000000"/>
          <w:bdr w:val="nil"/>
        </w:rPr>
        <w:t>Vaikutustenarviointi</w:t>
      </w:r>
    </w:p>
    <w:p w14:paraId="1537B458" w14:textId="1B9AF564" w:rsidR="00286E0D" w:rsidRPr="002E11EE" w:rsidRDefault="00286E0D" w:rsidP="00286E0D">
      <w:pPr>
        <w:pBdr>
          <w:top w:val="nil"/>
          <w:left w:val="nil"/>
          <w:bottom w:val="nil"/>
          <w:right w:val="nil"/>
          <w:between w:val="nil"/>
          <w:bar w:val="nil"/>
        </w:pBdr>
        <w:rPr>
          <w:rFonts w:eastAsia="Arial Unicode MS"/>
          <w:noProof/>
        </w:rPr>
      </w:pPr>
      <w:bookmarkStart w:id="10" w:name="_Hlk201931214"/>
      <w:bookmarkEnd w:id="10"/>
      <w:r w:rsidRPr="002E11EE">
        <w:rPr>
          <w:noProof/>
        </w:rPr>
        <w:t>Tietoja komission tekemästä vaikutustenarvioinnista annetaan Euroopan taloudellisen, sosiaalisen ja alueellisen yhteenkuuluvuuden, maatalouden ja maaseudun, kalatalouden ja merielinkeinojen, vaurauden ja turvallisuuden rahaston perustamista koskevan asetusehdotuksen (EU) [...] perustelujen vastaavassa luvussa.</w:t>
      </w:r>
    </w:p>
    <w:p w14:paraId="150E44C0" w14:textId="77777777" w:rsidR="00286E0D" w:rsidRPr="002E11EE" w:rsidRDefault="00286E0D" w:rsidP="00286E0D">
      <w:pPr>
        <w:pStyle w:val="ManualHeading2"/>
        <w:rPr>
          <w:rFonts w:eastAsia="Arial Unicode MS"/>
          <w:noProof/>
          <w:u w:color="000000"/>
          <w:bdr w:val="nil"/>
        </w:rPr>
      </w:pPr>
      <w:r w:rsidRPr="002E11EE">
        <w:rPr>
          <w:noProof/>
          <w:u w:color="000000"/>
          <w:bdr w:val="nil"/>
        </w:rPr>
        <w:t>•</w:t>
      </w:r>
      <w:r w:rsidRPr="002E11EE">
        <w:rPr>
          <w:noProof/>
        </w:rPr>
        <w:tab/>
      </w:r>
      <w:r w:rsidRPr="002E11EE">
        <w:rPr>
          <w:noProof/>
          <w:u w:color="000000"/>
          <w:bdr w:val="nil"/>
        </w:rPr>
        <w:t>Yksinkertaistaminen</w:t>
      </w:r>
    </w:p>
    <w:p w14:paraId="5F7036BD" w14:textId="2B3428DA" w:rsidR="00286E0D" w:rsidRPr="002E11EE" w:rsidRDefault="00286E0D" w:rsidP="00286E0D">
      <w:pPr>
        <w:pBdr>
          <w:top w:val="nil"/>
          <w:left w:val="nil"/>
          <w:bottom w:val="nil"/>
          <w:right w:val="nil"/>
          <w:between w:val="nil"/>
          <w:bar w:val="nil"/>
        </w:pBdr>
        <w:rPr>
          <w:rFonts w:eastAsia="Calibri"/>
          <w:noProof/>
        </w:rPr>
      </w:pPr>
      <w:r w:rsidRPr="002E11EE">
        <w:rPr>
          <w:noProof/>
        </w:rPr>
        <w:t>Aloitteen odotetaan vähentävän merkittävästi hallinnollista rasitetta ja kustannuksia sekä tehostavan unionin tuen täytäntöönpanoa (ks. myös Euroopan taloudellisen, sosiaalisen ja alueellisen yhteenkuuluvuuden, maatalouden ja maaseudun, kalatalouden ja merielinkeinojen, vaurauden ja turvallisuuden rahaston perustamista koskevan asetusehdotuksen (EU) [...] perustelujen vastaava jakso).</w:t>
      </w:r>
    </w:p>
    <w:p w14:paraId="6EF0EB51" w14:textId="77777777" w:rsidR="00286E0D" w:rsidRPr="002E11EE" w:rsidRDefault="00286E0D" w:rsidP="00286E0D">
      <w:pPr>
        <w:pStyle w:val="ManualHeading2"/>
        <w:rPr>
          <w:rFonts w:eastAsia="Arial Unicode MS"/>
          <w:noProof/>
          <w:u w:color="000000"/>
          <w:bdr w:val="nil"/>
        </w:rPr>
      </w:pPr>
      <w:r w:rsidRPr="002E11EE">
        <w:rPr>
          <w:noProof/>
          <w:u w:color="000000"/>
          <w:bdr w:val="nil"/>
        </w:rPr>
        <w:t>•</w:t>
      </w:r>
      <w:r w:rsidRPr="002E11EE">
        <w:rPr>
          <w:noProof/>
        </w:rPr>
        <w:tab/>
      </w:r>
      <w:r w:rsidRPr="002E11EE">
        <w:rPr>
          <w:noProof/>
          <w:u w:color="000000"/>
          <w:bdr w:val="nil"/>
        </w:rPr>
        <w:t>Perusoikeudet</w:t>
      </w:r>
    </w:p>
    <w:p w14:paraId="2B806987" w14:textId="4EBE1154" w:rsidR="00286E0D" w:rsidRPr="002E11EE" w:rsidRDefault="00286E0D" w:rsidP="00286E0D">
      <w:pPr>
        <w:pBdr>
          <w:top w:val="nil"/>
          <w:left w:val="nil"/>
          <w:bottom w:val="nil"/>
          <w:right w:val="nil"/>
          <w:between w:val="nil"/>
          <w:bar w:val="nil"/>
        </w:pBdr>
        <w:rPr>
          <w:rFonts w:eastAsia="Arial Unicode MS"/>
          <w:noProof/>
        </w:rPr>
      </w:pPr>
      <w:r w:rsidRPr="002E11EE">
        <w:rPr>
          <w:noProof/>
        </w:rPr>
        <w:t>Unionin tuki pannaan täytäntöön noudattaen Euroopan unionin perusoikeuskirjaa ja asetuksen (EU, Euratom) 2020/2092 2 artiklan a alakohdassa vahvistettua oikeusvaltioperiaatetta (ks. myös Euroopan taloudellisen, sosiaalisen ja alueellisen yhteenkuuluvuuden, maatalouden ja maaseudun, kalatalouden ja merielinkeinojen, vaurauden ja turvallisuuden rahaston perustamista koskevan asetusehdotuksen (EU) [...] perustelujen vastaava jakso).</w:t>
      </w:r>
    </w:p>
    <w:p w14:paraId="785D377B" w14:textId="77777777" w:rsidR="00286E0D" w:rsidRPr="002E11EE" w:rsidRDefault="00286E0D" w:rsidP="00286E0D">
      <w:pPr>
        <w:pStyle w:val="ManualHeading1"/>
        <w:rPr>
          <w:noProof/>
        </w:rPr>
      </w:pPr>
      <w:r w:rsidRPr="002E11EE">
        <w:rPr>
          <w:noProof/>
        </w:rPr>
        <w:t>4.</w:t>
      </w:r>
      <w:r w:rsidRPr="002E11EE">
        <w:rPr>
          <w:noProof/>
        </w:rPr>
        <w:tab/>
        <w:t>TALOUSARVIOVAIKUTUKSET</w:t>
      </w:r>
    </w:p>
    <w:p w14:paraId="3E5D695D" w14:textId="406E1912" w:rsidR="00401265" w:rsidRPr="002E11EE" w:rsidRDefault="00401265" w:rsidP="00401265">
      <w:pPr>
        <w:pBdr>
          <w:top w:val="nil"/>
          <w:left w:val="nil"/>
          <w:bottom w:val="nil"/>
          <w:right w:val="nil"/>
          <w:between w:val="nil"/>
          <w:bar w:val="nil"/>
        </w:pBdr>
        <w:rPr>
          <w:rFonts w:eastAsia="Arial Unicode MS"/>
          <w:noProof/>
          <w:color w:val="000000" w:themeColor="text1"/>
        </w:rPr>
      </w:pPr>
      <w:r w:rsidRPr="002E11EE">
        <w:rPr>
          <w:noProof/>
        </w:rPr>
        <w:t>Unionin tuen tavoitteiden toteuttamiseen varatut ohjeelliset rahoituspuitteet kaudeksi 2028–2034 ovat 15 396 750 000 miljardia euroa käypinä hintoina.</w:t>
      </w:r>
      <w:r w:rsidRPr="002E11EE">
        <w:rPr>
          <w:noProof/>
          <w:color w:val="000000" w:themeColor="text1"/>
        </w:rPr>
        <w:t> Määrärahojen toteutuksen on oltava Euroopan taloudellisen, sosiaalisen ja alueellisen yhteenkuuluvuuden, maatalouden ja maaseudun, kalatalouden ja merielinkeinojen, vaurauden ja turvallisuuden rahaston perustamisesta annetussa asetuksessa (EU) [...] vahvistettujen kansallisia ja alueellisia kumppanuussuunnitelmia koskevien horisontaalisten sääntöjen mukaista.</w:t>
      </w:r>
    </w:p>
    <w:p w14:paraId="2B2668EA" w14:textId="42F468FB" w:rsidR="00286E0D" w:rsidRPr="002E11EE" w:rsidRDefault="00286E0D" w:rsidP="00401265">
      <w:pPr>
        <w:pBdr>
          <w:top w:val="nil"/>
          <w:left w:val="nil"/>
          <w:bottom w:val="nil"/>
          <w:right w:val="nil"/>
          <w:between w:val="nil"/>
          <w:bar w:val="nil"/>
        </w:pBdr>
        <w:spacing w:before="0" w:after="240"/>
        <w:rPr>
          <w:rFonts w:eastAsia="Arial Unicode MS"/>
          <w:noProof/>
          <w:color w:val="0000FF"/>
        </w:rPr>
      </w:pPr>
    </w:p>
    <w:p w14:paraId="7B939CF7" w14:textId="77777777" w:rsidR="00286E0D" w:rsidRPr="002E11EE" w:rsidRDefault="00286E0D" w:rsidP="00286E0D">
      <w:pPr>
        <w:pStyle w:val="ManualHeading1"/>
        <w:rPr>
          <w:noProof/>
        </w:rPr>
      </w:pPr>
      <w:r w:rsidRPr="002E11EE">
        <w:rPr>
          <w:noProof/>
        </w:rPr>
        <w:t>5.</w:t>
      </w:r>
      <w:r w:rsidRPr="002E11EE">
        <w:rPr>
          <w:noProof/>
        </w:rPr>
        <w:tab/>
        <w:t>LISÄTIEDOT</w:t>
      </w:r>
    </w:p>
    <w:p w14:paraId="68F9A644" w14:textId="77777777" w:rsidR="00286E0D" w:rsidRPr="002E11EE" w:rsidRDefault="00286E0D" w:rsidP="00286E0D">
      <w:pPr>
        <w:pStyle w:val="ManualHeading2"/>
        <w:rPr>
          <w:rFonts w:eastAsia="Arial Unicode MS"/>
          <w:noProof/>
          <w:u w:color="000000"/>
          <w:bdr w:val="nil"/>
        </w:rPr>
      </w:pPr>
      <w:r w:rsidRPr="002E11EE">
        <w:rPr>
          <w:noProof/>
          <w:u w:color="000000"/>
          <w:bdr w:val="nil"/>
        </w:rPr>
        <w:t>•</w:t>
      </w:r>
      <w:r w:rsidRPr="002E11EE">
        <w:rPr>
          <w:noProof/>
        </w:rPr>
        <w:tab/>
      </w:r>
      <w:r w:rsidRPr="002E11EE">
        <w:rPr>
          <w:noProof/>
          <w:u w:color="000000"/>
          <w:bdr w:val="nil"/>
        </w:rPr>
        <w:t>Toteuttamissuunnitelmat, seuranta, arviointi ja raportointijärjestelyt</w:t>
      </w:r>
    </w:p>
    <w:p w14:paraId="4C6C6654" w14:textId="78D78654" w:rsidR="00286E0D" w:rsidRPr="002E11EE" w:rsidRDefault="00286E0D" w:rsidP="00B86814">
      <w:pPr>
        <w:pBdr>
          <w:top w:val="nil"/>
          <w:left w:val="nil"/>
          <w:bottom w:val="nil"/>
          <w:right w:val="nil"/>
          <w:between w:val="nil"/>
          <w:bar w:val="nil"/>
        </w:pBdr>
        <w:rPr>
          <w:rFonts w:eastAsia="Arial Unicode MS"/>
          <w:noProof/>
        </w:rPr>
      </w:pPr>
      <w:r w:rsidRPr="002E11EE">
        <w:rPr>
          <w:noProof/>
        </w:rPr>
        <w:t>Tämän ehdotuksen mukaisen unionin tuen täytäntöönpanossa käytetään hallinnointia yhteistyössä jäsenvaltioiden kanssa ja komission suoraa/välillistä hallinnointia. Unionin tuen täytäntöönpanoa seurataan vuosien 2028–2034 monivuotista rahoituskehystä koskevalla tuloskehyksellä, joka vahvistetaan unionin ohjelmien ja toimien talousarviomenojen seuranta- ja tuloskehyksen ja muiden horisontaalisten sääntöjen vahvistamisesta annettavassa asetuksessa (EU) [...].</w:t>
      </w:r>
    </w:p>
    <w:p w14:paraId="759E865E" w14:textId="77777777" w:rsidR="00286E0D" w:rsidRPr="002E11EE" w:rsidRDefault="00286E0D" w:rsidP="00286E0D">
      <w:pPr>
        <w:pStyle w:val="ManualHeading2"/>
        <w:rPr>
          <w:rFonts w:eastAsia="Arial Unicode MS"/>
          <w:noProof/>
          <w:u w:color="000000"/>
          <w:bdr w:val="nil"/>
        </w:rPr>
      </w:pPr>
      <w:r w:rsidRPr="002E11EE">
        <w:rPr>
          <w:noProof/>
          <w:u w:color="000000"/>
          <w:bdr w:val="nil"/>
        </w:rPr>
        <w:t>•</w:t>
      </w:r>
      <w:r w:rsidRPr="002E11EE">
        <w:rPr>
          <w:noProof/>
        </w:rPr>
        <w:tab/>
      </w:r>
      <w:r w:rsidRPr="002E11EE">
        <w:rPr>
          <w:noProof/>
          <w:u w:color="000000"/>
          <w:bdr w:val="nil"/>
        </w:rPr>
        <w:t>Ehdotukseen sisältyvien säännösten yksityiskohtaiset selitykset</w:t>
      </w:r>
    </w:p>
    <w:p w14:paraId="5D95CCE4" w14:textId="4D9C5BE5" w:rsidR="002779C4" w:rsidRPr="002E11EE" w:rsidRDefault="00286E0D" w:rsidP="002779C4">
      <w:pPr>
        <w:pBdr>
          <w:top w:val="nil"/>
          <w:left w:val="nil"/>
          <w:bottom w:val="nil"/>
          <w:right w:val="nil"/>
          <w:between w:val="nil"/>
          <w:bar w:val="nil"/>
        </w:pBdr>
        <w:rPr>
          <w:rFonts w:eastAsia="Arial Unicode MS"/>
          <w:noProof/>
        </w:rPr>
      </w:pPr>
      <w:r w:rsidRPr="002E11EE">
        <w:rPr>
          <w:noProof/>
        </w:rPr>
        <w:t xml:space="preserve"> Ehdotetun asetuksen 1 artiklassa määritellään Euroopan yhdennettyä rajaturvallisuutta ja yhteistä viisumipolitiikkaa koskevan unionin tuen soveltamisala 1. päivän tammikuuta 2028 ja 31. päivän joulukuuta 2034 välisenä aikana. Tätä varten 2 artiklassa esitetään keskeiset määritelmät ja 3 artiklassa määritellään tavoitteet yhteneväisesti sen unionin tuen kanssa, jota myönnetään asetuksella (EU) [...] perustetun Euroopan taloudellisen, sosiaalisen ja alueellisen yhteenkuuluvuuden, maatalouden ja maaseudun, kalatalouden ja merielinkeinojen, vaurauden ja turvallisuuden rahaston horisontaalisten sääntöjen mukaisesti.</w:t>
      </w:r>
      <w:r w:rsidR="000A3429">
        <w:rPr>
          <w:noProof/>
        </w:rPr>
        <w:t xml:space="preserve"> </w:t>
      </w:r>
    </w:p>
    <w:p w14:paraId="56E233B3" w14:textId="5502E0FB" w:rsidR="002779C4" w:rsidRPr="002E11EE" w:rsidRDefault="002779C4" w:rsidP="00286E0D">
      <w:pPr>
        <w:pBdr>
          <w:top w:val="nil"/>
          <w:left w:val="nil"/>
          <w:bottom w:val="nil"/>
          <w:right w:val="nil"/>
          <w:between w:val="nil"/>
          <w:bar w:val="nil"/>
        </w:pBdr>
        <w:rPr>
          <w:rFonts w:eastAsia="Arial Unicode MS"/>
          <w:noProof/>
        </w:rPr>
      </w:pPr>
      <w:r w:rsidRPr="002E11EE">
        <w:rPr>
          <w:noProof/>
        </w:rPr>
        <w:t xml:space="preserve">Ehdotuksen 4 artikla sisältää säännökset unionin tuen rahoittamisesta, 5 artikla Schengenin säännöstöön osallistuvia maita koskevat säännökset ja 6 artikla säännökset erityisen kauttakulkujärjestelyn täytäntöönpanosta Liettuassa. </w:t>
      </w:r>
    </w:p>
    <w:p w14:paraId="3EE630F2" w14:textId="0FA4DF22" w:rsidR="00286E0D" w:rsidRPr="002E11EE" w:rsidRDefault="00286E0D" w:rsidP="00286E0D">
      <w:pPr>
        <w:pBdr>
          <w:top w:val="nil"/>
          <w:left w:val="nil"/>
          <w:bottom w:val="nil"/>
          <w:right w:val="nil"/>
          <w:between w:val="nil"/>
          <w:bar w:val="nil"/>
        </w:pBdr>
        <w:rPr>
          <w:rFonts w:eastAsia="Arial Unicode MS"/>
          <w:noProof/>
        </w:rPr>
      </w:pPr>
      <w:r w:rsidRPr="002E11EE">
        <w:rPr>
          <w:noProof/>
        </w:rPr>
        <w:t xml:space="preserve">Ehdotetun asetuksen 7 artiklassa vahvistetaan säännöt, jotka koskevat asetuksen (EU) 2018/1240 mukaisiin Euroopan matkustustieto- ja -lupajärjestelmän toimintakustannuksiin tarkoitettujen varojen talousarviokäsittelyä, ja 8 artiklassa säännöt, jotka koskevat 14 päivänä toukokuuta 2024 annetulla Euroopan parlamentin ja neuvoston </w:t>
      </w:r>
      <w:bookmarkStart w:id="11" w:name="_Hlk201927609"/>
      <w:r w:rsidRPr="002E11EE">
        <w:rPr>
          <w:noProof/>
        </w:rPr>
        <w:t>asetuksella (EU) 2024/1351</w:t>
      </w:r>
      <w:r w:rsidRPr="002E11EE">
        <w:rPr>
          <w:rStyle w:val="FootnoteReference"/>
          <w:noProof/>
        </w:rPr>
        <w:footnoteReference w:id="3"/>
      </w:r>
      <w:bookmarkEnd w:id="11"/>
      <w:r w:rsidRPr="002E11EE">
        <w:rPr>
          <w:noProof/>
        </w:rPr>
        <w:t xml:space="preserve"> perustettua vuotuista yhteisvastuureserviä varten suoritettavien jäsenvaltioiden rahoitusosuuksien talousarviokäsittelyä.</w:t>
      </w:r>
    </w:p>
    <w:p w14:paraId="1FF0825E" w14:textId="72B484A4" w:rsidR="00286E0D" w:rsidRPr="002E11EE" w:rsidRDefault="00631DBC" w:rsidP="00286E0D">
      <w:pPr>
        <w:pBdr>
          <w:top w:val="nil"/>
          <w:left w:val="nil"/>
          <w:bottom w:val="nil"/>
          <w:right w:val="nil"/>
          <w:between w:val="nil"/>
          <w:bar w:val="nil"/>
        </w:pBdr>
        <w:rPr>
          <w:noProof/>
        </w:rPr>
      </w:pPr>
      <w:r w:rsidRPr="002E11EE">
        <w:rPr>
          <w:noProof/>
        </w:rPr>
        <w:t>Asetuksen 9 artiklassa vahvistetaan siirtymäsäännökset. Ehdotetun asetuksen voimaantulopäivä vahvistetaan 10 artiklassa, jossa säädetään, että asetus on kaikilta osiltaan velvoittava ja sitä sovelletaan sellaisenaan kaikissa jäsenvaltioissa perussopimusten mukaisesti 1. päivästä tammikuuta 2028.</w:t>
      </w:r>
    </w:p>
    <w:p w14:paraId="68C60A71" w14:textId="77777777" w:rsidR="00286E0D" w:rsidRPr="002E11EE" w:rsidRDefault="00286E0D" w:rsidP="00286E0D">
      <w:pPr>
        <w:spacing w:before="0" w:after="200" w:line="276" w:lineRule="auto"/>
        <w:jc w:val="left"/>
        <w:rPr>
          <w:rFonts w:eastAsia="Arial Unicode MS"/>
          <w:noProof/>
          <w:color w:val="000000" w:themeColor="text1"/>
        </w:rPr>
      </w:pPr>
      <w:r w:rsidRPr="002E11EE">
        <w:rPr>
          <w:noProof/>
        </w:rPr>
        <w:br w:type="page"/>
      </w:r>
    </w:p>
    <w:p w14:paraId="567EEDE0" w14:textId="70A02A46" w:rsidR="00835316" w:rsidRPr="002E11EE" w:rsidRDefault="002E11EE" w:rsidP="002E11EE">
      <w:pPr>
        <w:pStyle w:val="Rfrenceinterinstitutionnelle"/>
        <w:rPr>
          <w:noProof/>
        </w:rPr>
      </w:pPr>
      <w:r>
        <w:rPr>
          <w:noProof/>
        </w:rPr>
        <w:t>2025/0541 (COD)</w:t>
      </w:r>
    </w:p>
    <w:p w14:paraId="108B7708" w14:textId="715AA30B" w:rsidR="00286E0D" w:rsidRPr="002E11EE" w:rsidRDefault="002E11EE" w:rsidP="002E11EE">
      <w:pPr>
        <w:pStyle w:val="Statut"/>
        <w:rPr>
          <w:noProof/>
        </w:rPr>
      </w:pPr>
      <w:r w:rsidRPr="002E11EE">
        <w:rPr>
          <w:noProof/>
        </w:rPr>
        <w:t>Ehdotus</w:t>
      </w:r>
    </w:p>
    <w:p w14:paraId="5162298C" w14:textId="20868224" w:rsidR="00286E0D" w:rsidRPr="002E11EE" w:rsidRDefault="002E11EE" w:rsidP="002E11EE">
      <w:pPr>
        <w:pStyle w:val="Typedudocument"/>
        <w:rPr>
          <w:noProof/>
        </w:rPr>
      </w:pPr>
      <w:r w:rsidRPr="002E11EE">
        <w:rPr>
          <w:noProof/>
        </w:rPr>
        <w:t>EUROOPAN PARLAMENTIN JA NEUVOSTON ASETUS</w:t>
      </w:r>
    </w:p>
    <w:p w14:paraId="3DE0D02D" w14:textId="7747F2D5" w:rsidR="00286E0D" w:rsidRPr="002E11EE" w:rsidRDefault="002E11EE" w:rsidP="002E11EE">
      <w:pPr>
        <w:pStyle w:val="Titreobjet"/>
        <w:rPr>
          <w:noProof/>
        </w:rPr>
      </w:pPr>
      <w:r w:rsidRPr="002E11EE">
        <w:rPr>
          <w:noProof/>
        </w:rPr>
        <w:t>Schengen-aluetta, Euroopan yhdennettyä rajaturvallisuutta ja yhteistä viisumipolitiikkaa koskevan unionin tuen vahvistamisesta vuosiksi 2028–2034</w:t>
      </w:r>
    </w:p>
    <w:p w14:paraId="749F32E6" w14:textId="77777777" w:rsidR="00286E0D" w:rsidRPr="002E11EE" w:rsidRDefault="00286E0D" w:rsidP="00286E0D">
      <w:pPr>
        <w:pStyle w:val="Institutionquiagit"/>
        <w:rPr>
          <w:noProof/>
        </w:rPr>
      </w:pPr>
      <w:r w:rsidRPr="002E11EE">
        <w:rPr>
          <w:noProof/>
        </w:rPr>
        <w:t>EUROOPAN PARLAMENTTI JA EUROOPAN UNIONIN NEUVOSTO, jotka</w:t>
      </w:r>
    </w:p>
    <w:p w14:paraId="1A70989E" w14:textId="77777777" w:rsidR="00286E0D" w:rsidRPr="002E11EE" w:rsidRDefault="00286E0D" w:rsidP="00286E0D">
      <w:pPr>
        <w:rPr>
          <w:noProof/>
        </w:rPr>
      </w:pPr>
      <w:r w:rsidRPr="002E11EE">
        <w:rPr>
          <w:noProof/>
        </w:rPr>
        <w:t>ottavat huomioon Euroopan unionin toiminnasta tehdyn sopimuksen ja erityisesti sen 77 artiklan 2 kohdan ja 79 artiklan 2 kohdan c ja d alakohdan,</w:t>
      </w:r>
    </w:p>
    <w:p w14:paraId="6C9BB100" w14:textId="77777777" w:rsidR="00286E0D" w:rsidRPr="002E11EE" w:rsidRDefault="00286E0D" w:rsidP="00286E0D">
      <w:pPr>
        <w:rPr>
          <w:noProof/>
        </w:rPr>
      </w:pPr>
      <w:r w:rsidRPr="002E11EE">
        <w:rPr>
          <w:noProof/>
        </w:rPr>
        <w:t>ottavat huomioon Euroopan komission ehdotuksen,</w:t>
      </w:r>
    </w:p>
    <w:p w14:paraId="2BE23168" w14:textId="77777777" w:rsidR="00286E0D" w:rsidRPr="002E11EE" w:rsidRDefault="00286E0D" w:rsidP="00286E0D">
      <w:pPr>
        <w:rPr>
          <w:noProof/>
        </w:rPr>
      </w:pPr>
      <w:r w:rsidRPr="002E11EE">
        <w:rPr>
          <w:noProof/>
        </w:rPr>
        <w:t>sen jälkeen, kun esitys lainsäätämisjärjestyksessä hyväksyttäväksi säädökseksi on toimitettu kansallisille parlamenteille,</w:t>
      </w:r>
    </w:p>
    <w:p w14:paraId="1F8E258B" w14:textId="77777777" w:rsidR="00286E0D" w:rsidRPr="002E11EE" w:rsidRDefault="00286E0D" w:rsidP="00286E0D">
      <w:pPr>
        <w:rPr>
          <w:i/>
          <w:noProof/>
        </w:rPr>
      </w:pPr>
      <w:r w:rsidRPr="002E11EE">
        <w:rPr>
          <w:noProof/>
        </w:rPr>
        <w:t>ottavat huomioon Euroopan talous- ja sosiaalikomitean lausunnon</w:t>
      </w:r>
      <w:r w:rsidRPr="002E11EE">
        <w:rPr>
          <w:rStyle w:val="FootnoteReference"/>
          <w:noProof/>
        </w:rPr>
        <w:footnoteReference w:id="4"/>
      </w:r>
      <w:r w:rsidRPr="002E11EE">
        <w:rPr>
          <w:noProof/>
        </w:rPr>
        <w:t>,</w:t>
      </w:r>
    </w:p>
    <w:p w14:paraId="2B431944" w14:textId="77777777" w:rsidR="00286E0D" w:rsidRPr="002E11EE" w:rsidRDefault="00286E0D" w:rsidP="00286E0D">
      <w:pPr>
        <w:rPr>
          <w:noProof/>
        </w:rPr>
      </w:pPr>
      <w:r w:rsidRPr="002E11EE">
        <w:rPr>
          <w:noProof/>
        </w:rPr>
        <w:t>ovat kuulleet alueiden komiteaa,</w:t>
      </w:r>
    </w:p>
    <w:p w14:paraId="482D2264" w14:textId="77777777" w:rsidR="00286E0D" w:rsidRPr="002E11EE" w:rsidRDefault="00286E0D" w:rsidP="00286E0D">
      <w:pPr>
        <w:rPr>
          <w:noProof/>
        </w:rPr>
      </w:pPr>
      <w:r w:rsidRPr="002E11EE">
        <w:rPr>
          <w:noProof/>
        </w:rPr>
        <w:t>noudattavat tavallista lainsäätämisjärjestystä</w:t>
      </w:r>
      <w:r w:rsidRPr="002E11EE">
        <w:rPr>
          <w:rStyle w:val="FootnoteReference"/>
          <w:noProof/>
        </w:rPr>
        <w:footnoteReference w:id="5"/>
      </w:r>
      <w:r w:rsidRPr="002E11EE">
        <w:rPr>
          <w:noProof/>
        </w:rPr>
        <w:t>,</w:t>
      </w:r>
    </w:p>
    <w:p w14:paraId="068D2442" w14:textId="77777777" w:rsidR="00286E0D" w:rsidRPr="002E11EE" w:rsidRDefault="00286E0D" w:rsidP="00286E0D">
      <w:pPr>
        <w:rPr>
          <w:noProof/>
        </w:rPr>
      </w:pPr>
      <w:r w:rsidRPr="002E11EE">
        <w:rPr>
          <w:noProof/>
        </w:rPr>
        <w:t>sekä katsovat seuraavaa:</w:t>
      </w:r>
    </w:p>
    <w:p w14:paraId="6FB4A7DA" w14:textId="26CAFE74" w:rsidR="00286E0D" w:rsidRPr="002E11EE" w:rsidRDefault="003347AC" w:rsidP="003347AC">
      <w:pPr>
        <w:pStyle w:val="ManualConsidrant"/>
        <w:rPr>
          <w:noProof/>
        </w:rPr>
      </w:pPr>
      <w:r w:rsidRPr="002E11EE">
        <w:rPr>
          <w:noProof/>
        </w:rPr>
        <w:t>(1)</w:t>
      </w:r>
      <w:r w:rsidRPr="002E11EE">
        <w:rPr>
          <w:noProof/>
        </w:rPr>
        <w:tab/>
        <w:t>Euroopan unionin toiminnasta tehdyn sopimuksen, jäljempänä ’SEUT-sopimus’, 67 artiklan 1 kohdan mukaiseen unionin tavoitteeseen muodostaa vapauden, turvallisuuden ja oikeuden alue olisi pyrittävä antamalla unionin tukea ulkorajavalvontaa koskevan unionin yhteisen politiikan kehittämiseen, mukaan lukien SEUT-sopimuksen 77 artiklan 2 kohdan a alakohdan nojalla harjoitettava yhteinen viisumipolitiikka.</w:t>
      </w:r>
    </w:p>
    <w:p w14:paraId="00985906" w14:textId="205638BA" w:rsidR="00286E0D" w:rsidRPr="002E11EE" w:rsidRDefault="003347AC" w:rsidP="003347AC">
      <w:pPr>
        <w:pStyle w:val="ManualConsidrant"/>
        <w:rPr>
          <w:noProof/>
          <w:szCs w:val="24"/>
        </w:rPr>
      </w:pPr>
      <w:bookmarkStart w:id="12" w:name="_Hlk201766894"/>
      <w:r w:rsidRPr="002E11EE">
        <w:rPr>
          <w:noProof/>
        </w:rPr>
        <w:t>(2)</w:t>
      </w:r>
      <w:r w:rsidRPr="002E11EE">
        <w:rPr>
          <w:noProof/>
        </w:rPr>
        <w:tab/>
        <w:t>Schengen-alueen eheyden ja häiriönsietokyvyn varmistamiseksi on äärimmäisen tärkeää varmistaa sisärajattoman Schengen-alueen tosiasiallinen ja tehokas toiminta, vahva hallinnointikehys, Euroopan parlamentin ja neuvoston asetuksella (EU) 2019/1896</w:t>
      </w:r>
      <w:r w:rsidRPr="002E11EE">
        <w:rPr>
          <w:rStyle w:val="FootnoteReference"/>
          <w:noProof/>
        </w:rPr>
        <w:footnoteReference w:id="6"/>
      </w:r>
      <w:r w:rsidRPr="002E11EE">
        <w:rPr>
          <w:noProof/>
        </w:rPr>
        <w:t xml:space="preserve"> perustetun eurooppalaisen raja- ja merivartioston ylläpitämä tehokas Euroopan yhdennetty rajaturvallisuus ja EU:n viisumipolitiikka.</w:t>
      </w:r>
    </w:p>
    <w:bookmarkEnd w:id="12"/>
    <w:p w14:paraId="6F9BF459" w14:textId="1D0D3FD3" w:rsidR="00286E0D" w:rsidRPr="002E11EE" w:rsidRDefault="003347AC" w:rsidP="003347AC">
      <w:pPr>
        <w:pStyle w:val="ManualConsidrant"/>
        <w:rPr>
          <w:rFonts w:eastAsia="Arial Unicode MS"/>
          <w:noProof/>
          <w:szCs w:val="24"/>
        </w:rPr>
      </w:pPr>
      <w:r w:rsidRPr="002E11EE">
        <w:rPr>
          <w:noProof/>
        </w:rPr>
        <w:t>(3)</w:t>
      </w:r>
      <w:r w:rsidRPr="002E11EE">
        <w:rPr>
          <w:noProof/>
        </w:rPr>
        <w:tab/>
        <w:t>Sen vuoksi olisi annettava unionin tukea jäsenvaltioiden pyrkimyksille suojella unionin ulkorajoja, hillitä laittomia rajanylityksiä ja luvatonta edelleen liikkumista jäsenvaltioiden välillä sekä nykyaikaistaa ja yleisesti tehostaa viisumien käsittelyä ja estää unionin viisumijärjestelmän väärinkäyttö. Tätä unionin tukea olisi annettava asetuksella (EU) [...] perustetun Euroopan taloudellisen, sosiaalisen ja alueellisen yhteenkuuluvuuden, maatalouden ja maaseudun, kalatalouden ja merielinkeinojen, vaurauden ja turvallisuuden rahaston horisontaalisten sääntöjen mukaisesti.</w:t>
      </w:r>
    </w:p>
    <w:p w14:paraId="4CF9EAE0" w14:textId="55BF0AC6" w:rsidR="00BE09E6" w:rsidRPr="002E11EE" w:rsidRDefault="003347AC" w:rsidP="003347AC">
      <w:pPr>
        <w:pStyle w:val="ManualConsidrant"/>
        <w:rPr>
          <w:noProof/>
          <w:sz w:val="22"/>
        </w:rPr>
      </w:pPr>
      <w:r w:rsidRPr="002E11EE">
        <w:rPr>
          <w:noProof/>
        </w:rPr>
        <w:t>(4)</w:t>
      </w:r>
      <w:r w:rsidRPr="002E11EE">
        <w:rPr>
          <w:noProof/>
        </w:rPr>
        <w:tab/>
        <w:t xml:space="preserve">Myös Schengen-järjestelmän tosiasialliseen täytäntöönpanoon, soveltamiseen ja kehittämiseen Euroopan ja kansallisella tasolla olisi annettava unionin tukea muun muassa vahvistamalla Schengen-alueen moitteettomalle toiminnalle kriittiset toimivat koordinointirakenteet ja strategiset prosessit kattavaa Schengen-alueen kansallista hallinnointia. </w:t>
      </w:r>
    </w:p>
    <w:p w14:paraId="2AB47203" w14:textId="1048D925" w:rsidR="00286E0D" w:rsidRPr="002E11EE" w:rsidRDefault="003347AC" w:rsidP="003347AC">
      <w:pPr>
        <w:pStyle w:val="ManualConsidrant"/>
        <w:rPr>
          <w:noProof/>
          <w:szCs w:val="24"/>
        </w:rPr>
      </w:pPr>
      <w:r w:rsidRPr="002E11EE">
        <w:rPr>
          <w:noProof/>
        </w:rPr>
        <w:t>(5)</w:t>
      </w:r>
      <w:r w:rsidRPr="002E11EE">
        <w:rPr>
          <w:noProof/>
        </w:rPr>
        <w:tab/>
        <w:t>Tässä asetuksessa vahvistetaan tavoitteet unionin tuelle, jolla pyritään varmistamaan hyvin toimiva Schengen-alue, jolla ei ole sisärajavalvontaa, Euroopan yhdennetty rajaturvallisuus mukaan luettuna, sekä Schengen-alueen toimintaa ja eurooppalaista viisumipolitiikkaa varten annettavalle tuelle, jäljempänä ’unionin tuki’.</w:t>
      </w:r>
      <w:bookmarkStart w:id="13" w:name="_Hlk201766871"/>
      <w:r w:rsidRPr="002E11EE">
        <w:rPr>
          <w:noProof/>
        </w:rPr>
        <w:t xml:space="preserve"> Jäsenvaltioiden olisi varmistettava, että niiden kansallisissa ja alueellisissa kumppanuussuunnitelmissa otetaan huomioon kaikki tässä asetuksessa asetetut tavoitteet. </w:t>
      </w:r>
      <w:bookmarkEnd w:id="13"/>
    </w:p>
    <w:p w14:paraId="6786A060" w14:textId="0E5C918F" w:rsidR="007947CD" w:rsidRPr="002E11EE" w:rsidRDefault="003347AC" w:rsidP="003347AC">
      <w:pPr>
        <w:pStyle w:val="ManualConsidrant"/>
        <w:rPr>
          <w:noProof/>
          <w:szCs w:val="24"/>
        </w:rPr>
      </w:pPr>
      <w:r w:rsidRPr="002E11EE">
        <w:rPr>
          <w:noProof/>
        </w:rPr>
        <w:t>(6)</w:t>
      </w:r>
      <w:r w:rsidRPr="002E11EE">
        <w:rPr>
          <w:noProof/>
        </w:rPr>
        <w:tab/>
        <w:t>Liettuan EU:hun liittymistä koskevan asiakirjan mukaisesti asetuksessa käsitellään myös tarvetta tukea Liettuaa Kaliningradin alueen ja Venäjän federaation muiden osien välisen kauttakulun hallinnoinnissa.</w:t>
      </w:r>
    </w:p>
    <w:p w14:paraId="32C36110" w14:textId="1703F862" w:rsidR="00286E0D" w:rsidRPr="002E11EE" w:rsidRDefault="003347AC" w:rsidP="003347AC">
      <w:pPr>
        <w:pStyle w:val="ManualConsidrant"/>
        <w:rPr>
          <w:noProof/>
        </w:rPr>
      </w:pPr>
      <w:r w:rsidRPr="002E11EE">
        <w:rPr>
          <w:noProof/>
        </w:rPr>
        <w:t>(7)</w:t>
      </w:r>
      <w:r w:rsidRPr="002E11EE">
        <w:rPr>
          <w:noProof/>
        </w:rPr>
        <w:tab/>
        <w:t>Komission olisi vahvistettava kullekin jäsenvaltiolle myönnettävät määrät yhdellä täytäntöönpanopäätöksellä Euroopan taloudellisen, sosiaalisen ja alueellisen yhteenkuuluvuuden, maatalouden ja maaseudun, kalatalouden ja merielinkeinojen, vaurauden ja turvallisuuden rahaston perustamisesta annetussa asetuksessa (EU) [...] säädetyn jakomenetelmän mukaisesti. Kyseisen päätöksen olisi lähtökohtaisesti katettava myös Euroopan taloudellisen, sosiaalisen ja alueellisen yhteenkuuluvuuden, maatalouden ja maaseudun, kalatalouden ja merielinkeinojen, vaurauden ja turvallisuuden rahaston perustamisesta annetun asetuksen (EU) [...], unionin turvapaikka-, maahanmuutto- ja kotouttamistuen vahvistamisesta annetun asetuksen (EU) [...] ja sisäistä turvallisuutta koskevan unionin tuen vahvistamisesta annetun asetuksen (EU) [...] mukaiset määrät.</w:t>
      </w:r>
    </w:p>
    <w:p w14:paraId="0C6F62A8" w14:textId="75D56802" w:rsidR="00286E0D" w:rsidRPr="002E11EE" w:rsidRDefault="003347AC" w:rsidP="003347AC">
      <w:pPr>
        <w:pStyle w:val="ManualConsidrant"/>
        <w:rPr>
          <w:noProof/>
        </w:rPr>
      </w:pPr>
      <w:r w:rsidRPr="002E11EE">
        <w:rPr>
          <w:noProof/>
        </w:rPr>
        <w:t>(8)</w:t>
      </w:r>
      <w:r w:rsidRPr="002E11EE">
        <w:rPr>
          <w:noProof/>
        </w:rPr>
        <w:tab/>
        <w:t>Unionin tuen olisi pohjauduttava seuraaville edellisten ohjelmakausien tuloksille ja investoinneille: i) Euroopan parlamentin ja neuvoston päätöksellä N:o 574/2007/EY</w:t>
      </w:r>
      <w:r w:rsidRPr="002E11EE">
        <w:rPr>
          <w:rStyle w:val="FootnoteReference"/>
          <w:noProof/>
        </w:rPr>
        <w:footnoteReference w:id="7"/>
      </w:r>
      <w:r w:rsidRPr="002E11EE">
        <w:rPr>
          <w:noProof/>
        </w:rPr>
        <w:t xml:space="preserve"> vuosiksi 2007–2013 perustettu ulkorajarahasto; ii) Euroopan parlamentin ja neuvoston asetuksella (EU) N:o 515/2014</w:t>
      </w:r>
      <w:r w:rsidRPr="002E11EE">
        <w:rPr>
          <w:rStyle w:val="FootnoteReference"/>
          <w:noProof/>
        </w:rPr>
        <w:footnoteReference w:id="8"/>
      </w:r>
      <w:r w:rsidRPr="002E11EE">
        <w:rPr>
          <w:noProof/>
        </w:rPr>
        <w:t xml:space="preserve"> vuosiksi 2014–2020 osana sisäisen turvallisuuden rahastoa perustettu ulkorajojen ja viisumipolitiikan rahoitusväline; ja iii) Euroopan parlamentin ja neuvoston asetuksella (EU) 2021/1148</w:t>
      </w:r>
      <w:r w:rsidRPr="002E11EE">
        <w:rPr>
          <w:rStyle w:val="FootnoteReference"/>
          <w:noProof/>
          <w:szCs w:val="24"/>
        </w:rPr>
        <w:footnoteReference w:id="9"/>
      </w:r>
      <w:r w:rsidRPr="002E11EE">
        <w:rPr>
          <w:noProof/>
        </w:rPr>
        <w:t xml:space="preserve"> vuosiksi 2021–2027 yhdennetyn rajaturvallisuuden rahaston osaksi perustettu rajaturvallisuuden ja viisumipolitiikan rahoitustukiväline. </w:t>
      </w:r>
    </w:p>
    <w:p w14:paraId="28287138" w14:textId="40EC666A" w:rsidR="00B9223C" w:rsidRPr="002E11EE" w:rsidRDefault="003347AC" w:rsidP="003347AC">
      <w:pPr>
        <w:pStyle w:val="ManualConsidrant"/>
        <w:rPr>
          <w:rFonts w:eastAsia="Arial Unicode MS"/>
          <w:noProof/>
          <w:szCs w:val="24"/>
        </w:rPr>
      </w:pPr>
      <w:r w:rsidRPr="002E11EE">
        <w:rPr>
          <w:noProof/>
        </w:rPr>
        <w:t>(9)</w:t>
      </w:r>
      <w:r w:rsidRPr="002E11EE">
        <w:rPr>
          <w:noProof/>
        </w:rPr>
        <w:tab/>
        <w:t>Globaalin toimintaympäristön muuttuessa ja epävakauden lisääntyessä unionin ja sen jäsenvaltioiden on yhdistettävä resurssinsa suojellakseen tehokkaasti unionin ulkorajoja puuttumalla muun muassa laittomaan muuttoliikkeeseen, muuttajien salakuljetukseen ja ihmiskauppaan sekä reagoimalla valtiollisiin toimijoihin, jotka keinotekoisesti luovat ja helpottavat laitonta muuttoliikettä välineellistämällä muuttovirtoja poliittisiin tarkoituksiin ja käyttämällä hybridisodankäyntitaktiikoita, kuten muuttoliikkeen käyttämistä aseena</w:t>
      </w:r>
      <w:r w:rsidRPr="002E11EE">
        <w:rPr>
          <w:rStyle w:val="FootnoteReference"/>
          <w:noProof/>
        </w:rPr>
        <w:footnoteReference w:id="10"/>
      </w:r>
      <w:r w:rsidRPr="002E11EE">
        <w:rPr>
          <w:noProof/>
        </w:rPr>
        <w:t>, Euroopan unionin ja sen jäsenvaltioiden vakauden horjuttamiseksi. Jäsenvaltioiden kansallista ja alueellista kumppanuutta koskevissa suunnitelmissa olisi koko Schengen-alueen kattavan solidaarisuuden ja unionin ulkorajojen suojelua koskevan jaetun vastuun hengessä otettava asianmukaisesti huomioon haasteet, joita on havaittu erityisesti Euroopan yhdennetyn rajaturvallisuuden strategian ja eurooppalaista viisumipolitiikkaa koskevan strategian yhteydessä sekä Schengen-järjestelmän uudessa tietoteknisessä arkkitehtuurissa, joka perustuu ulkorajoilla ja turvallisuudenhallinnassa käytettäviin laaja-alaisiin tietojärjestelmiin sekä näiden järjestelmien yhteentoimivuuteen. Lisäksi olisi harkittava teknologian ja digitaalisten ratkaisujen käyttöönottoa rajavalvontamission tukemiseksi.</w:t>
      </w:r>
      <w:r w:rsidR="000A3429">
        <w:rPr>
          <w:noProof/>
        </w:rPr>
        <w:t xml:space="preserve"> </w:t>
      </w:r>
      <w:r w:rsidRPr="002E11EE">
        <w:rPr>
          <w:noProof/>
        </w:rPr>
        <w:t xml:space="preserve"> </w:t>
      </w:r>
    </w:p>
    <w:p w14:paraId="748664DD" w14:textId="5916F529" w:rsidR="00FA5BBE" w:rsidRPr="002E11EE" w:rsidRDefault="003347AC" w:rsidP="003347AC">
      <w:pPr>
        <w:pStyle w:val="ManualConsidrant"/>
        <w:rPr>
          <w:noProof/>
        </w:rPr>
      </w:pPr>
      <w:r w:rsidRPr="002E11EE">
        <w:rPr>
          <w:noProof/>
        </w:rPr>
        <w:t>(10)</w:t>
      </w:r>
      <w:r w:rsidRPr="002E11EE">
        <w:rPr>
          <w:noProof/>
        </w:rPr>
        <w:tab/>
        <w:t>Unionin tuella olisi osaltaan varmistettava yhtenäisyys, johdonmukaisuus, synergiat ja täydentävyys unionin sisäisten ja ulkoisten politiikkojen kesken. Muuttoliike-, turvapaikka-, palauttamis- ja ulkopolitiikkojen keskinäistä johdonmukaisuutta on lisättävä, ja on tärkeää varmistaa, että tämän asetuksen mukaisella unionin ulkoisella avulla ja unionin tuella edistetään koordinoitua, kokonaisvaltaista ja jäsenneltyä lähestymistapaa muuttoliikkeeseen, maksimoidaan synergiat ja lisätään vipuvaikutusta. Tämän asetuksen mukaiseen unionin tukeen voi asianmukaisesti perustelluissa tapauksissa kuulua myös EU:n edustustoille annettava resurssituki, jota koordinoidaan jäsenvaltioiden ja komission välillä ohjelmasuunnittelu- ja täytäntöönpanovaiheissa.</w:t>
      </w:r>
    </w:p>
    <w:p w14:paraId="46F16C80" w14:textId="2DCE2966" w:rsidR="00DC6F83" w:rsidRPr="002E11EE" w:rsidRDefault="003347AC" w:rsidP="003347AC">
      <w:pPr>
        <w:pStyle w:val="ManualConsidrant"/>
        <w:rPr>
          <w:noProof/>
        </w:rPr>
      </w:pPr>
      <w:r w:rsidRPr="002E11EE">
        <w:rPr>
          <w:noProof/>
        </w:rPr>
        <w:t>(11)</w:t>
      </w:r>
      <w:r w:rsidRPr="002E11EE">
        <w:rPr>
          <w:noProof/>
        </w:rPr>
        <w:tab/>
        <w:t>Euroopan on suojattava turvallisuusintressinsä sellaisilta tavaran- tai palveluntoimittajilta, jotka saattaisivat muodostaa pitkäaikaisen turvallisuusriskin kolmansien maiden mahdollisen sekaantumisen tai kyberturvakäytäntöjensä vuoksi. Sen vuoksi on tarpeen vähentää riskiä sisämarkkinoilla esiintyvästä jatkuvasta riippuvuudesta suuririskisistä tavaran- tai palveluntoimittajista, joilla saattaa olla mahdollisia vakavia kielteisiä vaikutuksia käyttäjien, yritysten ja viranomaisten turvallisuuteen kaikkialla EU:ssa sekä EU:n kriittiseen infrastruktuuriin siltä osin kuin on kyse datan ja palvelujen eheydestä sekä palvelun saatavuudesta. Niiden poissulkemisen olisi perustuttava unionin politiikoissa ja lainsäädännössä määriteltyyn oikeasuhteiseen riskinarviointiin ja sen mukaisiin lieventäviin toimenpiteisiin.</w:t>
      </w:r>
    </w:p>
    <w:p w14:paraId="36DC56FF" w14:textId="4044E33B" w:rsidR="00286E0D" w:rsidRPr="002E11EE" w:rsidRDefault="003347AC" w:rsidP="003347AC">
      <w:pPr>
        <w:pStyle w:val="ManualConsidrant"/>
        <w:rPr>
          <w:rFonts w:eastAsia="Arial Unicode MS"/>
          <w:noProof/>
          <w:szCs w:val="24"/>
        </w:rPr>
      </w:pPr>
      <w:r w:rsidRPr="002E11EE">
        <w:rPr>
          <w:noProof/>
        </w:rPr>
        <w:t>(12)</w:t>
      </w:r>
      <w:r w:rsidRPr="002E11EE">
        <w:rPr>
          <w:noProof/>
        </w:rPr>
        <w:tab/>
        <w:t>Koska rajaturvallisuutta ja viisumipolitiikkaa koskevat haasteet muuttuvat jatkuvasti, unionin tuen kohdentamista on tarpeen mukauttaa rajaturvallisuuden ja viisumipolitiikan painopisteissä tapahtuviin muutoksiin, mukaan lukien muutokset, jotka johtuvat paineen lisääntymisestä rajoilla, ja rahoitus on kohdennettava painopisteisiin, joilla on suurin unionin tason lisäarvo. Jotta voidaan vastata kiireellisiin tarpeisiin ja politiikan ja unionin painopisteiden muutoksiin sekä ohjata rahoitusta toimiin, joilla on suurta unionin lisäarvoa, osa unionin tuesta olisi toteutettava Euroopan taloudellisen, sosiaalisen ja alueellisen yhteenkuuluvuuden, maatalouden ja maaseudun, kalatalouden ja merielinkeinojen, vaurauden ja turvallisuuden rahaston perustamisesta annetulla asetuksella (EU) [...] perustetun EU-välineen kautta käyttäen suoraa, yhteistyöhön perustuvaa ja välillistä hallinnointia. Tämä EU-väline tarjoaa joustovaraa unionin tuen hallinnoinnissa, ja yhteistyöhön perustuvan hallinnoinnin osalta se olisi pantava täytäntöön jäsenvaltioiden kansallisten ja alueellisten kumppanuussuunnitelmien kautta.</w:t>
      </w:r>
    </w:p>
    <w:p w14:paraId="3E024F13" w14:textId="33F10476" w:rsidR="00286E0D" w:rsidRPr="002E11EE" w:rsidRDefault="003347AC" w:rsidP="003347AC">
      <w:pPr>
        <w:pStyle w:val="ManualConsidrant"/>
        <w:rPr>
          <w:rFonts w:eastAsia="Arial Unicode MS"/>
          <w:noProof/>
          <w:szCs w:val="24"/>
        </w:rPr>
      </w:pPr>
      <w:r w:rsidRPr="002E11EE">
        <w:rPr>
          <w:noProof/>
        </w:rPr>
        <w:t>(13)</w:t>
      </w:r>
      <w:r w:rsidRPr="002E11EE">
        <w:rPr>
          <w:noProof/>
        </w:rPr>
        <w:tab/>
        <w:t>Komission ja jäsenvaltioiden olisi varmistettava, että unionin elinten, toimistojen ja virastojen tietämys ja kokemus otetaan huomioon toteutettaessa toimenpiteitä tai vastattaessa haasteisiin, jotka liittyvät muuttoliikkeen hallintaan, rajavalvontaan ja -turvallisuuteen tai sisäiseen turvallisuuteen. Tarvittaessa komission olisi myös voitava ottaa asiaankuuluvat unionin elimet, toimistot ja virastot mukaan toimiin, joilla pyritään varmistamaan, että unionin tuella tuetut toimet ovat asiaa koskevan unionin säännöstön ja sovittujen unionin painopisteiden mukaisia.</w:t>
      </w:r>
    </w:p>
    <w:p w14:paraId="79A06EF4" w14:textId="6FE4B497" w:rsidR="00286E0D" w:rsidRPr="002E11EE" w:rsidRDefault="003347AC" w:rsidP="003347AC">
      <w:pPr>
        <w:pStyle w:val="ManualConsidrant"/>
        <w:rPr>
          <w:noProof/>
        </w:rPr>
      </w:pPr>
      <w:r w:rsidRPr="002E11EE">
        <w:rPr>
          <w:noProof/>
        </w:rPr>
        <w:t>(14)</w:t>
      </w:r>
      <w:r w:rsidRPr="002E11EE">
        <w:rPr>
          <w:noProof/>
        </w:rPr>
        <w:tab/>
        <w:t xml:space="preserve">Unionin tuella olisi tuettava ulkorajavalvontaan liittyviä toimenpiteitä, joita toteutetaan Schengenin säännöstöä soveltavien maiden alueella Schengen-alueen yleistä toimivuutta vahvistavan Euroopan yhdennetyn rajaturvallisuuden osana. Jotta voidaan määrittää Schengenin säännöstön täytäntöönpanoon, soveltamiseen ja kehittämiseen osallistuvien maiden unionin tukeen osallistumisen luonne ja osallistumistavat, unionin ja näiden maiden välillä olisi toteutettava näiden maiden ja unionin välisten assosiaatiosopimusten asiaa koskevien määräysten mukaiset lisäjärjestelyt. </w:t>
      </w:r>
    </w:p>
    <w:p w14:paraId="1ACD8BCA" w14:textId="7A46241F" w:rsidR="00286E0D" w:rsidRPr="002E11EE" w:rsidRDefault="003347AC" w:rsidP="003347AC">
      <w:pPr>
        <w:pStyle w:val="ManualConsidrant"/>
        <w:rPr>
          <w:noProof/>
        </w:rPr>
      </w:pPr>
      <w:r w:rsidRPr="002E11EE">
        <w:rPr>
          <w:noProof/>
        </w:rPr>
        <w:t>(15)</w:t>
      </w:r>
      <w:r w:rsidRPr="002E11EE">
        <w:rPr>
          <w:noProof/>
        </w:rPr>
        <w:tab/>
        <w:t>Unionin tukea olisi edelleen myönnettävä Schengen-alueen täytäntöönpanoon, kehittämiseen ja hallinnointiin, jotta voidaan edistää aluetta, jolla ei ole sisärajavalvontaa. Sillä olisi jatkossakin tuettava ulkorajavalvontaan liittyviä toimenpiteitä, joita toteutetaan Schengenin säännöstöä soveltavien maiden alueella Schengen-alueen yleistä toimivuutta vahvistavan Euroopan yhdennetyn rajaturvallisuuden osana.</w:t>
      </w:r>
    </w:p>
    <w:p w14:paraId="5A7895AE" w14:textId="175385F1" w:rsidR="00286E0D" w:rsidRPr="002E11EE" w:rsidRDefault="003347AC" w:rsidP="003347AC">
      <w:pPr>
        <w:pStyle w:val="ManualConsidrant"/>
        <w:rPr>
          <w:noProof/>
        </w:rPr>
      </w:pPr>
      <w:r w:rsidRPr="002E11EE">
        <w:rPr>
          <w:noProof/>
        </w:rPr>
        <w:t>(16)</w:t>
      </w:r>
      <w:r w:rsidRPr="002E11EE">
        <w:rPr>
          <w:noProof/>
        </w:rPr>
        <w:tab/>
        <w:t>Unionin tuella olisi edistettävä viisumien käsittelyn nykyaikaistamista ja tehostamista turvallisuuteen ja laittomaan muuttoliikkeeseen liittyvien riskien havaitsemisen ja arvioinnin osalta sekä varmistettava viisumisäännöstön tehokas täytäntöönpano. Unionin tuella olisi erityisesti edistettävä viisumihakemusten käsittelyn digitalisointia, jonka tavoitteena on mahdollistaa nopeat, suojatut ja asiakaslähtöiset viisumimenettelyt sekä viisuminhakijoiden että konsulaattien hyödyksi. Unionin tuella olisi myös parannettava viisuminhakijoille tarjottavia palveluja muun muassa laajentamalla konsulipalvelujen maailmanlaajuista kattavuutta.</w:t>
      </w:r>
    </w:p>
    <w:p w14:paraId="5F13111F" w14:textId="7964490E" w:rsidR="00286E0D" w:rsidRPr="002E11EE" w:rsidRDefault="003347AC" w:rsidP="003347AC">
      <w:pPr>
        <w:pStyle w:val="ManualConsidrant"/>
        <w:rPr>
          <w:noProof/>
        </w:rPr>
      </w:pPr>
      <w:bookmarkStart w:id="14" w:name="_Hlk201962914"/>
      <w:r w:rsidRPr="002E11EE">
        <w:rPr>
          <w:noProof/>
        </w:rPr>
        <w:t>(17)</w:t>
      </w:r>
      <w:r w:rsidRPr="002E11EE">
        <w:rPr>
          <w:noProof/>
        </w:rPr>
        <w:tab/>
        <w:t>Jäsenvaltiot voivat tukeutua kumppanuuden periaatteeseen unionin tuen täytäntöönpanossa varmistaakseen hallinnointimallin jatkuvuuden.</w:t>
      </w:r>
      <w:bookmarkEnd w:id="14"/>
    </w:p>
    <w:p w14:paraId="7984B517" w14:textId="01857EF6" w:rsidR="00286E0D" w:rsidRPr="002E11EE" w:rsidRDefault="003347AC" w:rsidP="003347AC">
      <w:pPr>
        <w:pStyle w:val="ManualConsidrant"/>
        <w:rPr>
          <w:noProof/>
        </w:rPr>
      </w:pPr>
      <w:r w:rsidRPr="002E11EE">
        <w:rPr>
          <w:noProof/>
        </w:rPr>
        <w:t>(18)</w:t>
      </w:r>
      <w:r w:rsidRPr="002E11EE">
        <w:rPr>
          <w:noProof/>
        </w:rPr>
        <w:tab/>
        <w:t>Euroopan matkustustieto- ja -lupajärjestelmän (ETIAS) toimintakustannukset olisi Euroopan parlamentin ja neuvoston asetuksen (EU) 2018/1240</w:t>
      </w:r>
      <w:r w:rsidRPr="002E11EE">
        <w:rPr>
          <w:rStyle w:val="FootnoteReference"/>
          <w:noProof/>
          <w:szCs w:val="24"/>
        </w:rPr>
        <w:footnoteReference w:id="11"/>
      </w:r>
      <w:r w:rsidRPr="002E11EE">
        <w:rPr>
          <w:noProof/>
        </w:rPr>
        <w:t> 86 artiklan mukaan katettava matkustuslupamaksuista saaduilla tuloilla. Tässä asetuksessa olisi vahvistettava säännöt, joilla jäsenvaltioiden saataville asetetaan niiden toimintakustannusten kattamiseen tarkoitetut osuudet ETIAS-maksuista, mukaan lukien yksityiskohtaiset säännöt tapauksissa, joissa jäsenvaltioiden toimintakustannusten kokonaismäärä jonakin vuonna ylittää käytettävissä olevat ETIAS-järjestelmän tulot.</w:t>
      </w:r>
      <w:bookmarkStart w:id="15" w:name="_Hlk202881236"/>
      <w:bookmarkEnd w:id="15"/>
      <w:r w:rsidRPr="002E11EE">
        <w:rPr>
          <w:noProof/>
        </w:rPr>
        <w:t xml:space="preserve"> </w:t>
      </w:r>
    </w:p>
    <w:p w14:paraId="73242398" w14:textId="7DC173D4" w:rsidR="00286E0D" w:rsidRPr="002E11EE" w:rsidRDefault="003347AC" w:rsidP="003347AC">
      <w:pPr>
        <w:pStyle w:val="ManualConsidrant"/>
        <w:rPr>
          <w:noProof/>
        </w:rPr>
      </w:pPr>
      <w:r w:rsidRPr="002E11EE">
        <w:rPr>
          <w:noProof/>
        </w:rPr>
        <w:t>(19)</w:t>
      </w:r>
      <w:r w:rsidRPr="002E11EE">
        <w:rPr>
          <w:noProof/>
        </w:rPr>
        <w:tab/>
        <w:t>Koska muuttopaineen kohteena olevien jäsenvaltioiden olisi voitava tukeutua unionin tukeen, tässä asetuksessa olisi vahvistettava säännöt, jotta osuudet asetuksella (EU) 2024/1351</w:t>
      </w:r>
      <w:r w:rsidRPr="002E11EE">
        <w:rPr>
          <w:rStyle w:val="FootnoteReference"/>
          <w:rFonts w:eastAsia="Arial Unicode MS"/>
          <w:noProof/>
          <w:szCs w:val="24"/>
          <w:lang w:eastAsia="en-IE"/>
        </w:rPr>
        <w:footnoteReference w:id="12"/>
      </w:r>
      <w:r w:rsidRPr="002E11EE">
        <w:rPr>
          <w:noProof/>
        </w:rPr>
        <w:t xml:space="preserve"> perustettuun vuotuiseen yhteisvastuureserviin sisältyvistä rahoitusosuuksista voidaan asettaa hyötyvien jäsenvaltioiden saataville.</w:t>
      </w:r>
    </w:p>
    <w:p w14:paraId="4C768251" w14:textId="3AE1A69C" w:rsidR="006866F6" w:rsidRPr="002E11EE" w:rsidRDefault="003347AC" w:rsidP="003347AC">
      <w:pPr>
        <w:pStyle w:val="ManualConsidrant"/>
        <w:rPr>
          <w:noProof/>
        </w:rPr>
      </w:pPr>
      <w:bookmarkStart w:id="16" w:name="_Hlk202881260"/>
      <w:r w:rsidRPr="002E11EE">
        <w:rPr>
          <w:noProof/>
        </w:rPr>
        <w:t>(20)</w:t>
      </w:r>
      <w:r w:rsidRPr="002E11EE">
        <w:rPr>
          <w:noProof/>
        </w:rPr>
        <w:tab/>
        <w:t>Kaikki tämän asetuksen mukaisella unionin tuella tuettavat toimet olisi toteutettava unionin säännöstössä ja Euroopan unionin perusoikeuskirjassa vahvistettujen oikeuksien ja periaatteiden mukaisesti, ja niiden olisi oltava unionin ja jäsenvaltioiden sellaisista kansainvälisistä sopimuksista johtuvien kansainvälisten velvoitteiden mukaisia, joiden sopimuspuolia ne ovat.</w:t>
      </w:r>
    </w:p>
    <w:bookmarkEnd w:id="16"/>
    <w:p w14:paraId="79724041" w14:textId="1336DDA4" w:rsidR="00286E0D" w:rsidRPr="002E11EE" w:rsidRDefault="003347AC" w:rsidP="003347AC">
      <w:pPr>
        <w:pStyle w:val="ManualConsidrant"/>
        <w:rPr>
          <w:noProof/>
        </w:rPr>
      </w:pPr>
      <w:r w:rsidRPr="002E11EE">
        <w:rPr>
          <w:noProof/>
        </w:rPr>
        <w:t>(21)</w:t>
      </w:r>
      <w:r w:rsidRPr="002E11EE">
        <w:rPr>
          <w:noProof/>
        </w:rPr>
        <w:tab/>
        <w:t>Unioni avustaa vuoden 2003 liittymisasiakirjan</w:t>
      </w:r>
      <w:r w:rsidRPr="002E11EE">
        <w:rPr>
          <w:rStyle w:val="FootnoteReference"/>
          <w:noProof/>
          <w:szCs w:val="24"/>
        </w:rPr>
        <w:footnoteReference w:id="13"/>
      </w:r>
      <w:r w:rsidRPr="002E11EE">
        <w:rPr>
          <w:noProof/>
        </w:rPr>
        <w:t xml:space="preserve"> liitteenä olevan, henkilöiden kauttakulusta maitse Kaliningradin alueen ja Venäjän federaation muiden osien välillä tehdyn pöytäkirjan N:o 5 mukaisesti Liettuaa henkilöiden kauttakulun hallinnoinnissa Kaliningradin alueen ja Venäjän federaation muiden osien välillä ja vastaa erityisesti lisäkustannuksista, joita tätä kauttakulkua koskevien yhteisön säännöstön säännösten täytäntöönpanosta aiheutuu. Sen vuoksi tässä asetuksessa olisi vahvistettava neuvoston asetuksessa (EY) N:o 693/2003</w:t>
      </w:r>
      <w:r w:rsidRPr="002E11EE">
        <w:rPr>
          <w:rStyle w:val="FootnoteReference"/>
          <w:noProof/>
          <w:szCs w:val="24"/>
        </w:rPr>
        <w:footnoteReference w:id="14"/>
      </w:r>
      <w:r w:rsidRPr="002E11EE">
        <w:rPr>
          <w:noProof/>
        </w:rPr>
        <w:t xml:space="preserve"> säädetyn erityisen kauttakulkujärjestelyn rahoitustukea koskevat säännöt.</w:t>
      </w:r>
    </w:p>
    <w:p w14:paraId="2F17EDDB" w14:textId="10F49CFA" w:rsidR="00286E0D" w:rsidRPr="002E11EE" w:rsidRDefault="003347AC" w:rsidP="003347AC">
      <w:pPr>
        <w:pStyle w:val="ManualConsidrant"/>
        <w:rPr>
          <w:noProof/>
        </w:rPr>
      </w:pPr>
      <w:r w:rsidRPr="002E11EE">
        <w:rPr>
          <w:noProof/>
        </w:rPr>
        <w:t>(22)</w:t>
      </w:r>
      <w:r w:rsidRPr="002E11EE">
        <w:rPr>
          <w:noProof/>
        </w:rPr>
        <w:tab/>
        <w:t>Islannin ja Norjan osalta tällä asetuksella kehitetään niitä Schengenin säännöstön määräyksiä, joita tarkoitetaan Euroopan unionin neuvoston sekä Islannin tasavallan ja Norjan kuningaskunnan välisessä sopimuksessa viimeksi mainittujen osallistumisesta Schengenin säännöstön</w:t>
      </w:r>
      <w:r w:rsidRPr="002E11EE">
        <w:rPr>
          <w:rStyle w:val="FootnoteReference"/>
          <w:noProof/>
          <w:szCs w:val="24"/>
        </w:rPr>
        <w:footnoteReference w:id="15"/>
      </w:r>
      <w:r w:rsidRPr="002E11EE">
        <w:rPr>
          <w:noProof/>
        </w:rPr>
        <w:t xml:space="preserve"> täytäntöönpanoon, soveltamiseen ja kehittämiseen ja jotka kuuluvat neuvoston päätöksen 1999/437/EY</w:t>
      </w:r>
      <w:r w:rsidRPr="002E11EE">
        <w:rPr>
          <w:rStyle w:val="FootnoteReference"/>
          <w:noProof/>
          <w:szCs w:val="24"/>
        </w:rPr>
        <w:footnoteReference w:id="16"/>
      </w:r>
      <w:r w:rsidRPr="002E11EE">
        <w:rPr>
          <w:noProof/>
        </w:rPr>
        <w:t xml:space="preserve"> 1 artiklan A ja B kohdassa tarkoitettuun alaan.</w:t>
      </w:r>
    </w:p>
    <w:p w14:paraId="440CC84B" w14:textId="600DEAC6" w:rsidR="00286E0D" w:rsidRPr="002E11EE" w:rsidRDefault="003347AC" w:rsidP="003347AC">
      <w:pPr>
        <w:pStyle w:val="ManualConsidrant"/>
        <w:rPr>
          <w:noProof/>
        </w:rPr>
      </w:pPr>
      <w:r w:rsidRPr="002E11EE">
        <w:rPr>
          <w:noProof/>
        </w:rPr>
        <w:t>(23)</w:t>
      </w:r>
      <w:r w:rsidRPr="002E11EE">
        <w:rPr>
          <w:noProof/>
        </w:rPr>
        <w:tab/>
        <w:t>Sveitsin osalta tällä asetuksella kehitetään niitä Schengenin säännöstön määräyksiä, joita tarkoitetaan Euroopan unionin, Euroopan yhteisön ja Sveitsin valaliiton välisessä sopimuksessa Sveitsin valaliiton osallistumisesta Schengenin säännöstön</w:t>
      </w:r>
      <w:r w:rsidRPr="002E11EE">
        <w:rPr>
          <w:rStyle w:val="FootnoteReference"/>
          <w:noProof/>
          <w:szCs w:val="24"/>
        </w:rPr>
        <w:footnoteReference w:id="17"/>
      </w:r>
      <w:r w:rsidRPr="002E11EE">
        <w:rPr>
          <w:noProof/>
        </w:rPr>
        <w:t xml:space="preserve"> täytäntöönpanoon, soveltamiseen ja kehittämiseen ja jotka kuuluvat päätöksen 1999/437/EY</w:t>
      </w:r>
      <w:r w:rsidRPr="002E11EE">
        <w:rPr>
          <w:rStyle w:val="FootnoteReference"/>
          <w:noProof/>
          <w:szCs w:val="24"/>
        </w:rPr>
        <w:footnoteReference w:id="18"/>
      </w:r>
      <w:r w:rsidRPr="002E11EE">
        <w:rPr>
          <w:noProof/>
        </w:rPr>
        <w:t xml:space="preserve"> 1 artiklan A ja B kohdassa, luettuna yhdessä neuvoston päätöksen 2008/146/EY 3 artiklan kanssa, tarkoitettuun alaan.</w:t>
      </w:r>
    </w:p>
    <w:p w14:paraId="396CC801" w14:textId="2CEB75AB" w:rsidR="00286E0D" w:rsidRPr="002E11EE" w:rsidRDefault="003347AC" w:rsidP="003347AC">
      <w:pPr>
        <w:pStyle w:val="ManualConsidrant"/>
        <w:rPr>
          <w:noProof/>
        </w:rPr>
      </w:pPr>
      <w:r w:rsidRPr="002E11EE">
        <w:rPr>
          <w:noProof/>
        </w:rPr>
        <w:t>(24)</w:t>
      </w:r>
      <w:r w:rsidRPr="002E11EE">
        <w:rPr>
          <w:noProof/>
        </w:rPr>
        <w:tab/>
        <w:t>Liechtensteinin osalta tällä asetuksella kehitetään niitä Schengenin säännöstön määräyksiä, joita tarkoitetaan Euroopan unionin, Euroopan yhteisön, Sveitsin valaliiton ja Liechtensteinin ruhtinaskunnan välisessä pöytäkirjassa Liechtensteinin ruhtinaskunnan liittymisestä Euroopan unionin, Euroopan yhteisön ja Sveitsin valaliiton väliseen sopimukseen Sveitsin valaliiton osallistumisesta Schengenin säännöstön</w:t>
      </w:r>
      <w:r w:rsidRPr="002E11EE">
        <w:rPr>
          <w:rStyle w:val="FootnoteReference"/>
          <w:noProof/>
          <w:szCs w:val="24"/>
        </w:rPr>
        <w:footnoteReference w:id="19"/>
      </w:r>
      <w:r w:rsidRPr="002E11EE">
        <w:rPr>
          <w:noProof/>
        </w:rPr>
        <w:t xml:space="preserve"> täytäntöönpanoon, soveltamiseen ja kehittämiseen ja jotka kuuluvat päätöksen 1999/437/EY</w:t>
      </w:r>
      <w:r w:rsidRPr="002E11EE">
        <w:rPr>
          <w:rStyle w:val="FootnoteReference"/>
          <w:noProof/>
          <w:szCs w:val="24"/>
        </w:rPr>
        <w:footnoteReference w:id="20"/>
      </w:r>
      <w:r w:rsidRPr="002E11EE">
        <w:rPr>
          <w:noProof/>
        </w:rPr>
        <w:t xml:space="preserve"> 1 artiklan A ja B kohdassa, luettuna yhdessä neuvoston päätöksen 2011/350/EU 3 artiklan kanssa, tarkoitettuun alaan.</w:t>
      </w:r>
    </w:p>
    <w:p w14:paraId="1D419147" w14:textId="7F099022" w:rsidR="00806AC4" w:rsidRPr="002E11EE" w:rsidRDefault="003347AC" w:rsidP="003347AC">
      <w:pPr>
        <w:pStyle w:val="ManualConsidrant"/>
        <w:rPr>
          <w:noProof/>
        </w:rPr>
      </w:pPr>
      <w:r w:rsidRPr="002E11EE">
        <w:rPr>
          <w:noProof/>
        </w:rPr>
        <w:t>(25)</w:t>
      </w:r>
      <w:r w:rsidRPr="002E11EE">
        <w:rPr>
          <w:noProof/>
        </w:rPr>
        <w:tab/>
        <w:t>Euroopan unionista tehtyyn sopimukseen ja Euroopan unionin toiminnasta tehtyyn sopimukseen liitetyssä, Tanskan asemasta tehdyssä pöytäkirjassa N:o 22 olevien 1 ja 2 artiklan mukaisesti Tanska ei osallistu tämän asetuksen hyväksymiseen, asetus ei sido Tanskaa eikä sitä sovelleta Tanskaan. Koska tällä asetuksella kehitetään Schengenin säännöstöä, Tanskan olisi päätettävä mainitun pöytäkirjan 4 artiklan mukaisesti kuuden kuukauden kuluessa siitä, kun neuvosto on hyväksynyt tämän asetuksen, saattaako se asetuksen osaksi kansallista lainsäädäntöään.</w:t>
      </w:r>
    </w:p>
    <w:p w14:paraId="776F0C22" w14:textId="398D5BDA" w:rsidR="00286E0D" w:rsidRPr="002E11EE" w:rsidRDefault="003347AC" w:rsidP="003347AC">
      <w:pPr>
        <w:pStyle w:val="ManualConsidrant"/>
        <w:rPr>
          <w:noProof/>
        </w:rPr>
      </w:pPr>
      <w:r w:rsidRPr="002E11EE">
        <w:rPr>
          <w:noProof/>
        </w:rPr>
        <w:t>(26)</w:t>
      </w:r>
      <w:r w:rsidRPr="002E11EE">
        <w:rPr>
          <w:noProof/>
        </w:rPr>
        <w:tab/>
        <w:t>Tällä asetuksella kehitetään niitä Schengenin säännöstön määräyksiä, joihin Irlanti ei osallistu neuvoston päätöksen 2002/192/EY</w:t>
      </w:r>
      <w:r w:rsidRPr="002E11EE">
        <w:rPr>
          <w:rStyle w:val="FootnoteReference"/>
          <w:noProof/>
          <w:szCs w:val="24"/>
        </w:rPr>
        <w:footnoteReference w:id="21"/>
      </w:r>
      <w:r w:rsidRPr="002E11EE">
        <w:rPr>
          <w:noProof/>
        </w:rPr>
        <w:t xml:space="preserve"> mukaisesti. Irlanti ei sen vuoksi osallistu tämän asetuksen hyväksymiseen, asetus ei sido Irlantia eikä sitä sovelleta Irlantiin.</w:t>
      </w:r>
    </w:p>
    <w:p w14:paraId="7A316F28" w14:textId="77777777" w:rsidR="00286E0D" w:rsidRPr="002E11EE" w:rsidRDefault="00286E0D" w:rsidP="00286E0D">
      <w:pPr>
        <w:pStyle w:val="Formuledadoption"/>
        <w:rPr>
          <w:noProof/>
        </w:rPr>
      </w:pPr>
      <w:r w:rsidRPr="002E11EE">
        <w:rPr>
          <w:noProof/>
        </w:rPr>
        <w:t>OVAT HYVÄKSYNEET TÄMÄN ASETUKSEN:</w:t>
      </w:r>
    </w:p>
    <w:p w14:paraId="558246A5" w14:textId="77777777" w:rsidR="00286E0D" w:rsidRPr="002E11EE" w:rsidRDefault="00286E0D" w:rsidP="00286E0D">
      <w:pPr>
        <w:pStyle w:val="Titrearticle"/>
        <w:rPr>
          <w:noProof/>
        </w:rPr>
      </w:pPr>
      <w:r w:rsidRPr="002E11EE">
        <w:rPr>
          <w:noProof/>
        </w:rPr>
        <w:t>1 artikla</w:t>
      </w:r>
    </w:p>
    <w:p w14:paraId="01DCFE30" w14:textId="77777777" w:rsidR="00286E0D" w:rsidRPr="002E11EE" w:rsidRDefault="00286E0D" w:rsidP="00286E0D">
      <w:pPr>
        <w:pStyle w:val="Titrearticle"/>
        <w:rPr>
          <w:b/>
          <w:bCs/>
          <w:noProof/>
        </w:rPr>
      </w:pPr>
      <w:r w:rsidRPr="002E11EE">
        <w:rPr>
          <w:b/>
          <w:noProof/>
        </w:rPr>
        <w:t>Kohde</w:t>
      </w:r>
    </w:p>
    <w:p w14:paraId="16102D8A" w14:textId="77777777" w:rsidR="00B9223C" w:rsidRPr="002E11EE" w:rsidRDefault="00B9223C" w:rsidP="00B9223C">
      <w:pPr>
        <w:rPr>
          <w:noProof/>
          <w:szCs w:val="24"/>
        </w:rPr>
      </w:pPr>
      <w:r w:rsidRPr="002E11EE">
        <w:rPr>
          <w:noProof/>
        </w:rPr>
        <w:t xml:space="preserve">Tässä asetuksessa vahvistetaan Euroopan yhdennettyä rajaturvallisuutta ja eurooppalaista viisumipolitiikkaa koskevan unionin tuen tavoitteet ja rahoitus 1 päivän tammikuuta 2028 ja 31 päivän joulukuuta 2034 välisenä aikana. Unionin tuella edistetään Schengen-alueen toimintaa, rajaturvallisuuden tehokasta ylläpitämistä ulkorajoilla ja viisumipolitiikan tehokkuutta muun muassa tukemalla muuttoliike- ja turvapaikkasopimuksen asiaa koskevien osien täytäntöönpanoa, vahvistamista ja kehittämistä, sekä sisäisen turvallisuuden korkeaa tasoa unionissa ilman minkäänlaisia, sisärajoja ylittäville henkilöille tehtäviä tarkastuksia. </w:t>
      </w:r>
    </w:p>
    <w:p w14:paraId="05AFC029" w14:textId="53D595F0" w:rsidR="00286E0D" w:rsidRPr="002E11EE" w:rsidRDefault="00286E0D" w:rsidP="00A257BB">
      <w:pPr>
        <w:rPr>
          <w:noProof/>
          <w:szCs w:val="24"/>
        </w:rPr>
      </w:pPr>
      <w:r w:rsidRPr="002E11EE">
        <w:rPr>
          <w:noProof/>
        </w:rPr>
        <w:t>Tätä unionin tukea on annettava asetuksella (EU) [...] perustetun Euroopan taloudellisen, sosiaalisen ja alueellisen yhteenkuuluvuuden, maatalouden ja maaseudun, kalatalouden ja merielinkeinojen, vaurauden ja turvallisuuden rahaston horisontaalisten sääntöjen mukaisesti.</w:t>
      </w:r>
    </w:p>
    <w:p w14:paraId="426B91C7" w14:textId="77777777" w:rsidR="00286E0D" w:rsidRPr="002E11EE" w:rsidRDefault="00286E0D" w:rsidP="00286E0D">
      <w:pPr>
        <w:pStyle w:val="Titrearticle"/>
        <w:rPr>
          <w:noProof/>
        </w:rPr>
      </w:pPr>
      <w:r w:rsidRPr="002E11EE">
        <w:rPr>
          <w:noProof/>
        </w:rPr>
        <w:t>2 artikla</w:t>
      </w:r>
    </w:p>
    <w:p w14:paraId="33C45191" w14:textId="77777777" w:rsidR="00286E0D" w:rsidRPr="002E11EE" w:rsidRDefault="00286E0D" w:rsidP="00286E0D">
      <w:pPr>
        <w:pStyle w:val="Titrearticle"/>
        <w:rPr>
          <w:b/>
          <w:bCs/>
          <w:noProof/>
        </w:rPr>
      </w:pPr>
      <w:r w:rsidRPr="002E11EE">
        <w:rPr>
          <w:b/>
          <w:noProof/>
        </w:rPr>
        <w:t>Määritelmät</w:t>
      </w:r>
    </w:p>
    <w:p w14:paraId="0D79EC17" w14:textId="77777777" w:rsidR="00286E0D" w:rsidRPr="002E11EE" w:rsidRDefault="00286E0D" w:rsidP="00286E0D">
      <w:pPr>
        <w:rPr>
          <w:noProof/>
          <w:color w:val="000000"/>
          <w:szCs w:val="24"/>
        </w:rPr>
      </w:pPr>
      <w:r w:rsidRPr="002E11EE">
        <w:rPr>
          <w:noProof/>
          <w:color w:val="000000"/>
        </w:rPr>
        <w:t>Tässä asetuksessa tarkoitetaan:</w:t>
      </w:r>
    </w:p>
    <w:p w14:paraId="1962DB9D" w14:textId="766DA28B" w:rsidR="00286E0D" w:rsidRPr="002E11EE" w:rsidRDefault="005C1367" w:rsidP="003347AC">
      <w:pPr>
        <w:pStyle w:val="Point0"/>
        <w:rPr>
          <w:noProof/>
        </w:rPr>
      </w:pPr>
      <w:r>
        <w:rPr>
          <w:noProof/>
        </w:rPr>
        <w:t>1.</w:t>
      </w:r>
      <w:r w:rsidR="003347AC" w:rsidRPr="002E11EE">
        <w:rPr>
          <w:noProof/>
        </w:rPr>
        <w:tab/>
        <w:t>’rajanylityspaikalla’ asetuksen (EU) 2016/399</w:t>
      </w:r>
      <w:r w:rsidR="003347AC" w:rsidRPr="002E11EE">
        <w:rPr>
          <w:rStyle w:val="FootnoteReference"/>
          <w:noProof/>
          <w:szCs w:val="24"/>
        </w:rPr>
        <w:footnoteReference w:id="22"/>
      </w:r>
      <w:r w:rsidR="003347AC" w:rsidRPr="002E11EE">
        <w:rPr>
          <w:noProof/>
        </w:rPr>
        <w:t xml:space="preserve"> 2 artiklan 8 alakohdassa määriteltyä rajanylityspaikkaa;</w:t>
      </w:r>
    </w:p>
    <w:p w14:paraId="008FE4CA" w14:textId="4264CB24" w:rsidR="00286E0D" w:rsidRPr="002E11EE" w:rsidRDefault="005C1367" w:rsidP="003347AC">
      <w:pPr>
        <w:pStyle w:val="Point0"/>
        <w:rPr>
          <w:noProof/>
        </w:rPr>
      </w:pPr>
      <w:r>
        <w:rPr>
          <w:noProof/>
        </w:rPr>
        <w:t>2.</w:t>
      </w:r>
      <w:r w:rsidR="003347AC" w:rsidRPr="002E11EE">
        <w:rPr>
          <w:noProof/>
        </w:rPr>
        <w:tab/>
        <w:t>’Euroopan yhdennetyllä rajaturvallisuudella’ asetuksen (EU) 2019/1896</w:t>
      </w:r>
      <w:r w:rsidR="003347AC" w:rsidRPr="002E11EE">
        <w:rPr>
          <w:rStyle w:val="FootnoteReference"/>
          <w:noProof/>
          <w:szCs w:val="24"/>
        </w:rPr>
        <w:footnoteReference w:id="23"/>
      </w:r>
      <w:r w:rsidR="003347AC" w:rsidRPr="002E11EE">
        <w:rPr>
          <w:noProof/>
        </w:rPr>
        <w:t xml:space="preserve"> 3 artiklassa tarkoitettua Euroopan yhdennettyä rajaturvallisuutta;</w:t>
      </w:r>
    </w:p>
    <w:p w14:paraId="2B48C930" w14:textId="2803BB27" w:rsidR="00286E0D" w:rsidRPr="002E11EE" w:rsidRDefault="005C1367" w:rsidP="003347AC">
      <w:pPr>
        <w:pStyle w:val="Point0"/>
        <w:rPr>
          <w:noProof/>
        </w:rPr>
      </w:pPr>
      <w:r>
        <w:rPr>
          <w:noProof/>
        </w:rPr>
        <w:t>3.</w:t>
      </w:r>
      <w:r w:rsidR="003347AC" w:rsidRPr="002E11EE">
        <w:rPr>
          <w:noProof/>
        </w:rPr>
        <w:tab/>
        <w:t>’ulkorajoilla’ asetuksen (EU) 2016/399</w:t>
      </w:r>
      <w:r w:rsidR="003347AC" w:rsidRPr="002E11EE">
        <w:rPr>
          <w:rStyle w:val="FootnoteReference"/>
          <w:noProof/>
          <w:szCs w:val="24"/>
        </w:rPr>
        <w:footnoteReference w:id="24"/>
      </w:r>
      <w:r w:rsidR="003347AC" w:rsidRPr="002E11EE">
        <w:rPr>
          <w:noProof/>
        </w:rPr>
        <w:t xml:space="preserve"> 2 artiklan 2 alakohdassa määriteltyjä ulkorajoja sekä sisärajoja, joilla tarkastuksia ei ole vielä poistettu;</w:t>
      </w:r>
    </w:p>
    <w:p w14:paraId="225B0BEF" w14:textId="681B3D14" w:rsidR="00286E0D" w:rsidRPr="002E11EE" w:rsidRDefault="005C1367" w:rsidP="003347AC">
      <w:pPr>
        <w:pStyle w:val="Point0"/>
        <w:rPr>
          <w:noProof/>
        </w:rPr>
      </w:pPr>
      <w:r>
        <w:rPr>
          <w:noProof/>
        </w:rPr>
        <w:t>4.</w:t>
      </w:r>
      <w:r w:rsidR="003347AC" w:rsidRPr="002E11EE">
        <w:rPr>
          <w:noProof/>
        </w:rPr>
        <w:tab/>
        <w:t>’ulkorajaosuudella’ asetuksen (EU) 2019/1896</w:t>
      </w:r>
      <w:r w:rsidR="003347AC" w:rsidRPr="002E11EE">
        <w:rPr>
          <w:rStyle w:val="FootnoteReference"/>
          <w:noProof/>
          <w:szCs w:val="24"/>
        </w:rPr>
        <w:footnoteReference w:id="25"/>
      </w:r>
      <w:r w:rsidR="003347AC" w:rsidRPr="002E11EE">
        <w:rPr>
          <w:noProof/>
        </w:rPr>
        <w:t xml:space="preserve"> 2 artiklan 11 alakohdassa määriteltyä ulkorajaosuutta;</w:t>
      </w:r>
    </w:p>
    <w:p w14:paraId="19E59878" w14:textId="28AADE01" w:rsidR="00286E0D" w:rsidRPr="002E11EE" w:rsidRDefault="005C1367" w:rsidP="003347AC">
      <w:pPr>
        <w:pStyle w:val="Point0"/>
        <w:rPr>
          <w:noProof/>
        </w:rPr>
      </w:pPr>
      <w:r>
        <w:rPr>
          <w:noProof/>
        </w:rPr>
        <w:t>5.</w:t>
      </w:r>
      <w:r w:rsidR="003347AC" w:rsidRPr="002E11EE">
        <w:rPr>
          <w:noProof/>
        </w:rPr>
        <w:tab/>
        <w:t>’sisärajoilla, joilla tarkastuksia ei ole vielä poistettu’</w:t>
      </w:r>
    </w:p>
    <w:p w14:paraId="1816FE1D" w14:textId="22736A71" w:rsidR="00286E0D" w:rsidRPr="002E11EE" w:rsidRDefault="005C1367" w:rsidP="003347AC">
      <w:pPr>
        <w:pStyle w:val="Point1"/>
        <w:rPr>
          <w:noProof/>
        </w:rPr>
      </w:pPr>
      <w:r>
        <w:rPr>
          <w:noProof/>
        </w:rPr>
        <w:t>a)</w:t>
      </w:r>
      <w:r w:rsidR="003347AC" w:rsidRPr="002E11EE">
        <w:rPr>
          <w:noProof/>
        </w:rPr>
        <w:tab/>
        <w:t>yhteistä rajaa Schengenin säännöstöä täysimääräisesti soveltavan jäsenvaltion ja sellaisen jäsenvaltion välillä, jonka on liittymisasiakirjansa mukaan määrä soveltaa Schengenin säännöstöä täysimääräisesti mutta jonka osalta asianomainen neuvoston päätös, jossa se valtuutetaan soveltamaan säännöstöä täysimääräisesti, ei ole vielä tullut voimaan;</w:t>
      </w:r>
    </w:p>
    <w:p w14:paraId="451F5771" w14:textId="50D5DE1B" w:rsidR="00286E0D" w:rsidRPr="002E11EE" w:rsidRDefault="005C1367" w:rsidP="003347AC">
      <w:pPr>
        <w:pStyle w:val="Point1"/>
        <w:rPr>
          <w:noProof/>
        </w:rPr>
      </w:pPr>
      <w:r>
        <w:rPr>
          <w:noProof/>
        </w:rPr>
        <w:t>b)</w:t>
      </w:r>
      <w:r w:rsidR="003347AC" w:rsidRPr="002E11EE">
        <w:rPr>
          <w:noProof/>
        </w:rPr>
        <w:tab/>
        <w:t>yhteistä rajaa kahden sellaisen jäsenvaltion välillä, joiden on</w:t>
      </w:r>
      <w:r w:rsidR="000A3429">
        <w:rPr>
          <w:noProof/>
        </w:rPr>
        <w:t xml:space="preserve"> </w:t>
      </w:r>
      <w:r w:rsidR="003347AC" w:rsidRPr="002E11EE">
        <w:rPr>
          <w:noProof/>
        </w:rPr>
        <w:t>liittymisasiakirjansa mukaan määrä soveltaa Schengenin säännöstöä täysimääräisesti mutta joiden osalta asianomainen neuvoston päätös, jossa ne valtuutetaan soveltamaan säännöstöä täysimääräisesti, ei ole vielä tullut voimaan;</w:t>
      </w:r>
    </w:p>
    <w:p w14:paraId="5E6A7562" w14:textId="11DEF5F2" w:rsidR="00286E0D" w:rsidRPr="002E11EE" w:rsidRDefault="005C1367" w:rsidP="003347AC">
      <w:pPr>
        <w:pStyle w:val="Point0"/>
        <w:rPr>
          <w:noProof/>
        </w:rPr>
      </w:pPr>
      <w:r>
        <w:rPr>
          <w:noProof/>
        </w:rPr>
        <w:t>6.</w:t>
      </w:r>
      <w:r w:rsidR="003347AC" w:rsidRPr="002E11EE">
        <w:rPr>
          <w:noProof/>
        </w:rPr>
        <w:tab/>
        <w:t>’hyötyvällä jäsenvaltiolla’ asetuksen (EU) 2024/1351 2 artiklan 19 alakohdassa määriteltyä hyötyvää jäsenvaltiota;</w:t>
      </w:r>
    </w:p>
    <w:p w14:paraId="35262557" w14:textId="310888C6" w:rsidR="00F0474E" w:rsidRPr="002E11EE" w:rsidRDefault="005C1367" w:rsidP="003347AC">
      <w:pPr>
        <w:pStyle w:val="Point0"/>
        <w:rPr>
          <w:noProof/>
        </w:rPr>
      </w:pPr>
      <w:r>
        <w:rPr>
          <w:noProof/>
        </w:rPr>
        <w:t>7.</w:t>
      </w:r>
      <w:r w:rsidR="003347AC" w:rsidRPr="002E11EE">
        <w:rPr>
          <w:noProof/>
        </w:rPr>
        <w:tab/>
        <w:t>’osallistuvalla jäsenvaltiolla’ asetuksen (EU) 2024/1351 2 artiklan 20 alakohdassa määriteltyä osallistuvaa jäsenvaltiota;</w:t>
      </w:r>
    </w:p>
    <w:p w14:paraId="1373544C" w14:textId="0BCC0362" w:rsidR="00286E0D" w:rsidRPr="002E11EE" w:rsidRDefault="005C1367" w:rsidP="003347AC">
      <w:pPr>
        <w:pStyle w:val="Point0"/>
        <w:rPr>
          <w:noProof/>
        </w:rPr>
      </w:pPr>
      <w:r>
        <w:rPr>
          <w:noProof/>
        </w:rPr>
        <w:t>8.</w:t>
      </w:r>
      <w:r w:rsidR="003347AC" w:rsidRPr="002E11EE">
        <w:rPr>
          <w:noProof/>
        </w:rPr>
        <w:tab/>
        <w:t xml:space="preserve">’rahoitusosuuksilla’ asetuksen (EU) 2024/1351 56 artiklan 2 kohdan b alakohdan mukaisia rahoitusosuuksia. </w:t>
      </w:r>
    </w:p>
    <w:p w14:paraId="4A75AB58" w14:textId="77777777" w:rsidR="00286E0D" w:rsidRPr="002E11EE" w:rsidRDefault="00286E0D" w:rsidP="00286E0D">
      <w:pPr>
        <w:pStyle w:val="Titrearticle"/>
        <w:rPr>
          <w:noProof/>
        </w:rPr>
      </w:pPr>
      <w:r w:rsidRPr="002E11EE">
        <w:rPr>
          <w:noProof/>
        </w:rPr>
        <w:t>3 artikla</w:t>
      </w:r>
    </w:p>
    <w:p w14:paraId="1F3B309A" w14:textId="77777777" w:rsidR="00286E0D" w:rsidRPr="002E11EE" w:rsidRDefault="00286E0D" w:rsidP="00286E0D">
      <w:pPr>
        <w:pStyle w:val="Titrearticle"/>
        <w:rPr>
          <w:b/>
          <w:bCs/>
          <w:noProof/>
        </w:rPr>
      </w:pPr>
      <w:bookmarkStart w:id="17" w:name="_Hlk202174420"/>
      <w:r w:rsidRPr="002E11EE">
        <w:rPr>
          <w:b/>
          <w:noProof/>
        </w:rPr>
        <w:t>Schengen-aluetta, Euroopan yhdennettyä rajaturvallisuutta ja yhteistä viisumipolitiikkaa koskevan unionin tuen tavoitteet</w:t>
      </w:r>
    </w:p>
    <w:bookmarkEnd w:id="17"/>
    <w:p w14:paraId="3CC4516C" w14:textId="15FD5E6D" w:rsidR="00286E0D" w:rsidRPr="002E11EE" w:rsidRDefault="003347AC" w:rsidP="003347AC">
      <w:pPr>
        <w:pStyle w:val="ManualNumPar1"/>
        <w:rPr>
          <w:noProof/>
        </w:rPr>
      </w:pPr>
      <w:r w:rsidRPr="002E11EE">
        <w:rPr>
          <w:noProof/>
        </w:rPr>
        <w:t>1.</w:t>
      </w:r>
      <w:r w:rsidRPr="002E11EE">
        <w:rPr>
          <w:noProof/>
        </w:rPr>
        <w:tab/>
        <w:t>Jotta voidaan varmistaa vahva ja tehokas Euroopan yhdennetty rajaturvallisuus ulkorajoilla, hyvin toimiva Schengen-alue ja tehokas viisumipolitiikka, unionin tuella edistetään seuraavia tavoitteita:</w:t>
      </w:r>
    </w:p>
    <w:p w14:paraId="52746F08" w14:textId="0F6AF9C9" w:rsidR="0058101A" w:rsidRPr="002E11EE" w:rsidRDefault="003347AC" w:rsidP="003347AC">
      <w:pPr>
        <w:pStyle w:val="Point1"/>
        <w:rPr>
          <w:rFonts w:eastAsiaTheme="minorEastAsia" w:cstheme="majorHAnsi"/>
          <w:noProof/>
          <w:szCs w:val="20"/>
        </w:rPr>
      </w:pPr>
      <w:r w:rsidRPr="002E11EE">
        <w:rPr>
          <w:noProof/>
        </w:rPr>
        <w:t>a)</w:t>
      </w:r>
      <w:r w:rsidRPr="002E11EE">
        <w:rPr>
          <w:noProof/>
        </w:rPr>
        <w:tab/>
        <w:t>tuetaan Schengen-järjestelmän tosiasiallista täytäntöönpanoa, soveltamista ja kehittämistä ja vahvistetaan sisärajattoman Schengen-alueen hallintoa, eheyttä ja turvallisuutta;</w:t>
      </w:r>
    </w:p>
    <w:p w14:paraId="57D454BB" w14:textId="5676320D" w:rsidR="00286E0D" w:rsidRPr="002E11EE" w:rsidRDefault="003347AC" w:rsidP="003347AC">
      <w:pPr>
        <w:pStyle w:val="Point1"/>
        <w:rPr>
          <w:rStyle w:val="Instructions"/>
          <w:rFonts w:eastAsiaTheme="minorEastAsia"/>
          <w:i w:val="0"/>
          <w:iCs w:val="0"/>
          <w:noProof/>
          <w:color w:val="auto"/>
        </w:rPr>
      </w:pPr>
      <w:r w:rsidRPr="002E11EE">
        <w:rPr>
          <w:rStyle w:val="Instructions"/>
          <w:rFonts w:eastAsiaTheme="minorHAnsi"/>
          <w:noProof/>
        </w:rPr>
        <w:t>b)</w:t>
      </w:r>
      <w:r w:rsidRPr="002E11EE">
        <w:rPr>
          <w:noProof/>
        </w:rPr>
        <w:tab/>
        <w:t>tuetaan ulkorajoilla tehokasta Euroopan yhdennettyä rajaturvallisuutta, jota ylläpitää eurooppalainen raja- ja merivartiosto ja josta yhteisvastuun kantavat Euroopan raja- ja merivartiovirasto ja rajaturvallisuudesta vastaavat kansalliset viranomaiset, muun muassa innovatiivisilla menetelmillä ja uusilla teknologioilla laillisten rajanylitysten helpottamiseksi, laittoman maahanmuuton, rajat ylittävän rikollisuuden sekä laittoman muuttoliikkeen välineellistämisen ja aseena käyttämisen ehkäisemiseksi ja havaitsemiseksi sekä tehokkaan palauttamisen edistämiseksi;</w:t>
      </w:r>
    </w:p>
    <w:p w14:paraId="07C36713" w14:textId="25EE2425" w:rsidR="00286E0D" w:rsidRPr="002E11EE" w:rsidRDefault="003347AC" w:rsidP="003347AC">
      <w:pPr>
        <w:pStyle w:val="Point1"/>
        <w:rPr>
          <w:rFonts w:eastAsiaTheme="minorEastAsia" w:cstheme="majorHAnsi"/>
          <w:noProof/>
          <w:szCs w:val="20"/>
        </w:rPr>
      </w:pPr>
      <w:r w:rsidRPr="002E11EE">
        <w:rPr>
          <w:noProof/>
        </w:rPr>
        <w:t>c)</w:t>
      </w:r>
      <w:r w:rsidRPr="002E11EE">
        <w:rPr>
          <w:noProof/>
        </w:rPr>
        <w:tab/>
        <w:t>tuetaan yhteistä viisumipolitiikkaa, jotta voidaan varmistaa yhdenmukainen lähestymistapa viisumien nopean myöntämisen suhteen ja helpottaa laillista matkustamista samalla kun ehkäistään muuttoliikkeeseen ja turvallisuuteen liittyviä riskejä ja edistetään Schengen-alueen turvallisuutta ja moitteetonta toimintaa.</w:t>
      </w:r>
    </w:p>
    <w:p w14:paraId="6E55EEE9" w14:textId="68EA180C" w:rsidR="00286E0D" w:rsidRPr="002E11EE" w:rsidRDefault="00286E0D" w:rsidP="00A257BB">
      <w:pPr>
        <w:ind w:left="720"/>
        <w:rPr>
          <w:noProof/>
          <w:szCs w:val="24"/>
        </w:rPr>
      </w:pPr>
      <w:bookmarkStart w:id="18" w:name="_Hlk201962005"/>
      <w:bookmarkEnd w:id="18"/>
      <w:r w:rsidRPr="002E11EE">
        <w:rPr>
          <w:noProof/>
        </w:rPr>
        <w:t>Unionin tuki on pantava täytäntöön tavalla, joka on täysin yhdenmukainen Euroopan taloudellisen, sosiaalisen ja alueellisen yhteenkuuluvuuden, maatalouden ja maaseudun, kalatalouden ja merielinkeinojen, vaurauden ja turvallisuuden rahaston perustamisesta annetussa asetuksessa (EU) [...] vahvistettujen tavoitteiden kanssa.</w:t>
      </w:r>
    </w:p>
    <w:p w14:paraId="71BB4485" w14:textId="5233BD33" w:rsidR="00286E0D" w:rsidRPr="002E11EE" w:rsidRDefault="003347AC" w:rsidP="003347AC">
      <w:pPr>
        <w:pStyle w:val="ManualNumPar1"/>
        <w:rPr>
          <w:noProof/>
          <w:szCs w:val="24"/>
        </w:rPr>
      </w:pPr>
      <w:r w:rsidRPr="002E11EE">
        <w:rPr>
          <w:noProof/>
        </w:rPr>
        <w:t>2.</w:t>
      </w:r>
      <w:r w:rsidRPr="002E11EE">
        <w:rPr>
          <w:noProof/>
        </w:rPr>
        <w:tab/>
        <w:t>Unionin tuki on pantava täytäntöön noudattaen asiaankuuluvaa unionin säännöstöä sekä unionin ja jäsenvaltioiden sellaisista kansainvälisistä sopimuksista johtuvia kansainvälisiä velvoitteita, joiden sopimuspuolia ne ovat.</w:t>
      </w:r>
    </w:p>
    <w:p w14:paraId="3840A777" w14:textId="132A20A9" w:rsidR="00286E0D" w:rsidRPr="002E11EE" w:rsidRDefault="003347AC" w:rsidP="003347AC">
      <w:pPr>
        <w:pStyle w:val="ManualNumPar1"/>
        <w:rPr>
          <w:noProof/>
          <w:szCs w:val="24"/>
        </w:rPr>
      </w:pPr>
      <w:r w:rsidRPr="002E11EE">
        <w:rPr>
          <w:noProof/>
        </w:rPr>
        <w:t>3.</w:t>
      </w:r>
      <w:r w:rsidRPr="002E11EE">
        <w:rPr>
          <w:noProof/>
        </w:rPr>
        <w:tab/>
        <w:t>Jäsenvaltioiden on varmistettava, että niiden kansallisten ja alueellisten kumppanuussuunnitelmien painopisteet sisältävät toimia tämän asetuksen mukaisen unionin tuen kunkin tavoitteen saavuttamiseksi ja että varojen jakaminen eri tavoitteisiin on oikeassa suhteessa havaittuihin haasteisiin ja tarpeisiin.</w:t>
      </w:r>
    </w:p>
    <w:p w14:paraId="23655188" w14:textId="77777777" w:rsidR="00286E0D" w:rsidRPr="002E11EE" w:rsidRDefault="00286E0D" w:rsidP="00286E0D">
      <w:pPr>
        <w:pStyle w:val="Titrearticle"/>
        <w:rPr>
          <w:noProof/>
        </w:rPr>
      </w:pPr>
      <w:r w:rsidRPr="002E11EE">
        <w:rPr>
          <w:noProof/>
        </w:rPr>
        <w:t>4 artikla</w:t>
      </w:r>
    </w:p>
    <w:p w14:paraId="00F584F5" w14:textId="77777777" w:rsidR="00286E0D" w:rsidRPr="002E11EE" w:rsidRDefault="00286E0D" w:rsidP="00286E0D">
      <w:pPr>
        <w:pStyle w:val="Titrearticle"/>
        <w:rPr>
          <w:b/>
          <w:bCs/>
          <w:noProof/>
        </w:rPr>
      </w:pPr>
      <w:r w:rsidRPr="002E11EE">
        <w:rPr>
          <w:b/>
          <w:noProof/>
        </w:rPr>
        <w:t>Rahoitus</w:t>
      </w:r>
    </w:p>
    <w:p w14:paraId="3C31D26E" w14:textId="6DC7558E" w:rsidR="005507F3" w:rsidRPr="002E11EE" w:rsidRDefault="003347AC" w:rsidP="003347AC">
      <w:pPr>
        <w:pStyle w:val="ManualNumPar1"/>
        <w:rPr>
          <w:noProof/>
        </w:rPr>
      </w:pPr>
      <w:r w:rsidRPr="002E11EE">
        <w:rPr>
          <w:noProof/>
        </w:rPr>
        <w:t>1.</w:t>
      </w:r>
      <w:r w:rsidRPr="002E11EE">
        <w:rPr>
          <w:noProof/>
        </w:rPr>
        <w:tab/>
        <w:t xml:space="preserve">Edellä olevassa 3 artiklassa vahvistettujen tavoitteiden toteuttamiseen varatut ohjeelliset rahoituspuitteet kaudeksi 2028–2034 ovat 15 396 750 000 euroa käypinä hintoina. Rahoituspuitteet on pantava täytäntöön Euroopan taloudellisen, sosiaalisen ja alueellisen yhteenkuuluvuuden rahaston, maatalouden ja maaseudun, kalatalouden ja merielinkeinojen, vaurauden ja turvallisuuden rahaston perustamisesta annetussa asetuksessa (EU) [...] vahvistettujen kansallisia ja alueellisia kumppanuussuunnitelmia koskevien horisontaalisten sääntöjen mukaisesti. </w:t>
      </w:r>
    </w:p>
    <w:p w14:paraId="73B43C2B" w14:textId="1F933790" w:rsidR="00623F90" w:rsidRPr="002E11EE" w:rsidRDefault="003347AC" w:rsidP="003347AC">
      <w:pPr>
        <w:pStyle w:val="ManualNumPar1"/>
        <w:rPr>
          <w:noProof/>
        </w:rPr>
      </w:pPr>
      <w:r w:rsidRPr="002E11EE">
        <w:rPr>
          <w:noProof/>
        </w:rPr>
        <w:t>2.</w:t>
      </w:r>
      <w:r w:rsidRPr="002E11EE">
        <w:rPr>
          <w:noProof/>
        </w:rPr>
        <w:tab/>
        <w:t>Komissio antaa täytäntöönpanosäädöksen, jossa vahvistetaan jäsenvaltiokohtainen määrä soveltamalla Euroopan taloudellisen, sosiaalisen ja alueellisen yhteenkuuluvuuden, maatalouden ja maaseudun, kalatalouden ja merielinkeinojen, vaurauden ja turvallisuuden rahaston annetun asetuksen (EU) [...] liitteessä I olevassa B jaksossa esitettyä jakomenetelmää.</w:t>
      </w:r>
    </w:p>
    <w:p w14:paraId="5E629589" w14:textId="25F76966" w:rsidR="005507F3" w:rsidRPr="002E11EE" w:rsidRDefault="003347AC" w:rsidP="003347AC">
      <w:pPr>
        <w:pStyle w:val="ManualNumPar1"/>
        <w:rPr>
          <w:noProof/>
        </w:rPr>
      </w:pPr>
      <w:r w:rsidRPr="002E11EE">
        <w:rPr>
          <w:noProof/>
        </w:rPr>
        <w:t>3.</w:t>
      </w:r>
      <w:r w:rsidRPr="002E11EE">
        <w:rPr>
          <w:noProof/>
        </w:rPr>
        <w:tab/>
        <w:t>Lisäksi SEUT-sopimuksen 314 artiklassa määrätyn vuotuisen talousarviomenettelyn yhteydessä vahvistetaan määrärahat niitä tämän asetuksen 3 artiklassa vahvistettuja tavoitteita varten, joihin pyritään Euroopan taloudellisen, sosiaalisen ja alueellisen yhteenkuuluvuuden, maatalouden ja maaseudun, kalatalouden ja merielinkeinojen, vaurauden ja turvallisuuden rahaston perustamisesta annetun asetuksen (EU) [...] IV osaston mukaisella EU-välineellä.</w:t>
      </w:r>
    </w:p>
    <w:p w14:paraId="070F7EDE" w14:textId="013D411B" w:rsidR="005507F3" w:rsidRPr="002E11EE" w:rsidRDefault="003347AC" w:rsidP="003347AC">
      <w:pPr>
        <w:pStyle w:val="ManualNumPar1"/>
        <w:rPr>
          <w:noProof/>
        </w:rPr>
      </w:pPr>
      <w:r w:rsidRPr="002E11EE">
        <w:rPr>
          <w:noProof/>
        </w:rPr>
        <w:t>4.</w:t>
      </w:r>
      <w:r w:rsidRPr="002E11EE">
        <w:rPr>
          <w:noProof/>
        </w:rPr>
        <w:tab/>
        <w:t xml:space="preserve">Jos komissio toteaa, että toimenpiteet, jotka liittyvät tämän asetuksen 3 artiklassa vahvistettuihin tavoitteisiin, ovat tässä asetuksessa ja Euroopan taloudellisen, sosiaalisen ja alueellisen yhteenkuuluvuuden, maatalouden ja maaseudun, kalatalouden ja merielinkeinojen, vaurauden ja turvallisuuden rahaston perustamisesta annetussa asetuksessa (EU) [...] säädettyjen vaatimusten mukaisia, ja jos komissio Euroopan taloudellisen, sosiaalisen ja alueellisen yhteenkuuluvuuden, maatalouden ja maaseudun, kalatalouden ja merielinkeinojen, vaurauden ja turvallisuuden rahaston perustamisesta annetun asetuksen (EU) [...] 23 artiklassa säädetyn menettelyn mukaisesti ehdottaa neuvoston täytäntöönpanopäätöstä, jolla hyväksytään asianomaisen jäsenvaltion kansallinen ja alueellinen kumppanuussuunnitelma, se tekee ehdotuksen neuvoston täytäntöönpanopäätökseksi kyseisten toimenpiteiden hyväksymisestä. </w:t>
      </w:r>
    </w:p>
    <w:p w14:paraId="6930FE95" w14:textId="12E1F33E" w:rsidR="005507F3" w:rsidRPr="002E11EE" w:rsidRDefault="003347AC" w:rsidP="003347AC">
      <w:pPr>
        <w:pStyle w:val="ManualNumPar1"/>
        <w:rPr>
          <w:noProof/>
        </w:rPr>
      </w:pPr>
      <w:r w:rsidRPr="002E11EE">
        <w:rPr>
          <w:noProof/>
        </w:rPr>
        <w:t>5.</w:t>
      </w:r>
      <w:r w:rsidRPr="002E11EE">
        <w:rPr>
          <w:noProof/>
        </w:rPr>
        <w:tab/>
        <w:t>Kun komissio tekee ehdotuksen neuvoston täytäntöönpanopäätökseksi toimenpiteistä, jotka liittyvät tämän asetuksen 3 artiklassa vahvistettuihin tavoitteisiin, siinä vahvistetaan 3 artiklassa vahvistettujen tavoitteiden osalta Euroopan taloudellisen, sosiaalisen ja alueellisen yhteenkuuluvuuden, maatalouden ja maaseudun, kalatalouden ja merielinkeinojen, vaurauden ja turvallisuuden rahaston perustamisesta annetun asetuksen (EU) [...] 23 artiklan 4 kohdassa tarkoitetut seikat.</w:t>
      </w:r>
    </w:p>
    <w:p w14:paraId="1388C5B4" w14:textId="5EDB01D3" w:rsidR="00596698" w:rsidRPr="002E11EE" w:rsidRDefault="003347AC" w:rsidP="003347AC">
      <w:pPr>
        <w:pStyle w:val="ManualNumPar1"/>
        <w:rPr>
          <w:noProof/>
        </w:rPr>
      </w:pPr>
      <w:r w:rsidRPr="002E11EE">
        <w:rPr>
          <w:noProof/>
        </w:rPr>
        <w:t>6.</w:t>
      </w:r>
      <w:r w:rsidRPr="002E11EE">
        <w:rPr>
          <w:noProof/>
        </w:rPr>
        <w:tab/>
        <w:t>Neuvosto hyväksyy 4 kohdassa tarkoitetun täytäntöönpanopäätöksen pääsääntöisesti neljän viikon kuluessa komission ehdotuksen antamisesta yhdessä Euroopan taloudellisen, sosiaalisen ja alueellisen yhteenkuuluvuuden, maatalouden ja maaseudun, kalatalouden ja merielinkeinojen, vaurauden ja turvallisuuden rahaston perustamisesta annetun asetuksen (EU) [...] 23 artiklan 1 kohdassa tarkoitettujen täytäntöönpanopäätösten [</w:t>
      </w:r>
      <w:r w:rsidRPr="002E11EE">
        <w:rPr>
          <w:i/>
          <w:iCs/>
          <w:noProof/>
        </w:rPr>
        <w:t>komission ehdotus ja neuvoston täytäntöönpanopäätös</w:t>
      </w:r>
      <w:r w:rsidRPr="002E11EE">
        <w:rPr>
          <w:noProof/>
        </w:rPr>
        <w:t>] kanssa.</w:t>
      </w:r>
    </w:p>
    <w:p w14:paraId="256B33DF" w14:textId="0BE8C5E2" w:rsidR="00623F90" w:rsidRPr="002E11EE" w:rsidRDefault="003347AC" w:rsidP="003347AC">
      <w:pPr>
        <w:pStyle w:val="ManualNumPar1"/>
        <w:rPr>
          <w:noProof/>
        </w:rPr>
      </w:pPr>
      <w:r w:rsidRPr="002E11EE">
        <w:rPr>
          <w:noProof/>
        </w:rPr>
        <w:t>7.</w:t>
      </w:r>
      <w:r w:rsidRPr="002E11EE">
        <w:rPr>
          <w:noProof/>
        </w:rPr>
        <w:tab/>
        <w:t>Euroopan taloudellisen, sosiaalisen ja alueellisen yhteenkuuluvuuden, maatalouden ja maaseudun, kalatalouden ja merielinkeinojen, vaurauden ja turvallisuuden rahaston perustamisesta annetun asetuksen (EU) [...] 24 artiklaa suunnitelmien muuttamisesta sovelletaan, jos komission ehdotus ja neuvoston täytäntöönpanopäätös 23 artiklan 4 kohdassa lueteltujen seikkojen muutosten hyväksymisestä koskee ainoastaan tämän asetuksen 3 artiklassa tarkoitettuja tavoitteita.</w:t>
      </w:r>
    </w:p>
    <w:p w14:paraId="51868DA9" w14:textId="77777777" w:rsidR="00596698" w:rsidRPr="002E11EE" w:rsidRDefault="00596698" w:rsidP="00596698">
      <w:pPr>
        <w:pStyle w:val="Titrearticle"/>
        <w:rPr>
          <w:noProof/>
        </w:rPr>
      </w:pPr>
      <w:r w:rsidRPr="002E11EE">
        <w:rPr>
          <w:noProof/>
        </w:rPr>
        <w:t xml:space="preserve">5 artikla </w:t>
      </w:r>
    </w:p>
    <w:p w14:paraId="31F56137" w14:textId="0DDFC603" w:rsidR="00596698" w:rsidRPr="002E11EE" w:rsidRDefault="00596698" w:rsidP="00596698">
      <w:pPr>
        <w:pStyle w:val="Titrearticle"/>
        <w:rPr>
          <w:noProof/>
          <w:szCs w:val="24"/>
        </w:rPr>
      </w:pPr>
      <w:r w:rsidRPr="002E11EE">
        <w:rPr>
          <w:b/>
          <w:noProof/>
        </w:rPr>
        <w:t>Schengenin säännöstöön osallistuvat maat</w:t>
      </w:r>
    </w:p>
    <w:p w14:paraId="5F98EE1A" w14:textId="4DD41066" w:rsidR="00286E0D" w:rsidRPr="002E11EE" w:rsidRDefault="00596698" w:rsidP="00287E8A">
      <w:pPr>
        <w:pStyle w:val="Text1"/>
        <w:ind w:left="0"/>
        <w:rPr>
          <w:rStyle w:val="eop"/>
          <w:rFonts w:eastAsiaTheme="majorEastAsia"/>
          <w:noProof/>
        </w:rPr>
      </w:pPr>
      <w:r w:rsidRPr="002E11EE">
        <w:rPr>
          <w:noProof/>
        </w:rPr>
        <w:t>Jotta voidaan määrittää Schengenin säännöstön täytäntöönpanoon, soveltamiseen ja kehittämiseen osallistuvien maiden unionin tukeen osallistumisen luonne ja osallistumistavat, toteutetaan järjestelyt niiden assosiaatiosopimusten asiaa koskevien määräysten mukaisesti. Mahdollisimman pian sen jälkeen, kun kyseinen maa on ilmoittanut päätöksestään hyväksyä unionin tuen sisältö ja saattaa se osaksi sisäistä oikeusjärjestystään assosiaatiosopimuksensa mukaisesti, komissio toimittaa neuvostolle SEUT-sopimuksen 218 artiklan 3 kohdan mukaisesti suosituksen kyseisiä järjestelyjä koskevien neuvottelujen aloittamisesta. Vastaanotettuaan suosituksen neuvosto tekee viipymättä päätöksen luvan antamisesta aloittaa kyseiset neuvottelut. Näiden maiden rahoitusosuudet lisätään 4 kohdassa tarkoitetuista rahoituspuitteista saataviin kokonaismäärärahoihin.</w:t>
      </w:r>
    </w:p>
    <w:p w14:paraId="08F346E5" w14:textId="15F26995" w:rsidR="00286E0D" w:rsidRPr="002E11EE" w:rsidRDefault="00286E0D" w:rsidP="007D3199">
      <w:pPr>
        <w:pStyle w:val="Titrearticle"/>
        <w:rPr>
          <w:noProof/>
        </w:rPr>
      </w:pPr>
      <w:r w:rsidRPr="002E11EE">
        <w:rPr>
          <w:noProof/>
        </w:rPr>
        <w:t>6 artikla</w:t>
      </w:r>
    </w:p>
    <w:p w14:paraId="77F384CC" w14:textId="77777777" w:rsidR="00286E0D" w:rsidRPr="002E11EE" w:rsidRDefault="00286E0D" w:rsidP="00286E0D">
      <w:pPr>
        <w:pStyle w:val="Titrearticle"/>
        <w:rPr>
          <w:b/>
          <w:bCs/>
          <w:noProof/>
          <w:szCs w:val="24"/>
        </w:rPr>
      </w:pPr>
      <w:bookmarkStart w:id="19" w:name="_Hlk195020056"/>
      <w:r w:rsidRPr="002E11EE">
        <w:rPr>
          <w:b/>
          <w:noProof/>
        </w:rPr>
        <w:t>Tuki erityiselle kauttakulkujärjestelylle</w:t>
      </w:r>
    </w:p>
    <w:p w14:paraId="543A7C7F" w14:textId="3CC5D0D1" w:rsidR="00286E0D" w:rsidRPr="002E11EE" w:rsidRDefault="003347AC" w:rsidP="003347AC">
      <w:pPr>
        <w:pStyle w:val="ManualNumPar1"/>
        <w:rPr>
          <w:noProof/>
        </w:rPr>
      </w:pPr>
      <w:r w:rsidRPr="002E11EE">
        <w:rPr>
          <w:noProof/>
        </w:rPr>
        <w:t>1.</w:t>
      </w:r>
      <w:r w:rsidRPr="002E11EE">
        <w:rPr>
          <w:noProof/>
        </w:rPr>
        <w:tab/>
        <w:t>Osoitetaan enintään 450 000 000 euroa Euroopan taloudellisen, sosiaalisen ja alueellisen yhteenkuuluvuuden, maatalouden ja maaseudun, kalatalouden ja merielinkeinojen, vaurauden ja turvallisuuden rahaston perustamisesta annetun asetuksen (EU) [...] mukaiseen Liettuan kansalliseen ja alueelliseen kumppanuussuunnitelmaan tuen antamiseksi lyhytaikaista oleskelua varten myönnettävien viisumien käsittelystä saatavien tulojen menetyksen ja niiden lisäkustannusten vuoksi, joita aiheutuu neuvoston asetuksen (EY) N:o 693/2003 ja asetuksen (EY) N:o 694/2003, sellaisena kuin se on muutettuna Euroopan parlamentin ja neuvoston asetuksella (EU) 2023/2667, mukaisesta kauttakulkua helpottavan asiakirjan (FTD) ja rautateitse tapahtuvaa kauttakulkua helpottavan asiakirjan (FRTD) käyttöön ottamisesta.</w:t>
      </w:r>
    </w:p>
    <w:p w14:paraId="62C6EDAD" w14:textId="16EDD309" w:rsidR="00286E0D" w:rsidRPr="002E11EE" w:rsidRDefault="003347AC" w:rsidP="003347AC">
      <w:pPr>
        <w:pStyle w:val="ManualNumPar1"/>
        <w:rPr>
          <w:noProof/>
        </w:rPr>
      </w:pPr>
      <w:r w:rsidRPr="002E11EE">
        <w:rPr>
          <w:noProof/>
        </w:rPr>
        <w:t>2.</w:t>
      </w:r>
      <w:r w:rsidRPr="002E11EE">
        <w:rPr>
          <w:noProof/>
        </w:rPr>
        <w:tab/>
        <w:t xml:space="preserve">Sovellettaessa 1 kohtaa unionin menetetyistä tuloista maksaman tuen on perustuttava FTD- ja FRTD-asiakirjojen myöntämiseen. Tuen enimmäismäärä on 100 000 000 euroa. </w:t>
      </w:r>
    </w:p>
    <w:p w14:paraId="0498E203" w14:textId="70EB88D9" w:rsidR="00286E0D" w:rsidRPr="002E11EE" w:rsidRDefault="003347AC" w:rsidP="003347AC">
      <w:pPr>
        <w:pStyle w:val="ManualNumPar1"/>
        <w:rPr>
          <w:noProof/>
        </w:rPr>
      </w:pPr>
      <w:r w:rsidRPr="002E11EE">
        <w:rPr>
          <w:noProof/>
        </w:rPr>
        <w:t>3.</w:t>
      </w:r>
      <w:r w:rsidRPr="002E11EE">
        <w:rPr>
          <w:noProof/>
        </w:rPr>
        <w:tab/>
        <w:t>Sovellettaessa 1 kohtaa unionin tuki kattaa suoraan erityisen kauttakulkujärjestelyn käyttöön ottamista koskevista erityisvaatimuksista aiheutuvat arvioidut lisäkustannukset, jotka eivät synny Euroopan parlamentin ja neuvoston asetuksen (EY) N:o 810/2009</w:t>
      </w:r>
      <w:r w:rsidRPr="002E11EE">
        <w:rPr>
          <w:rStyle w:val="FootnoteReference"/>
          <w:noProof/>
        </w:rPr>
        <w:footnoteReference w:id="26"/>
      </w:r>
      <w:r w:rsidRPr="002E11EE">
        <w:rPr>
          <w:noProof/>
        </w:rPr>
        <w:t xml:space="preserve"> mukaisten viisumien myöntämisen seurauksena.</w:t>
      </w:r>
    </w:p>
    <w:p w14:paraId="78235099" w14:textId="79CB3179" w:rsidR="00286E0D" w:rsidRPr="002E11EE" w:rsidRDefault="00286E0D" w:rsidP="006B174B">
      <w:pPr>
        <w:ind w:left="850"/>
        <w:rPr>
          <w:noProof/>
          <w:color w:val="000000"/>
          <w:szCs w:val="24"/>
        </w:rPr>
      </w:pPr>
      <w:r w:rsidRPr="002E11EE">
        <w:rPr>
          <w:noProof/>
          <w:color w:val="000000"/>
        </w:rPr>
        <w:t>Unionin talousarviosta maksettava rahoitusosuus on enintään 100 prosenttia arvioiduista kokonaiskustannuksista. Tuen enimmäismäärä on 350 000 000 euroa.</w:t>
      </w:r>
    </w:p>
    <w:p w14:paraId="7DD7F0AB" w14:textId="77777777" w:rsidR="00286E0D" w:rsidRPr="002E11EE" w:rsidRDefault="00286E0D" w:rsidP="006B174B">
      <w:pPr>
        <w:ind w:left="346" w:firstLine="504"/>
        <w:rPr>
          <w:noProof/>
          <w:szCs w:val="24"/>
        </w:rPr>
      </w:pPr>
      <w:r w:rsidRPr="002E11EE">
        <w:rPr>
          <w:noProof/>
          <w:color w:val="000000"/>
        </w:rPr>
        <w:t xml:space="preserve">Arvioitaviin lisäkustannuksiin kuuluvat erityisesti </w:t>
      </w:r>
    </w:p>
    <w:p w14:paraId="6038D052" w14:textId="77777777" w:rsidR="00286E0D" w:rsidRPr="002E11EE" w:rsidRDefault="00286E0D" w:rsidP="006A2F81">
      <w:pPr>
        <w:pStyle w:val="ListNumber"/>
        <w:numPr>
          <w:ilvl w:val="0"/>
          <w:numId w:val="17"/>
        </w:numPr>
        <w:ind w:left="1094" w:hanging="357"/>
        <w:rPr>
          <w:rFonts w:eastAsia="Aptos"/>
          <w:noProof/>
          <w:color w:val="000000"/>
          <w:kern w:val="2"/>
          <w:szCs w:val="24"/>
        </w:rPr>
      </w:pPr>
      <w:r w:rsidRPr="002E11EE">
        <w:rPr>
          <w:noProof/>
        </w:rPr>
        <w:t>investoinnit erityisen kauttakulkujärjestelyn toiminnan edellyttämiin infrastruktuureihin, liikennevälineisiin sekä tieto- ja viestintäteknisiin järjestelmiin ja laitteisiin;</w:t>
      </w:r>
    </w:p>
    <w:p w14:paraId="7E9CD1E5" w14:textId="77777777" w:rsidR="00286E0D" w:rsidRPr="002E11EE" w:rsidRDefault="00286E0D" w:rsidP="006A2F81">
      <w:pPr>
        <w:pStyle w:val="ListNumber"/>
        <w:numPr>
          <w:ilvl w:val="0"/>
          <w:numId w:val="17"/>
        </w:numPr>
        <w:ind w:left="1094" w:hanging="357"/>
        <w:rPr>
          <w:rFonts w:eastAsia="Aptos"/>
          <w:noProof/>
          <w:kern w:val="2"/>
          <w:szCs w:val="24"/>
        </w:rPr>
      </w:pPr>
      <w:r w:rsidRPr="002E11EE">
        <w:rPr>
          <w:noProof/>
        </w:rPr>
        <w:t>erityisen kauttakulkujärjestelyn täytäntöönpanosta vastaavan henkilöstön koulutus;</w:t>
      </w:r>
    </w:p>
    <w:p w14:paraId="612D44E9" w14:textId="77777777" w:rsidR="00286E0D" w:rsidRPr="002E11EE" w:rsidRDefault="00286E0D" w:rsidP="006A2F81">
      <w:pPr>
        <w:pStyle w:val="ListNumber"/>
        <w:numPr>
          <w:ilvl w:val="0"/>
          <w:numId w:val="17"/>
        </w:numPr>
        <w:ind w:left="1094" w:hanging="357"/>
        <w:rPr>
          <w:rFonts w:eastAsia="Aptos"/>
          <w:noProof/>
          <w:kern w:val="2"/>
          <w:szCs w:val="24"/>
        </w:rPr>
      </w:pPr>
      <w:r w:rsidRPr="002E11EE">
        <w:rPr>
          <w:noProof/>
        </w:rPr>
        <w:t xml:space="preserve">ylimääräiset toimintakustannukset, mukaan lukien erityisen kauttakulkujärjestelyn täytäntöönpanosta aiheutuvat henkilöstökustannukset. </w:t>
      </w:r>
    </w:p>
    <w:p w14:paraId="20B98F44" w14:textId="04D816B3" w:rsidR="00286E0D" w:rsidRPr="002E11EE" w:rsidRDefault="003347AC" w:rsidP="003347AC">
      <w:pPr>
        <w:pStyle w:val="ManualNumPar1"/>
        <w:rPr>
          <w:noProof/>
        </w:rPr>
      </w:pPr>
      <w:r w:rsidRPr="002E11EE">
        <w:rPr>
          <w:noProof/>
        </w:rPr>
        <w:t>4.</w:t>
      </w:r>
      <w:r w:rsidRPr="002E11EE">
        <w:rPr>
          <w:noProof/>
        </w:rPr>
        <w:tab/>
        <w:t>Komissio ja Liettua tarkastelevat tämän artiklan soveltamista uudelleen, jos esiintyy odottamattomia tilanteita, jotka vaikuttavat erityisen kauttakulkujärjestelyn olemassaoloon tai toimivuuteen.</w:t>
      </w:r>
    </w:p>
    <w:p w14:paraId="09B9D768" w14:textId="20E1787D" w:rsidR="00286E0D" w:rsidRPr="002E11EE" w:rsidRDefault="003347AC" w:rsidP="003347AC">
      <w:pPr>
        <w:pStyle w:val="ManualNumPar1"/>
        <w:rPr>
          <w:noProof/>
        </w:rPr>
      </w:pPr>
      <w:r w:rsidRPr="002E11EE">
        <w:rPr>
          <w:noProof/>
        </w:rPr>
        <w:t>5.</w:t>
      </w:r>
      <w:r w:rsidRPr="002E11EE">
        <w:rPr>
          <w:noProof/>
        </w:rPr>
        <w:tab/>
        <w:t xml:space="preserve">Edellä 2 ja 3 kohdassa tarkoitetut määrät kohdennetaan Liettuan kansalliseen ja alueelliseen kumppanuussuunnitelmaan. Kyseisiä määriä ei saa käyttää muihin suunnitelmaan sisältyviin toimenpiteisiin, paitsi asianmukaisesti perustelluissa tapauksissa, jotka komissio on hyväksynyt muuttamalla suunnitelmaa Euroopan taloudellisen, sosiaalisen ja alueellisen yhteenkuuluvuuden, maatalouden ja maaseudun, kalatalouden ja merielinkeinojen, vaurauden ja turvallisuuden rahaston perustamisesta annetun asetuksen (EU) [...] 24 artiklan mukaisesti. </w:t>
      </w:r>
    </w:p>
    <w:p w14:paraId="398970FF" w14:textId="10C76A9D" w:rsidR="00286E0D" w:rsidRPr="002E11EE" w:rsidRDefault="00286E0D" w:rsidP="0042042F">
      <w:pPr>
        <w:rPr>
          <w:noProof/>
        </w:rPr>
      </w:pPr>
      <w:r w:rsidRPr="002E11EE">
        <w:rPr>
          <w:noProof/>
        </w:rPr>
        <w:t>Edellä 3 kohdassa tarkoitettua määrää voidaan Liettuan perustellusta pyynnöstä tarkistaa ja tarvittaessa mukauttaa Euroopan taloudellisen, sosiaalisen ja alueellisen yhteenkuuluvuuden, maatalouden ja maaseudun, kalatalouden ja merielinkeinojen, vaurauden ja turvallisuuden rahaston perustamisesta annetun asetuksen (EU) [...] 31 artiklan mukaisesti ennen viimeisen työohjelman hyväksymistä. Mahdolliset lisämäärät kohdennetaan Liettuan kansalliseen ja alueelliseen kumppanuussuunnitelmaan Euroopan taloudellisen, sosiaalisen ja alueellisen yhteenkuuluvuuden, maatalouden ja maaseudun, kalatalouden ja merielinkeinojen, vaurauden ja turvallisuuden rahaston perustamisesta annetun asetuksen (EU) [...] 31 artiklan 7 kohdan mukaisesti.</w:t>
      </w:r>
    </w:p>
    <w:bookmarkEnd w:id="19"/>
    <w:p w14:paraId="68C0B3A9" w14:textId="13E23B66" w:rsidR="00286E0D" w:rsidRPr="002E11EE" w:rsidRDefault="00286E0D" w:rsidP="00286E0D">
      <w:pPr>
        <w:pStyle w:val="Titrearticle"/>
        <w:rPr>
          <w:noProof/>
        </w:rPr>
      </w:pPr>
      <w:r w:rsidRPr="002E11EE">
        <w:rPr>
          <w:noProof/>
        </w:rPr>
        <w:t>7 artikla</w:t>
      </w:r>
    </w:p>
    <w:p w14:paraId="43B9501B" w14:textId="77777777" w:rsidR="00286E0D" w:rsidRPr="002E11EE" w:rsidRDefault="00286E0D" w:rsidP="00286E0D">
      <w:pPr>
        <w:pStyle w:val="Titrearticle"/>
        <w:rPr>
          <w:b/>
          <w:bCs/>
          <w:noProof/>
        </w:rPr>
      </w:pPr>
      <w:r w:rsidRPr="002E11EE">
        <w:rPr>
          <w:b/>
          <w:noProof/>
        </w:rPr>
        <w:t>EU:n matkustustieto- ja -lupajärjestelmän (ETIAS) toimintakustannuksiin tarkoitetut varat</w:t>
      </w:r>
    </w:p>
    <w:p w14:paraId="3743035C" w14:textId="03E26FA3" w:rsidR="00286E0D" w:rsidRPr="002E11EE" w:rsidRDefault="003347AC" w:rsidP="003347AC">
      <w:pPr>
        <w:pStyle w:val="ManualNumPar1"/>
        <w:rPr>
          <w:noProof/>
        </w:rPr>
      </w:pPr>
      <w:r w:rsidRPr="002E11EE">
        <w:rPr>
          <w:noProof/>
        </w:rPr>
        <w:t>1.</w:t>
      </w:r>
      <w:r w:rsidRPr="002E11EE">
        <w:rPr>
          <w:noProof/>
        </w:rPr>
        <w:tab/>
        <w:t xml:space="preserve">Kunkin jäsenvaltion on perustettava tehokas ja luotettava järjestelmä, jolla varmistetaan, että kyseiselle jäsenvaltiolle asetuksen (EU) 2018/1240 85 artiklan 2 ja 3 kohdan perusteella aiheutuneet toimintakustannukset eritellään ja kirjataan asianmukaisesti. Jäsenvaltioiden on ilmoitettava komissiolle kunkin vuoden 31 päivään tammikuuta mennessä ja ensimmäisen kerran 31 päivään tammikuuta 2029 mennessä edellisen vuoden toimintakustannusten kokonaismäärä. </w:t>
      </w:r>
    </w:p>
    <w:p w14:paraId="20E4BB50" w14:textId="727B6BC6" w:rsidR="00F0474E" w:rsidRPr="002E11EE" w:rsidRDefault="003347AC" w:rsidP="003347AC">
      <w:pPr>
        <w:pStyle w:val="ManualNumPar1"/>
        <w:rPr>
          <w:noProof/>
        </w:rPr>
      </w:pPr>
      <w:r w:rsidRPr="002E11EE">
        <w:rPr>
          <w:noProof/>
        </w:rPr>
        <w:t>2.</w:t>
      </w:r>
      <w:r w:rsidRPr="002E11EE">
        <w:rPr>
          <w:noProof/>
        </w:rPr>
        <w:tab/>
        <w:t xml:space="preserve">Komissio vahvistaa jäsenvaltioiden 1 kohdan mukaisesti toimittamien tietojen perusteella ETIAS-maksuista saatavien tulojen määrän, joka osoitetaan asetuksen (EU) 2018/1240 86 artiklan toisen virkkeen mukaisesti jäsenvaltioille aiheutuneiden toimintakustannusten kattamiseen. Komissio asettaa kunkin jäsenvaltion käyttöön sen osuuden tästä määrästä. </w:t>
      </w:r>
    </w:p>
    <w:p w14:paraId="55C50CF3" w14:textId="560E024F" w:rsidR="00286E0D" w:rsidRPr="002E11EE" w:rsidRDefault="003347AC" w:rsidP="003347AC">
      <w:pPr>
        <w:pStyle w:val="ManualNumPar1"/>
        <w:rPr>
          <w:noProof/>
        </w:rPr>
      </w:pPr>
      <w:r w:rsidRPr="002E11EE">
        <w:rPr>
          <w:noProof/>
        </w:rPr>
        <w:t>3.</w:t>
      </w:r>
      <w:r w:rsidRPr="002E11EE">
        <w:rPr>
          <w:noProof/>
        </w:rPr>
        <w:tab/>
        <w:t>Jos jäsenvaltioiden 1 kohdan mukaisesti ilmoittamien toimintakustannusten kokonaismäärä ylittää käytettävissä olevat ETIAS-järjestelmän tulot tai jos ETIAS-järjestelmän täytäntöönpanemiseksi tehtävien rajatarkastusten mukauttamisesta ja automatisoinnista aiheutuneiden menojen määrä ylittää asetuksen (EU) 2018/1240 85 artiklan 3 kohdassa vahvistetut rajat, komissio vähentää näitä määriä määräsuhteessa.</w:t>
      </w:r>
    </w:p>
    <w:p w14:paraId="038E99C1" w14:textId="18ECF8B5" w:rsidR="00DD664E" w:rsidRPr="002E11EE" w:rsidRDefault="003347AC" w:rsidP="003347AC">
      <w:pPr>
        <w:pStyle w:val="ManualNumPar1"/>
        <w:rPr>
          <w:noProof/>
        </w:rPr>
      </w:pPr>
      <w:bookmarkStart w:id="20" w:name="_Hlk202881652"/>
      <w:r w:rsidRPr="002E11EE">
        <w:rPr>
          <w:noProof/>
        </w:rPr>
        <w:t>4.</w:t>
      </w:r>
      <w:r w:rsidRPr="002E11EE">
        <w:rPr>
          <w:noProof/>
        </w:rPr>
        <w:tab/>
        <w:t>Jos toimintakustannusten kokonaismäärä jonakin vuonna ylittää käytettävissä olevat ETIAS-järjestelmän tulot, komissio asettaa ETIAS-maksuista saatavista tuloista jäsenvaltioiden käyttöön määrän, joka vastaa niiden toimintakustannusten kokonaismäärän määräsuhteista vähennystä.</w:t>
      </w:r>
    </w:p>
    <w:bookmarkEnd w:id="20"/>
    <w:p w14:paraId="10AD3292" w14:textId="060D27B2" w:rsidR="00286E0D" w:rsidRPr="002E11EE" w:rsidRDefault="00286E0D" w:rsidP="00286E0D">
      <w:pPr>
        <w:pStyle w:val="Titrearticle"/>
        <w:rPr>
          <w:noProof/>
          <w:szCs w:val="24"/>
        </w:rPr>
      </w:pPr>
      <w:r w:rsidRPr="002E11EE">
        <w:rPr>
          <w:noProof/>
        </w:rPr>
        <w:t>8 artikla</w:t>
      </w:r>
    </w:p>
    <w:p w14:paraId="5F79BA04" w14:textId="77777777" w:rsidR="00286E0D" w:rsidRPr="002E11EE" w:rsidRDefault="006866F6" w:rsidP="00286E0D">
      <w:pPr>
        <w:pStyle w:val="Titrearticle"/>
        <w:rPr>
          <w:noProof/>
          <w:szCs w:val="24"/>
        </w:rPr>
      </w:pPr>
      <w:r w:rsidRPr="002E11EE">
        <w:rPr>
          <w:b/>
          <w:noProof/>
        </w:rPr>
        <w:t>Rahoitusosuudet vuotuiseen yhteisvastuureserviin</w:t>
      </w:r>
    </w:p>
    <w:p w14:paraId="0E0DC514" w14:textId="07076A59" w:rsidR="00286E0D" w:rsidRPr="002E11EE" w:rsidRDefault="006866F6" w:rsidP="00653241">
      <w:pPr>
        <w:rPr>
          <w:noProof/>
          <w:szCs w:val="24"/>
        </w:rPr>
      </w:pPr>
      <w:r w:rsidRPr="002E11EE">
        <w:rPr>
          <w:noProof/>
        </w:rPr>
        <w:t>Komissio laskee ja asettaa kunkin hyötyvän jäsenvaltion saataville sen osuuden rahoitusosuuksista, jotka osallistuvat jäsenvaltiot ovat asetuksen (EU) 2024/1351 64 artiklan 1 kohdan mukaisesti siirtäneet asetuksen (EU) 2024/1351 56 artiklan 2 kohdan b alakohdassa säädettyjen toimien täytäntöönpanoa varten.</w:t>
      </w:r>
    </w:p>
    <w:p w14:paraId="414E4803" w14:textId="2814B288" w:rsidR="00286E0D" w:rsidRPr="002E11EE" w:rsidRDefault="00286E0D" w:rsidP="00286E0D">
      <w:pPr>
        <w:pStyle w:val="Titrearticle"/>
        <w:rPr>
          <w:noProof/>
        </w:rPr>
      </w:pPr>
      <w:r w:rsidRPr="002E11EE">
        <w:rPr>
          <w:noProof/>
        </w:rPr>
        <w:t xml:space="preserve">9 artikla </w:t>
      </w:r>
    </w:p>
    <w:p w14:paraId="732D7A52" w14:textId="77777777" w:rsidR="00286E0D" w:rsidRPr="002E11EE" w:rsidRDefault="00286E0D" w:rsidP="00286E0D">
      <w:pPr>
        <w:pStyle w:val="Titrearticle"/>
        <w:rPr>
          <w:i w:val="0"/>
          <w:noProof/>
        </w:rPr>
      </w:pPr>
      <w:r w:rsidRPr="002E11EE">
        <w:rPr>
          <w:b/>
          <w:noProof/>
        </w:rPr>
        <w:t>Siirtymäsäännökset</w:t>
      </w:r>
    </w:p>
    <w:p w14:paraId="32BA96D3" w14:textId="6427F63E" w:rsidR="00286E0D" w:rsidRPr="002E11EE" w:rsidRDefault="00631DBC" w:rsidP="00A257BB">
      <w:pPr>
        <w:rPr>
          <w:noProof/>
        </w:rPr>
      </w:pPr>
      <w:r w:rsidRPr="002E11EE">
        <w:rPr>
          <w:noProof/>
        </w:rPr>
        <w:t>Tämän asetuksen estämättä voidaan jatkaa tai muuttaa toimia niiden päättämiseen saakka noudattaen asetusta (EU) 2021/1148, jota sovelletaan kyseisiin toimiin niiden päättämiseen asti.</w:t>
      </w:r>
    </w:p>
    <w:p w14:paraId="3B38DA05" w14:textId="09D4A97E" w:rsidR="00286E0D" w:rsidRPr="002E11EE" w:rsidRDefault="00286E0D" w:rsidP="00286E0D">
      <w:pPr>
        <w:pStyle w:val="Titrearticle"/>
        <w:rPr>
          <w:noProof/>
        </w:rPr>
      </w:pPr>
      <w:r w:rsidRPr="002E11EE">
        <w:rPr>
          <w:noProof/>
        </w:rPr>
        <w:t>10 artikla</w:t>
      </w:r>
    </w:p>
    <w:p w14:paraId="0F10C298" w14:textId="77777777" w:rsidR="00286E0D" w:rsidRPr="002E11EE" w:rsidRDefault="00286E0D" w:rsidP="00286E0D">
      <w:pPr>
        <w:pStyle w:val="Titrearticle"/>
        <w:rPr>
          <w:b/>
          <w:bCs/>
          <w:noProof/>
        </w:rPr>
      </w:pPr>
      <w:r w:rsidRPr="002E11EE">
        <w:rPr>
          <w:b/>
          <w:noProof/>
        </w:rPr>
        <w:t>Voimaantulo ja soveltaminen</w:t>
      </w:r>
    </w:p>
    <w:p w14:paraId="1105ED5B" w14:textId="77777777" w:rsidR="00286E0D" w:rsidRPr="002E11EE" w:rsidRDefault="00286E0D" w:rsidP="00286E0D">
      <w:pPr>
        <w:rPr>
          <w:noProof/>
          <w:szCs w:val="24"/>
        </w:rPr>
      </w:pPr>
      <w:r w:rsidRPr="002E11EE">
        <w:rPr>
          <w:noProof/>
        </w:rPr>
        <w:t xml:space="preserve">Tämä asetus tulee voimaan [kahdentenakymmenentenä] päivänä sen jälkeen, kun se on julkaistu </w:t>
      </w:r>
      <w:r w:rsidRPr="002E11EE">
        <w:rPr>
          <w:i/>
          <w:iCs/>
          <w:noProof/>
        </w:rPr>
        <w:t>Euroopan unionin virallisessa lehdessä</w:t>
      </w:r>
      <w:r w:rsidRPr="002E11EE">
        <w:rPr>
          <w:noProof/>
        </w:rPr>
        <w:t>.</w:t>
      </w:r>
    </w:p>
    <w:p w14:paraId="2B6F6F03" w14:textId="6A003581" w:rsidR="00286E0D" w:rsidRPr="002E11EE" w:rsidRDefault="00286E0D" w:rsidP="00A257BB">
      <w:pPr>
        <w:rPr>
          <w:noProof/>
        </w:rPr>
      </w:pPr>
      <w:r w:rsidRPr="002E11EE">
        <w:rPr>
          <w:noProof/>
        </w:rPr>
        <w:t>Sitä sovelletaan Euroopan taloudellisen, sosiaalisen ja alueellisen yhteenkuuluvuuden, maatalouden ja maaseudun, kalatalouden ja merielinkeinojen, vaurauden ja turvallisuuden rahaston perustamisesta vuosiksi 2028–2034 annetun asetuksen (EU) [...] soveltamispäivästä.</w:t>
      </w:r>
    </w:p>
    <w:p w14:paraId="6D028D58" w14:textId="77777777" w:rsidR="00286E0D" w:rsidRPr="002E11EE" w:rsidRDefault="00286E0D" w:rsidP="00286E0D">
      <w:pPr>
        <w:pStyle w:val="Applicationdirecte"/>
        <w:spacing w:before="120"/>
        <w:rPr>
          <w:noProof/>
          <w:szCs w:val="24"/>
        </w:rPr>
      </w:pPr>
      <w:r w:rsidRPr="002E11EE">
        <w:rPr>
          <w:noProof/>
        </w:rPr>
        <w:t>Tämä asetus on kaikilta osiltaan velvoittava, ja sitä sovelletaan sellaisenaan jäsenvaltioissa perussopimusten mukaisesti.</w:t>
      </w:r>
    </w:p>
    <w:p w14:paraId="15F55F35" w14:textId="05F94336" w:rsidR="00286E0D" w:rsidRPr="002E11EE" w:rsidRDefault="002E11EE" w:rsidP="00934B47">
      <w:pPr>
        <w:pStyle w:val="Fait"/>
        <w:rPr>
          <w:noProof/>
        </w:rPr>
      </w:pPr>
      <w:r>
        <w:rPr>
          <w:noProof/>
        </w:rPr>
        <w:t>Tehty Brysselissä</w:t>
      </w:r>
    </w:p>
    <w:p w14:paraId="50B73B1B" w14:textId="77777777" w:rsidR="00363133" w:rsidRPr="002E11EE" w:rsidRDefault="00363133" w:rsidP="00934B47">
      <w:pPr>
        <w:pStyle w:val="Institutionquisigne"/>
        <w:rPr>
          <w:noProof/>
        </w:rPr>
      </w:pPr>
      <w:r w:rsidRPr="002E11EE">
        <w:rPr>
          <w:noProof/>
        </w:rPr>
        <w:t>Euroopan parlamentin puolesta</w:t>
      </w:r>
      <w:r w:rsidRPr="002E11EE">
        <w:rPr>
          <w:noProof/>
        </w:rPr>
        <w:tab/>
        <w:t>Neuvoston puolesta</w:t>
      </w:r>
    </w:p>
    <w:p w14:paraId="20635673" w14:textId="77777777" w:rsidR="00363133" w:rsidRPr="002E11EE" w:rsidRDefault="00363133" w:rsidP="00363133">
      <w:pPr>
        <w:pStyle w:val="Personnequisigne"/>
        <w:rPr>
          <w:noProof/>
        </w:rPr>
      </w:pPr>
      <w:r w:rsidRPr="002E11EE">
        <w:rPr>
          <w:noProof/>
        </w:rPr>
        <w:t>Puhemies</w:t>
      </w:r>
      <w:r w:rsidRPr="002E11EE">
        <w:rPr>
          <w:noProof/>
        </w:rPr>
        <w:tab/>
        <w:t>Puheenjohtaja</w:t>
      </w:r>
    </w:p>
    <w:sectPr w:rsidR="00363133" w:rsidRPr="002E11EE" w:rsidSect="007774B2">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59A93" w14:textId="77777777" w:rsidR="0045264C" w:rsidRDefault="0045264C" w:rsidP="00286E0D">
      <w:pPr>
        <w:spacing w:before="0" w:after="0"/>
      </w:pPr>
      <w:r>
        <w:separator/>
      </w:r>
    </w:p>
  </w:endnote>
  <w:endnote w:type="continuationSeparator" w:id="0">
    <w:p w14:paraId="08BEDAFF" w14:textId="77777777" w:rsidR="0045264C" w:rsidRDefault="0045264C" w:rsidP="00286E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043A0" w14:textId="487DED56" w:rsidR="007774B2" w:rsidRPr="007774B2" w:rsidRDefault="007774B2" w:rsidP="007774B2">
    <w:pPr>
      <w:pStyle w:val="Footer"/>
      <w:rPr>
        <w:rFonts w:ascii="Arial" w:hAnsi="Arial" w:cs="Arial"/>
        <w:b/>
        <w:sz w:val="48"/>
      </w:rPr>
    </w:pPr>
    <w:r w:rsidRPr="007774B2">
      <w:rPr>
        <w:rFonts w:ascii="Arial" w:hAnsi="Arial" w:cs="Arial"/>
        <w:b/>
        <w:sz w:val="48"/>
      </w:rPr>
      <w:t>FI</w:t>
    </w:r>
    <w:r w:rsidRPr="007774B2">
      <w:rPr>
        <w:rFonts w:ascii="Arial" w:hAnsi="Arial" w:cs="Arial"/>
        <w:b/>
        <w:sz w:val="48"/>
      </w:rPr>
      <w:tab/>
    </w:r>
    <w:r w:rsidRPr="007774B2">
      <w:rPr>
        <w:rFonts w:ascii="Arial" w:hAnsi="Arial" w:cs="Arial"/>
        <w:b/>
        <w:sz w:val="48"/>
      </w:rPr>
      <w:tab/>
    </w:r>
    <w:r w:rsidRPr="007774B2">
      <w:tab/>
    </w:r>
    <w:r w:rsidRPr="007774B2">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91248" w14:textId="14A028C1" w:rsidR="007774B2" w:rsidRPr="007774B2" w:rsidRDefault="007774B2" w:rsidP="007774B2">
    <w:pPr>
      <w:pStyle w:val="Footer"/>
      <w:rPr>
        <w:rFonts w:ascii="Arial" w:hAnsi="Arial" w:cs="Arial"/>
        <w:b/>
        <w:sz w:val="48"/>
      </w:rPr>
    </w:pPr>
    <w:r w:rsidRPr="007774B2">
      <w:rPr>
        <w:rFonts w:ascii="Arial" w:hAnsi="Arial" w:cs="Arial"/>
        <w:b/>
        <w:sz w:val="48"/>
      </w:rPr>
      <w:t>FI</w:t>
    </w:r>
    <w:r w:rsidRPr="007774B2">
      <w:rPr>
        <w:rFonts w:ascii="Arial" w:hAnsi="Arial" w:cs="Arial"/>
        <w:b/>
        <w:sz w:val="48"/>
      </w:rPr>
      <w:tab/>
    </w:r>
    <w:r w:rsidRPr="007774B2">
      <w:rPr>
        <w:rFonts w:ascii="Arial" w:hAnsi="Arial" w:cs="Arial"/>
        <w:b/>
        <w:sz w:val="48"/>
      </w:rPr>
      <w:tab/>
    </w:r>
    <w:r w:rsidRPr="007774B2">
      <w:tab/>
    </w:r>
    <w:r w:rsidRPr="007774B2">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A727F" w14:textId="77777777" w:rsidR="007774B2" w:rsidRDefault="007774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C8ACB" w14:textId="76CA78EE" w:rsidR="007774B2" w:rsidRPr="007774B2" w:rsidRDefault="007774B2" w:rsidP="007774B2">
    <w:pPr>
      <w:pStyle w:val="Footer"/>
      <w:rPr>
        <w:rFonts w:ascii="Arial" w:hAnsi="Arial" w:cs="Arial"/>
        <w:b/>
        <w:sz w:val="48"/>
      </w:rPr>
    </w:pPr>
    <w:r w:rsidRPr="007774B2">
      <w:rPr>
        <w:rFonts w:ascii="Arial" w:hAnsi="Arial" w:cs="Arial"/>
        <w:b/>
        <w:sz w:val="48"/>
      </w:rPr>
      <w:t>FI</w:t>
    </w:r>
    <w:r w:rsidRPr="007774B2">
      <w:rPr>
        <w:rFonts w:ascii="Arial" w:hAnsi="Arial" w:cs="Arial"/>
        <w:b/>
        <w:sz w:val="48"/>
      </w:rPr>
      <w:tab/>
    </w:r>
    <w:r>
      <w:fldChar w:fldCharType="begin"/>
    </w:r>
    <w:r>
      <w:instrText xml:space="preserve"> PAGE  \* MERGEFORMAT </w:instrText>
    </w:r>
    <w:r>
      <w:fldChar w:fldCharType="separate"/>
    </w:r>
    <w:r w:rsidR="00106B88">
      <w:rPr>
        <w:noProof/>
      </w:rPr>
      <w:t>1</w:t>
    </w:r>
    <w:r>
      <w:fldChar w:fldCharType="end"/>
    </w:r>
    <w:r>
      <w:tab/>
    </w:r>
    <w:r w:rsidRPr="007774B2">
      <w:tab/>
    </w:r>
    <w:r w:rsidRPr="007774B2">
      <w:rPr>
        <w:rFonts w:ascii="Arial" w:hAnsi="Arial" w:cs="Arial"/>
        <w:b/>
        <w:sz w:val="48"/>
      </w:rPr>
      <w:t>FI</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88C0F" w14:textId="77777777" w:rsidR="007774B2" w:rsidRDefault="007774B2" w:rsidP="00777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1E789" w14:textId="77777777" w:rsidR="0045264C" w:rsidRDefault="0045264C" w:rsidP="00286E0D">
      <w:pPr>
        <w:spacing w:before="0" w:after="0"/>
      </w:pPr>
      <w:r>
        <w:separator/>
      </w:r>
    </w:p>
  </w:footnote>
  <w:footnote w:type="continuationSeparator" w:id="0">
    <w:p w14:paraId="24477736" w14:textId="77777777" w:rsidR="0045264C" w:rsidRDefault="0045264C" w:rsidP="00286E0D">
      <w:pPr>
        <w:spacing w:before="0" w:after="0"/>
      </w:pPr>
      <w:r>
        <w:continuationSeparator/>
      </w:r>
    </w:p>
  </w:footnote>
  <w:footnote w:id="1">
    <w:p w14:paraId="70CC9307" w14:textId="2B0206F5" w:rsidR="008C306E" w:rsidRPr="002E11EE" w:rsidRDefault="008C306E" w:rsidP="008C306E">
      <w:pPr>
        <w:pStyle w:val="FootnoteText"/>
      </w:pPr>
      <w:r>
        <w:rPr>
          <w:rStyle w:val="FootnoteReference"/>
        </w:rPr>
        <w:footnoteRef/>
      </w:r>
      <w:r w:rsidRPr="002E11EE">
        <w:tab/>
        <w:t>Euroopan parlamentin ja neuvoston asetus, annettu 14 päivänä toukokuuta 2024, kolmansien maiden kansalaisia ulkorajoilla koskevan seulonnan käyttöönotosta ja asetusten (EY) N:o 767/2008, (EU) 2017/2226, (EU) 2018/1240 ja (EU) 2019/817 muuttamisesta, EUVL L, 2024/1356, 22.5.2024, ELI: </w:t>
      </w:r>
      <w:hyperlink r:id="rId1" w:tgtFrame="_blank" w:tooltip="Avaa asiakirjan ELI URI -osoitteen kautta." w:history="1">
        <w:r w:rsidRPr="002E11EE">
          <w:rPr>
            <w:rStyle w:val="Hyperlink"/>
          </w:rPr>
          <w:t>http://data.europa.eu/eli/reg/2024/1356/oj</w:t>
        </w:r>
      </w:hyperlink>
      <w:r w:rsidRPr="002E11EE">
        <w:t>). </w:t>
      </w:r>
    </w:p>
  </w:footnote>
  <w:footnote w:id="2">
    <w:p w14:paraId="7331594B" w14:textId="77777777" w:rsidR="00EB6497" w:rsidRPr="002E11EE" w:rsidRDefault="00EB6497" w:rsidP="00EB6497">
      <w:pPr>
        <w:pStyle w:val="FootnoteText"/>
      </w:pPr>
      <w:r>
        <w:rPr>
          <w:rStyle w:val="FootnoteReference"/>
        </w:rPr>
        <w:footnoteRef/>
      </w:r>
      <w:r w:rsidRPr="002E11EE">
        <w:tab/>
        <w:t xml:space="preserve">Euroopan parlamentin ja neuvoston asetus (EU) 2021/1148, annettu 7 päivänä heinäkuuta 2021, rajaturvallisuuden ja viisumipolitiikan rahoitustukivälineen perustamisesta yhdennetyn rajaturvallisuuden rahaston osaksi. </w:t>
      </w:r>
    </w:p>
  </w:footnote>
  <w:footnote w:id="3">
    <w:p w14:paraId="6343CBFD" w14:textId="77777777" w:rsidR="00970B74" w:rsidRPr="002E11EE" w:rsidRDefault="00653241" w:rsidP="00970B74">
      <w:pPr>
        <w:pStyle w:val="FootnoteText"/>
        <w:rPr>
          <w:b/>
          <w:bCs/>
        </w:rPr>
      </w:pPr>
      <w:r>
        <w:rPr>
          <w:rStyle w:val="FootnoteReference"/>
        </w:rPr>
        <w:footnoteRef/>
      </w:r>
      <w:r w:rsidRPr="002E11EE">
        <w:tab/>
        <w:t>Euroopan parlamentin ja neuvoston asetus (EU) 2024/1351, annettu 14 päivänä toukokuuta 2024, turvapaikka-asioiden ja muuttoliikkeen hallinnasta, asetusten (EU) 2021/1147 ja (EU) 2021/1060 muuttamisesta ja asetuksen (EU) N:o 604/2013 kumoamisesta (EUVL L, 2024/1351, 22.5.2024, ELI:</w:t>
      </w:r>
      <w:r w:rsidRPr="002E11EE">
        <w:rPr>
          <w:b/>
        </w:rPr>
        <w:t xml:space="preserve"> </w:t>
      </w:r>
      <w:hyperlink r:id="rId2" w:tgtFrame="_blank" w:tooltip="Avaa asiakirjan ELI URI -osoitteen kautta." w:history="1">
        <w:r w:rsidRPr="002E11EE">
          <w:rPr>
            <w:rStyle w:val="Hyperlink"/>
            <w:b/>
          </w:rPr>
          <w:t>http://data.europa.eu/eli/reg/2024/1351/oj</w:t>
        </w:r>
      </w:hyperlink>
      <w:r w:rsidRPr="002E11EE">
        <w:t>).</w:t>
      </w:r>
    </w:p>
    <w:p w14:paraId="473B85DC" w14:textId="3AF592A2" w:rsidR="00286E0D" w:rsidRPr="002E11EE" w:rsidRDefault="00286E0D" w:rsidP="00D274F9">
      <w:pPr>
        <w:pStyle w:val="FootnoteText"/>
      </w:pPr>
    </w:p>
  </w:footnote>
  <w:footnote w:id="4">
    <w:p w14:paraId="518B2D40" w14:textId="77777777" w:rsidR="00286E0D" w:rsidRPr="002E11EE" w:rsidRDefault="00286E0D" w:rsidP="00286E0D">
      <w:pPr>
        <w:pStyle w:val="FootnoteText"/>
      </w:pPr>
      <w:r>
        <w:rPr>
          <w:rStyle w:val="FootnoteReference"/>
        </w:rPr>
        <w:footnoteRef/>
      </w:r>
      <w:r w:rsidRPr="002E11EE">
        <w:tab/>
        <w:t>EUVL C , , s. .</w:t>
      </w:r>
    </w:p>
  </w:footnote>
  <w:footnote w:id="5">
    <w:p w14:paraId="6353D267" w14:textId="77777777" w:rsidR="00286E0D" w:rsidRPr="002E11EE" w:rsidRDefault="00286E0D" w:rsidP="00286E0D">
      <w:pPr>
        <w:pStyle w:val="FootnoteText"/>
      </w:pPr>
      <w:r>
        <w:rPr>
          <w:rStyle w:val="FootnoteReference"/>
        </w:rPr>
        <w:footnoteRef/>
      </w:r>
      <w:r w:rsidRPr="002E11EE">
        <w:tab/>
        <w:t>Euroopan parlamentin kanta, vahvistettu …, ja neuvoston kanta, vahvistettu …</w:t>
      </w:r>
    </w:p>
  </w:footnote>
  <w:footnote w:id="6">
    <w:p w14:paraId="21BBB7AD" w14:textId="77777777" w:rsidR="00286E0D" w:rsidRPr="002E11EE" w:rsidRDefault="00286E0D" w:rsidP="00286E0D">
      <w:pPr>
        <w:pStyle w:val="FootnoteText"/>
      </w:pPr>
      <w:r>
        <w:rPr>
          <w:rStyle w:val="FootnoteReference"/>
        </w:rPr>
        <w:footnoteRef/>
      </w:r>
      <w:r w:rsidRPr="002E11EE">
        <w:tab/>
        <w:t>Euroopan parlamentin ja neuvoston asetus (EU) 2019/1896, annettu 13 päivänä marraskuuta 2019, eurooppalaisesta raja- ja merivartiostosta sekä asetusten (EU) N:o 1052/2013 ja (EU) 2016/1624 kumoamisesta (EUVL L 295, 14.11.2019, s. 1. ELI: http://data.europa.eu/eli/reg/2019/1896/oj).</w:t>
      </w:r>
    </w:p>
  </w:footnote>
  <w:footnote w:id="7">
    <w:p w14:paraId="4FBDEC8E" w14:textId="77777777" w:rsidR="00286E0D" w:rsidRPr="002E11EE" w:rsidRDefault="00286E0D" w:rsidP="00286E0D">
      <w:pPr>
        <w:pStyle w:val="FootnoteText"/>
      </w:pPr>
      <w:r>
        <w:rPr>
          <w:rStyle w:val="FootnoteReference"/>
        </w:rPr>
        <w:footnoteRef/>
      </w:r>
      <w:r w:rsidRPr="002E11EE">
        <w:tab/>
        <w:t>EUVL L 144, 6.6.2007, s. 22.</w:t>
      </w:r>
    </w:p>
  </w:footnote>
  <w:footnote w:id="8">
    <w:p w14:paraId="4428EE6F" w14:textId="77777777" w:rsidR="00286E0D" w:rsidRPr="002E11EE" w:rsidRDefault="00286E0D" w:rsidP="00286E0D">
      <w:pPr>
        <w:pStyle w:val="FootnoteText"/>
      </w:pPr>
      <w:r>
        <w:rPr>
          <w:rStyle w:val="FootnoteReference"/>
        </w:rPr>
        <w:footnoteRef/>
      </w:r>
      <w:r w:rsidRPr="002E11EE">
        <w:tab/>
        <w:t xml:space="preserve">Euroopan parlamentin ja neuvoston asetus (EU) N:o 515/2014, annettu 16 päivänä huhtikuuta 2014, ulkorajojen ja viisumipolitiikan rahoitusvälineen perustamisesta osana sisäisen turvallisuuden rahastoa ja päätöksen N:o 574/2007/EY kumoamisesta (EUVL L 150, 20.5.2014, s. 143, ELI: </w:t>
      </w:r>
      <w:hyperlink r:id="rId3" w:history="1">
        <w:r w:rsidRPr="002E11EE">
          <w:rPr>
            <w:rStyle w:val="Hyperlink"/>
          </w:rPr>
          <w:t>http://data.europa.eu/eli/reg/2014/515/oj</w:t>
        </w:r>
      </w:hyperlink>
      <w:r w:rsidRPr="002E11EE">
        <w:t>).</w:t>
      </w:r>
    </w:p>
  </w:footnote>
  <w:footnote w:id="9">
    <w:p w14:paraId="714FF2E9" w14:textId="77777777" w:rsidR="00286E0D" w:rsidRPr="002E11EE" w:rsidRDefault="00286E0D" w:rsidP="00286E0D">
      <w:pPr>
        <w:pStyle w:val="FootnoteText"/>
      </w:pPr>
      <w:r>
        <w:rPr>
          <w:rStyle w:val="FootnoteReference"/>
        </w:rPr>
        <w:footnoteRef/>
      </w:r>
      <w:r w:rsidRPr="002E11EE">
        <w:tab/>
        <w:t xml:space="preserve">Euroopan parlamentin ja neuvoston asetus (EU) 2021/1148, annettu 7 päivänä heinäkuuta 2021, rajaturvallisuuden ja viisumipolitiikan rahoitustukivälineen perustamisesta yhdennetyn rajaturvallisuuden rahaston osaksi (EUVL L 251, 15.7.2021, s. 48, ELI: </w:t>
      </w:r>
      <w:hyperlink r:id="rId4" w:history="1">
        <w:r w:rsidRPr="002E11EE">
          <w:rPr>
            <w:rStyle w:val="Hyperlink"/>
          </w:rPr>
          <w:t>http://data.europa.eu/eli/reg/2021/1148/oj</w:t>
        </w:r>
      </w:hyperlink>
      <w:r w:rsidRPr="002E11EE">
        <w:t>).</w:t>
      </w:r>
    </w:p>
  </w:footnote>
  <w:footnote w:id="10">
    <w:p w14:paraId="2326C5A3" w14:textId="77777777" w:rsidR="00BA3EDB" w:rsidRPr="002E11EE" w:rsidRDefault="00BA3EDB" w:rsidP="00BA3EDB">
      <w:pPr>
        <w:pStyle w:val="FootnoteText"/>
      </w:pPr>
      <w:r>
        <w:rPr>
          <w:rStyle w:val="FootnoteReference"/>
        </w:rPr>
        <w:footnoteRef/>
      </w:r>
      <w:r w:rsidRPr="002E11EE">
        <w:tab/>
        <w:t>Komission tiedonanto Euroopan parlamentille ja neuvostolle muuttoliikkeen käyttämiseen aseena liittyvien hybridiuhkien torjumisesta ja turvallisuuden vahvistamisesta EU:n ulkorajoilla (COM(2024) 570 final, 11.12.2024).</w:t>
      </w:r>
    </w:p>
  </w:footnote>
  <w:footnote w:id="11">
    <w:p w14:paraId="2178D4C2" w14:textId="77777777" w:rsidR="00286E0D" w:rsidRPr="002E11EE" w:rsidRDefault="00286E0D" w:rsidP="00286E0D">
      <w:pPr>
        <w:pStyle w:val="FootnoteText"/>
      </w:pPr>
      <w:r>
        <w:rPr>
          <w:rStyle w:val="FootnoteReference"/>
        </w:rPr>
        <w:footnoteRef/>
      </w:r>
      <w:r w:rsidRPr="002E11EE">
        <w:tab/>
        <w:t xml:space="preserve">Euroopan parlamentin ja neuvoston asetus (EU) 2018/1240, annettu 12 päivänä syyskuuta 2018, Euroopan matkustustieto- ja -lupajärjestelmän (ETIAS) perustamisesta ja asetusten (EU) N:o 1077/2011, (EU) N:o 515/2014, (EU) 2016/399, (EU) 2016/1624 ja (EU) 2017/2226 muuttamisesta (EUVL L 236, 19.9.2018, s. 1, ELI: </w:t>
      </w:r>
      <w:hyperlink r:id="rId5" w:history="1">
        <w:r w:rsidRPr="002E11EE">
          <w:rPr>
            <w:rStyle w:val="Hyperlink"/>
          </w:rPr>
          <w:t>http://data.europa.eu/eli/reg/2018/1240/oj</w:t>
        </w:r>
      </w:hyperlink>
      <w:r w:rsidRPr="002E11EE">
        <w:t>).</w:t>
      </w:r>
    </w:p>
  </w:footnote>
  <w:footnote w:id="12">
    <w:p w14:paraId="3386E873" w14:textId="77777777" w:rsidR="00286E0D" w:rsidRPr="002E11EE" w:rsidRDefault="00286E0D" w:rsidP="00286E0D">
      <w:pPr>
        <w:pStyle w:val="FootnoteText"/>
      </w:pPr>
      <w:r>
        <w:rPr>
          <w:rStyle w:val="FootnoteReference"/>
        </w:rPr>
        <w:footnoteRef/>
      </w:r>
      <w:r w:rsidRPr="002E11EE">
        <w:tab/>
        <w:t xml:space="preserve">Euroopan parlamentin ja neuvoston asetus (EU) 2024/1351, annettu 14 päivänä toukokuuta 2024, turvapaikka-asioiden ja muuttoliikkeen hallinnasta, asetusten (EU) 2021/1147 ja (EU) 2021/1060 muuttamisesta ja asetuksen (EU) N:o 604/2013 kumoamisesta (EUVL L, 2024/1351, 22.5.2024, ELI: </w:t>
      </w:r>
      <w:hyperlink r:id="rId6" w:history="1">
        <w:r w:rsidRPr="002E11EE">
          <w:rPr>
            <w:rStyle w:val="Hyperlink"/>
          </w:rPr>
          <w:t>http://data.europa.eu/eli/reg/2024/1351/oj</w:t>
        </w:r>
      </w:hyperlink>
      <w:r w:rsidRPr="002E11EE">
        <w:t>).</w:t>
      </w:r>
    </w:p>
  </w:footnote>
  <w:footnote w:id="13">
    <w:p w14:paraId="599052AD" w14:textId="77777777" w:rsidR="00286E0D" w:rsidRPr="002E11EE" w:rsidRDefault="00286E0D" w:rsidP="00286E0D">
      <w:pPr>
        <w:pStyle w:val="FootnoteText"/>
      </w:pPr>
      <w:r>
        <w:rPr>
          <w:rStyle w:val="FootnoteReference"/>
        </w:rPr>
        <w:footnoteRef/>
      </w:r>
      <w:r w:rsidRPr="002E11EE">
        <w:tab/>
        <w:t>Asiakirja Tšekin tasavallan, Viron tasavallan, Kyproksen tasavallan, Latvian tasavallan, Liettuan tasavallan, Unkarin tasavallan, Maltan tasavallan, Puolan tasavallan, Slovenian tasavallan ja Slovakian tasavallan liittymisehdoista ja niiden sopimusten mukautuksista, joihin Euroopan unioni perustuu (EUVL L 236, 23.9.2003, s. 955, ELI: http://data.europa.eu/eli/treaty/acc_2003/act_1/pro_10/sign).</w:t>
      </w:r>
    </w:p>
  </w:footnote>
  <w:footnote w:id="14">
    <w:p w14:paraId="10C09AF4" w14:textId="77777777" w:rsidR="00286E0D" w:rsidRPr="002E11EE" w:rsidRDefault="00286E0D" w:rsidP="00286E0D">
      <w:pPr>
        <w:pStyle w:val="FootnoteText"/>
      </w:pPr>
      <w:r>
        <w:rPr>
          <w:rStyle w:val="FootnoteReference"/>
        </w:rPr>
        <w:footnoteRef/>
      </w:r>
      <w:r w:rsidRPr="002E11EE">
        <w:tab/>
        <w:t xml:space="preserve">Neuvoston asetus (EY) N:o 693/2003, annettu 14 päivänä huhtikuuta 2003, erityisen kauttakulkua helpottavan asiakirjan (FTD) ja rautateitse tapahtuvaa kauttakulkua helpottavan asiakirjan (FRTD) käyttöön ottamisesta sekä yhteisen konsuliohjeiston ja yhteisen käsikirjan muuttamisesta (EUVL L 99, 17.4.2003, s. 8, ELI: </w:t>
      </w:r>
      <w:hyperlink r:id="rId7" w:history="1">
        <w:r w:rsidRPr="002E11EE">
          <w:rPr>
            <w:rStyle w:val="Hyperlink"/>
          </w:rPr>
          <w:t>http://data.europa.eu/eli/reg/2003/693/oj</w:t>
        </w:r>
      </w:hyperlink>
      <w:r w:rsidRPr="002E11EE">
        <w:t>).</w:t>
      </w:r>
    </w:p>
  </w:footnote>
  <w:footnote w:id="15">
    <w:p w14:paraId="48054FE4" w14:textId="77777777" w:rsidR="00286E0D" w:rsidRPr="002E11EE" w:rsidRDefault="00286E0D" w:rsidP="00286E0D">
      <w:pPr>
        <w:pStyle w:val="FootnoteText"/>
      </w:pPr>
      <w:r>
        <w:rPr>
          <w:rStyle w:val="FootnoteReference"/>
        </w:rPr>
        <w:footnoteRef/>
      </w:r>
      <w:r w:rsidRPr="002E11EE">
        <w:tab/>
        <w:t>EYVL L 176, 10.7.1999, s. 36.</w:t>
      </w:r>
    </w:p>
  </w:footnote>
  <w:footnote w:id="16">
    <w:p w14:paraId="0ED6C216" w14:textId="77777777" w:rsidR="00286E0D" w:rsidRPr="002E11EE" w:rsidRDefault="00286E0D" w:rsidP="00286E0D">
      <w:pPr>
        <w:pStyle w:val="FootnoteText"/>
      </w:pPr>
      <w:r>
        <w:rPr>
          <w:rStyle w:val="FootnoteReference"/>
        </w:rPr>
        <w:footnoteRef/>
      </w:r>
      <w:r w:rsidRPr="002E11EE">
        <w:tab/>
        <w:t xml:space="preserve">Neuvoston päätös 1999/437/EY, tehty 17 päivänä toukokuuta 1999, tietyistä Euroopan unionin neuvoston, Islannin tasavallan ja Norjan kuningaskunnan välillä näiden kahden valtion osallistumisesta Schengenin säännöstön täytäntöönpanoon, soveltamiseen ja kehittämiseen tehdyn sopimuksen yksityiskohtaisista soveltamissäännöistä (EYVL L 176, 10.7.1999, s. 31, ELI: </w:t>
      </w:r>
      <w:hyperlink r:id="rId8" w:history="1">
        <w:r w:rsidRPr="002E11EE">
          <w:rPr>
            <w:rStyle w:val="Hyperlink"/>
          </w:rPr>
          <w:t>http://data.europa.eu/eli/dec/1999/437/oj</w:t>
        </w:r>
      </w:hyperlink>
      <w:r w:rsidRPr="002E11EE">
        <w:t>).</w:t>
      </w:r>
    </w:p>
  </w:footnote>
  <w:footnote w:id="17">
    <w:p w14:paraId="5FE07AD1" w14:textId="77777777" w:rsidR="00286E0D" w:rsidRPr="002E11EE" w:rsidRDefault="00286E0D" w:rsidP="00286E0D">
      <w:pPr>
        <w:pStyle w:val="FootnoteText"/>
      </w:pPr>
      <w:r>
        <w:rPr>
          <w:rStyle w:val="FootnoteReference"/>
        </w:rPr>
        <w:footnoteRef/>
      </w:r>
      <w:r w:rsidRPr="002E11EE">
        <w:tab/>
        <w:t>EUVL L 53, 27.2.2008, s. 52.</w:t>
      </w:r>
    </w:p>
  </w:footnote>
  <w:footnote w:id="18">
    <w:p w14:paraId="41D47FF0" w14:textId="77777777" w:rsidR="00286E0D" w:rsidRPr="002E11EE" w:rsidRDefault="00286E0D" w:rsidP="00286E0D">
      <w:pPr>
        <w:pStyle w:val="FootnoteText"/>
      </w:pPr>
      <w:r>
        <w:rPr>
          <w:rStyle w:val="FootnoteReference"/>
        </w:rPr>
        <w:footnoteRef/>
      </w:r>
      <w:r w:rsidRPr="002E11EE">
        <w:tab/>
        <w:t xml:space="preserve">Neuvoston päätös 2008/146/EY, tehty 28 päivänä tammikuuta 2008, Euroopan unionin, Euroopan yhteisön ja Sveitsin valaliiton välisen, Sveitsin valaliiton osallistumista Schengenin säännöstön täytäntöönpanoon, soveltamiseen ja kehittämiseen koskevan sopimuksen tekemisestä Euroopan yhteisön puolesta (EUVL L 53, 27.2.2008, s. 1, ELI: </w:t>
      </w:r>
      <w:hyperlink r:id="rId9" w:history="1">
        <w:r w:rsidRPr="002E11EE">
          <w:rPr>
            <w:rStyle w:val="Hyperlink"/>
          </w:rPr>
          <w:t>http://data.europa.eu/eli/dec/2008/146/oj</w:t>
        </w:r>
      </w:hyperlink>
      <w:r w:rsidRPr="002E11EE">
        <w:t>).</w:t>
      </w:r>
    </w:p>
  </w:footnote>
  <w:footnote w:id="19">
    <w:p w14:paraId="103CF621" w14:textId="77777777" w:rsidR="00286E0D" w:rsidRPr="002E11EE" w:rsidRDefault="00286E0D" w:rsidP="00286E0D">
      <w:pPr>
        <w:pStyle w:val="FootnoteText"/>
      </w:pPr>
      <w:r>
        <w:rPr>
          <w:rStyle w:val="FootnoteReference"/>
        </w:rPr>
        <w:footnoteRef/>
      </w:r>
      <w:r w:rsidRPr="002E11EE">
        <w:tab/>
        <w:t>EUVL L 160, 18.6.2011, s. 21, ELI: http://data.europa.eu/eli/prot/2011/350/oj.</w:t>
      </w:r>
    </w:p>
  </w:footnote>
  <w:footnote w:id="20">
    <w:p w14:paraId="0DBAFE99" w14:textId="77777777" w:rsidR="00286E0D" w:rsidRPr="002E11EE" w:rsidRDefault="00286E0D" w:rsidP="00286E0D">
      <w:pPr>
        <w:pStyle w:val="FootnoteText"/>
      </w:pPr>
      <w:r>
        <w:rPr>
          <w:rStyle w:val="FootnoteReference"/>
        </w:rPr>
        <w:footnoteRef/>
      </w:r>
      <w:r w:rsidRPr="002E11EE">
        <w:tab/>
        <w:t xml:space="preserve">Neuvoston päätös 2011/350/EU, annettu 7 päivänä maaliskuuta 2011, Liechtensteinin ruhtinaskunnan liittymisestä Euroopan unionin, Euroopan yhteisön ja Sveitsin valaliiton väliseen sopimukseen, joka koskee Sveitsin valaliiton osallistumista Schengenin säännöstön täytäntöönpanoon, soveltamiseen ja kehittämiseen, Euroopan unionin, Euroopan yhteisön, Sveitsin valaliiton ja Liechtensteinin ruhtinaskunnan välillä tehtävän pöytäkirjan tekemisestä Euroopan unionin puolesta, siltä osin kuin kyse on tarkastusten poistamisesta sisärajoilta ja henkilöiden liikkumisesta rajojen yli (EUVL L 160, 18.6.2011, s. 19, ELI: </w:t>
      </w:r>
      <w:hyperlink r:id="rId10" w:history="1">
        <w:r w:rsidRPr="002E11EE">
          <w:rPr>
            <w:rStyle w:val="Hyperlink"/>
          </w:rPr>
          <w:t>http://data.europa.eu/eli/dec/2011/350/oj</w:t>
        </w:r>
      </w:hyperlink>
      <w:r w:rsidRPr="002E11EE">
        <w:t>).</w:t>
      </w:r>
    </w:p>
  </w:footnote>
  <w:footnote w:id="21">
    <w:p w14:paraId="59C5E64F" w14:textId="77777777" w:rsidR="00286E0D" w:rsidRPr="002E11EE" w:rsidRDefault="00286E0D" w:rsidP="00286E0D">
      <w:pPr>
        <w:pStyle w:val="FootnoteText"/>
      </w:pPr>
      <w:r>
        <w:rPr>
          <w:rStyle w:val="FootnoteReference"/>
        </w:rPr>
        <w:footnoteRef/>
      </w:r>
      <w:r w:rsidRPr="002E11EE">
        <w:tab/>
        <w:t>Neuvoston päätös 2002/192/EY, tehty 28 päivänä helmikuuta 2002, Irlannin pyynnöstä saada osallistua joihinkin Schengenin säännöstön määräyksiin (EYVL L 64, 7.3.2002, s. 20, ELI: http://data.europa.eu/eli/dec/2002/192/oj).</w:t>
      </w:r>
    </w:p>
  </w:footnote>
  <w:footnote w:id="22">
    <w:p w14:paraId="18213D6B" w14:textId="77777777" w:rsidR="00286E0D" w:rsidRPr="002E11EE" w:rsidRDefault="00286E0D" w:rsidP="00286E0D">
      <w:pPr>
        <w:pStyle w:val="FootnoteText"/>
      </w:pPr>
      <w:r>
        <w:rPr>
          <w:rStyle w:val="FootnoteReference"/>
        </w:rPr>
        <w:footnoteRef/>
      </w:r>
      <w:r w:rsidRPr="002E11EE">
        <w:tab/>
        <w:t>Euroopan parlamentin ja neuvoston asetus (EU) 2016/399, annettu 9 päivänä maaliskuuta 2016, henkilöiden liikkumista rajojen yli koskevasta unionin säännöstöstä (Schengenin rajasäännöstö) (kodifikaatio) (EUVL L 77, 23.3.2016, s. 1–52, ELI: http://data.europa.eu/eli/reg/2016/399/oj).</w:t>
      </w:r>
    </w:p>
  </w:footnote>
  <w:footnote w:id="23">
    <w:p w14:paraId="4E3DE7BE" w14:textId="77777777" w:rsidR="00286E0D" w:rsidRPr="002E11EE" w:rsidRDefault="00286E0D" w:rsidP="00286E0D">
      <w:pPr>
        <w:pStyle w:val="FootnoteText"/>
      </w:pPr>
      <w:r>
        <w:rPr>
          <w:rStyle w:val="FootnoteReference"/>
        </w:rPr>
        <w:footnoteRef/>
      </w:r>
      <w:r w:rsidRPr="002E11EE">
        <w:tab/>
        <w:t>Euroopan parlamentin ja neuvoston asetus (EU) 2019/1896, annettu 13 päivänä marraskuuta 2019, eurooppalaisesta raja- ja merivartiostosta sekä asetusten (EU) N:o 1052/2013 ja (EU) 2016/1624 kumoamisesta (EUVL L 295, 14.11.2019, s. 1–131).</w:t>
      </w:r>
    </w:p>
  </w:footnote>
  <w:footnote w:id="24">
    <w:p w14:paraId="37F054DE" w14:textId="77777777" w:rsidR="00286E0D" w:rsidRPr="002E11EE" w:rsidRDefault="00286E0D" w:rsidP="00286E0D">
      <w:pPr>
        <w:pStyle w:val="FootnoteText"/>
      </w:pPr>
      <w:r>
        <w:rPr>
          <w:rStyle w:val="FootnoteReference"/>
        </w:rPr>
        <w:footnoteRef/>
      </w:r>
      <w:r w:rsidRPr="002E11EE">
        <w:tab/>
        <w:t>Euroopan parlamentin ja neuvoston asetus (EU) 2016/399, annettu 9 päivänä maaliskuuta 2016, henkilöiden liikkumista rajojen yli koskevasta unionin säännöstöstä (Schengenin rajasäännöstö) (kodifikaatio) (EUVL L 77, 23.3.2016, s. 1–52).</w:t>
      </w:r>
    </w:p>
  </w:footnote>
  <w:footnote w:id="25">
    <w:p w14:paraId="19F49142" w14:textId="77777777" w:rsidR="00286E0D" w:rsidRPr="002E11EE" w:rsidRDefault="00286E0D" w:rsidP="00286E0D">
      <w:pPr>
        <w:pStyle w:val="FootnoteText"/>
      </w:pPr>
      <w:r>
        <w:rPr>
          <w:rStyle w:val="FootnoteReference"/>
        </w:rPr>
        <w:footnoteRef/>
      </w:r>
      <w:r w:rsidRPr="002E11EE">
        <w:tab/>
        <w:t>Euroopan parlamentin ja neuvoston asetus (EU) 2019/1896, annettu 13 päivänä marraskuuta 2019, eurooppalaisesta raja- ja merivartiostosta sekä asetusten (EU) N:o 1052/2013 ja (EU) 2016/1624 kumoamisesta (EUVL L 295, 14.11.2019, s. 1–131).</w:t>
      </w:r>
    </w:p>
  </w:footnote>
  <w:footnote w:id="26">
    <w:p w14:paraId="567544D3" w14:textId="65DA3BF3" w:rsidR="00286E0D" w:rsidRPr="002E11EE" w:rsidRDefault="00286E0D" w:rsidP="00D274F9">
      <w:pPr>
        <w:pStyle w:val="FootnoteText"/>
      </w:pPr>
      <w:r>
        <w:rPr>
          <w:rStyle w:val="FootnoteReference"/>
        </w:rPr>
        <w:footnoteRef/>
      </w:r>
      <w:r w:rsidRPr="002E11EE">
        <w:tab/>
        <w:t>Euroopan parlamentin ja neuvoston asetus (EY) N:o 810/2009, annettu 13 päivänä heinäkuuta 2009, yhteisön viisumisäännöstön laatimisesta (viisumisäännöstö) (EUVL L 243, 15.9.2009, s. 1–58, ELI: http://data.europa.eu/eli/reg/2009/810/oj)</w:t>
      </w:r>
      <w:r w:rsidR="00C444BC">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4F338" w14:textId="77777777" w:rsidR="007774B2" w:rsidRDefault="007774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0075C" w14:textId="77777777" w:rsidR="007774B2" w:rsidRDefault="00777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CE059D"/>
    <w:multiLevelType w:val="multilevel"/>
    <w:tmpl w:val="BF4077C8"/>
    <w:lvl w:ilvl="0">
      <w:start w:val="1"/>
      <w:numFmt w:val="lowerLetter"/>
      <w:lvlText w:val="(%1)"/>
      <w:lvlJc w:val="left"/>
      <w:pPr>
        <w:tabs>
          <w:tab w:val="num" w:pos="709"/>
        </w:tabs>
        <w:ind w:left="709" w:hanging="709"/>
      </w:pPr>
      <w:rPr>
        <w:rFonts w:ascii="Times New Roman" w:hAnsi="Times New Roman" w:cs="Times New Roman" w:hint="default"/>
        <w:b w:val="0"/>
        <w:bCs w:val="0"/>
        <w:i w:val="0"/>
        <w:iCs w:val="0"/>
        <w:sz w:val="24"/>
        <w:szCs w:val="24"/>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9"/>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1"/>
  </w:num>
  <w:num w:numId="12">
    <w:abstractNumId w:val="2"/>
  </w:num>
  <w:num w:numId="13">
    <w:abstractNumId w:val="12"/>
  </w:num>
  <w:num w:numId="14">
    <w:abstractNumId w:val="10"/>
  </w:num>
  <w:num w:numId="15">
    <w:abstractNumId w:val="19"/>
  </w:num>
  <w:num w:numId="16">
    <w:abstractNumId w:val="8"/>
  </w:num>
  <w:num w:numId="17">
    <w:abstractNumId w:val="6"/>
  </w:num>
  <w:num w:numId="18">
    <w:abstractNumId w:val="24"/>
  </w:num>
  <w:num w:numId="19">
    <w:abstractNumId w:val="13"/>
  </w:num>
  <w:num w:numId="20">
    <w:abstractNumId w:val="27"/>
  </w:num>
  <w:num w:numId="21">
    <w:abstractNumId w:val="7"/>
  </w:num>
  <w:num w:numId="22">
    <w:abstractNumId w:val="14"/>
  </w:num>
  <w:num w:numId="23">
    <w:abstractNumId w:val="15"/>
  </w:num>
  <w:num w:numId="24">
    <w:abstractNumId w:val="4"/>
  </w:num>
  <w:num w:numId="25">
    <w:abstractNumId w:val="26"/>
  </w:num>
  <w:num w:numId="26">
    <w:abstractNumId w:val="3"/>
  </w:num>
  <w:num w:numId="27">
    <w:abstractNumId w:val="16"/>
  </w:num>
  <w:num w:numId="28">
    <w:abstractNumId w:val="22"/>
  </w:num>
  <w:num w:numId="29">
    <w:abstractNumId w:val="23"/>
  </w:num>
  <w:num w:numId="30">
    <w:abstractNumId w:val="5"/>
  </w:num>
  <w:num w:numId="31">
    <w:abstractNumId w:val="20"/>
  </w:num>
  <w:num w:numId="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03 14:15:1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32F79B0-C015-4840-A547-450E76FFDB7D"/>
    <w:docVar w:name="LW_COVERPAGE_TYPE" w:val="1"/>
    <w:docVar w:name="LW_CreatedUtc" w:val="2025-06-30T13:55:55.3687810Z"/>
    <w:docVar w:name="LW_CROSSREFERENCE" w:val="&lt;UNUSED&gt;"/>
    <w:docVar w:name="LW_DocType" w:val="COM"/>
    <w:docVar w:name="LW_EMISSION" w:val="16.7.2025"/>
    <w:docVar w:name="LW_EMISSION_ISODATE" w:val="2025-07-16"/>
    <w:docVar w:name="LW_EMISSION_LOCATION" w:val="BRX"/>
    <w:docVar w:name="LW_EMISSION_PREFIX" w:val="Bryssel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COD"/>
    <w:docVar w:name="LW_REF.II.NEW.CP_NUMBER" w:val="0541"/>
    <w:docVar w:name="LW_REF.II.NEW.CP_YEAR" w:val="2025"/>
    <w:docVar w:name="LW_REF.INST.NEW" w:val="COM"/>
    <w:docVar w:name="LW_REF.INST.NEW_ADOPTED" w:val="final"/>
    <w:docVar w:name="LW_REF.INST.NEW_TEXT" w:val="(2025) 5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Schengen-aluetta, Euroopan yhdennettyä rajaturvallisuutta ja yhteistä viisumipolitiikkaa koskevan unionin tuen vahvistamisesta vuosiksi 2028\u8211?2034"/>
    <w:docVar w:name="LW_TYPE.DOC.CP" w:val="EUROOPAN PARLAMENTIN JA NEUVOSTON ASETUS"/>
    <w:docVar w:name="LwApiVersions" w:val="LW4CoDe 1.24.5.0; LW 9.0, Build 20240221"/>
  </w:docVars>
  <w:rsids>
    <w:rsidRoot w:val="00286E0D"/>
    <w:rsid w:val="000004BB"/>
    <w:rsid w:val="000011DD"/>
    <w:rsid w:val="00010C77"/>
    <w:rsid w:val="00015B47"/>
    <w:rsid w:val="00023854"/>
    <w:rsid w:val="0003052C"/>
    <w:rsid w:val="000318D3"/>
    <w:rsid w:val="00034CAB"/>
    <w:rsid w:val="00035D80"/>
    <w:rsid w:val="0004117A"/>
    <w:rsid w:val="0004185D"/>
    <w:rsid w:val="0005515C"/>
    <w:rsid w:val="00067273"/>
    <w:rsid w:val="000706FB"/>
    <w:rsid w:val="00081D61"/>
    <w:rsid w:val="0008440D"/>
    <w:rsid w:val="00094C15"/>
    <w:rsid w:val="000963B2"/>
    <w:rsid w:val="000978AD"/>
    <w:rsid w:val="000A3429"/>
    <w:rsid w:val="000B7F2F"/>
    <w:rsid w:val="000C55AA"/>
    <w:rsid w:val="000D21B0"/>
    <w:rsid w:val="000E118B"/>
    <w:rsid w:val="000F2A02"/>
    <w:rsid w:val="001000F6"/>
    <w:rsid w:val="0010112C"/>
    <w:rsid w:val="0010490D"/>
    <w:rsid w:val="00105088"/>
    <w:rsid w:val="001065F5"/>
    <w:rsid w:val="00106B88"/>
    <w:rsid w:val="00107901"/>
    <w:rsid w:val="00121B18"/>
    <w:rsid w:val="001238EF"/>
    <w:rsid w:val="00123EFE"/>
    <w:rsid w:val="00126F40"/>
    <w:rsid w:val="00137B11"/>
    <w:rsid w:val="00141554"/>
    <w:rsid w:val="00143446"/>
    <w:rsid w:val="00143CF0"/>
    <w:rsid w:val="001513C5"/>
    <w:rsid w:val="001536A8"/>
    <w:rsid w:val="00154A8A"/>
    <w:rsid w:val="00155AA7"/>
    <w:rsid w:val="00157C92"/>
    <w:rsid w:val="00166A0C"/>
    <w:rsid w:val="00172733"/>
    <w:rsid w:val="00176B1B"/>
    <w:rsid w:val="001811FA"/>
    <w:rsid w:val="00184A08"/>
    <w:rsid w:val="001857E1"/>
    <w:rsid w:val="00191B47"/>
    <w:rsid w:val="001925FD"/>
    <w:rsid w:val="00197613"/>
    <w:rsid w:val="001976EC"/>
    <w:rsid w:val="001A3ACA"/>
    <w:rsid w:val="001A5829"/>
    <w:rsid w:val="001A5F6D"/>
    <w:rsid w:val="001A7E56"/>
    <w:rsid w:val="001B1666"/>
    <w:rsid w:val="001C0E45"/>
    <w:rsid w:val="001C3E3A"/>
    <w:rsid w:val="001C5196"/>
    <w:rsid w:val="001C585A"/>
    <w:rsid w:val="001D12A3"/>
    <w:rsid w:val="001D3B94"/>
    <w:rsid w:val="001D75F7"/>
    <w:rsid w:val="001E38AE"/>
    <w:rsid w:val="001F3E4C"/>
    <w:rsid w:val="001F5CEB"/>
    <w:rsid w:val="001F7A9C"/>
    <w:rsid w:val="0020085E"/>
    <w:rsid w:val="002017CB"/>
    <w:rsid w:val="00210ADD"/>
    <w:rsid w:val="00226C33"/>
    <w:rsid w:val="0023067A"/>
    <w:rsid w:val="00233DC7"/>
    <w:rsid w:val="0023405B"/>
    <w:rsid w:val="0023416F"/>
    <w:rsid w:val="0023549D"/>
    <w:rsid w:val="002437DE"/>
    <w:rsid w:val="00244DBF"/>
    <w:rsid w:val="00247779"/>
    <w:rsid w:val="002509F8"/>
    <w:rsid w:val="00254508"/>
    <w:rsid w:val="00255526"/>
    <w:rsid w:val="00257EC0"/>
    <w:rsid w:val="00262A48"/>
    <w:rsid w:val="00275886"/>
    <w:rsid w:val="00275BFA"/>
    <w:rsid w:val="002779C4"/>
    <w:rsid w:val="00281DFF"/>
    <w:rsid w:val="00281EED"/>
    <w:rsid w:val="00285BEE"/>
    <w:rsid w:val="00286E0D"/>
    <w:rsid w:val="00287E8A"/>
    <w:rsid w:val="0029018F"/>
    <w:rsid w:val="0029533F"/>
    <w:rsid w:val="00295640"/>
    <w:rsid w:val="00296FB6"/>
    <w:rsid w:val="002A1112"/>
    <w:rsid w:val="002B13A7"/>
    <w:rsid w:val="002B30AF"/>
    <w:rsid w:val="002D1715"/>
    <w:rsid w:val="002D2A57"/>
    <w:rsid w:val="002D3158"/>
    <w:rsid w:val="002D5743"/>
    <w:rsid w:val="002E11EE"/>
    <w:rsid w:val="002E242E"/>
    <w:rsid w:val="002E2907"/>
    <w:rsid w:val="002E73D3"/>
    <w:rsid w:val="002F27AB"/>
    <w:rsid w:val="003062AD"/>
    <w:rsid w:val="0030778E"/>
    <w:rsid w:val="00312482"/>
    <w:rsid w:val="0031447B"/>
    <w:rsid w:val="00314647"/>
    <w:rsid w:val="0031749A"/>
    <w:rsid w:val="00322AD7"/>
    <w:rsid w:val="0032654D"/>
    <w:rsid w:val="0033344A"/>
    <w:rsid w:val="003339F9"/>
    <w:rsid w:val="003347AC"/>
    <w:rsid w:val="00336FEB"/>
    <w:rsid w:val="00340D61"/>
    <w:rsid w:val="003456B3"/>
    <w:rsid w:val="00350CA0"/>
    <w:rsid w:val="00350CE0"/>
    <w:rsid w:val="003515E3"/>
    <w:rsid w:val="00353B24"/>
    <w:rsid w:val="003549C2"/>
    <w:rsid w:val="00363133"/>
    <w:rsid w:val="003651E9"/>
    <w:rsid w:val="00366EC2"/>
    <w:rsid w:val="003679D2"/>
    <w:rsid w:val="0037577F"/>
    <w:rsid w:val="00377DBC"/>
    <w:rsid w:val="003831D3"/>
    <w:rsid w:val="00385789"/>
    <w:rsid w:val="003859D9"/>
    <w:rsid w:val="00387A4E"/>
    <w:rsid w:val="003950D1"/>
    <w:rsid w:val="00395DD3"/>
    <w:rsid w:val="003A026B"/>
    <w:rsid w:val="003A13B3"/>
    <w:rsid w:val="003A1ADE"/>
    <w:rsid w:val="003A2F49"/>
    <w:rsid w:val="003A7625"/>
    <w:rsid w:val="003B2A62"/>
    <w:rsid w:val="003B4DFC"/>
    <w:rsid w:val="003B7C04"/>
    <w:rsid w:val="003C1393"/>
    <w:rsid w:val="003C28F8"/>
    <w:rsid w:val="003C54DF"/>
    <w:rsid w:val="003D7046"/>
    <w:rsid w:val="003E54BE"/>
    <w:rsid w:val="003E5A43"/>
    <w:rsid w:val="003E73CF"/>
    <w:rsid w:val="003E79E4"/>
    <w:rsid w:val="00401265"/>
    <w:rsid w:val="00404366"/>
    <w:rsid w:val="0040777A"/>
    <w:rsid w:val="0041089E"/>
    <w:rsid w:val="004168ED"/>
    <w:rsid w:val="00417A47"/>
    <w:rsid w:val="0042042F"/>
    <w:rsid w:val="004218BF"/>
    <w:rsid w:val="0042326B"/>
    <w:rsid w:val="0042648E"/>
    <w:rsid w:val="00431333"/>
    <w:rsid w:val="004405D4"/>
    <w:rsid w:val="004405D5"/>
    <w:rsid w:val="0044395A"/>
    <w:rsid w:val="0045264C"/>
    <w:rsid w:val="00453D29"/>
    <w:rsid w:val="00455242"/>
    <w:rsid w:val="00461EBE"/>
    <w:rsid w:val="00476490"/>
    <w:rsid w:val="00477EEF"/>
    <w:rsid w:val="00482546"/>
    <w:rsid w:val="00483506"/>
    <w:rsid w:val="00485B42"/>
    <w:rsid w:val="004866EF"/>
    <w:rsid w:val="00492CDB"/>
    <w:rsid w:val="004936D2"/>
    <w:rsid w:val="004A1712"/>
    <w:rsid w:val="004B1847"/>
    <w:rsid w:val="004B248F"/>
    <w:rsid w:val="004C015A"/>
    <w:rsid w:val="004C0D57"/>
    <w:rsid w:val="004C16BD"/>
    <w:rsid w:val="004D75E7"/>
    <w:rsid w:val="004E32EB"/>
    <w:rsid w:val="004F274C"/>
    <w:rsid w:val="00511EE1"/>
    <w:rsid w:val="0051233B"/>
    <w:rsid w:val="0051293F"/>
    <w:rsid w:val="00513C1C"/>
    <w:rsid w:val="0051588F"/>
    <w:rsid w:val="00517347"/>
    <w:rsid w:val="00525087"/>
    <w:rsid w:val="00530FD2"/>
    <w:rsid w:val="00535056"/>
    <w:rsid w:val="005422CD"/>
    <w:rsid w:val="00544046"/>
    <w:rsid w:val="0054414F"/>
    <w:rsid w:val="005507F3"/>
    <w:rsid w:val="0055181F"/>
    <w:rsid w:val="005564DA"/>
    <w:rsid w:val="005629BF"/>
    <w:rsid w:val="005650D7"/>
    <w:rsid w:val="0056625A"/>
    <w:rsid w:val="0057186C"/>
    <w:rsid w:val="0058101A"/>
    <w:rsid w:val="00582B2F"/>
    <w:rsid w:val="00594A0B"/>
    <w:rsid w:val="00596698"/>
    <w:rsid w:val="00597A46"/>
    <w:rsid w:val="005A1922"/>
    <w:rsid w:val="005A32DB"/>
    <w:rsid w:val="005A423C"/>
    <w:rsid w:val="005A598E"/>
    <w:rsid w:val="005B1EB6"/>
    <w:rsid w:val="005B37BB"/>
    <w:rsid w:val="005B50B9"/>
    <w:rsid w:val="005B5BB7"/>
    <w:rsid w:val="005B6996"/>
    <w:rsid w:val="005C0A02"/>
    <w:rsid w:val="005C1367"/>
    <w:rsid w:val="005C2118"/>
    <w:rsid w:val="005D0FC0"/>
    <w:rsid w:val="005E2919"/>
    <w:rsid w:val="005E2C68"/>
    <w:rsid w:val="005E5971"/>
    <w:rsid w:val="005E60AC"/>
    <w:rsid w:val="005E6CEC"/>
    <w:rsid w:val="005F65F6"/>
    <w:rsid w:val="00606E69"/>
    <w:rsid w:val="00606E9A"/>
    <w:rsid w:val="0061311B"/>
    <w:rsid w:val="006177ED"/>
    <w:rsid w:val="0062249A"/>
    <w:rsid w:val="00623F90"/>
    <w:rsid w:val="0063135D"/>
    <w:rsid w:val="00631DBC"/>
    <w:rsid w:val="00633FC1"/>
    <w:rsid w:val="00641E22"/>
    <w:rsid w:val="00642090"/>
    <w:rsid w:val="00642994"/>
    <w:rsid w:val="0065120D"/>
    <w:rsid w:val="00653241"/>
    <w:rsid w:val="006541B6"/>
    <w:rsid w:val="00664DB0"/>
    <w:rsid w:val="0067311B"/>
    <w:rsid w:val="00673D2F"/>
    <w:rsid w:val="006758A6"/>
    <w:rsid w:val="00682E01"/>
    <w:rsid w:val="00682EF5"/>
    <w:rsid w:val="00684308"/>
    <w:rsid w:val="006866F6"/>
    <w:rsid w:val="00692BF4"/>
    <w:rsid w:val="0069583F"/>
    <w:rsid w:val="006A2F81"/>
    <w:rsid w:val="006A4344"/>
    <w:rsid w:val="006A7E7F"/>
    <w:rsid w:val="006B174B"/>
    <w:rsid w:val="006B3F48"/>
    <w:rsid w:val="006B76EE"/>
    <w:rsid w:val="006C107E"/>
    <w:rsid w:val="006C7EF4"/>
    <w:rsid w:val="006D4B5A"/>
    <w:rsid w:val="006D73C5"/>
    <w:rsid w:val="006F4E07"/>
    <w:rsid w:val="007021E5"/>
    <w:rsid w:val="00705404"/>
    <w:rsid w:val="00714D60"/>
    <w:rsid w:val="00715604"/>
    <w:rsid w:val="00720922"/>
    <w:rsid w:val="007241DB"/>
    <w:rsid w:val="00727B12"/>
    <w:rsid w:val="0073110B"/>
    <w:rsid w:val="00731D25"/>
    <w:rsid w:val="00737284"/>
    <w:rsid w:val="00750A27"/>
    <w:rsid w:val="007517F9"/>
    <w:rsid w:val="007571EF"/>
    <w:rsid w:val="00762310"/>
    <w:rsid w:val="00763746"/>
    <w:rsid w:val="0077027E"/>
    <w:rsid w:val="007726AF"/>
    <w:rsid w:val="00773331"/>
    <w:rsid w:val="00775A38"/>
    <w:rsid w:val="007774B2"/>
    <w:rsid w:val="0078205A"/>
    <w:rsid w:val="007915DD"/>
    <w:rsid w:val="007932EF"/>
    <w:rsid w:val="007947CD"/>
    <w:rsid w:val="0079660C"/>
    <w:rsid w:val="00797A55"/>
    <w:rsid w:val="007A2B54"/>
    <w:rsid w:val="007B1680"/>
    <w:rsid w:val="007C5FAB"/>
    <w:rsid w:val="007C726D"/>
    <w:rsid w:val="007C7EE0"/>
    <w:rsid w:val="007D07F8"/>
    <w:rsid w:val="007D3199"/>
    <w:rsid w:val="007E05B0"/>
    <w:rsid w:val="007F0EEF"/>
    <w:rsid w:val="007F21BA"/>
    <w:rsid w:val="007F2C9B"/>
    <w:rsid w:val="00802740"/>
    <w:rsid w:val="008053F0"/>
    <w:rsid w:val="00806AC4"/>
    <w:rsid w:val="00813BB0"/>
    <w:rsid w:val="00816AF2"/>
    <w:rsid w:val="008252C7"/>
    <w:rsid w:val="00833EDD"/>
    <w:rsid w:val="00835316"/>
    <w:rsid w:val="008354EE"/>
    <w:rsid w:val="00835827"/>
    <w:rsid w:val="00843E75"/>
    <w:rsid w:val="008450AE"/>
    <w:rsid w:val="0085236F"/>
    <w:rsid w:val="00854872"/>
    <w:rsid w:val="00855B08"/>
    <w:rsid w:val="00860CAB"/>
    <w:rsid w:val="00863925"/>
    <w:rsid w:val="00874D22"/>
    <w:rsid w:val="00880D74"/>
    <w:rsid w:val="00883432"/>
    <w:rsid w:val="00885335"/>
    <w:rsid w:val="008959F6"/>
    <w:rsid w:val="008A2914"/>
    <w:rsid w:val="008A29AE"/>
    <w:rsid w:val="008B04C7"/>
    <w:rsid w:val="008C306E"/>
    <w:rsid w:val="008E2F96"/>
    <w:rsid w:val="008E4D8E"/>
    <w:rsid w:val="008E5E5A"/>
    <w:rsid w:val="008F1C03"/>
    <w:rsid w:val="00911349"/>
    <w:rsid w:val="00912E63"/>
    <w:rsid w:val="0091314F"/>
    <w:rsid w:val="0091542E"/>
    <w:rsid w:val="009218FA"/>
    <w:rsid w:val="00925BDE"/>
    <w:rsid w:val="00934B47"/>
    <w:rsid w:val="0093788D"/>
    <w:rsid w:val="0094296D"/>
    <w:rsid w:val="009532AE"/>
    <w:rsid w:val="00956FF7"/>
    <w:rsid w:val="009600CC"/>
    <w:rsid w:val="00964BBE"/>
    <w:rsid w:val="00965300"/>
    <w:rsid w:val="00970B74"/>
    <w:rsid w:val="00974DF7"/>
    <w:rsid w:val="00990454"/>
    <w:rsid w:val="00990C77"/>
    <w:rsid w:val="0099246A"/>
    <w:rsid w:val="00993367"/>
    <w:rsid w:val="00993D57"/>
    <w:rsid w:val="009A564D"/>
    <w:rsid w:val="009B3BA6"/>
    <w:rsid w:val="009B59A3"/>
    <w:rsid w:val="009B5F19"/>
    <w:rsid w:val="009C2581"/>
    <w:rsid w:val="009C3C4B"/>
    <w:rsid w:val="009C4158"/>
    <w:rsid w:val="009C7CDA"/>
    <w:rsid w:val="009D7CC5"/>
    <w:rsid w:val="009F5286"/>
    <w:rsid w:val="00A00E08"/>
    <w:rsid w:val="00A032EC"/>
    <w:rsid w:val="00A03C1D"/>
    <w:rsid w:val="00A06C2A"/>
    <w:rsid w:val="00A10916"/>
    <w:rsid w:val="00A16C67"/>
    <w:rsid w:val="00A257BB"/>
    <w:rsid w:val="00A26F33"/>
    <w:rsid w:val="00A277A2"/>
    <w:rsid w:val="00A3007C"/>
    <w:rsid w:val="00A33F32"/>
    <w:rsid w:val="00A42580"/>
    <w:rsid w:val="00A60815"/>
    <w:rsid w:val="00A61048"/>
    <w:rsid w:val="00A64159"/>
    <w:rsid w:val="00A6493C"/>
    <w:rsid w:val="00A66884"/>
    <w:rsid w:val="00A66D6F"/>
    <w:rsid w:val="00A72477"/>
    <w:rsid w:val="00A86799"/>
    <w:rsid w:val="00A902CE"/>
    <w:rsid w:val="00AA4575"/>
    <w:rsid w:val="00AA59F2"/>
    <w:rsid w:val="00AB04B1"/>
    <w:rsid w:val="00AB3DBA"/>
    <w:rsid w:val="00AB49C1"/>
    <w:rsid w:val="00AB609E"/>
    <w:rsid w:val="00AD5AEE"/>
    <w:rsid w:val="00AD68B3"/>
    <w:rsid w:val="00AE0AA4"/>
    <w:rsid w:val="00AF0E7F"/>
    <w:rsid w:val="00AF16BF"/>
    <w:rsid w:val="00AF20C2"/>
    <w:rsid w:val="00AF3908"/>
    <w:rsid w:val="00AF6D8F"/>
    <w:rsid w:val="00B01C59"/>
    <w:rsid w:val="00B03A67"/>
    <w:rsid w:val="00B06CD5"/>
    <w:rsid w:val="00B07292"/>
    <w:rsid w:val="00B07856"/>
    <w:rsid w:val="00B147F8"/>
    <w:rsid w:val="00B157F4"/>
    <w:rsid w:val="00B17BF3"/>
    <w:rsid w:val="00B266CD"/>
    <w:rsid w:val="00B40083"/>
    <w:rsid w:val="00B40452"/>
    <w:rsid w:val="00B43F84"/>
    <w:rsid w:val="00B43FD1"/>
    <w:rsid w:val="00B44E20"/>
    <w:rsid w:val="00B51E33"/>
    <w:rsid w:val="00B532F9"/>
    <w:rsid w:val="00B623D7"/>
    <w:rsid w:val="00B62D05"/>
    <w:rsid w:val="00B631D1"/>
    <w:rsid w:val="00B6359E"/>
    <w:rsid w:val="00B66C10"/>
    <w:rsid w:val="00B733ED"/>
    <w:rsid w:val="00B74101"/>
    <w:rsid w:val="00B81C00"/>
    <w:rsid w:val="00B86814"/>
    <w:rsid w:val="00B87C02"/>
    <w:rsid w:val="00B9067D"/>
    <w:rsid w:val="00B91D87"/>
    <w:rsid w:val="00B9223C"/>
    <w:rsid w:val="00B957DB"/>
    <w:rsid w:val="00BA3EDB"/>
    <w:rsid w:val="00BB24AD"/>
    <w:rsid w:val="00BB30A8"/>
    <w:rsid w:val="00BB394C"/>
    <w:rsid w:val="00BD0C86"/>
    <w:rsid w:val="00BD3C08"/>
    <w:rsid w:val="00BD7306"/>
    <w:rsid w:val="00BE09E6"/>
    <w:rsid w:val="00BF3DD0"/>
    <w:rsid w:val="00BF5D3A"/>
    <w:rsid w:val="00C05D4C"/>
    <w:rsid w:val="00C12301"/>
    <w:rsid w:val="00C128F6"/>
    <w:rsid w:val="00C14287"/>
    <w:rsid w:val="00C14919"/>
    <w:rsid w:val="00C20592"/>
    <w:rsid w:val="00C217F8"/>
    <w:rsid w:val="00C244F7"/>
    <w:rsid w:val="00C34CE4"/>
    <w:rsid w:val="00C351E8"/>
    <w:rsid w:val="00C433F1"/>
    <w:rsid w:val="00C44050"/>
    <w:rsid w:val="00C444BC"/>
    <w:rsid w:val="00C51BA3"/>
    <w:rsid w:val="00C531FB"/>
    <w:rsid w:val="00C810C1"/>
    <w:rsid w:val="00CA2E23"/>
    <w:rsid w:val="00CA41A1"/>
    <w:rsid w:val="00CA7A64"/>
    <w:rsid w:val="00CB1D36"/>
    <w:rsid w:val="00CC22DF"/>
    <w:rsid w:val="00CC3012"/>
    <w:rsid w:val="00CC69E7"/>
    <w:rsid w:val="00CD5494"/>
    <w:rsid w:val="00CD6540"/>
    <w:rsid w:val="00CE46A6"/>
    <w:rsid w:val="00CF1373"/>
    <w:rsid w:val="00CF2B2D"/>
    <w:rsid w:val="00D05667"/>
    <w:rsid w:val="00D1131E"/>
    <w:rsid w:val="00D13242"/>
    <w:rsid w:val="00D17276"/>
    <w:rsid w:val="00D20381"/>
    <w:rsid w:val="00D23EA3"/>
    <w:rsid w:val="00D25736"/>
    <w:rsid w:val="00D274F9"/>
    <w:rsid w:val="00D30169"/>
    <w:rsid w:val="00D3026E"/>
    <w:rsid w:val="00D3331F"/>
    <w:rsid w:val="00D35A81"/>
    <w:rsid w:val="00D40676"/>
    <w:rsid w:val="00D43786"/>
    <w:rsid w:val="00D45CCF"/>
    <w:rsid w:val="00D50174"/>
    <w:rsid w:val="00D507F3"/>
    <w:rsid w:val="00D53EFA"/>
    <w:rsid w:val="00D54AAC"/>
    <w:rsid w:val="00D5516B"/>
    <w:rsid w:val="00D611FB"/>
    <w:rsid w:val="00D614DF"/>
    <w:rsid w:val="00D62300"/>
    <w:rsid w:val="00D72D1D"/>
    <w:rsid w:val="00D74F63"/>
    <w:rsid w:val="00D807C8"/>
    <w:rsid w:val="00D810BE"/>
    <w:rsid w:val="00D81B8C"/>
    <w:rsid w:val="00D8537E"/>
    <w:rsid w:val="00D94093"/>
    <w:rsid w:val="00D94EBC"/>
    <w:rsid w:val="00DA0406"/>
    <w:rsid w:val="00DA0DFC"/>
    <w:rsid w:val="00DA3916"/>
    <w:rsid w:val="00DA7ED9"/>
    <w:rsid w:val="00DA7F4E"/>
    <w:rsid w:val="00DB12DF"/>
    <w:rsid w:val="00DB1D6F"/>
    <w:rsid w:val="00DB5CDB"/>
    <w:rsid w:val="00DC6F83"/>
    <w:rsid w:val="00DD664E"/>
    <w:rsid w:val="00DE01C6"/>
    <w:rsid w:val="00DE6516"/>
    <w:rsid w:val="00DE6BD0"/>
    <w:rsid w:val="00DF0C86"/>
    <w:rsid w:val="00DF12F9"/>
    <w:rsid w:val="00DF5074"/>
    <w:rsid w:val="00E247E3"/>
    <w:rsid w:val="00E24956"/>
    <w:rsid w:val="00E25C86"/>
    <w:rsid w:val="00E31727"/>
    <w:rsid w:val="00E342BC"/>
    <w:rsid w:val="00E409A7"/>
    <w:rsid w:val="00E44E60"/>
    <w:rsid w:val="00E50CB5"/>
    <w:rsid w:val="00E54E28"/>
    <w:rsid w:val="00E56CFC"/>
    <w:rsid w:val="00E57952"/>
    <w:rsid w:val="00E6054B"/>
    <w:rsid w:val="00E656BD"/>
    <w:rsid w:val="00E65EF8"/>
    <w:rsid w:val="00E667AD"/>
    <w:rsid w:val="00E70044"/>
    <w:rsid w:val="00E73828"/>
    <w:rsid w:val="00E8012A"/>
    <w:rsid w:val="00E80373"/>
    <w:rsid w:val="00E82903"/>
    <w:rsid w:val="00E849FD"/>
    <w:rsid w:val="00E93942"/>
    <w:rsid w:val="00E944E9"/>
    <w:rsid w:val="00EA0671"/>
    <w:rsid w:val="00EA0F20"/>
    <w:rsid w:val="00EA1E0E"/>
    <w:rsid w:val="00EA2A3D"/>
    <w:rsid w:val="00EB093C"/>
    <w:rsid w:val="00EB153F"/>
    <w:rsid w:val="00EB6497"/>
    <w:rsid w:val="00EC363A"/>
    <w:rsid w:val="00ED4328"/>
    <w:rsid w:val="00ED47FD"/>
    <w:rsid w:val="00EE196C"/>
    <w:rsid w:val="00EE3AF5"/>
    <w:rsid w:val="00EE4701"/>
    <w:rsid w:val="00EF0F1C"/>
    <w:rsid w:val="00EF3278"/>
    <w:rsid w:val="00EF3651"/>
    <w:rsid w:val="00EF6664"/>
    <w:rsid w:val="00F0474E"/>
    <w:rsid w:val="00F04858"/>
    <w:rsid w:val="00F05DA2"/>
    <w:rsid w:val="00F06159"/>
    <w:rsid w:val="00F12E21"/>
    <w:rsid w:val="00F13FDE"/>
    <w:rsid w:val="00F23106"/>
    <w:rsid w:val="00F23C72"/>
    <w:rsid w:val="00F26D99"/>
    <w:rsid w:val="00F2782D"/>
    <w:rsid w:val="00F42277"/>
    <w:rsid w:val="00F46278"/>
    <w:rsid w:val="00F51546"/>
    <w:rsid w:val="00F537F0"/>
    <w:rsid w:val="00F555BE"/>
    <w:rsid w:val="00F569A5"/>
    <w:rsid w:val="00F56A00"/>
    <w:rsid w:val="00F641C2"/>
    <w:rsid w:val="00F72201"/>
    <w:rsid w:val="00F82989"/>
    <w:rsid w:val="00F85687"/>
    <w:rsid w:val="00F91A52"/>
    <w:rsid w:val="00F91F56"/>
    <w:rsid w:val="00FA1E9B"/>
    <w:rsid w:val="00FA2069"/>
    <w:rsid w:val="00FA2A07"/>
    <w:rsid w:val="00FA3905"/>
    <w:rsid w:val="00FA401C"/>
    <w:rsid w:val="00FA5BBE"/>
    <w:rsid w:val="00FA5FF3"/>
    <w:rsid w:val="00FB0C48"/>
    <w:rsid w:val="00FB3613"/>
    <w:rsid w:val="00FC38F8"/>
    <w:rsid w:val="00FC7A52"/>
    <w:rsid w:val="00FD27CE"/>
    <w:rsid w:val="00FE20C3"/>
    <w:rsid w:val="00FF0E45"/>
    <w:rsid w:val="00FF5114"/>
    <w:rsid w:val="00FF6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95A6B5"/>
  <w15:docId w15:val="{AC7F3027-3104-4D98-B185-C6F433E9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3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86E0D"/>
    <w:pPr>
      <w:numPr>
        <w:numId w:val="2"/>
      </w:numPr>
      <w:tabs>
        <w:tab w:val="num" w:pos="360"/>
      </w:tabs>
      <w:ind w:left="0" w:firstLine="0"/>
    </w:pPr>
    <w:rPr>
      <w:rFonts w:eastAsia="Times New Roman"/>
      <w:lang w:eastAsia="de-DE"/>
    </w:rPr>
  </w:style>
  <w:style w:type="paragraph" w:styleId="ListNumber">
    <w:name w:val="List Number"/>
    <w:basedOn w:val="Normal"/>
    <w:uiPriority w:val="30"/>
    <w:rsid w:val="00286E0D"/>
    <w:pPr>
      <w:numPr>
        <w:numId w:val="6"/>
      </w:numPr>
    </w:pPr>
    <w:rPr>
      <w:rFonts w:eastAsia="Times New Roman"/>
      <w:lang w:eastAsia="de-DE"/>
    </w:rPr>
  </w:style>
  <w:style w:type="paragraph" w:customStyle="1" w:styleId="ListBullet1">
    <w:name w:val="List Bullet 1"/>
    <w:basedOn w:val="Normal"/>
    <w:rsid w:val="00286E0D"/>
    <w:pPr>
      <w:numPr>
        <w:numId w:val="1"/>
      </w:numPr>
    </w:pPr>
    <w:rPr>
      <w:rFonts w:eastAsia="Times New Roman"/>
      <w:lang w:eastAsia="de-DE"/>
    </w:rPr>
  </w:style>
  <w:style w:type="paragraph" w:customStyle="1" w:styleId="ListDash">
    <w:name w:val="List Dash"/>
    <w:basedOn w:val="Normal"/>
    <w:rsid w:val="00286E0D"/>
    <w:pPr>
      <w:numPr>
        <w:numId w:val="3"/>
      </w:numPr>
    </w:pPr>
    <w:rPr>
      <w:rFonts w:eastAsia="Times New Roman"/>
      <w:lang w:eastAsia="de-DE"/>
    </w:rPr>
  </w:style>
  <w:style w:type="paragraph" w:customStyle="1" w:styleId="ListDash1">
    <w:name w:val="List Dash 1"/>
    <w:basedOn w:val="Normal"/>
    <w:rsid w:val="00286E0D"/>
    <w:pPr>
      <w:numPr>
        <w:numId w:val="4"/>
      </w:numPr>
    </w:pPr>
    <w:rPr>
      <w:rFonts w:eastAsia="Times New Roman"/>
      <w:lang w:eastAsia="de-DE"/>
    </w:rPr>
  </w:style>
  <w:style w:type="paragraph" w:customStyle="1" w:styleId="ListDash2">
    <w:name w:val="List Dash 2"/>
    <w:basedOn w:val="Normal"/>
    <w:rsid w:val="00286E0D"/>
    <w:pPr>
      <w:numPr>
        <w:numId w:val="5"/>
      </w:numPr>
    </w:pPr>
    <w:rPr>
      <w:rFonts w:eastAsia="Times New Roman"/>
      <w:lang w:eastAsia="de-DE"/>
    </w:rPr>
  </w:style>
  <w:style w:type="paragraph" w:customStyle="1" w:styleId="ListNumberLevel2">
    <w:name w:val="List Number (Level 2)"/>
    <w:basedOn w:val="Normal"/>
    <w:uiPriority w:val="30"/>
    <w:rsid w:val="00286E0D"/>
    <w:pPr>
      <w:numPr>
        <w:ilvl w:val="1"/>
        <w:numId w:val="6"/>
      </w:numPr>
    </w:pPr>
    <w:rPr>
      <w:rFonts w:eastAsia="Times New Roman"/>
      <w:lang w:eastAsia="de-DE"/>
    </w:rPr>
  </w:style>
  <w:style w:type="paragraph" w:customStyle="1" w:styleId="ListNumberLevel3">
    <w:name w:val="List Number (Level 3)"/>
    <w:basedOn w:val="Normal"/>
    <w:uiPriority w:val="30"/>
    <w:rsid w:val="00286E0D"/>
    <w:pPr>
      <w:numPr>
        <w:ilvl w:val="2"/>
        <w:numId w:val="6"/>
      </w:numPr>
    </w:pPr>
    <w:rPr>
      <w:rFonts w:eastAsia="Times New Roman"/>
      <w:lang w:eastAsia="de-DE"/>
    </w:rPr>
  </w:style>
  <w:style w:type="paragraph" w:customStyle="1" w:styleId="ListNumberLevel4">
    <w:name w:val="List Number (Level 4)"/>
    <w:basedOn w:val="Normal"/>
    <w:uiPriority w:val="30"/>
    <w:rsid w:val="00286E0D"/>
    <w:pPr>
      <w:numPr>
        <w:ilvl w:val="3"/>
        <w:numId w:val="6"/>
      </w:numPr>
    </w:pPr>
    <w:rPr>
      <w:rFonts w:eastAsia="Times New Roman"/>
      <w:lang w:eastAsia="de-DE"/>
    </w:rPr>
  </w:style>
  <w:style w:type="table" w:styleId="TableGrid">
    <w:name w:val="Table Grid"/>
    <w:basedOn w:val="TableNormal"/>
    <w:rsid w:val="00286E0D"/>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6E0D"/>
    <w:rPr>
      <w:color w:val="0000FF"/>
      <w:u w:val="single"/>
    </w:rPr>
  </w:style>
  <w:style w:type="paragraph" w:styleId="ListBullet">
    <w:name w:val="List Bullet"/>
    <w:basedOn w:val="Normal"/>
    <w:rsid w:val="00286E0D"/>
    <w:pPr>
      <w:numPr>
        <w:numId w:val="7"/>
      </w:numPr>
    </w:pPr>
    <w:rPr>
      <w:rFonts w:eastAsia="Times New Roman"/>
      <w:lang w:eastAsia="en-GB"/>
    </w:rPr>
  </w:style>
  <w:style w:type="paragraph" w:styleId="ListBullet2">
    <w:name w:val="List Bullet 2"/>
    <w:basedOn w:val="Normal"/>
    <w:rsid w:val="00286E0D"/>
    <w:pPr>
      <w:numPr>
        <w:numId w:val="8"/>
      </w:numPr>
    </w:pPr>
    <w:rPr>
      <w:rFonts w:eastAsia="Times New Roman"/>
      <w:lang w:eastAsia="en-GB"/>
    </w:rPr>
  </w:style>
  <w:style w:type="paragraph" w:styleId="ListBullet3">
    <w:name w:val="List Bullet 3"/>
    <w:basedOn w:val="Normal"/>
    <w:rsid w:val="00286E0D"/>
    <w:pPr>
      <w:numPr>
        <w:numId w:val="9"/>
      </w:numPr>
    </w:pPr>
    <w:rPr>
      <w:rFonts w:eastAsia="Times New Roman"/>
      <w:lang w:eastAsia="en-GB"/>
    </w:rPr>
  </w:style>
  <w:style w:type="paragraph" w:styleId="ListNumber2">
    <w:name w:val="List Number 2"/>
    <w:basedOn w:val="Normal"/>
    <w:rsid w:val="00286E0D"/>
    <w:pPr>
      <w:numPr>
        <w:numId w:val="13"/>
      </w:numPr>
    </w:pPr>
    <w:rPr>
      <w:rFonts w:eastAsia="Times New Roman"/>
      <w:lang w:eastAsia="en-GB"/>
    </w:rPr>
  </w:style>
  <w:style w:type="paragraph" w:styleId="ListNumber3">
    <w:name w:val="List Number 3"/>
    <w:basedOn w:val="Normal"/>
    <w:rsid w:val="00286E0D"/>
    <w:pPr>
      <w:numPr>
        <w:numId w:val="14"/>
      </w:numPr>
    </w:pPr>
    <w:rPr>
      <w:rFonts w:eastAsia="Times New Roman"/>
      <w:lang w:eastAsia="en-GB"/>
    </w:rPr>
  </w:style>
  <w:style w:type="paragraph" w:styleId="ListNumber4">
    <w:name w:val="List Number 4"/>
    <w:basedOn w:val="Normal"/>
    <w:rsid w:val="00286E0D"/>
    <w:pPr>
      <w:numPr>
        <w:numId w:val="15"/>
      </w:numPr>
    </w:pPr>
    <w:rPr>
      <w:rFonts w:eastAsia="Times New Roman"/>
      <w:lang w:eastAsia="en-GB"/>
    </w:rPr>
  </w:style>
  <w:style w:type="paragraph" w:customStyle="1" w:styleId="ListDash3">
    <w:name w:val="List Dash 3"/>
    <w:basedOn w:val="Normal"/>
    <w:rsid w:val="00286E0D"/>
    <w:pPr>
      <w:numPr>
        <w:numId w:val="10"/>
      </w:numPr>
    </w:pPr>
    <w:rPr>
      <w:rFonts w:eastAsia="Times New Roman"/>
      <w:lang w:eastAsia="en-GB"/>
    </w:rPr>
  </w:style>
  <w:style w:type="paragraph" w:customStyle="1" w:styleId="ListDash4">
    <w:name w:val="List Dash 4"/>
    <w:basedOn w:val="Normal"/>
    <w:rsid w:val="00286E0D"/>
    <w:pPr>
      <w:numPr>
        <w:numId w:val="11"/>
      </w:numPr>
    </w:pPr>
    <w:rPr>
      <w:rFonts w:eastAsia="Times New Roman"/>
      <w:lang w:eastAsia="en-GB"/>
    </w:rPr>
  </w:style>
  <w:style w:type="paragraph" w:customStyle="1" w:styleId="ListNumber1">
    <w:name w:val="List Number 1"/>
    <w:basedOn w:val="Text1"/>
    <w:rsid w:val="00286E0D"/>
    <w:pPr>
      <w:numPr>
        <w:numId w:val="12"/>
      </w:numPr>
    </w:pPr>
    <w:rPr>
      <w:rFonts w:eastAsia="Times New Roman"/>
      <w:lang w:eastAsia="en-GB"/>
    </w:rPr>
  </w:style>
  <w:style w:type="paragraph" w:customStyle="1" w:styleId="ListNumber1Level2">
    <w:name w:val="List Number 1 (Level 2)"/>
    <w:basedOn w:val="Text1"/>
    <w:rsid w:val="00286E0D"/>
    <w:pPr>
      <w:numPr>
        <w:ilvl w:val="1"/>
        <w:numId w:val="12"/>
      </w:numPr>
    </w:pPr>
    <w:rPr>
      <w:rFonts w:eastAsia="Times New Roman"/>
      <w:lang w:eastAsia="en-GB"/>
    </w:rPr>
  </w:style>
  <w:style w:type="paragraph" w:customStyle="1" w:styleId="ListNumber2Level2">
    <w:name w:val="List Number 2 (Level 2)"/>
    <w:basedOn w:val="Text2"/>
    <w:rsid w:val="00286E0D"/>
    <w:pPr>
      <w:numPr>
        <w:ilvl w:val="1"/>
        <w:numId w:val="13"/>
      </w:numPr>
    </w:pPr>
    <w:rPr>
      <w:rFonts w:eastAsia="Times New Roman"/>
      <w:lang w:eastAsia="en-GB"/>
    </w:rPr>
  </w:style>
  <w:style w:type="paragraph" w:customStyle="1" w:styleId="ListNumber3Level2">
    <w:name w:val="List Number 3 (Level 2)"/>
    <w:basedOn w:val="Text3"/>
    <w:rsid w:val="00286E0D"/>
    <w:pPr>
      <w:numPr>
        <w:ilvl w:val="1"/>
        <w:numId w:val="14"/>
      </w:numPr>
    </w:pPr>
    <w:rPr>
      <w:rFonts w:eastAsia="Times New Roman"/>
      <w:lang w:eastAsia="en-GB"/>
    </w:rPr>
  </w:style>
  <w:style w:type="paragraph" w:customStyle="1" w:styleId="ListNumber4Level2">
    <w:name w:val="List Number 4 (Level 2)"/>
    <w:basedOn w:val="Text4"/>
    <w:rsid w:val="00286E0D"/>
    <w:pPr>
      <w:numPr>
        <w:ilvl w:val="1"/>
        <w:numId w:val="15"/>
      </w:numPr>
    </w:pPr>
    <w:rPr>
      <w:rFonts w:eastAsia="Times New Roman"/>
      <w:lang w:eastAsia="en-GB"/>
    </w:rPr>
  </w:style>
  <w:style w:type="paragraph" w:customStyle="1" w:styleId="ListNumber1Level3">
    <w:name w:val="List Number 1 (Level 3)"/>
    <w:basedOn w:val="Text1"/>
    <w:rsid w:val="00286E0D"/>
    <w:pPr>
      <w:numPr>
        <w:ilvl w:val="2"/>
        <w:numId w:val="12"/>
      </w:numPr>
    </w:pPr>
    <w:rPr>
      <w:rFonts w:eastAsia="Times New Roman"/>
      <w:lang w:eastAsia="en-GB"/>
    </w:rPr>
  </w:style>
  <w:style w:type="paragraph" w:customStyle="1" w:styleId="ListNumber2Level3">
    <w:name w:val="List Number 2 (Level 3)"/>
    <w:basedOn w:val="Text2"/>
    <w:rsid w:val="00286E0D"/>
    <w:pPr>
      <w:numPr>
        <w:ilvl w:val="2"/>
        <w:numId w:val="13"/>
      </w:numPr>
    </w:pPr>
    <w:rPr>
      <w:rFonts w:eastAsia="Times New Roman"/>
      <w:lang w:eastAsia="en-GB"/>
    </w:rPr>
  </w:style>
  <w:style w:type="paragraph" w:customStyle="1" w:styleId="ListNumber3Level3">
    <w:name w:val="List Number 3 (Level 3)"/>
    <w:basedOn w:val="Text3"/>
    <w:rsid w:val="00286E0D"/>
    <w:pPr>
      <w:numPr>
        <w:ilvl w:val="2"/>
        <w:numId w:val="14"/>
      </w:numPr>
    </w:pPr>
    <w:rPr>
      <w:rFonts w:eastAsia="Times New Roman"/>
      <w:lang w:eastAsia="en-GB"/>
    </w:rPr>
  </w:style>
  <w:style w:type="paragraph" w:customStyle="1" w:styleId="ListNumber4Level3">
    <w:name w:val="List Number 4 (Level 3)"/>
    <w:basedOn w:val="Text4"/>
    <w:rsid w:val="00286E0D"/>
    <w:pPr>
      <w:numPr>
        <w:ilvl w:val="2"/>
        <w:numId w:val="15"/>
      </w:numPr>
    </w:pPr>
    <w:rPr>
      <w:rFonts w:eastAsia="Times New Roman"/>
      <w:lang w:eastAsia="en-GB"/>
    </w:rPr>
  </w:style>
  <w:style w:type="paragraph" w:customStyle="1" w:styleId="ListNumber1Level4">
    <w:name w:val="List Number 1 (Level 4)"/>
    <w:basedOn w:val="Text1"/>
    <w:rsid w:val="00286E0D"/>
    <w:pPr>
      <w:numPr>
        <w:ilvl w:val="3"/>
        <w:numId w:val="12"/>
      </w:numPr>
    </w:pPr>
    <w:rPr>
      <w:rFonts w:eastAsia="Times New Roman"/>
      <w:lang w:eastAsia="en-GB"/>
    </w:rPr>
  </w:style>
  <w:style w:type="paragraph" w:customStyle="1" w:styleId="ListNumber2Level4">
    <w:name w:val="List Number 2 (Level 4)"/>
    <w:basedOn w:val="Text2"/>
    <w:rsid w:val="00286E0D"/>
    <w:pPr>
      <w:numPr>
        <w:ilvl w:val="3"/>
        <w:numId w:val="13"/>
      </w:numPr>
    </w:pPr>
    <w:rPr>
      <w:rFonts w:eastAsia="Times New Roman"/>
      <w:lang w:eastAsia="en-GB"/>
    </w:rPr>
  </w:style>
  <w:style w:type="paragraph" w:customStyle="1" w:styleId="ListNumber3Level4">
    <w:name w:val="List Number 3 (Level 4)"/>
    <w:basedOn w:val="Text3"/>
    <w:rsid w:val="00286E0D"/>
    <w:pPr>
      <w:numPr>
        <w:ilvl w:val="3"/>
        <w:numId w:val="14"/>
      </w:numPr>
    </w:pPr>
    <w:rPr>
      <w:rFonts w:eastAsia="Times New Roman"/>
      <w:lang w:eastAsia="en-GB"/>
    </w:rPr>
  </w:style>
  <w:style w:type="paragraph" w:customStyle="1" w:styleId="ListNumber4Level4">
    <w:name w:val="List Number 4 (Level 4)"/>
    <w:basedOn w:val="Text4"/>
    <w:rsid w:val="00286E0D"/>
    <w:pPr>
      <w:numPr>
        <w:ilvl w:val="3"/>
        <w:numId w:val="15"/>
      </w:numPr>
    </w:pPr>
    <w:rPr>
      <w:rFonts w:eastAsia="Times New Roman"/>
      <w:lang w:eastAsia="en-GB"/>
    </w:rPr>
  </w:style>
  <w:style w:type="paragraph" w:customStyle="1" w:styleId="Annexetitreacte">
    <w:name w:val="Annexe titre (acte)"/>
    <w:basedOn w:val="Normal"/>
    <w:next w:val="Normal"/>
    <w:rsid w:val="00286E0D"/>
    <w:pPr>
      <w:jc w:val="center"/>
    </w:pPr>
    <w:rPr>
      <w:rFonts w:eastAsia="Times New Roman"/>
      <w:b/>
      <w:u w:val="single"/>
      <w:lang w:eastAsia="en-GB"/>
    </w:rPr>
  </w:style>
  <w:style w:type="paragraph" w:customStyle="1" w:styleId="Annexetitreexposglobal">
    <w:name w:val="Annexe titre (exposé global)"/>
    <w:basedOn w:val="Normal"/>
    <w:next w:val="Normal"/>
    <w:rsid w:val="00286E0D"/>
    <w:pPr>
      <w:jc w:val="center"/>
    </w:pPr>
    <w:rPr>
      <w:rFonts w:eastAsia="Times New Roman"/>
      <w:b/>
      <w:u w:val="single"/>
      <w:lang w:eastAsia="en-GB"/>
    </w:rPr>
  </w:style>
  <w:style w:type="paragraph" w:customStyle="1" w:styleId="Annexetitrefichefinacte">
    <w:name w:val="Annexe titre (fiche fin. acte)"/>
    <w:basedOn w:val="Normal"/>
    <w:next w:val="Normal"/>
    <w:rsid w:val="00286E0D"/>
    <w:pPr>
      <w:jc w:val="center"/>
    </w:pPr>
    <w:rPr>
      <w:rFonts w:eastAsia="Times New Roman"/>
      <w:b/>
      <w:u w:val="single"/>
      <w:lang w:eastAsia="en-GB"/>
    </w:rPr>
  </w:style>
  <w:style w:type="paragraph" w:customStyle="1" w:styleId="Annexetitrefichefinglobale">
    <w:name w:val="Annexe titre (fiche fin. globale)"/>
    <w:basedOn w:val="Normal"/>
    <w:next w:val="Normal"/>
    <w:rsid w:val="00286E0D"/>
    <w:pPr>
      <w:jc w:val="center"/>
    </w:pPr>
    <w:rPr>
      <w:rFonts w:eastAsia="Times New Roman"/>
      <w:b/>
      <w:u w:val="single"/>
      <w:lang w:eastAsia="en-GB"/>
    </w:rPr>
  </w:style>
  <w:style w:type="paragraph" w:customStyle="1" w:styleId="Annexetitreglobale">
    <w:name w:val="Annexe titre (globale)"/>
    <w:basedOn w:val="Normal"/>
    <w:next w:val="Normal"/>
    <w:rsid w:val="00286E0D"/>
    <w:pPr>
      <w:jc w:val="center"/>
    </w:pPr>
    <w:rPr>
      <w:rFonts w:eastAsia="Times New Roman"/>
      <w:b/>
      <w:u w:val="single"/>
      <w:lang w:eastAsia="en-GB"/>
    </w:rPr>
  </w:style>
  <w:style w:type="paragraph" w:customStyle="1" w:styleId="Exposdesmotifstitreglobal">
    <w:name w:val="Exposé des motifs titre (global)"/>
    <w:basedOn w:val="Normal"/>
    <w:next w:val="Normal"/>
    <w:rsid w:val="00286E0D"/>
    <w:pPr>
      <w:jc w:val="center"/>
    </w:pPr>
    <w:rPr>
      <w:rFonts w:eastAsia="Times New Roman"/>
      <w:b/>
      <w:u w:val="single"/>
      <w:lang w:eastAsia="en-GB"/>
    </w:rPr>
  </w:style>
  <w:style w:type="paragraph" w:customStyle="1" w:styleId="Langueoriginale">
    <w:name w:val="Langue originale"/>
    <w:basedOn w:val="Normal"/>
    <w:rsid w:val="00286E0D"/>
    <w:pPr>
      <w:spacing w:before="360"/>
      <w:jc w:val="center"/>
    </w:pPr>
    <w:rPr>
      <w:rFonts w:eastAsia="Times New Roman"/>
      <w:caps/>
      <w:lang w:eastAsia="en-GB"/>
    </w:rPr>
  </w:style>
  <w:style w:type="paragraph" w:customStyle="1" w:styleId="Phrasefinale">
    <w:name w:val="Phrase finale"/>
    <w:basedOn w:val="Normal"/>
    <w:next w:val="Normal"/>
    <w:rsid w:val="00286E0D"/>
    <w:pPr>
      <w:spacing w:before="360" w:after="0"/>
      <w:jc w:val="center"/>
    </w:pPr>
    <w:rPr>
      <w:rFonts w:eastAsia="Times New Roman"/>
      <w:lang w:eastAsia="en-GB"/>
    </w:rPr>
  </w:style>
  <w:style w:type="paragraph" w:customStyle="1" w:styleId="Prliminairetitre">
    <w:name w:val="Préliminaire titre"/>
    <w:basedOn w:val="Normal"/>
    <w:next w:val="Normal"/>
    <w:rsid w:val="00286E0D"/>
    <w:pPr>
      <w:spacing w:before="360" w:after="360"/>
      <w:jc w:val="center"/>
    </w:pPr>
    <w:rPr>
      <w:rFonts w:eastAsia="Times New Roman"/>
      <w:b/>
      <w:lang w:eastAsia="en-GB"/>
    </w:rPr>
  </w:style>
  <w:style w:type="paragraph" w:customStyle="1" w:styleId="Prliminairetype">
    <w:name w:val="Préliminaire type"/>
    <w:basedOn w:val="Normal"/>
    <w:next w:val="Normal"/>
    <w:rsid w:val="00286E0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86E0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86E0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86E0D"/>
    <w:pPr>
      <w:spacing w:before="0" w:after="0"/>
      <w:ind w:left="5103"/>
      <w:jc w:val="left"/>
    </w:pPr>
    <w:rPr>
      <w:rFonts w:eastAsia="Times New Roman"/>
      <w:lang w:eastAsia="en-GB"/>
    </w:rPr>
  </w:style>
  <w:style w:type="paragraph" w:customStyle="1" w:styleId="Sous-titreobjetprliminaire">
    <w:name w:val="Sous-titre objet (préliminaire)"/>
    <w:basedOn w:val="Normal"/>
    <w:rsid w:val="00286E0D"/>
    <w:pPr>
      <w:spacing w:before="0" w:after="0"/>
      <w:jc w:val="center"/>
    </w:pPr>
    <w:rPr>
      <w:rFonts w:eastAsia="Times New Roman"/>
      <w:b/>
      <w:lang w:eastAsia="en-GB"/>
    </w:rPr>
  </w:style>
  <w:style w:type="paragraph" w:customStyle="1" w:styleId="Statutprliminaire">
    <w:name w:val="Statut (préliminaire)"/>
    <w:basedOn w:val="Normal"/>
    <w:next w:val="Normal"/>
    <w:rsid w:val="00286E0D"/>
    <w:pPr>
      <w:spacing w:before="360" w:after="0"/>
      <w:jc w:val="center"/>
    </w:pPr>
    <w:rPr>
      <w:rFonts w:eastAsia="Times New Roman"/>
      <w:lang w:eastAsia="en-GB"/>
    </w:rPr>
  </w:style>
  <w:style w:type="paragraph" w:customStyle="1" w:styleId="Titreobjetprliminaire">
    <w:name w:val="Titre objet (préliminaire)"/>
    <w:basedOn w:val="Normal"/>
    <w:next w:val="Normal"/>
    <w:rsid w:val="00286E0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86E0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86E0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86E0D"/>
    <w:pPr>
      <w:jc w:val="center"/>
    </w:pPr>
    <w:rPr>
      <w:rFonts w:eastAsia="Times New Roman"/>
      <w:b/>
      <w:u w:val="single"/>
      <w:lang w:eastAsia="en-GB"/>
    </w:rPr>
  </w:style>
  <w:style w:type="paragraph" w:customStyle="1" w:styleId="Fichefinanciretravailtitre">
    <w:name w:val="Fiche financière (travail) titre"/>
    <w:basedOn w:val="Normal"/>
    <w:next w:val="Normal"/>
    <w:rsid w:val="00286E0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86E0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86E0D"/>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86E0D"/>
    <w:pPr>
      <w:jc w:val="center"/>
    </w:pPr>
    <w:rPr>
      <w:rFonts w:eastAsia="Times New Roman"/>
      <w:b/>
      <w:u w:val="single"/>
      <w:lang w:eastAsia="en-GB"/>
    </w:rPr>
  </w:style>
  <w:style w:type="character" w:styleId="CommentReference">
    <w:name w:val="annotation reference"/>
    <w:uiPriority w:val="99"/>
    <w:rsid w:val="00286E0D"/>
    <w:rPr>
      <w:rFonts w:cs="Times New Roman"/>
      <w:sz w:val="16"/>
      <w:szCs w:val="16"/>
    </w:rPr>
  </w:style>
  <w:style w:type="paragraph" w:styleId="CommentText">
    <w:name w:val="annotation text"/>
    <w:basedOn w:val="Normal"/>
    <w:link w:val="CommentTextChar"/>
    <w:uiPriority w:val="99"/>
    <w:rsid w:val="00286E0D"/>
    <w:rPr>
      <w:rFonts w:eastAsia="Times New Roman"/>
      <w:sz w:val="20"/>
      <w:szCs w:val="20"/>
      <w:lang w:eastAsia="en-GB"/>
    </w:rPr>
  </w:style>
  <w:style w:type="character" w:customStyle="1" w:styleId="CommentTextChar">
    <w:name w:val="Comment Text Char"/>
    <w:basedOn w:val="DefaultParagraphFont"/>
    <w:link w:val="CommentText"/>
    <w:uiPriority w:val="99"/>
    <w:rsid w:val="00286E0D"/>
    <w:rPr>
      <w:rFonts w:ascii="Times New Roman" w:eastAsia="Times New Roman" w:hAnsi="Times New Roman" w:cs="Times New Roman"/>
      <w:sz w:val="20"/>
      <w:szCs w:val="20"/>
      <w:lang w:val="fi-FI" w:eastAsia="en-GB"/>
    </w:rPr>
  </w:style>
  <w:style w:type="paragraph" w:styleId="CommentSubject">
    <w:name w:val="annotation subject"/>
    <w:basedOn w:val="CommentText"/>
    <w:next w:val="CommentText"/>
    <w:link w:val="CommentSubjectChar"/>
    <w:rsid w:val="00286E0D"/>
    <w:rPr>
      <w:b/>
      <w:bCs/>
    </w:rPr>
  </w:style>
  <w:style w:type="character" w:customStyle="1" w:styleId="CommentSubjectChar">
    <w:name w:val="Comment Subject Char"/>
    <w:basedOn w:val="CommentTextChar"/>
    <w:link w:val="CommentSubject"/>
    <w:rsid w:val="00286E0D"/>
    <w:rPr>
      <w:rFonts w:ascii="Times New Roman" w:eastAsia="Times New Roman" w:hAnsi="Times New Roman" w:cs="Times New Roman"/>
      <w:b/>
      <w:bCs/>
      <w:sz w:val="20"/>
      <w:szCs w:val="20"/>
      <w:lang w:val="fi-FI" w:eastAsia="en-GB"/>
    </w:rPr>
  </w:style>
  <w:style w:type="paragraph" w:styleId="BalloonText">
    <w:name w:val="Balloon Text"/>
    <w:basedOn w:val="Normal"/>
    <w:link w:val="BalloonTextChar"/>
    <w:rsid w:val="00286E0D"/>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86E0D"/>
    <w:rPr>
      <w:rFonts w:ascii="Tahoma" w:eastAsia="Times New Roman" w:hAnsi="Tahoma" w:cs="Tahoma"/>
      <w:sz w:val="16"/>
      <w:szCs w:val="16"/>
      <w:lang w:val="fi-FI" w:eastAsia="en-GB"/>
    </w:rPr>
  </w:style>
  <w:style w:type="paragraph" w:styleId="Caption">
    <w:name w:val="caption"/>
    <w:basedOn w:val="Normal"/>
    <w:next w:val="Normal"/>
    <w:qFormat/>
    <w:rsid w:val="00286E0D"/>
    <w:rPr>
      <w:rFonts w:eastAsia="Times New Roman"/>
      <w:b/>
      <w:bCs/>
      <w:sz w:val="20"/>
      <w:szCs w:val="20"/>
      <w:lang w:eastAsia="en-GB"/>
    </w:rPr>
  </w:style>
  <w:style w:type="paragraph" w:styleId="TableofFigures">
    <w:name w:val="table of figures"/>
    <w:basedOn w:val="Normal"/>
    <w:next w:val="Normal"/>
    <w:rsid w:val="00286E0D"/>
    <w:rPr>
      <w:rFonts w:eastAsia="Times New Roman"/>
      <w:lang w:eastAsia="en-GB"/>
    </w:rPr>
  </w:style>
  <w:style w:type="character" w:styleId="PageNumber">
    <w:name w:val="page number"/>
    <w:rsid w:val="00286E0D"/>
  </w:style>
  <w:style w:type="character" w:customStyle="1" w:styleId="tw4winMark">
    <w:name w:val="tw4winMark"/>
    <w:rsid w:val="00286E0D"/>
    <w:rPr>
      <w:vanish/>
      <w:color w:val="800080"/>
      <w:vertAlign w:val="subscript"/>
    </w:rPr>
  </w:style>
  <w:style w:type="character" w:styleId="FollowedHyperlink">
    <w:name w:val="FollowedHyperlink"/>
    <w:rsid w:val="00286E0D"/>
    <w:rPr>
      <w:color w:val="800080"/>
      <w:u w:val="single"/>
    </w:rPr>
  </w:style>
  <w:style w:type="paragraph" w:customStyle="1" w:styleId="Sous-titreobjet">
    <w:name w:val="Sous-titre objet"/>
    <w:basedOn w:val="Normal"/>
    <w:rsid w:val="00286E0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86E0D"/>
  </w:style>
  <w:style w:type="paragraph" w:styleId="Revision">
    <w:name w:val="Revision"/>
    <w:hidden/>
    <w:uiPriority w:val="99"/>
    <w:semiHidden/>
    <w:rsid w:val="00286E0D"/>
    <w:rPr>
      <w:rFonts w:ascii="Calibri" w:eastAsia="Calibri" w:hAnsi="Calibri" w:cs="Times New Roman"/>
      <w:sz w:val="24"/>
      <w:lang w:eastAsia="en-GB"/>
    </w:rPr>
  </w:style>
  <w:style w:type="paragraph" w:customStyle="1" w:styleId="FooterCoverPage">
    <w:name w:val="Footer Cover Page"/>
    <w:basedOn w:val="Normal"/>
    <w:link w:val="FooterCoverPageChar"/>
    <w:rsid w:val="00286E0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86E0D"/>
    <w:rPr>
      <w:rFonts w:ascii="Times New Roman" w:hAnsi="Times New Roman" w:cs="Times New Roman"/>
      <w:b/>
      <w:sz w:val="28"/>
      <w:lang w:val="fi-FI"/>
    </w:rPr>
  </w:style>
  <w:style w:type="character" w:customStyle="1" w:styleId="FooterCoverPageChar">
    <w:name w:val="Footer Cover Page Char"/>
    <w:link w:val="FooterCoverPage"/>
    <w:rsid w:val="00286E0D"/>
    <w:rPr>
      <w:rFonts w:ascii="Times New Roman" w:eastAsia="Calibri" w:hAnsi="Times New Roman" w:cs="Times New Roman"/>
      <w:sz w:val="24"/>
      <w:lang w:val="fi-FI" w:eastAsia="en-GB"/>
    </w:rPr>
  </w:style>
  <w:style w:type="paragraph" w:customStyle="1" w:styleId="HeaderCoverPage">
    <w:name w:val="Header Cover Page"/>
    <w:basedOn w:val="Normal"/>
    <w:link w:val="HeaderCoverPageChar"/>
    <w:rsid w:val="00286E0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86E0D"/>
    <w:rPr>
      <w:rFonts w:ascii="Times New Roman" w:eastAsia="Calibri" w:hAnsi="Times New Roman" w:cs="Times New Roman"/>
      <w:sz w:val="24"/>
      <w:lang w:val="fi-FI" w:eastAsia="en-GB"/>
    </w:rPr>
  </w:style>
  <w:style w:type="character" w:customStyle="1" w:styleId="FooterSensitivityChar">
    <w:name w:val="Footer Sensitivity Char"/>
    <w:rsid w:val="00286E0D"/>
    <w:rPr>
      <w:rFonts w:ascii="Times New Roman" w:hAnsi="Times New Roman" w:cs="Times New Roman"/>
      <w:b/>
      <w:sz w:val="32"/>
      <w:lang w:val="fi-FI"/>
    </w:rPr>
  </w:style>
  <w:style w:type="character" w:customStyle="1" w:styleId="HeaderSensitivityChar">
    <w:name w:val="Header Sensitivity Char"/>
    <w:rsid w:val="00286E0D"/>
    <w:rPr>
      <w:rFonts w:ascii="Times New Roman" w:hAnsi="Times New Roman" w:cs="Times New Roman"/>
      <w:b/>
      <w:sz w:val="32"/>
      <w:lang w:val="fi-FI"/>
    </w:rPr>
  </w:style>
  <w:style w:type="character" w:customStyle="1" w:styleId="HeaderSensitivityRightChar">
    <w:name w:val="Header Sensitivity Right Char"/>
    <w:rsid w:val="00286E0D"/>
    <w:rPr>
      <w:rFonts w:ascii="Times New Roman" w:hAnsi="Times New Roman" w:cs="Times New Roman"/>
      <w:sz w:val="28"/>
      <w:lang w:val="fi-FI"/>
    </w:rPr>
  </w:style>
  <w:style w:type="paragraph" w:customStyle="1" w:styleId="LegalNumPar">
    <w:name w:val="LegalNumPar"/>
    <w:basedOn w:val="Normal"/>
    <w:rsid w:val="00286E0D"/>
    <w:pPr>
      <w:numPr>
        <w:numId w:val="16"/>
      </w:numPr>
      <w:spacing w:line="360" w:lineRule="auto"/>
    </w:pPr>
    <w:rPr>
      <w:rFonts w:eastAsia="Times New Roman"/>
      <w:lang w:eastAsia="en-GB"/>
    </w:rPr>
  </w:style>
  <w:style w:type="paragraph" w:customStyle="1" w:styleId="LegalNumPar2">
    <w:name w:val="LegalNumPar2"/>
    <w:basedOn w:val="Normal"/>
    <w:rsid w:val="00286E0D"/>
    <w:pPr>
      <w:numPr>
        <w:ilvl w:val="1"/>
        <w:numId w:val="16"/>
      </w:numPr>
      <w:spacing w:line="360" w:lineRule="auto"/>
    </w:pPr>
    <w:rPr>
      <w:rFonts w:eastAsia="Times New Roman"/>
      <w:lang w:eastAsia="en-GB"/>
    </w:rPr>
  </w:style>
  <w:style w:type="paragraph" w:customStyle="1" w:styleId="LegalNumPar3">
    <w:name w:val="LegalNumPar3"/>
    <w:basedOn w:val="Normal"/>
    <w:rsid w:val="00286E0D"/>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286E0D"/>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86E0D"/>
    <w:rPr>
      <w:color w:val="605E5C"/>
      <w:shd w:val="clear" w:color="auto" w:fill="E1DFDD"/>
    </w:rPr>
  </w:style>
  <w:style w:type="character" w:styleId="Strong">
    <w:name w:val="Strong"/>
    <w:basedOn w:val="DefaultParagraphFont"/>
    <w:qFormat/>
    <w:rsid w:val="00286E0D"/>
    <w:rPr>
      <w:b/>
      <w:bCs/>
    </w:rPr>
  </w:style>
  <w:style w:type="character" w:styleId="Emphasis">
    <w:name w:val="Emphasis"/>
    <w:basedOn w:val="DefaultParagraphFont"/>
    <w:qFormat/>
    <w:rsid w:val="00286E0D"/>
    <w:rPr>
      <w:i/>
      <w:iCs/>
    </w:rPr>
  </w:style>
  <w:style w:type="character" w:customStyle="1" w:styleId="Mention1">
    <w:name w:val="Mention1"/>
    <w:basedOn w:val="DefaultParagraphFont"/>
    <w:uiPriority w:val="99"/>
    <w:unhideWhenUsed/>
    <w:rsid w:val="00286E0D"/>
    <w:rPr>
      <w:color w:val="2B579A"/>
      <w:shd w:val="clear" w:color="auto" w:fill="E1DFDD"/>
    </w:rPr>
  </w:style>
  <w:style w:type="character" w:customStyle="1" w:styleId="normaltextrun">
    <w:name w:val="normaltextrun"/>
    <w:basedOn w:val="DefaultParagraphFont"/>
    <w:rsid w:val="00286E0D"/>
  </w:style>
  <w:style w:type="character" w:customStyle="1" w:styleId="eop">
    <w:name w:val="eop"/>
    <w:basedOn w:val="DefaultParagraphFont"/>
    <w:rsid w:val="00286E0D"/>
  </w:style>
  <w:style w:type="paragraph" w:customStyle="1" w:styleId="paragraph">
    <w:name w:val="paragraph"/>
    <w:basedOn w:val="Normal"/>
    <w:rsid w:val="00286E0D"/>
    <w:pPr>
      <w:spacing w:before="100" w:beforeAutospacing="1" w:after="100" w:afterAutospacing="1"/>
      <w:jc w:val="left"/>
    </w:pPr>
    <w:rPr>
      <w:rFonts w:eastAsia="Times New Roman"/>
      <w:szCs w:val="24"/>
      <w:lang w:eastAsia="en-IE"/>
    </w:rPr>
  </w:style>
  <w:style w:type="character" w:customStyle="1" w:styleId="Instructions">
    <w:name w:val="Instructions"/>
    <w:basedOn w:val="SubtleEmphasis"/>
    <w:uiPriority w:val="1"/>
    <w:qFormat/>
    <w:rsid w:val="00286E0D"/>
    <w:rPr>
      <w:rFonts w:ascii="Times New Roman" w:eastAsia="Times New Roman" w:hAnsi="Times New Roman" w:cstheme="majorHAnsi" w:hint="default"/>
      <w:i/>
      <w:iCs/>
      <w:color w:val="008000"/>
      <w:kern w:val="0"/>
      <w:sz w:val="24"/>
      <w:szCs w:val="20"/>
      <w:lang w:val="fi-FI" w:eastAsia="en-IE"/>
      <w14:ligatures w14:val="none"/>
    </w:rPr>
  </w:style>
  <w:style w:type="character" w:styleId="SubtleEmphasis">
    <w:name w:val="Subtle Emphasis"/>
    <w:basedOn w:val="DefaultParagraphFont"/>
    <w:uiPriority w:val="19"/>
    <w:qFormat/>
    <w:rsid w:val="00286E0D"/>
    <w:rPr>
      <w:i/>
      <w:iCs/>
      <w:color w:val="404040" w:themeColor="text1" w:themeTint="BF"/>
    </w:rPr>
  </w:style>
  <w:style w:type="character" w:customStyle="1" w:styleId="HeaderChar">
    <w:name w:val="Header Char"/>
    <w:basedOn w:val="DefaultParagraphFont"/>
    <w:link w:val="Header"/>
    <w:uiPriority w:val="99"/>
    <w:rsid w:val="007774B2"/>
    <w:rPr>
      <w:rFonts w:ascii="Times New Roman" w:hAnsi="Times New Roman" w:cs="Times New Roman"/>
      <w:sz w:val="24"/>
      <w:lang w:val="fi-FI"/>
    </w:rPr>
  </w:style>
  <w:style w:type="character" w:customStyle="1" w:styleId="FooterChar">
    <w:name w:val="Footer Char"/>
    <w:basedOn w:val="DefaultParagraphFont"/>
    <w:link w:val="Footer"/>
    <w:uiPriority w:val="99"/>
    <w:rsid w:val="007774B2"/>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i-F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i-F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774B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774B2"/>
    <w:pPr>
      <w:spacing w:before="0"/>
      <w:jc w:val="right"/>
    </w:pPr>
    <w:rPr>
      <w:sz w:val="28"/>
    </w:rPr>
  </w:style>
  <w:style w:type="paragraph" w:customStyle="1" w:styleId="FooterSensitivity">
    <w:name w:val="Footer Sensitivity"/>
    <w:basedOn w:val="Normal"/>
    <w:rsid w:val="007774B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Tiret5">
    <w:name w:val="Tiret 5"/>
    <w:basedOn w:val="Point5"/>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NumPar5">
    <w:name w:val="NumPar 5"/>
    <w:basedOn w:val="Normal"/>
    <w:next w:val="Text2"/>
    <w:pPr>
      <w:numPr>
        <w:ilvl w:val="4"/>
        <w:numId w:val="24"/>
      </w:numPr>
    </w:pPr>
  </w:style>
  <w:style w:type="paragraph" w:customStyle="1" w:styleId="NumPar6">
    <w:name w:val="NumPar 6"/>
    <w:basedOn w:val="Normal"/>
    <w:next w:val="Text2"/>
    <w:pPr>
      <w:numPr>
        <w:ilvl w:val="5"/>
        <w:numId w:val="24"/>
      </w:numPr>
    </w:pPr>
  </w:style>
  <w:style w:type="paragraph" w:customStyle="1" w:styleId="NumPar7">
    <w:name w:val="NumPar 7"/>
    <w:basedOn w:val="Normal"/>
    <w:next w:val="Text2"/>
    <w:pPr>
      <w:numPr>
        <w:ilvl w:val="6"/>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7774B2"/>
    <w:pPr>
      <w:tabs>
        <w:tab w:val="center" w:pos="4535"/>
        <w:tab w:val="right" w:pos="9071"/>
      </w:tabs>
      <w:spacing w:before="0"/>
    </w:pPr>
  </w:style>
  <w:style w:type="paragraph" w:customStyle="1" w:styleId="HeaderLandscape">
    <w:name w:val="HeaderLandscape"/>
    <w:basedOn w:val="Normal"/>
    <w:rsid w:val="007774B2"/>
    <w:pPr>
      <w:tabs>
        <w:tab w:val="center" w:pos="7285"/>
        <w:tab w:val="right" w:pos="14003"/>
      </w:tabs>
      <w:spacing w:before="0"/>
    </w:pPr>
  </w:style>
  <w:style w:type="paragraph" w:styleId="Footer">
    <w:name w:val="footer"/>
    <w:basedOn w:val="Normal"/>
    <w:link w:val="FooterChar"/>
    <w:uiPriority w:val="99"/>
    <w:unhideWhenUsed/>
    <w:rsid w:val="007774B2"/>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7774B2"/>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4693">
      <w:bodyDiv w:val="1"/>
      <w:marLeft w:val="0"/>
      <w:marRight w:val="0"/>
      <w:marTop w:val="0"/>
      <w:marBottom w:val="0"/>
      <w:divBdr>
        <w:top w:val="none" w:sz="0" w:space="0" w:color="auto"/>
        <w:left w:val="none" w:sz="0" w:space="0" w:color="auto"/>
        <w:bottom w:val="none" w:sz="0" w:space="0" w:color="auto"/>
        <w:right w:val="none" w:sz="0" w:space="0" w:color="auto"/>
      </w:divBdr>
    </w:div>
    <w:div w:id="290786044">
      <w:bodyDiv w:val="1"/>
      <w:marLeft w:val="0"/>
      <w:marRight w:val="0"/>
      <w:marTop w:val="0"/>
      <w:marBottom w:val="0"/>
      <w:divBdr>
        <w:top w:val="none" w:sz="0" w:space="0" w:color="auto"/>
        <w:left w:val="none" w:sz="0" w:space="0" w:color="auto"/>
        <w:bottom w:val="none" w:sz="0" w:space="0" w:color="auto"/>
        <w:right w:val="none" w:sz="0" w:space="0" w:color="auto"/>
      </w:divBdr>
    </w:div>
    <w:div w:id="1121145453">
      <w:bodyDiv w:val="1"/>
      <w:marLeft w:val="0"/>
      <w:marRight w:val="0"/>
      <w:marTop w:val="0"/>
      <w:marBottom w:val="0"/>
      <w:divBdr>
        <w:top w:val="none" w:sz="0" w:space="0" w:color="auto"/>
        <w:left w:val="none" w:sz="0" w:space="0" w:color="auto"/>
        <w:bottom w:val="none" w:sz="0" w:space="0" w:color="auto"/>
        <w:right w:val="none" w:sz="0" w:space="0" w:color="auto"/>
      </w:divBdr>
    </w:div>
    <w:div w:id="1368482295">
      <w:bodyDiv w:val="1"/>
      <w:marLeft w:val="0"/>
      <w:marRight w:val="0"/>
      <w:marTop w:val="0"/>
      <w:marBottom w:val="0"/>
      <w:divBdr>
        <w:top w:val="none" w:sz="0" w:space="0" w:color="auto"/>
        <w:left w:val="none" w:sz="0" w:space="0" w:color="auto"/>
        <w:bottom w:val="none" w:sz="0" w:space="0" w:color="auto"/>
        <w:right w:val="none" w:sz="0" w:space="0" w:color="auto"/>
      </w:divBdr>
    </w:div>
    <w:div w:id="1783107261">
      <w:bodyDiv w:val="1"/>
      <w:marLeft w:val="0"/>
      <w:marRight w:val="0"/>
      <w:marTop w:val="0"/>
      <w:marBottom w:val="0"/>
      <w:divBdr>
        <w:top w:val="none" w:sz="0" w:space="0" w:color="auto"/>
        <w:left w:val="none" w:sz="0" w:space="0" w:color="auto"/>
        <w:bottom w:val="none" w:sz="0" w:space="0" w:color="auto"/>
        <w:right w:val="none" w:sz="0" w:space="0" w:color="auto"/>
      </w:divBdr>
    </w:div>
    <w:div w:id="1880314722">
      <w:bodyDiv w:val="1"/>
      <w:marLeft w:val="0"/>
      <w:marRight w:val="0"/>
      <w:marTop w:val="0"/>
      <w:marBottom w:val="0"/>
      <w:divBdr>
        <w:top w:val="none" w:sz="0" w:space="0" w:color="auto"/>
        <w:left w:val="none" w:sz="0" w:space="0" w:color="auto"/>
        <w:bottom w:val="none" w:sz="0" w:space="0" w:color="auto"/>
        <w:right w:val="none" w:sz="0" w:space="0" w:color="auto"/>
      </w:divBdr>
    </w:div>
    <w:div w:id="206787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ec/1999/437/oj" TargetMode="External"/><Relationship Id="rId3" Type="http://schemas.openxmlformats.org/officeDocument/2006/relationships/hyperlink" Target="http://data.europa.eu/eli/reg/2014/515/oj" TargetMode="External"/><Relationship Id="rId7" Type="http://schemas.openxmlformats.org/officeDocument/2006/relationships/hyperlink" Target="http://data.europa.eu/eli/reg/2003/693/oj" TargetMode="External"/><Relationship Id="rId2" Type="http://schemas.openxmlformats.org/officeDocument/2006/relationships/hyperlink" Target="http://data.europa.eu/eli/reg/2024/1351/oj" TargetMode="External"/><Relationship Id="rId1" Type="http://schemas.openxmlformats.org/officeDocument/2006/relationships/hyperlink" Target="http://data.europa.eu/eli/reg/2024/1356/oj" TargetMode="External"/><Relationship Id="rId6" Type="http://schemas.openxmlformats.org/officeDocument/2006/relationships/hyperlink" Target="http://data.europa.eu/eli/reg/2024/1351/oj" TargetMode="External"/><Relationship Id="rId5" Type="http://schemas.openxmlformats.org/officeDocument/2006/relationships/hyperlink" Target="http://data.europa.eu/eli/reg/2018/1240/oj" TargetMode="External"/><Relationship Id="rId10" Type="http://schemas.openxmlformats.org/officeDocument/2006/relationships/hyperlink" Target="http://data.europa.eu/eli/dec/2011/350/oj" TargetMode="External"/><Relationship Id="rId4" Type="http://schemas.openxmlformats.org/officeDocument/2006/relationships/hyperlink" Target="http://data.europa.eu/eli/reg/2021/1148/oj" TargetMode="External"/><Relationship Id="rId9" Type="http://schemas.openxmlformats.org/officeDocument/2006/relationships/hyperlink" Target="http://data.europa.eu/eli/dec/2008/14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74AED-1500-4A59-BF4A-B85CA22A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23</TotalTime>
  <Pages>12</Pages>
  <Words>7743</Words>
  <Characters>44138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44</cp:revision>
  <cp:lastPrinted>2025-07-15T11:32:00Z</cp:lastPrinted>
  <dcterms:created xsi:type="dcterms:W3CDTF">2025-07-17T12:06:00Z</dcterms:created>
  <dcterms:modified xsi:type="dcterms:W3CDTF">2025-09-03T12:15:00Z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2025-07-17T12:06:02Z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06166290-4e5e-45c9-b112-ff8139c61356</vt:lpwstr>
  </property>
  <property fmtid="{D5CDD505-2E9C-101B-9397-08002B2CF9AE}" pid="16" name="MSIP_Label_6bd9ddd1-4d20-43f6-abfa-fc3c07406f94_ContentBits">
    <vt:lpwstr>0</vt:lpwstr>
  </property>
  <property fmtid="{D5CDD505-2E9C-101B-9397-08002B2CF9AE}" pid="17" name="MSIP_Label_6bd9ddd1-4d20-43f6-abfa-fc3c07406f94_Tag">
    <vt:lpwstr>10, 0, 1, 1</vt:lpwstr>
  </property>
  <property fmtid="{D5CDD505-2E9C-101B-9397-08002B2CF9AE}" pid="18" name="DQCStatus">
    <vt:lpwstr>Green (DQC version 03)</vt:lpwstr>
  </property>
</Properties>
</file>