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0E64356D" w:rsidR="00286E0D" w:rsidRPr="00CF1D51" w:rsidRDefault="00907479" w:rsidP="00907479">
      <w:pPr>
        <w:pStyle w:val="Pagedecouverture"/>
        <w:rPr>
          <w:noProof/>
        </w:rPr>
      </w:pPr>
      <w:r>
        <w:rPr>
          <w:noProof/>
        </w:rPr>
        <w:pict w14:anchorId="055F9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B4A9B0A-FE06-48F6-8B43-F7C343BC9768" style="width:455.25pt;height:355.5pt">
            <v:imagedata r:id="rId8" o:title=""/>
          </v:shape>
        </w:pict>
      </w:r>
    </w:p>
    <w:p w14:paraId="0D2B0620" w14:textId="77777777" w:rsidR="00286E0D" w:rsidRPr="00CF1D51" w:rsidRDefault="00286E0D" w:rsidP="00286E0D">
      <w:pPr>
        <w:rPr>
          <w:noProof/>
        </w:rPr>
        <w:sectPr w:rsidR="00286E0D" w:rsidRPr="00CF1D51" w:rsidSect="00907479">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CF1D51" w:rsidRDefault="00286E0D" w:rsidP="00286E0D">
      <w:pPr>
        <w:pStyle w:val="Exposdesmotifstitre"/>
        <w:rPr>
          <w:noProof/>
        </w:rPr>
      </w:pPr>
      <w:bookmarkStart w:id="0" w:name="_GoBack"/>
      <w:bookmarkEnd w:id="0"/>
      <w:r w:rsidRPr="00CF1D51">
        <w:rPr>
          <w:noProof/>
        </w:rPr>
        <w:lastRenderedPageBreak/>
        <w:t>OBRAZLOŽITVENI MEMORANDUM</w:t>
      </w:r>
    </w:p>
    <w:p w14:paraId="1D44F294" w14:textId="77777777" w:rsidR="00286E0D" w:rsidRPr="00CF1D51" w:rsidRDefault="00286E0D" w:rsidP="00286E0D">
      <w:pPr>
        <w:rPr>
          <w:noProof/>
        </w:rPr>
      </w:pPr>
    </w:p>
    <w:p w14:paraId="791ACC5D" w14:textId="77777777" w:rsidR="00286E0D" w:rsidRPr="00CF1D51" w:rsidRDefault="00286E0D" w:rsidP="00286E0D">
      <w:pPr>
        <w:pStyle w:val="ManualHeading1"/>
        <w:rPr>
          <w:noProof/>
        </w:rPr>
      </w:pPr>
      <w:r w:rsidRPr="00CF1D51">
        <w:rPr>
          <w:noProof/>
        </w:rPr>
        <w:t>1.</w:t>
      </w:r>
      <w:r w:rsidRPr="00CF1D51">
        <w:rPr>
          <w:noProof/>
        </w:rPr>
        <w:tab/>
        <w:t>OZADJE PREDLOGA</w:t>
      </w:r>
    </w:p>
    <w:p w14:paraId="141EF942" w14:textId="77777777" w:rsidR="00286E0D" w:rsidRPr="00CF1D51" w:rsidRDefault="00286E0D" w:rsidP="00286E0D">
      <w:pPr>
        <w:pStyle w:val="ManualHeading2"/>
        <w:rPr>
          <w:rFonts w:eastAsia="Arial Unicode MS"/>
          <w:noProof/>
        </w:rPr>
      </w:pPr>
      <w:r w:rsidRPr="00CF1D51">
        <w:rPr>
          <w:noProof/>
          <w:color w:val="000000"/>
          <w:u w:color="000000"/>
          <w:bdr w:val="nil"/>
        </w:rPr>
        <w:t>•</w:t>
      </w:r>
      <w:r w:rsidRPr="00CF1D51">
        <w:rPr>
          <w:noProof/>
        </w:rPr>
        <w:tab/>
        <w:t xml:space="preserve">Razlogi in cilji </w:t>
      </w:r>
    </w:p>
    <w:p w14:paraId="034D1AFE" w14:textId="77777777" w:rsidR="004D75E7" w:rsidRPr="00CF1D51" w:rsidRDefault="00B9223C" w:rsidP="004D75E7">
      <w:pPr>
        <w:rPr>
          <w:noProof/>
        </w:rPr>
      </w:pPr>
      <w:r w:rsidRPr="00CF1D51">
        <w:rPr>
          <w:noProof/>
        </w:rPr>
        <w:t xml:space="preserve">V političnih usmeritvah Komisije za obdobje 2024–2029 je poudarjeno, da je treba zagotoviti celovito in popolnoma delujoče schengensko območje brez nadzora na notranjih mejah, in sicer z varnejšimi zunanjimi mejami, prednostno skrbjo za varnost, upravljanjem migracij in učinkovitostjo. V središču teh prizadevanj je evropsko integrirano upravljanje meja, ki zagotavlja skladnost med medsebojno povezanimi področji politike, vključno z mejami, vračanjem in nadzorom, ter med agencijo Frontex in pristojnimi nacionalnimi organi za upravljanje zunanjih meja EU. Kar zadeva izvajanje, okvir upravljanja schengenskega območja, ki ga podpirajo schengenska ocenjevanja, politično in strateško usmerja razvoj schengenskega območja, saj zagotavlja, da se ključne pobude, kot je interoperabilnost informacijskih sistemov, in ustrezna pravila izvajajo ter da se sistematični primanjkljaji ugotovijo in odpravijo. To bi moralo spodbujati močan občutek skupne odgovornosti in medsebojno zaupanje med državami članicami in pridruženimi schengenskimi državami. </w:t>
      </w:r>
    </w:p>
    <w:p w14:paraId="401136B9" w14:textId="77777777" w:rsidR="00D81B8C" w:rsidRPr="00CF1D51" w:rsidRDefault="00B9223C" w:rsidP="00B9223C">
      <w:pPr>
        <w:rPr>
          <w:noProof/>
        </w:rPr>
      </w:pPr>
      <w:r w:rsidRPr="00CF1D51">
        <w:rPr>
          <w:noProof/>
        </w:rPr>
        <w:t xml:space="preserve">Geopolitične razmere v Evropi so se bistveno spremenile, kar močno vpliva na upravljanje zunanjih meja Unije. Zaščita zunanjih meja je še toliko bolj nujna zaradi porasta </w:t>
      </w:r>
      <w:bookmarkStart w:id="1" w:name="_Hlk202820988"/>
      <w:r w:rsidRPr="00CF1D51">
        <w:rPr>
          <w:noProof/>
        </w:rPr>
        <w:t>hibridnih in drugih varnostnih groženj</w:t>
      </w:r>
      <w:bookmarkEnd w:id="1"/>
      <w:r w:rsidRPr="00CF1D51">
        <w:rPr>
          <w:noProof/>
        </w:rPr>
        <w:t xml:space="preserve">, vključno z uporabo migracij kot orožja. Ob tem so </w:t>
      </w:r>
      <w:bookmarkStart w:id="2" w:name="_Hlk202822882"/>
      <w:r w:rsidRPr="00CF1D51">
        <w:rPr>
          <w:noProof/>
        </w:rPr>
        <w:t>nedovoljene migracije še vedno pomemben dejavnik, iz česar je razvidno, da je treba zagotoviti učinkovito sodelovanje s tretjimi državami ter z državami izvora in tranzita sklepati celovita partnerstva, kar podpira Uredba (EU) [...] [Globalna Evropa]</w:t>
      </w:r>
      <w:bookmarkEnd w:id="2"/>
      <w:r w:rsidRPr="00CF1D51">
        <w:rPr>
          <w:noProof/>
        </w:rPr>
        <w:t xml:space="preserve">. Tihotapljenje migrantov je za kriminalne mreže donosen posel, tihotapci pa za olajševanje nedovoljenih migracij tako v Evropsko unijo kot po njej uporabljajo kopenske, morske in zračne poti. Pri tem vse pogosteje prihaja do hudih kršitev človekovih pravic in smrtnih žrtev, zlasti na morju. Ker migranti umirajo zaradi ravnanja tihotapcev na Sredozemskem morju, je nadvse nujno, da se tihotapljenje migrantov zatre z uporabo vseh razpoložljivih pravnih, operativnih in upravnih vzvodov. </w:t>
      </w:r>
    </w:p>
    <w:p w14:paraId="6F6D36BE" w14:textId="77777777" w:rsidR="00B9223C" w:rsidRPr="00CF1D51" w:rsidRDefault="00B9223C" w:rsidP="00FA3905">
      <w:pPr>
        <w:rPr>
          <w:noProof/>
        </w:rPr>
      </w:pPr>
      <w:r w:rsidRPr="00CF1D51">
        <w:rPr>
          <w:noProof/>
        </w:rPr>
        <w:t>Države članice se morajo biti sposobne hitro in učinkovito odzvati na razvoj dogodkov, v ta namen pa jim mora biti na voljo podpora Unije.</w:t>
      </w:r>
    </w:p>
    <w:p w14:paraId="4BD9F834" w14:textId="77777777" w:rsidR="00BE09E6" w:rsidRPr="00CF1D51" w:rsidRDefault="00E57952" w:rsidP="00FA3905">
      <w:pPr>
        <w:rPr>
          <w:noProof/>
        </w:rPr>
      </w:pPr>
      <w:r w:rsidRPr="00CF1D51">
        <w:rPr>
          <w:noProof/>
        </w:rPr>
        <w:t>Bistveno je zagotoviti razvoj ter varno delovanje in vzdrževanje obsežnih informacijskih sistemov v skladu s pravom Unije na področju upravljanja meja, in sicer Schengenskega informacijskega sistema (SIS), Vizumskega informacijskega sistema (VIS), sistema Eurodac, sistema vstopa/izstopa (SVI) ter Evropskega sistema za potovalne informacije in odobritve (EITAS), vključno z interoperabilnostjo teh sistemov, pa tudi komunikacijske infrastrukture. Instrument bi moral prispevati tudi k ukrepom za izboljšanje kakovosti podatkov in zagotavljanja informacij.</w:t>
      </w:r>
    </w:p>
    <w:p w14:paraId="0413D35D" w14:textId="77777777" w:rsidR="008C306E" w:rsidRPr="00CF1D51" w:rsidRDefault="008C306E" w:rsidP="00D81B8C">
      <w:pPr>
        <w:rPr>
          <w:noProof/>
        </w:rPr>
      </w:pPr>
      <w:bookmarkStart w:id="3" w:name="_Hlk202880202"/>
      <w:r w:rsidRPr="00CF1D51">
        <w:rPr>
          <w:noProof/>
        </w:rPr>
        <w:t>Podpora Unije bi morala biti državam članicam na voljo tudi za vzpostavitev potrebnega strokovnega znanja in operativnih zmogljivosti za izvajanje ustreznih elementov pakta o azilu in migracijah, in sicer Uredbe (EU) 2024/1356</w:t>
      </w:r>
      <w:r w:rsidRPr="00CF1D51">
        <w:rPr>
          <w:rStyle w:val="FootnoteReference"/>
          <w:noProof/>
        </w:rPr>
        <w:footnoteReference w:id="1"/>
      </w:r>
      <w:r w:rsidRPr="00CF1D51">
        <w:rPr>
          <w:noProof/>
        </w:rPr>
        <w:t xml:space="preserve"> (uredba o preverjanju), ki prispeva k učinkovitemu upravljanju meja.</w:t>
      </w:r>
      <w:bookmarkEnd w:id="3"/>
      <w:r w:rsidRPr="00CF1D51">
        <w:rPr>
          <w:noProof/>
        </w:rPr>
        <w:t xml:space="preserve"> </w:t>
      </w:r>
    </w:p>
    <w:p w14:paraId="07A03C8E" w14:textId="77777777" w:rsidR="00D81B8C" w:rsidRPr="00CF1D51" w:rsidRDefault="00D81B8C" w:rsidP="00D81B8C">
      <w:pPr>
        <w:rPr>
          <w:noProof/>
        </w:rPr>
      </w:pPr>
      <w:r w:rsidRPr="00CF1D51">
        <w:rPr>
          <w:noProof/>
        </w:rPr>
        <w:t>Pri prečkanju zunanjih meja EU se izvajajo sistematične kontrole tako državljanov EU kot državljanov tretjih držav. Glede na to, da je bilo samo v letu 2023 zabeleženih skoraj 600 milijonov prehodov in da naj bi se število prehodov v prihodnjih letih še naprej povečevalo, obstaja jasna potreba, da se kontrole izvajajo hitro in učinkovito ob uporabi informacijskih sistemov ter da se ob tem ohrani visoka raven varnosti, tako da se zagotovi preverjanje prav vsakega potnika.</w:t>
      </w:r>
    </w:p>
    <w:p w14:paraId="293FB5AE" w14:textId="77777777" w:rsidR="00B9223C" w:rsidRPr="00CF1D51" w:rsidRDefault="00B9223C" w:rsidP="00B9223C">
      <w:pPr>
        <w:rPr>
          <w:noProof/>
        </w:rPr>
      </w:pPr>
      <w:r w:rsidRPr="00CF1D51">
        <w:rPr>
          <w:noProof/>
        </w:rPr>
        <w:t>Države članice bi morale tesno sodelovati z ustreznimi agencijami EU, vključno z agencijama Frontex in eu-LISA, ki bi morale zagotoviti potrebno tehnično strokovno znanje in tehnološka sredstva za nadzor in spremljanje razmer. Na splošno bi morala Komisija ustrezne organe, urade in agencije Unije vključiti v ustrezne dejavnosti, katerih cilj je zagotoviti, da so ukrepi, ki jih podpira Unija, skladni z ustreznim pravnim redom Unije in dogovorjenimi prednostnimi nalogami Unije.</w:t>
      </w:r>
    </w:p>
    <w:p w14:paraId="0C29A07E" w14:textId="77777777" w:rsidR="00B9223C" w:rsidRPr="00CF1D51" w:rsidRDefault="00B9223C" w:rsidP="00B9223C">
      <w:pPr>
        <w:rPr>
          <w:noProof/>
        </w:rPr>
      </w:pPr>
      <w:r w:rsidRPr="00CF1D51">
        <w:rPr>
          <w:noProof/>
        </w:rPr>
        <w:t>Močna vizumska politika EU je ključna tudi za boljše varovanje meja in upravljanje migracij. Podpora Unije bi morala državam članicam zlasti pomagati izboljšati učinkovitost obravnave vlog za izdajo vizumov in preprečevati zlorabo vizumskega režima Unije. Podpora Unije je potrebna pri digitalizaciji obravnave vlog za izdajo vizumov ter izboljšanju dostopnosti konzularnih storitev po vsem svetu in storitev za prosilce.</w:t>
      </w:r>
    </w:p>
    <w:p w14:paraId="33FEB1CE" w14:textId="335F2A4B" w:rsidR="00B9223C" w:rsidRPr="00CF1D51" w:rsidRDefault="00B9223C" w:rsidP="001F3E4C">
      <w:pPr>
        <w:rPr>
          <w:noProof/>
        </w:rPr>
      </w:pPr>
      <w:r w:rsidRPr="00CF1D51">
        <w:rPr>
          <w:noProof/>
        </w:rPr>
        <w:t xml:space="preserve">Namen predloga je obravnavati potrebo po prožnejšem upravljanju podpore Unije, vključno z odločnejšo usmerjenostjo v smotrnost, ter po večji poenostavitvi za vse akterje, vključene v njeno izvajanje. V ta namen ta predlog tesno dopolnjuje predlog uredbe (EU) [...] o vzpostavitvi Evropskega sklada za ekonomsko, socialno in teritorialno kohezijo, kmetijstvo in podeželje, ribištvo in pomorstvo ter blaginjo in varnost, ki uvaja nove mehanizme za dodeljevanje sredstev za deljeno, neposredno in posredno upravljanje. Ker se izzivi na področju upravljanja meja in migracij nenehno spreminjajo, se je treba odzvati tudi na pereče potrebe ter spremembe politik in prednostnih nalog Unije, </w:t>
      </w:r>
      <w:bookmarkStart w:id="4" w:name="_Hlk202775281"/>
      <w:r w:rsidRPr="00CF1D51">
        <w:rPr>
          <w:noProof/>
        </w:rPr>
        <w:t>odpraviti pomanjkljivosti, ugotovljene s schengenskimi ocenjevanji</w:t>
      </w:r>
      <w:bookmarkEnd w:id="4"/>
      <w:r w:rsidRPr="00CF1D51">
        <w:rPr>
          <w:noProof/>
        </w:rPr>
        <w:t xml:space="preserve"> in oceno ranljivosti, ki jo izvaja agencija Frontex, ter financiranje usmeriti v ukrepe z visoko dodano vrednostjo Unije, zlasti prek Instrumenta EU, ki omogoča prožno upravljanje podpore Unije.</w:t>
      </w:r>
    </w:p>
    <w:p w14:paraId="4CF7EFDF" w14:textId="64E65124" w:rsidR="00EB6497" w:rsidRPr="00CF1D51" w:rsidRDefault="00EB6497" w:rsidP="001F3E4C">
      <w:pPr>
        <w:pBdr>
          <w:top w:val="nil"/>
          <w:left w:val="nil"/>
          <w:bottom w:val="nil"/>
          <w:right w:val="nil"/>
          <w:between w:val="nil"/>
          <w:bar w:val="nil"/>
        </w:pBdr>
        <w:rPr>
          <w:rFonts w:eastAsia="Arial Unicode MS"/>
          <w:noProof/>
        </w:rPr>
      </w:pPr>
      <w:r w:rsidRPr="00CF1D51">
        <w:rPr>
          <w:noProof/>
        </w:rPr>
        <w:t xml:space="preserve">Ta predlog skupaj s predlogom uredbe o vzpostavitvi podpore Unije za azil, migracije in vključevanje ter predlogom uredbe o vzpostavitvi podpore Unije za notranjo varnost zagotavlja poseben pravni okvir za ukrepe Unije na področjih evropskega integriranega upravljanja zunanjih meja, dobro delujočega schengenskega območja in evropske vizumske politike ter učinkovitega upravljanja migracijskih tokov in notranje varnosti. Te tri uredbe se medsebojno dopolnjujejo ter prispevajo k ciljem Uredbe (EU) [...] o vzpostavitvi Evropskega sklada za ekonomsko, socialno in teritorialno kohezijo, kmetijstvo in podeželje, ribištvo in pomorstvo ter blaginjo in varnost, prek katerega se bodo izvajale. </w:t>
      </w:r>
    </w:p>
    <w:p w14:paraId="5EBA1527" w14:textId="77777777" w:rsidR="00EB6497" w:rsidRPr="00CF1D51" w:rsidRDefault="00EB6497" w:rsidP="00EB6497">
      <w:pPr>
        <w:rPr>
          <w:noProof/>
        </w:rPr>
      </w:pPr>
      <w:r w:rsidRPr="00CF1D51">
        <w:rPr>
          <w:noProof/>
        </w:rPr>
        <w:t>Predlagana uredba temelji na Uredbi (EU) 2021/1148</w:t>
      </w:r>
      <w:r w:rsidRPr="00CF1D51">
        <w:rPr>
          <w:rStyle w:val="FootnoteReference"/>
          <w:rFonts w:eastAsia="Arial Unicode MS"/>
          <w:noProof/>
        </w:rPr>
        <w:footnoteReference w:id="2"/>
      </w:r>
      <w:r w:rsidRPr="00CF1D51">
        <w:rPr>
          <w:noProof/>
        </w:rPr>
        <w:t>, upošteva pa nov razvoj politike in potrebo po zagotavljanju prožnega odziva na spreminjajoče se izzive v zvezi z evropskim integriranim upravljanjem meja, vključno z dobrim delovanjem schengenskega območja, in vizumsko politiko EU.</w:t>
      </w:r>
    </w:p>
    <w:p w14:paraId="23CA5C86" w14:textId="77777777" w:rsidR="00286E0D" w:rsidRPr="00CF1D51" w:rsidRDefault="00286E0D" w:rsidP="00286E0D">
      <w:pPr>
        <w:pStyle w:val="ManualHeading2"/>
        <w:rPr>
          <w:rFonts w:eastAsia="Arial Unicode MS"/>
          <w:noProof/>
          <w:color w:val="000000"/>
          <w:u w:color="000000"/>
          <w:bdr w:val="nil"/>
        </w:rPr>
      </w:pPr>
      <w:r w:rsidRPr="00CF1D51">
        <w:rPr>
          <w:noProof/>
          <w:color w:val="000000"/>
          <w:u w:color="000000"/>
          <w:bdr w:val="nil"/>
        </w:rPr>
        <w:t>•</w:t>
      </w:r>
      <w:r w:rsidRPr="00CF1D51">
        <w:rPr>
          <w:noProof/>
        </w:rPr>
        <w:tab/>
        <w:t>Skladnost z veljavnimi predpisi</w:t>
      </w:r>
    </w:p>
    <w:p w14:paraId="254C54FA" w14:textId="77777777" w:rsidR="00286E0D" w:rsidRPr="00CF1D51" w:rsidRDefault="00286E0D" w:rsidP="00286E0D">
      <w:pPr>
        <w:pBdr>
          <w:top w:val="nil"/>
          <w:left w:val="nil"/>
          <w:bottom w:val="nil"/>
          <w:right w:val="nil"/>
          <w:between w:val="nil"/>
          <w:bar w:val="nil"/>
        </w:pBdr>
        <w:rPr>
          <w:rFonts w:eastAsia="Arial Unicode MS"/>
          <w:noProof/>
        </w:rPr>
      </w:pPr>
      <w:r w:rsidRPr="00CF1D51">
        <w:rPr>
          <w:noProof/>
        </w:rPr>
        <w:t>Podpora Unije za evropsko integrirano upravljanje meja in evropsko vizumsko politiko se bo strogo dopolnjevala z drugimi politikami v okviru načrtov za nacionalna in regionalna partnerstva, s čimer se bodo spodbujale sinergije med temi politikami. Prav tako si je treba prizadevati za sinergije in dopolnjevanje, zlasti s schengenskim pravnim redom in zakonodajnim svežnjem, na katerem temelji pakt o migracijah in azilu, ki je začel veljati 11. junija 2024. Vendar je za okrepljeno politiko EU na področju evropskega integriranega upravljanja meja in vizumske politike EU potrebno ukrepanje v celotnem spektru orodij, ki so na voljo, vključno z dejavnostmi ustreznih decentraliziranih agencij Unije.</w:t>
      </w:r>
    </w:p>
    <w:p w14:paraId="7C64BB8E" w14:textId="77777777" w:rsidR="00EB6497" w:rsidRPr="00CF1D51" w:rsidRDefault="00EB6497" w:rsidP="00286E0D">
      <w:pPr>
        <w:pBdr>
          <w:top w:val="nil"/>
          <w:left w:val="nil"/>
          <w:bottom w:val="nil"/>
          <w:right w:val="nil"/>
          <w:between w:val="nil"/>
          <w:bar w:val="nil"/>
        </w:pBdr>
        <w:rPr>
          <w:rFonts w:eastAsia="Arial Unicode MS"/>
          <w:noProof/>
        </w:rPr>
      </w:pPr>
      <w:bookmarkStart w:id="5" w:name="_Hlk202880469"/>
      <w:r w:rsidRPr="00CF1D51">
        <w:rPr>
          <w:noProof/>
          <w:color w:val="000000" w:themeColor="text1"/>
        </w:rPr>
        <w:t>Šest decentraliziranih agencij na področju notranjih zadev (Frontex, Europol, EUAA, eu-LISA, EUDA in Cepol) ima pomembno in vse večjo vlogo pri izvajanju politik na področju notranjih zadev. Bistveno je zagotoviti skladnost med strategijami politike, določenimi na ravni EU, in operativnimi dejavnostmi decentraliziranih agencij, tako da se za cilje politike EU zagotovi kar največji prispevek iz sredstev EU, zagotovljenih decentraliziranim agencijam. Operativno vlogo decentraliziranih agencij bo morda treba dodatno okrepiti, ob tem pa ustrezno povečati financiranje.</w:t>
      </w:r>
    </w:p>
    <w:bookmarkEnd w:id="5"/>
    <w:p w14:paraId="3F7C3464" w14:textId="77777777" w:rsidR="00286E0D" w:rsidRPr="00CF1D51" w:rsidRDefault="00286E0D" w:rsidP="00336FEB">
      <w:pPr>
        <w:pStyle w:val="ManualHeading2"/>
        <w:ind w:left="851" w:hanging="851"/>
        <w:rPr>
          <w:rFonts w:eastAsia="Arial Unicode MS"/>
          <w:noProof/>
        </w:rPr>
      </w:pPr>
      <w:r w:rsidRPr="00CF1D51">
        <w:rPr>
          <w:noProof/>
          <w:color w:val="000000"/>
          <w:u w:color="000000"/>
          <w:bdr w:val="nil"/>
        </w:rPr>
        <w:t>•</w:t>
      </w:r>
      <w:r w:rsidRPr="00CF1D51">
        <w:rPr>
          <w:noProof/>
        </w:rPr>
        <w:tab/>
        <w:t>Skladnost z drugimi politikami Unije</w:t>
      </w:r>
    </w:p>
    <w:p w14:paraId="1AF2B945" w14:textId="77777777" w:rsidR="0031749A" w:rsidRPr="00CF1D51" w:rsidRDefault="00286E0D" w:rsidP="00286E0D">
      <w:pPr>
        <w:pBdr>
          <w:top w:val="nil"/>
          <w:left w:val="nil"/>
          <w:bottom w:val="nil"/>
          <w:right w:val="nil"/>
          <w:between w:val="nil"/>
          <w:bar w:val="nil"/>
        </w:pBdr>
        <w:rPr>
          <w:rFonts w:eastAsia="Arial Unicode MS"/>
          <w:noProof/>
          <w:color w:val="000000" w:themeColor="text1"/>
        </w:rPr>
      </w:pPr>
      <w:r w:rsidRPr="00CF1D51">
        <w:rPr>
          <w:noProof/>
        </w:rPr>
        <w:t>Evropsko integrirano upravljanje meja in vizumska politika temeljita na sinergijah in skladnosti z ustreznimi politikami EU, kot so azil in migracije, notranja varnost ter zunanje politike Unije, ki podpirajo tretje države, zlasti na podlagi Uredbe (EU) [...] [Globalna Evropa], ki zajemajo najrazličnejša področja s pomembnimi povezavami z notranjimi politikami, vključno z upravljanjem meja in vizumsko politiko. Pomembno je zlasti zagotoviti večjo skladnost s podporo Unije za sodelovanje pri upravljanju meja s partnerskimi državami v okviru Globalne Evrope, da bi prispevali k usklajenemu, celostnemu in strukturiranemu pristopu, ki kar najbolje izkorišča sinergije in uporablja potreben vzvod.</w:t>
      </w:r>
      <w:r w:rsidRPr="00CF1D51">
        <w:rPr>
          <w:noProof/>
          <w:color w:val="000000" w:themeColor="text1"/>
        </w:rPr>
        <w:t xml:space="preserve"> V zvezi s tem je podpora čezmejnemu sodelovanju v okviru Globalne Evrope zlasti pomembna za izboljšanje upravljanja meja in nadaljevanje prizadevanj za preprečevanje nedovoljenih migracij.</w:t>
      </w:r>
    </w:p>
    <w:p w14:paraId="6CBA56D8" w14:textId="77777777" w:rsidR="00286E0D" w:rsidRPr="00CF1D51" w:rsidRDefault="00286E0D" w:rsidP="0031749A">
      <w:pPr>
        <w:pBdr>
          <w:top w:val="nil"/>
          <w:left w:val="nil"/>
          <w:bottom w:val="nil"/>
          <w:right w:val="nil"/>
          <w:between w:val="nil"/>
          <w:bar w:val="nil"/>
        </w:pBdr>
        <w:rPr>
          <w:noProof/>
          <w:szCs w:val="24"/>
        </w:rPr>
      </w:pPr>
      <w:r w:rsidRPr="00CF1D51">
        <w:rPr>
          <w:noProof/>
        </w:rPr>
        <w:t>Da bi podprli agendo za konkurenčnost, bi bilo treba razmisliti tudi o naložbah, ki bi temeljile na inovativnih metodah ali novih tehnologijah, vključno z ukrepi za preskušanje in potrjevanje rezultatov raziskovalnih projektov, ki jih financira Unija.</w:t>
      </w:r>
    </w:p>
    <w:p w14:paraId="43A280F3" w14:textId="77777777" w:rsidR="00B9223C" w:rsidRPr="00CF1D51" w:rsidRDefault="00AD5AEE" w:rsidP="00AD5AEE">
      <w:pPr>
        <w:pStyle w:val="ManualHeading2"/>
        <w:ind w:left="851" w:hanging="851"/>
        <w:rPr>
          <w:rFonts w:eastAsia="Arial Unicode MS"/>
          <w:noProof/>
          <w:color w:val="000000"/>
          <w:u w:color="000000"/>
          <w:bdr w:val="nil"/>
        </w:rPr>
      </w:pPr>
      <w:r w:rsidRPr="00CF1D51">
        <w:rPr>
          <w:noProof/>
          <w:color w:val="000000"/>
          <w:u w:color="000000"/>
          <w:bdr w:val="nil"/>
        </w:rPr>
        <w:t>•</w:t>
      </w:r>
      <w:r w:rsidRPr="00CF1D51">
        <w:rPr>
          <w:noProof/>
        </w:rPr>
        <w:tab/>
      </w:r>
      <w:r w:rsidRPr="00CF1D51">
        <w:rPr>
          <w:noProof/>
          <w:color w:val="000000"/>
          <w:u w:color="000000"/>
          <w:bdr w:val="nil"/>
        </w:rPr>
        <w:t>Načelo neobveznega sodelovanja</w:t>
      </w:r>
    </w:p>
    <w:p w14:paraId="4C39B415" w14:textId="77777777" w:rsidR="00C244F7" w:rsidRPr="00CF1D51" w:rsidRDefault="00B9223C" w:rsidP="00B9223C">
      <w:pPr>
        <w:rPr>
          <w:rFonts w:eastAsia="Arial Unicode MS"/>
          <w:noProof/>
        </w:rPr>
      </w:pPr>
      <w:r w:rsidRPr="00CF1D51">
        <w:rPr>
          <w:noProof/>
        </w:rPr>
        <w:t>Ta uredba predstavlja razvoj schengenskega pravnega reda. Zato za uporabo Uredbe za Dansko in Irsko veljajo posebne določbe iz Protokola št. 19 in Protokola št. 22, priloženih Pogodbi o Evropski uniji (PEU) in Pogodbi o delovanju Evropske unije (PDEU).</w:t>
      </w:r>
    </w:p>
    <w:p w14:paraId="5CBE603F" w14:textId="77777777" w:rsidR="00C244F7" w:rsidRPr="00CF1D51" w:rsidRDefault="00C244F7" w:rsidP="00B9223C">
      <w:pPr>
        <w:rPr>
          <w:rFonts w:eastAsia="Times New Roman"/>
          <w:noProof/>
          <w:color w:val="000000" w:themeColor="text1"/>
        </w:rPr>
      </w:pPr>
      <w:r w:rsidRPr="00CF1D51">
        <w:rPr>
          <w:noProof/>
        </w:rPr>
        <w:t>V skladu s členoma 1 in 2 Protokola št. 22 Uredba za Dansko ni zavezujoča in se v njej ne uporablja. Vendar se Danska v skladu s členom 4 Protokola št. 22 odloči, ali bo izvajala ukrepe, ki nadgrajujejo schengenski pravni red in bodo zanjo zavezujoči.</w:t>
      </w:r>
      <w:r w:rsidRPr="00CF1D51">
        <w:rPr>
          <w:i/>
          <w:noProof/>
          <w:color w:val="000000" w:themeColor="text1"/>
        </w:rPr>
        <w:t xml:space="preserve"> </w:t>
      </w:r>
      <w:r w:rsidRPr="00CF1D51">
        <w:rPr>
          <w:noProof/>
          <w:color w:val="000000" w:themeColor="text1"/>
        </w:rPr>
        <w:t>Če se odloči za to možnost, bo ukrep povzročil obveznost po mednarodnem pravu med Dansko in drugimi državami članicami.</w:t>
      </w:r>
    </w:p>
    <w:p w14:paraId="0E7F29D4" w14:textId="77777777" w:rsidR="00B9223C" w:rsidRPr="00CF1D51" w:rsidRDefault="00C244F7" w:rsidP="00FA3905">
      <w:pPr>
        <w:rPr>
          <w:rFonts w:eastAsia="Times New Roman"/>
          <w:noProof/>
          <w:color w:val="000000" w:themeColor="text1"/>
        </w:rPr>
      </w:pPr>
      <w:r w:rsidRPr="00CF1D51">
        <w:rPr>
          <w:noProof/>
          <w:color w:val="000000" w:themeColor="text1"/>
        </w:rPr>
        <w:t xml:space="preserve">Na podlagi člena 4 Protokola št. 19 lahko Irska kadar koli zaprosi za sodelovanje pri izvajanju nekaterih ali vseh določb schengenskega pravnega reda. Čeprav Irska sodeluje pri izvajanju nekaterih delov schengenskega pravnega reda, se ta uredba ne nanaša na dele schengenskega pravnega reda, pri katerih Irska sodeluje. </w:t>
      </w:r>
      <w:r w:rsidRPr="00CF1D51">
        <w:rPr>
          <w:noProof/>
        </w:rPr>
        <w:t>Kot ukrep, ki predstavlja razvoj schengenskega pravnega reda, je treba o tej uredbi uradno obvestiti štiri države (Islandijo, Kraljevino Norveško, Švicarsko konfederacijo in Kneževino Lihtenštajn), ki niso države članice Unije, vendar sodelujejo v schengenskem območju brez nadzora na notranjih mejah na podlagi pridružitvenih sporazumov, sklenjenih z Unijo. Potem ko bodo te štiri pridružene schengenske države uradno obveščene, bodo morale potrditi, da sprejemajo vsebino uredbe, in jo prenesti v svojo nacionalno zakonodajo. Predlagani ukrepi se bodo posledično uporabljali tudi za te štiri države.</w:t>
      </w:r>
    </w:p>
    <w:p w14:paraId="3F7474CB" w14:textId="77777777" w:rsidR="00286E0D" w:rsidRPr="00CF1D51" w:rsidRDefault="00286E0D" w:rsidP="00286E0D">
      <w:pPr>
        <w:pStyle w:val="ManualHeading1"/>
        <w:rPr>
          <w:noProof/>
        </w:rPr>
      </w:pPr>
      <w:r w:rsidRPr="00CF1D51">
        <w:rPr>
          <w:noProof/>
        </w:rPr>
        <w:t>2.</w:t>
      </w:r>
      <w:r w:rsidRPr="00CF1D51">
        <w:rPr>
          <w:noProof/>
        </w:rPr>
        <w:tab/>
        <w:t>PRAVNA PODLAGA, SUBSIDIARNOST IN SORAZMERNOST</w:t>
      </w:r>
    </w:p>
    <w:p w14:paraId="71B17439"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Pravna podlaga</w:t>
      </w:r>
    </w:p>
    <w:p w14:paraId="3FC49ECD" w14:textId="77777777" w:rsidR="00286E0D" w:rsidRPr="00CF1D51" w:rsidRDefault="00286E0D" w:rsidP="00286E0D">
      <w:pPr>
        <w:pBdr>
          <w:top w:val="nil"/>
          <w:left w:val="nil"/>
          <w:bottom w:val="nil"/>
          <w:right w:val="nil"/>
          <w:between w:val="nil"/>
          <w:bar w:val="nil"/>
        </w:pBdr>
        <w:rPr>
          <w:rFonts w:eastAsia="Arial Unicode MS"/>
          <w:noProof/>
        </w:rPr>
      </w:pPr>
      <w:r w:rsidRPr="00CF1D51">
        <w:rPr>
          <w:noProof/>
        </w:rPr>
        <w:t>Člen 3(2) Pogodbe o Evropski uniji določa, da „Unija nudi svojim državljanom območje svobode, varnosti in pravice brez notranjih meja, na katerem je v povezavi z ustreznimi ukrepi glede kontrole na zunanjih mejah, azila, priseljevanja ter glede preprečevanja kriminala in boja proti njemu zagotovljeno prosto gibanje oseb“. Pravna podlaga za ta predlog so ukrepi iz člena 77(2) ter člena 79(2), točki (c) in (d), Pogodbe o delovanju Evropske unije (PDEU).</w:t>
      </w:r>
    </w:p>
    <w:p w14:paraId="750CEE1E"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 xml:space="preserve">Subsidiarnost (za neizključno pristojnost) </w:t>
      </w:r>
    </w:p>
    <w:p w14:paraId="0C17F853" w14:textId="77777777" w:rsidR="00286E0D" w:rsidRPr="00CF1D51" w:rsidRDefault="0031749A" w:rsidP="00D35A81">
      <w:pPr>
        <w:pBdr>
          <w:top w:val="nil"/>
          <w:left w:val="nil"/>
          <w:bottom w:val="nil"/>
          <w:right w:val="nil"/>
          <w:between w:val="nil"/>
          <w:bar w:val="nil"/>
        </w:pBdr>
        <w:rPr>
          <w:rFonts w:eastAsia="Arial Unicode MS"/>
          <w:noProof/>
        </w:rPr>
      </w:pPr>
      <w:r w:rsidRPr="00CF1D51">
        <w:rPr>
          <w:noProof/>
          <w:color w:val="000000" w:themeColor="text1"/>
        </w:rPr>
        <w:t xml:space="preserve">Države članice ne morejo same doseči ciljev predloga, saj so izzivi čezmejni in niso omejeni le na eno samo državo članico ali skupino držav članic. </w:t>
      </w:r>
      <w:r w:rsidRPr="00CF1D51">
        <w:rPr>
          <w:noProof/>
        </w:rPr>
        <w:t>Podpora Unije ustvarja dodano vrednost s spodbujanjem skupnega pristopa vseh držav članic pri izvajanju pravnega reda in standardov EU ter s spodbujanjem sodelovanja med državami članicami pri nadnacionalnih vprašanjih.</w:t>
      </w:r>
    </w:p>
    <w:p w14:paraId="0E9E52B6"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Sorazmernost</w:t>
      </w:r>
    </w:p>
    <w:p w14:paraId="6AD7B953" w14:textId="77777777" w:rsidR="00286E0D" w:rsidRPr="00CF1D51" w:rsidRDefault="0031749A" w:rsidP="00FA3905">
      <w:pPr>
        <w:pBdr>
          <w:top w:val="nil"/>
          <w:left w:val="nil"/>
          <w:bottom w:val="nil"/>
          <w:right w:val="nil"/>
          <w:between w:val="nil"/>
          <w:bar w:val="nil"/>
        </w:pBdr>
        <w:rPr>
          <w:rFonts w:eastAsia="Arial Unicode MS"/>
          <w:noProof/>
          <w:color w:val="000000" w:themeColor="text1"/>
        </w:rPr>
      </w:pPr>
      <w:r w:rsidRPr="00CF1D51">
        <w:rPr>
          <w:noProof/>
          <w:color w:val="000000" w:themeColor="text1"/>
        </w:rPr>
        <w:t>Predlog ne presega tistega, kar je potrebno za doseganje zastavljenih ciljev, navedenih v oddelku 1. Spada na področje delovanja na območju svobode, varnosti in pravice, kot je opredeljeno v naslovu V tretjega dela PDEU. Cilji in ustrezna podpora Unije so sorazmerni z namenom instrumenta.</w:t>
      </w:r>
    </w:p>
    <w:p w14:paraId="70EDA19B"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Izbira instrumenta</w:t>
      </w:r>
    </w:p>
    <w:p w14:paraId="675DAC45" w14:textId="5D8E2C52" w:rsidR="0031749A" w:rsidRPr="00CF1D51" w:rsidRDefault="0031749A" w:rsidP="001F3E4C">
      <w:pPr>
        <w:pBdr>
          <w:top w:val="nil"/>
          <w:left w:val="nil"/>
          <w:bottom w:val="nil"/>
          <w:right w:val="nil"/>
          <w:between w:val="nil"/>
          <w:bar w:val="nil"/>
        </w:pBdr>
        <w:rPr>
          <w:rFonts w:eastAsia="Arial Unicode MS"/>
          <w:noProof/>
          <w:color w:val="000000" w:themeColor="text1"/>
        </w:rPr>
      </w:pPr>
      <w:r w:rsidRPr="00CF1D51">
        <w:rPr>
          <w:noProof/>
        </w:rPr>
        <w:t>Najprimernejši instrument za izvedbo tega predloga je uredba Evropskega parlamenta in Sveta o vzpostavitvi podpore Unije za upravljanje meja za obdobje od 1. januarja 2028 do 31. decembra 2034, ki dopolnjuje predlog uredbe (EU) [...] o vzpostavitvi Evropskega sklada za ekonomsko, socialno in teritorialno kohezijo, kmetijstvo in podeželje, ribištvo in pomorstvo ter blaginjo in varnost.</w:t>
      </w:r>
    </w:p>
    <w:p w14:paraId="0FA6C1BD" w14:textId="77777777" w:rsidR="00286E0D" w:rsidRPr="00CF1D51" w:rsidRDefault="00286E0D" w:rsidP="00286E0D">
      <w:pPr>
        <w:pStyle w:val="ManualHeading1"/>
        <w:rPr>
          <w:noProof/>
        </w:rPr>
      </w:pPr>
      <w:r w:rsidRPr="00CF1D51">
        <w:rPr>
          <w:noProof/>
        </w:rPr>
        <w:t>3.</w:t>
      </w:r>
      <w:r w:rsidRPr="00CF1D51">
        <w:rPr>
          <w:noProof/>
        </w:rPr>
        <w:tab/>
        <w:t>REZULTATI NAKNADNIH OCEN, POSVETOVANJ Z DELEŽNIKI IN OCEN UČINKA</w:t>
      </w:r>
    </w:p>
    <w:p w14:paraId="0B632E01"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Naknadne ocene/preverjanja primernosti obstoječe zakonodaje</w:t>
      </w:r>
    </w:p>
    <w:p w14:paraId="76E894A2" w14:textId="77777777" w:rsidR="00286E0D" w:rsidRPr="00CF1D51" w:rsidRDefault="00286E0D" w:rsidP="00EB6497">
      <w:pPr>
        <w:pBdr>
          <w:top w:val="nil"/>
          <w:left w:val="nil"/>
          <w:bottom w:val="nil"/>
          <w:right w:val="nil"/>
          <w:between w:val="nil"/>
          <w:bar w:val="nil"/>
        </w:pBdr>
        <w:rPr>
          <w:rFonts w:eastAsia="Arial Unicode MS"/>
          <w:noProof/>
        </w:rPr>
      </w:pPr>
      <w:r w:rsidRPr="00CF1D51">
        <w:rPr>
          <w:noProof/>
        </w:rPr>
        <w:t xml:space="preserve">Predhodni rezultati tekoče naknadne ocene Sklada za notranjo varnost – meje in vizumi (SNV-MV) za programsko obdobje 2014–2020 potrjujejo, da je SNV-MV države članice učinkovito podpiral pri doseganju njihovih ciljev na področjih vizumske politike in upravljanja zunanjih meja. Uvedba večletnega načrtovanja programov in nacionalnih pravil o upravičenosti je prispevala k zmanjšanju upravnega bremena. Če so se možnosti poenostavljenega obračunavanja stroškov uporabile, je bilo upravno breme uspešno zmanjšano, vendar te možnosti niso bile splošno sprejete. SNV-MV je pokazal različne stopnje gospodarnosti in učinkovitosti. Bil je skladen v okviru svojih komponent sklada in z drugimi skladi EU, vendar bi bilo mogoče dodatno okrepiti skladnost s programom Obzorje Evropa ter med nacionalnimi programi in ukrepi Unije. SNV-MV je znatno prispeval k dodani vrednosti EU. </w:t>
      </w:r>
      <w:bookmarkStart w:id="6" w:name="_Hlk202880568"/>
      <w:r w:rsidRPr="00CF1D51">
        <w:rPr>
          <w:noProof/>
        </w:rPr>
        <w:t>V naknadni oceni je predhodno ugotovljeno, da lahko poenostavitev zahtev glede poročanja in upravnih postopkov znatno poveča učinkovitost, ne da bi se okrnile kakovost in potrebne kvantitativne informacije za spremljanje izvajanja. Ta pristop bi moral čim bolj zmanjšati upravno breme in deležnikom omogočiti, da se osredotočijo na doseganje rezultatov in ne na birokratske postopke.</w:t>
      </w:r>
      <w:bookmarkEnd w:id="6"/>
    </w:p>
    <w:p w14:paraId="539AF480" w14:textId="77777777" w:rsidR="00286E0D" w:rsidRPr="00CF1D51" w:rsidRDefault="00286E0D" w:rsidP="00EB6497">
      <w:pPr>
        <w:pBdr>
          <w:top w:val="nil"/>
          <w:left w:val="nil"/>
          <w:bottom w:val="nil"/>
          <w:right w:val="nil"/>
          <w:between w:val="nil"/>
          <w:bar w:val="nil"/>
        </w:pBdr>
        <w:rPr>
          <w:rFonts w:eastAsia="Arial Unicode MS"/>
          <w:i/>
          <w:noProof/>
        </w:rPr>
      </w:pPr>
      <w:r w:rsidRPr="00CF1D51">
        <w:rPr>
          <w:noProof/>
        </w:rPr>
        <w:t xml:space="preserve">Predhodni rezultati vmesne ocene Instrumenta za finančno podporo za upravljanje meja in vizumsko politiko za programsko obdobje 2021–2027 potrjujejo, da se je okvir spremljanja in ocenjevanja za ta instrument v primerjavi z obdobjem 2014–2020 znatno izboljšal. Države članice in upravičenci so poudarili pomisleke glede upravnega bremena. Organi upravljanja so doslej omejeno uporabljali možnosti poenostavljenega obračunavanja stroškov in financiranja, ki ni povezano s stroški, s čimer bi lahko zmanjšali upravno breme. Programi držav članic in delovni programi Komisije za tematski instrument so skladni z drugimi nacionalnimi instrumenti financiranja in instrumenti financiranja EU. Vendar bi bilo mogoče dodatno okrepiti skladnost med ukrepi Unije in programi držav članic, pa tudi s programom Obzorje Evropa, da bi se povečala uporaba inovativnih tehnoloških rešitev. Nazadnje, Instrument za finančno podporo za upravljanje meja in vizumsko politiko je spodbudil sodelovanje, zagotovil skladnost s standardi EU ter okrepil skupni okvir EU za upravljanje meja in vizumsko politiko. </w:t>
      </w:r>
      <w:bookmarkStart w:id="7" w:name="_Hlk202880726"/>
      <w:r w:rsidRPr="00CF1D51">
        <w:rPr>
          <w:noProof/>
        </w:rPr>
        <w:t xml:space="preserve">Deležniki so cenili zlasti posebne ukrepe zaradi njihove prožnosti in zagotavljanja </w:t>
      </w:r>
      <w:r w:rsidRPr="00CF1D51">
        <w:rPr>
          <w:i/>
          <w:noProof/>
        </w:rPr>
        <w:t>ad hoc</w:t>
      </w:r>
      <w:r w:rsidRPr="00CF1D51">
        <w:rPr>
          <w:noProof/>
        </w:rPr>
        <w:t xml:space="preserve"> dodatnega financiranja za posebne prednostne naloge. V vmesni oceni je poudarjen tudi pomen nadaljnje poenostavitve zagotavljanja financiranja in boljšega pojasnjevanja organom upravljanja, kako lahko okvir smotrnosti – poleg zgolj formalnega poročanja, ki ga zahteva uredba – prispeva k učinkovitemu upravljanju programov.</w:t>
      </w:r>
      <w:bookmarkEnd w:id="7"/>
    </w:p>
    <w:p w14:paraId="7AA2B0D5"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Posvetovanja z deležniki</w:t>
      </w:r>
    </w:p>
    <w:p w14:paraId="4E66CF84" w14:textId="32471CB5" w:rsidR="00286E0D" w:rsidRPr="00CF1D51" w:rsidRDefault="00286E0D" w:rsidP="001F3E4C">
      <w:pPr>
        <w:pBdr>
          <w:top w:val="nil"/>
          <w:left w:val="nil"/>
          <w:bottom w:val="nil"/>
          <w:right w:val="nil"/>
          <w:between w:val="nil"/>
          <w:bar w:val="nil"/>
        </w:pBdr>
        <w:rPr>
          <w:rFonts w:eastAsia="Arial Unicode MS"/>
          <w:noProof/>
        </w:rPr>
      </w:pPr>
      <w:r w:rsidRPr="00CF1D51">
        <w:rPr>
          <w:noProof/>
        </w:rPr>
        <w:t xml:space="preserve">Komisija je v postopku pobude dejavno sodelovala z deležniki, zlasti v okviru namenskih dogodkov in dejavnosti javnega posvetovanja, </w:t>
      </w:r>
      <w:bookmarkStart w:id="8" w:name="_Hlk202112428"/>
      <w:r w:rsidRPr="00CF1D51">
        <w:rPr>
          <w:noProof/>
        </w:rPr>
        <w:t xml:space="preserve">kot je podrobno opisano v ustreznem poglavju obrazložitvenega memoranduma </w:t>
      </w:r>
      <w:bookmarkStart w:id="9" w:name="_Hlk201931196"/>
      <w:r w:rsidRPr="00CF1D51">
        <w:rPr>
          <w:noProof/>
          <w:color w:val="000000" w:themeColor="text1"/>
        </w:rPr>
        <w:t>predloga uredbe (EU) [...] o vzpostavitvi Evropskega sklada za ekonomsko, socialno in teritorialno kohezijo, kmetijstvo in podeželje, ribištvo in pomorstvo ter blaginjo in varnost</w:t>
      </w:r>
      <w:bookmarkEnd w:id="8"/>
      <w:bookmarkEnd w:id="9"/>
      <w:r w:rsidRPr="00CF1D51">
        <w:rPr>
          <w:noProof/>
        </w:rPr>
        <w:t xml:space="preserve">. </w:t>
      </w:r>
    </w:p>
    <w:p w14:paraId="5933E9C5"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Zunanje strokovno mnenje</w:t>
      </w:r>
    </w:p>
    <w:p w14:paraId="379C1D35" w14:textId="03883662" w:rsidR="00286E0D" w:rsidRPr="00CF1D51" w:rsidRDefault="00286E0D" w:rsidP="00286E0D">
      <w:pPr>
        <w:pBdr>
          <w:top w:val="nil"/>
          <w:left w:val="nil"/>
          <w:bottom w:val="nil"/>
          <w:right w:val="nil"/>
          <w:between w:val="nil"/>
          <w:bar w:val="nil"/>
        </w:pBdr>
        <w:rPr>
          <w:rFonts w:eastAsia="Arial Unicode MS"/>
          <w:noProof/>
        </w:rPr>
      </w:pPr>
      <w:r w:rsidRPr="00CF1D51">
        <w:rPr>
          <w:noProof/>
        </w:rPr>
        <w:t xml:space="preserve">Informacije o tem, kako Komisija uporablja zunanje strokovno mnenje, so navedene v ustreznem poglavju obrazložitvenega memoranduma </w:t>
      </w:r>
      <w:r w:rsidRPr="00CF1D51">
        <w:rPr>
          <w:noProof/>
          <w:color w:val="000000" w:themeColor="text1"/>
        </w:rPr>
        <w:t>predloga uredbe (EU) [...] o vzpostavitvi Evropskega sklada za ekonomsko, socialno in teritorialno kohezijo, kmetijstvo in podeželje, ribištvo in pomorstvo ter blaginjo in varnost</w:t>
      </w:r>
      <w:r w:rsidRPr="00CF1D51">
        <w:rPr>
          <w:noProof/>
        </w:rPr>
        <w:t>.</w:t>
      </w:r>
    </w:p>
    <w:p w14:paraId="7B1950A5"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Ocena učinka</w:t>
      </w:r>
    </w:p>
    <w:p w14:paraId="1537B458" w14:textId="1B9AF564" w:rsidR="00286E0D" w:rsidRPr="00CF1D51" w:rsidRDefault="00286E0D" w:rsidP="00286E0D">
      <w:pPr>
        <w:pBdr>
          <w:top w:val="nil"/>
          <w:left w:val="nil"/>
          <w:bottom w:val="nil"/>
          <w:right w:val="nil"/>
          <w:between w:val="nil"/>
          <w:bar w:val="nil"/>
        </w:pBdr>
        <w:rPr>
          <w:rFonts w:eastAsia="Arial Unicode MS"/>
          <w:noProof/>
        </w:rPr>
      </w:pPr>
      <w:bookmarkStart w:id="10" w:name="_Hlk201931214"/>
      <w:r w:rsidRPr="00CF1D51">
        <w:rPr>
          <w:noProof/>
        </w:rPr>
        <w:t xml:space="preserve">Informacije o oceni učinka Komisije so navedene v ustreznem poglavju obrazložitvenega memoranduma </w:t>
      </w:r>
      <w:r w:rsidRPr="00CF1D51">
        <w:rPr>
          <w:noProof/>
          <w:color w:val="000000" w:themeColor="text1"/>
        </w:rPr>
        <w:t>predloga uredbe (EU) [...] o vzpostavitvi Evropskega sklada za ekonomsko, socialno in teritorialno kohezijo, kmetijstvo in podeželje, ribištvo in pomorstvo ter blaginjo in varnost</w:t>
      </w:r>
      <w:r w:rsidRPr="00CF1D51">
        <w:rPr>
          <w:noProof/>
        </w:rPr>
        <w:t>.</w:t>
      </w:r>
      <w:bookmarkEnd w:id="10"/>
    </w:p>
    <w:p w14:paraId="150E44C0"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Poenostavitev</w:t>
      </w:r>
    </w:p>
    <w:p w14:paraId="5F7036BD" w14:textId="2B3428DA" w:rsidR="00286E0D" w:rsidRPr="00CF1D51" w:rsidRDefault="00286E0D" w:rsidP="00286E0D">
      <w:pPr>
        <w:pBdr>
          <w:top w:val="nil"/>
          <w:left w:val="nil"/>
          <w:bottom w:val="nil"/>
          <w:right w:val="nil"/>
          <w:between w:val="nil"/>
          <w:bar w:val="nil"/>
        </w:pBdr>
        <w:rPr>
          <w:rFonts w:eastAsia="Calibri"/>
          <w:noProof/>
        </w:rPr>
      </w:pPr>
      <w:r w:rsidRPr="00CF1D51">
        <w:rPr>
          <w:noProof/>
        </w:rPr>
        <w:t xml:space="preserve">Pričakuje se, da bo pobuda prispevala k znatnemu zmanjšanju upravnega bremena in stroškov ter k večji učinkovitosti pri izvajanju podpore Unije; glej tudi ustrezno poglavje obrazložitvenega memoranduma </w:t>
      </w:r>
      <w:r w:rsidRPr="00CF1D51">
        <w:rPr>
          <w:noProof/>
          <w:color w:val="000000" w:themeColor="text1"/>
        </w:rPr>
        <w:t>predloga uredbe (EU) [...] o vzpostavitvi Evropskega sklada za ekonomsko, socialno in teritorialno kohezijo, kmetijstvo in podeželje, ribištvo in pomorstvo ter blaginjo in varnost</w:t>
      </w:r>
      <w:r w:rsidRPr="00CF1D51">
        <w:rPr>
          <w:noProof/>
        </w:rPr>
        <w:t>.</w:t>
      </w:r>
    </w:p>
    <w:p w14:paraId="6EF0EB51"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Temeljne pravice</w:t>
      </w:r>
    </w:p>
    <w:p w14:paraId="2B806987" w14:textId="4EBE1154" w:rsidR="00286E0D" w:rsidRPr="00CF1D51" w:rsidRDefault="00286E0D" w:rsidP="00286E0D">
      <w:pPr>
        <w:pBdr>
          <w:top w:val="nil"/>
          <w:left w:val="nil"/>
          <w:bottom w:val="nil"/>
          <w:right w:val="nil"/>
          <w:between w:val="nil"/>
          <w:bar w:val="nil"/>
        </w:pBdr>
        <w:rPr>
          <w:rFonts w:eastAsia="Arial Unicode MS"/>
          <w:noProof/>
        </w:rPr>
      </w:pPr>
      <w:r w:rsidRPr="00CF1D51">
        <w:rPr>
          <w:noProof/>
        </w:rPr>
        <w:t xml:space="preserve">Podpora Unije se bo izvajala v skladu z Listino Evropske unije o temeljnih pravicah in načelom pravne države, kot je določeno v členu 2, točka (a), Uredbe (EU, Euratom) 2020/2092; glej tudi ustrezni oddelek obrazložitvenega memoranduma Komisijinega predloga uredbe (EU) [...] </w:t>
      </w:r>
      <w:r w:rsidRPr="00CF1D51">
        <w:rPr>
          <w:noProof/>
          <w:color w:val="000000" w:themeColor="text1"/>
        </w:rPr>
        <w:t xml:space="preserve"> o vzpostavitvi Evropskega sklada za ekonomsko, socialno in teritorialno kohezijo, kmetijstvo in podeželje, ribištvo in pomorstvo ter blaginjo in varnost</w:t>
      </w:r>
      <w:r w:rsidRPr="00CF1D51">
        <w:rPr>
          <w:noProof/>
        </w:rPr>
        <w:t>.</w:t>
      </w:r>
    </w:p>
    <w:p w14:paraId="785D377B" w14:textId="77777777" w:rsidR="00286E0D" w:rsidRPr="00CF1D51" w:rsidRDefault="00286E0D" w:rsidP="00286E0D">
      <w:pPr>
        <w:pStyle w:val="ManualHeading1"/>
        <w:rPr>
          <w:noProof/>
        </w:rPr>
      </w:pPr>
      <w:r w:rsidRPr="00CF1D51">
        <w:rPr>
          <w:noProof/>
        </w:rPr>
        <w:t>4.</w:t>
      </w:r>
      <w:r w:rsidRPr="00CF1D51">
        <w:rPr>
          <w:noProof/>
        </w:rPr>
        <w:tab/>
        <w:t>PRORAČUNSKE POSLEDICE</w:t>
      </w:r>
    </w:p>
    <w:p w14:paraId="3E5D695D" w14:textId="406E1912" w:rsidR="00401265" w:rsidRPr="00CF1D51" w:rsidRDefault="00401265" w:rsidP="00401265">
      <w:pPr>
        <w:pBdr>
          <w:top w:val="nil"/>
          <w:left w:val="nil"/>
          <w:bottom w:val="nil"/>
          <w:right w:val="nil"/>
          <w:between w:val="nil"/>
          <w:bar w:val="nil"/>
        </w:pBdr>
        <w:rPr>
          <w:rFonts w:eastAsia="Arial Unicode MS"/>
          <w:noProof/>
          <w:color w:val="000000" w:themeColor="text1"/>
        </w:rPr>
      </w:pPr>
      <w:r w:rsidRPr="00CF1D51">
        <w:rPr>
          <w:noProof/>
          <w:color w:val="000000" w:themeColor="text1"/>
        </w:rPr>
        <w:t xml:space="preserve">Okvirna finančna sredstva za izvajanje ciljev iz podpore Unije za obdobje od 2028 do 2034 znašajo </w:t>
      </w:r>
      <w:r w:rsidRPr="00CF1D51">
        <w:rPr>
          <w:noProof/>
        </w:rPr>
        <w:t>15 396 750 000</w:t>
      </w:r>
      <w:r w:rsidRPr="00CF1D51">
        <w:rPr>
          <w:noProof/>
          <w:color w:val="000000" w:themeColor="text1"/>
        </w:rPr>
        <w:t> EUR v tekočih cenah. Izvrševala se bodo v skladu s horizontalnimi pravili za načrte za nacionalna in regionalna partnerstva, določenimi v Uredbi (EU) [...] o vzpostavitvi Evropskega sklada za ekonomsko, socialno in teritorialno kohezijo, kmetijstvo in podeželje, ribištvo in pomorstvo ter blaginjo in varnost.</w:t>
      </w:r>
    </w:p>
    <w:p w14:paraId="2B2668EA" w14:textId="42F468FB" w:rsidR="00286E0D" w:rsidRPr="00CF1D51"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CF1D51" w:rsidRDefault="00286E0D" w:rsidP="00286E0D">
      <w:pPr>
        <w:pStyle w:val="ManualHeading1"/>
        <w:rPr>
          <w:noProof/>
        </w:rPr>
      </w:pPr>
      <w:r w:rsidRPr="00CF1D51">
        <w:rPr>
          <w:noProof/>
        </w:rPr>
        <w:t>5.</w:t>
      </w:r>
      <w:r w:rsidRPr="00CF1D51">
        <w:rPr>
          <w:noProof/>
        </w:rPr>
        <w:tab/>
        <w:t>DRUGI ELEMENTI</w:t>
      </w:r>
    </w:p>
    <w:p w14:paraId="68F9A644"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Načrti za izvedbo ter ureditev spremljanja, ocenjevanja in poročanja</w:t>
      </w:r>
    </w:p>
    <w:p w14:paraId="4C6C6654" w14:textId="78D78654" w:rsidR="00286E0D" w:rsidRPr="00CF1D51" w:rsidRDefault="00286E0D" w:rsidP="00B86814">
      <w:pPr>
        <w:pBdr>
          <w:top w:val="nil"/>
          <w:left w:val="nil"/>
          <w:bottom w:val="nil"/>
          <w:right w:val="nil"/>
          <w:between w:val="nil"/>
          <w:bar w:val="nil"/>
        </w:pBdr>
        <w:rPr>
          <w:rFonts w:eastAsia="Arial Unicode MS"/>
          <w:noProof/>
        </w:rPr>
      </w:pPr>
      <w:r w:rsidRPr="00CF1D51">
        <w:rPr>
          <w:noProof/>
        </w:rPr>
        <w:t>Podpora Unije na podlagi tega predloga se bo izvajala z deljenim upravljanjem s strani držav članic ter neposrednim in posrednim upravljanjem s strani Komisije. Izvajanje podpore Unije se bo spremljalo v okviru smotrnosti, ki se uporablja za večletni finančni okvir za obdobje 2028–2034 in je določen v predlogu uredbe (EU) [...] o vzpostavitvi okvira za spremljanje odhodkov in smotrnost proračuna ter v drugih horizontalnih pravilih za programe in dejavnosti Unije.</w:t>
      </w:r>
    </w:p>
    <w:p w14:paraId="759E865E" w14:textId="77777777" w:rsidR="00286E0D" w:rsidRPr="00CF1D51" w:rsidRDefault="00286E0D" w:rsidP="00286E0D">
      <w:pPr>
        <w:pStyle w:val="ManualHeading2"/>
        <w:rPr>
          <w:rFonts w:eastAsia="Arial Unicode MS"/>
          <w:noProof/>
          <w:u w:color="000000"/>
          <w:bdr w:val="nil"/>
        </w:rPr>
      </w:pPr>
      <w:r w:rsidRPr="00CF1D51">
        <w:rPr>
          <w:noProof/>
          <w:u w:color="000000"/>
          <w:bdr w:val="nil"/>
        </w:rPr>
        <w:t>•</w:t>
      </w:r>
      <w:r w:rsidRPr="00CF1D51">
        <w:rPr>
          <w:noProof/>
        </w:rPr>
        <w:tab/>
      </w:r>
      <w:r w:rsidRPr="00CF1D51">
        <w:rPr>
          <w:noProof/>
          <w:u w:color="000000"/>
          <w:bdr w:val="nil"/>
        </w:rPr>
        <w:t>Natančnejša pojasnitev posameznih določb predloga</w:t>
      </w:r>
    </w:p>
    <w:p w14:paraId="5D95CCE4" w14:textId="35B09D1E" w:rsidR="002779C4" w:rsidRPr="00CF1D51" w:rsidRDefault="00286E0D" w:rsidP="002779C4">
      <w:pPr>
        <w:pBdr>
          <w:top w:val="nil"/>
          <w:left w:val="nil"/>
          <w:bottom w:val="nil"/>
          <w:right w:val="nil"/>
          <w:between w:val="nil"/>
          <w:bar w:val="nil"/>
        </w:pBdr>
        <w:rPr>
          <w:rFonts w:eastAsia="Arial Unicode MS"/>
          <w:noProof/>
        </w:rPr>
      </w:pPr>
      <w:r w:rsidRPr="00CF1D51">
        <w:rPr>
          <w:noProof/>
        </w:rPr>
        <w:t xml:space="preserve"> Predlagana uredba v členu 1 opredeljuje področje uporabe podpore Unije za integrirano upravljanje meja EU in vizumsko politiko EU za obdobje od 1. januarja 2028 do 31. decembra 2034. Bistvene opredelitve pojmov so navedene v členu 2, cilji pa so opredeljeni v členu 3 in so skladni s podporo Unije, ki jo bodo urejala horizontalna pravila za Evropski sklad za ekonomsko, socialno in teritorialno kohezijo, kmetijstvo in podeželje, ribištvo in pomorstvo ter blaginjo in varnost, vzpostavljen z Uredbo (EU) [...].  </w:t>
      </w:r>
    </w:p>
    <w:p w14:paraId="56E233B3" w14:textId="5502E0FB" w:rsidR="002779C4" w:rsidRPr="00CF1D51" w:rsidRDefault="002779C4" w:rsidP="00286E0D">
      <w:pPr>
        <w:pBdr>
          <w:top w:val="nil"/>
          <w:left w:val="nil"/>
          <w:bottom w:val="nil"/>
          <w:right w:val="nil"/>
          <w:between w:val="nil"/>
          <w:bar w:val="nil"/>
        </w:pBdr>
        <w:rPr>
          <w:rFonts w:eastAsia="Arial Unicode MS"/>
          <w:noProof/>
        </w:rPr>
      </w:pPr>
      <w:r w:rsidRPr="00CF1D51">
        <w:rPr>
          <w:noProof/>
        </w:rPr>
        <w:t xml:space="preserve">Člen 4 predloga vsebuje določbe za financiranje podpore Unije, člen 5 določbe za pridružene schengenske države, člen 6 pa določbe za izvajanje delovanja sistema posebnega tranzita v Litvi. </w:t>
      </w:r>
    </w:p>
    <w:p w14:paraId="3EE630F2" w14:textId="0FA4DF22" w:rsidR="00286E0D" w:rsidRPr="00CF1D51" w:rsidRDefault="00286E0D" w:rsidP="00286E0D">
      <w:pPr>
        <w:pBdr>
          <w:top w:val="nil"/>
          <w:left w:val="nil"/>
          <w:bottom w:val="nil"/>
          <w:right w:val="nil"/>
          <w:between w:val="nil"/>
          <w:bar w:val="nil"/>
        </w:pBdr>
        <w:rPr>
          <w:rFonts w:eastAsia="Arial Unicode MS"/>
          <w:noProof/>
        </w:rPr>
      </w:pPr>
      <w:r w:rsidRPr="00CF1D51">
        <w:rPr>
          <w:noProof/>
        </w:rPr>
        <w:t xml:space="preserve">Člen 7 predlagane uredbe določa tudi pravila za proračunsko obravnavo sredstev za stroške delovanja Evropskega sistema za potovalne informacije in odobritve v skladu z Uredbo (EU) 2018/1240, člen 8 pa pravila za proračunsko obravnavo finančnih prispevkov držav članic za namene letnega solidarnostnega fonda, vzpostavljenega z </w:t>
      </w:r>
      <w:bookmarkStart w:id="11" w:name="_Hlk201927609"/>
      <w:r w:rsidRPr="00CF1D51">
        <w:rPr>
          <w:noProof/>
        </w:rPr>
        <w:t>Uredbo (EU) 2024/1351</w:t>
      </w:r>
      <w:bookmarkEnd w:id="11"/>
      <w:r w:rsidRPr="00CF1D51">
        <w:rPr>
          <w:noProof/>
        </w:rPr>
        <w:t xml:space="preserve"> Evropskega parlamenta in Sveta z dne 14. maja 2024</w:t>
      </w:r>
      <w:r w:rsidRPr="00CF1D51">
        <w:rPr>
          <w:rStyle w:val="FootnoteReference"/>
          <w:noProof/>
        </w:rPr>
        <w:footnoteReference w:id="3"/>
      </w:r>
      <w:r w:rsidRPr="00CF1D51">
        <w:rPr>
          <w:noProof/>
        </w:rPr>
        <w:t>.</w:t>
      </w:r>
    </w:p>
    <w:p w14:paraId="1FF0825E" w14:textId="72B484A4" w:rsidR="00286E0D" w:rsidRPr="00CF1D51" w:rsidRDefault="00631DBC" w:rsidP="00286E0D">
      <w:pPr>
        <w:pBdr>
          <w:top w:val="nil"/>
          <w:left w:val="nil"/>
          <w:bottom w:val="nil"/>
          <w:right w:val="nil"/>
          <w:between w:val="nil"/>
          <w:bar w:val="nil"/>
        </w:pBdr>
        <w:rPr>
          <w:noProof/>
        </w:rPr>
      </w:pPr>
      <w:r w:rsidRPr="00CF1D51">
        <w:rPr>
          <w:noProof/>
        </w:rPr>
        <w:t>Člen 9 vsebuje prehodne določbe. Datum začetka veljavnosti predlagane uredbe je določen v členu 10, ki določa tudi, da bo uredba v celoti zavezujoča in da se bo v skladu s Pogodbama neposredno uporabljala v vseh državah članicah od 1. januarja 2028.</w:t>
      </w:r>
    </w:p>
    <w:p w14:paraId="68C60A71" w14:textId="77777777" w:rsidR="00286E0D" w:rsidRPr="00CF1D51" w:rsidRDefault="00286E0D" w:rsidP="00286E0D">
      <w:pPr>
        <w:spacing w:before="0" w:after="200" w:line="276" w:lineRule="auto"/>
        <w:jc w:val="left"/>
        <w:rPr>
          <w:rFonts w:eastAsia="Arial Unicode MS"/>
          <w:noProof/>
          <w:color w:val="000000" w:themeColor="text1"/>
        </w:rPr>
      </w:pPr>
      <w:r w:rsidRPr="00CF1D51">
        <w:rPr>
          <w:noProof/>
        </w:rPr>
        <w:br w:type="page"/>
      </w:r>
    </w:p>
    <w:p w14:paraId="567EEDE0" w14:textId="48913D30" w:rsidR="00835316" w:rsidRPr="00CF1D51" w:rsidRDefault="00CF1D51" w:rsidP="00CF1D51">
      <w:pPr>
        <w:pStyle w:val="Rfrenceinterinstitutionnelle"/>
        <w:rPr>
          <w:noProof/>
        </w:rPr>
      </w:pPr>
      <w:r>
        <w:rPr>
          <w:noProof/>
        </w:rPr>
        <w:t>2025/0541 (COD)</w:t>
      </w:r>
    </w:p>
    <w:p w14:paraId="108B7708" w14:textId="20C5E878" w:rsidR="00286E0D" w:rsidRPr="00CF1D51" w:rsidRDefault="00CF1D51" w:rsidP="00CF1D51">
      <w:pPr>
        <w:pStyle w:val="Statut"/>
        <w:rPr>
          <w:noProof/>
        </w:rPr>
      </w:pPr>
      <w:r w:rsidRPr="00CF1D51">
        <w:rPr>
          <w:noProof/>
        </w:rPr>
        <w:t>Predlog</w:t>
      </w:r>
    </w:p>
    <w:p w14:paraId="5162298C" w14:textId="756F6177" w:rsidR="00286E0D" w:rsidRPr="00CF1D51" w:rsidRDefault="00CF1D51" w:rsidP="00CF1D51">
      <w:pPr>
        <w:pStyle w:val="Typedudocument"/>
        <w:rPr>
          <w:noProof/>
        </w:rPr>
      </w:pPr>
      <w:r w:rsidRPr="00CF1D51">
        <w:rPr>
          <w:noProof/>
        </w:rPr>
        <w:t>UREDBA EVROPSKEGA PARLAMENTA IN SVETA</w:t>
      </w:r>
    </w:p>
    <w:p w14:paraId="3DE0D02D" w14:textId="52DD2DA9" w:rsidR="00286E0D" w:rsidRPr="00CF1D51" w:rsidRDefault="00CF1D51" w:rsidP="00CF1D51">
      <w:pPr>
        <w:pStyle w:val="Titreobjet"/>
        <w:rPr>
          <w:noProof/>
        </w:rPr>
      </w:pPr>
      <w:r w:rsidRPr="00CF1D51">
        <w:rPr>
          <w:noProof/>
        </w:rPr>
        <w:t>o vzpostavitvi podpore Unije za schengensko območje, evropsko integrirano upravljanje meja in skupno vizumsko politiko za obdobje od 2028 do 2034</w:t>
      </w:r>
    </w:p>
    <w:p w14:paraId="749F32E6" w14:textId="77777777" w:rsidR="00286E0D" w:rsidRPr="00CF1D51" w:rsidRDefault="00286E0D" w:rsidP="00286E0D">
      <w:pPr>
        <w:pStyle w:val="Institutionquiagit"/>
        <w:rPr>
          <w:noProof/>
        </w:rPr>
      </w:pPr>
      <w:r w:rsidRPr="00CF1D51">
        <w:rPr>
          <w:noProof/>
        </w:rPr>
        <w:t>EVROPSKI PARLAMENT IN SVET EVROPSKE UNIJE STA –</w:t>
      </w:r>
    </w:p>
    <w:p w14:paraId="1A70989E" w14:textId="77777777" w:rsidR="00286E0D" w:rsidRPr="00CF1D51" w:rsidRDefault="00286E0D" w:rsidP="00286E0D">
      <w:pPr>
        <w:rPr>
          <w:noProof/>
        </w:rPr>
      </w:pPr>
      <w:r w:rsidRPr="00CF1D51">
        <w:rPr>
          <w:noProof/>
        </w:rPr>
        <w:t>ob upoštevanju Pogodbe o delovanju Evropske unije ter zlasti člena 77(2) in člena 79(2), točki (c) in (d), Pogodbe,</w:t>
      </w:r>
    </w:p>
    <w:p w14:paraId="6C9BB100" w14:textId="77777777" w:rsidR="00286E0D" w:rsidRPr="00CF1D51" w:rsidRDefault="00286E0D" w:rsidP="00286E0D">
      <w:pPr>
        <w:rPr>
          <w:noProof/>
        </w:rPr>
      </w:pPr>
      <w:r w:rsidRPr="00CF1D51">
        <w:rPr>
          <w:noProof/>
        </w:rPr>
        <w:t>ob upoštevanju predloga Evropske komisije,</w:t>
      </w:r>
    </w:p>
    <w:p w14:paraId="2BE23168" w14:textId="77777777" w:rsidR="00286E0D" w:rsidRPr="00CF1D51" w:rsidRDefault="00286E0D" w:rsidP="00286E0D">
      <w:pPr>
        <w:rPr>
          <w:noProof/>
        </w:rPr>
      </w:pPr>
      <w:r w:rsidRPr="00CF1D51">
        <w:rPr>
          <w:noProof/>
        </w:rPr>
        <w:t>po posredovanju osnutka zakonodajnega akta nacionalnim parlamentom,</w:t>
      </w:r>
    </w:p>
    <w:p w14:paraId="1F8E258B" w14:textId="77777777" w:rsidR="00286E0D" w:rsidRPr="00CF1D51" w:rsidRDefault="00286E0D" w:rsidP="00286E0D">
      <w:pPr>
        <w:rPr>
          <w:i/>
          <w:noProof/>
        </w:rPr>
      </w:pPr>
      <w:r w:rsidRPr="00CF1D51">
        <w:rPr>
          <w:noProof/>
        </w:rPr>
        <w:t>ob upoštevanju mnenja Evropskega ekonomsko-socialnega odbora</w:t>
      </w:r>
      <w:r w:rsidRPr="00CF1D51">
        <w:rPr>
          <w:rStyle w:val="FootnoteReference"/>
          <w:noProof/>
        </w:rPr>
        <w:footnoteReference w:id="4"/>
      </w:r>
      <w:r w:rsidRPr="00CF1D51">
        <w:rPr>
          <w:noProof/>
        </w:rPr>
        <w:t>,</w:t>
      </w:r>
    </w:p>
    <w:p w14:paraId="2B431944" w14:textId="77777777" w:rsidR="00286E0D" w:rsidRPr="00CF1D51" w:rsidRDefault="00286E0D" w:rsidP="00286E0D">
      <w:pPr>
        <w:rPr>
          <w:noProof/>
        </w:rPr>
      </w:pPr>
      <w:r w:rsidRPr="00CF1D51">
        <w:rPr>
          <w:noProof/>
        </w:rPr>
        <w:t>po posvetovanju z Odborom regij,</w:t>
      </w:r>
    </w:p>
    <w:p w14:paraId="482D2264" w14:textId="77777777" w:rsidR="00286E0D" w:rsidRPr="00CF1D51" w:rsidRDefault="00286E0D" w:rsidP="00286E0D">
      <w:pPr>
        <w:rPr>
          <w:noProof/>
        </w:rPr>
      </w:pPr>
      <w:r w:rsidRPr="00CF1D51">
        <w:rPr>
          <w:noProof/>
        </w:rPr>
        <w:t>v skladu z rednim zakonodajnim postopkom</w:t>
      </w:r>
      <w:r w:rsidRPr="00CF1D51">
        <w:rPr>
          <w:rStyle w:val="FootnoteReference"/>
          <w:noProof/>
        </w:rPr>
        <w:footnoteReference w:id="5"/>
      </w:r>
      <w:r w:rsidRPr="00CF1D51">
        <w:rPr>
          <w:noProof/>
        </w:rPr>
        <w:t>,</w:t>
      </w:r>
    </w:p>
    <w:p w14:paraId="068D2442" w14:textId="77777777" w:rsidR="00286E0D" w:rsidRPr="00CF1D51" w:rsidRDefault="00286E0D" w:rsidP="00286E0D">
      <w:pPr>
        <w:rPr>
          <w:noProof/>
        </w:rPr>
      </w:pPr>
      <w:r w:rsidRPr="00CF1D51">
        <w:rPr>
          <w:noProof/>
        </w:rPr>
        <w:t>ob upoštevanju naslednjega:</w:t>
      </w:r>
    </w:p>
    <w:p w14:paraId="6FB4A7DA" w14:textId="26CAFE74" w:rsidR="00286E0D" w:rsidRPr="00CF1D51" w:rsidRDefault="003347AC" w:rsidP="003347AC">
      <w:pPr>
        <w:pStyle w:val="ManualConsidrant"/>
        <w:rPr>
          <w:noProof/>
        </w:rPr>
      </w:pPr>
      <w:r w:rsidRPr="00CF1D51">
        <w:rPr>
          <w:noProof/>
        </w:rPr>
        <w:t>(1)</w:t>
      </w:r>
      <w:r w:rsidRPr="00CF1D51">
        <w:rPr>
          <w:noProof/>
        </w:rPr>
        <w:tab/>
        <w:t>Cilj Unije, da v skladu s členom 67(1) Pogodbe o delovanju Evropske unije (PDEU) vzpostavi območje svobode, varnosti in pravice, bi bilo treba doseči z določitvijo podpore Unije za razvoj skupne politike Unije za nadzor zunanjih meja, vključno s skupno vizumsko politiko na podlagi člena 77(2), točka (a), PDEU.</w:t>
      </w:r>
    </w:p>
    <w:p w14:paraId="00985906" w14:textId="205638BA" w:rsidR="00286E0D" w:rsidRPr="00CF1D51" w:rsidRDefault="003347AC" w:rsidP="003347AC">
      <w:pPr>
        <w:pStyle w:val="ManualConsidrant"/>
        <w:rPr>
          <w:noProof/>
          <w:szCs w:val="24"/>
        </w:rPr>
      </w:pPr>
      <w:bookmarkStart w:id="12" w:name="_Hlk201766894"/>
      <w:r w:rsidRPr="00CF1D51">
        <w:rPr>
          <w:noProof/>
        </w:rPr>
        <w:t>(2)</w:t>
      </w:r>
      <w:r w:rsidRPr="00CF1D51">
        <w:rPr>
          <w:noProof/>
        </w:rPr>
        <w:tab/>
        <w:t>Izjemno pomembni za zagotovitev celovitosti in odpornosti schengenskega območja ter njegovega uspešnega in učinkovitega delovanja brez notranjih meja so trden okvir upravljanja, učinkovito evropsko integrirano upravljanje meja, kot ga izvaja evropska mejna in obalna straža, vzpostavljena z Uredbo (EU) 2019/1896 Evropskega parlamenta in Sveta</w:t>
      </w:r>
      <w:r w:rsidRPr="00CF1D51">
        <w:rPr>
          <w:rStyle w:val="FootnoteReference"/>
          <w:noProof/>
        </w:rPr>
        <w:footnoteReference w:id="6"/>
      </w:r>
      <w:r w:rsidRPr="00CF1D51">
        <w:rPr>
          <w:noProof/>
        </w:rPr>
        <w:t>, ter vizumska politika EU.</w:t>
      </w:r>
    </w:p>
    <w:bookmarkEnd w:id="12"/>
    <w:p w14:paraId="6F9BF459" w14:textId="1D0D3FD3" w:rsidR="00286E0D" w:rsidRPr="00CF1D51" w:rsidRDefault="003347AC" w:rsidP="003347AC">
      <w:pPr>
        <w:pStyle w:val="ManualConsidrant"/>
        <w:rPr>
          <w:rFonts w:eastAsia="Arial Unicode MS"/>
          <w:noProof/>
          <w:szCs w:val="24"/>
        </w:rPr>
      </w:pPr>
      <w:r w:rsidRPr="00CF1D51">
        <w:rPr>
          <w:noProof/>
        </w:rPr>
        <w:t>(3)</w:t>
      </w:r>
      <w:r w:rsidRPr="00CF1D51">
        <w:rPr>
          <w:noProof/>
        </w:rPr>
        <w:tab/>
        <w:t>Zato bi bilo treba zagotoviti podporo Unije za prizadevanja držav članic za zaščito zunanjih meja Unije, omejitev nezakonitih prehodov meja in nedovoljenega gibanja med državami članicami ter posodobitev in izboljšanje splošne učinkovitosti obravnave vlog za izdajo vizumov in preprečevanja zlorab vizumskega režima Unije. Ta podpora Unije se zagotovi na podlagi horizontalnih pravil Evropskega sklada za ekonomsko, socialno in teritorialno kohezijo, kmetijstvo in podeželje, ribištvo in pomorstvo ter blaginjo in varnost, vzpostavljenega z Uredbo (EU) [...].</w:t>
      </w:r>
    </w:p>
    <w:p w14:paraId="4CF9EAE0" w14:textId="55BF0AC6" w:rsidR="00BE09E6" w:rsidRPr="00CF1D51" w:rsidRDefault="003347AC" w:rsidP="003347AC">
      <w:pPr>
        <w:pStyle w:val="ManualConsidrant"/>
        <w:rPr>
          <w:noProof/>
          <w:sz w:val="22"/>
        </w:rPr>
      </w:pPr>
      <w:r w:rsidRPr="00CF1D51">
        <w:rPr>
          <w:noProof/>
        </w:rPr>
        <w:t>(4)</w:t>
      </w:r>
      <w:r w:rsidRPr="00CF1D51">
        <w:rPr>
          <w:noProof/>
        </w:rPr>
        <w:tab/>
        <w:t xml:space="preserve">Podporo Unije bi bilo treba zagotoviti tudi za učinkovito izvajanje, uporabo in razvoj schengenskega okvira na evropski in nacionalni ravni, vključno s krepitvijo nacionalnega upravljanja schengenskega območja, ki zajema učinkovite usklajevalne strukture in strateške procese, ključne za dobro delovanje schengenskega območja. </w:t>
      </w:r>
    </w:p>
    <w:p w14:paraId="2AB47203" w14:textId="1048D925" w:rsidR="00286E0D" w:rsidRPr="00CF1D51" w:rsidRDefault="003347AC" w:rsidP="003347AC">
      <w:pPr>
        <w:pStyle w:val="ManualConsidrant"/>
        <w:rPr>
          <w:noProof/>
          <w:szCs w:val="24"/>
        </w:rPr>
      </w:pPr>
      <w:r w:rsidRPr="00CF1D51">
        <w:rPr>
          <w:noProof/>
        </w:rPr>
        <w:t>(5)</w:t>
      </w:r>
      <w:r w:rsidRPr="00CF1D51">
        <w:rPr>
          <w:noProof/>
        </w:rPr>
        <w:tab/>
        <w:t xml:space="preserve">Ta uredba določa cilje podpore Unije za dobro delujoče schengensko območje brez nadzora na notranjih mejah, vključno z evropskim integriranim upravljanjem meja, tudi s podporo za delovanje schengenskega območja, in za evropsko vizumsko politiko </w:t>
      </w:r>
      <w:bookmarkStart w:id="13" w:name="_Hlk201766871"/>
      <w:r w:rsidRPr="00CF1D51">
        <w:rPr>
          <w:noProof/>
        </w:rPr>
        <w:t xml:space="preserve">(v nadaljnjem besedilu: podpora Unije). Države članice bi morale zagotoviti, da njihovi načrti za nacionalna in regionalna partnerstva obravnavajo vsakega od ciljev iz te uredbe. </w:t>
      </w:r>
      <w:bookmarkEnd w:id="13"/>
    </w:p>
    <w:p w14:paraId="6786A060" w14:textId="0E5C918F" w:rsidR="007947CD" w:rsidRPr="00CF1D51" w:rsidRDefault="003347AC" w:rsidP="003347AC">
      <w:pPr>
        <w:pStyle w:val="ManualConsidrant"/>
        <w:rPr>
          <w:noProof/>
          <w:szCs w:val="24"/>
        </w:rPr>
      </w:pPr>
      <w:r w:rsidRPr="00CF1D51">
        <w:rPr>
          <w:noProof/>
        </w:rPr>
        <w:t>(6)</w:t>
      </w:r>
      <w:r w:rsidRPr="00CF1D51">
        <w:rPr>
          <w:noProof/>
        </w:rPr>
        <w:tab/>
        <w:t>Uredba v skladu z aktom o pristopu Litve k EU obravnava tudi potrebo po podpori Litvi pri upravljanju tranzita oseb med območjem Kaliningrada in drugimi deli Ruske federacije.</w:t>
      </w:r>
    </w:p>
    <w:p w14:paraId="32C36110" w14:textId="1703F862" w:rsidR="00286E0D" w:rsidRPr="00CF1D51" w:rsidRDefault="003347AC" w:rsidP="003347AC">
      <w:pPr>
        <w:pStyle w:val="ManualConsidrant"/>
        <w:rPr>
          <w:noProof/>
        </w:rPr>
      </w:pPr>
      <w:r w:rsidRPr="00CF1D51">
        <w:rPr>
          <w:noProof/>
        </w:rPr>
        <w:t>(7)</w:t>
      </w:r>
      <w:r w:rsidRPr="00CF1D51">
        <w:rPr>
          <w:noProof/>
        </w:rPr>
        <w:tab/>
        <w:t>Komisija bi morala zneske, ki se dodelijo za posamezno državo članico, določiti v skladu z metodologijo dodeljevanja, določeno v Uredbi (EU) [...] o vzpostavitvi Evropskega sklada za ekonomsko, socialno in teritorialno kohezijo, kmetijstvo in podeželje, ribištvo in pomorstvo ter blaginjo in varnost z enim samim izvedbenim sklepom. Ta odločitev bi praviloma morala zajemati tudi zneske na podlagi Uredbe (EU) […] o vzpostavitvi Evropskega sklada za ekonomsko, socialno in teritorialno kohezijo, kmetijstvo in podeželje, ribištvo in pomorstvo ter blaginjo in varnost, Uredbe (EU) […] o vzpostavitvi podpore Unije za azil, migracije in vključevanje ter Uredbe (EU) […] o vzpostavitvi podpore Unije za notranjo varnost.</w:t>
      </w:r>
    </w:p>
    <w:p w14:paraId="0C6F62A8" w14:textId="75D56802" w:rsidR="00286E0D" w:rsidRPr="00CF1D51" w:rsidRDefault="003347AC" w:rsidP="003347AC">
      <w:pPr>
        <w:pStyle w:val="ManualConsidrant"/>
        <w:rPr>
          <w:noProof/>
        </w:rPr>
      </w:pPr>
      <w:r w:rsidRPr="00CF1D51">
        <w:rPr>
          <w:noProof/>
        </w:rPr>
        <w:t>(8)</w:t>
      </w:r>
      <w:r w:rsidRPr="00CF1D51">
        <w:rPr>
          <w:noProof/>
        </w:rPr>
        <w:tab/>
        <w:t>Podpora Unije bi morala nadgrajevati rezultate in naložbe iz prejšnjih programskih obdobij, ki so: (i) Sklad za zunanje meje za obdobje 2007–2013, ustanovljen z Odločbo št. 574/2007/ES Evropskega parlamenta in Sveta</w:t>
      </w:r>
      <w:r w:rsidRPr="00CF1D51">
        <w:rPr>
          <w:rStyle w:val="FootnoteReference"/>
          <w:noProof/>
        </w:rPr>
        <w:footnoteReference w:id="7"/>
      </w:r>
      <w:r w:rsidRPr="00CF1D51">
        <w:rPr>
          <w:noProof/>
        </w:rPr>
        <w:t>; (ii)</w:t>
      </w:r>
      <w:r w:rsidRPr="00CF1D51">
        <w:rPr>
          <w:rStyle w:val="FootnoteReference"/>
          <w:noProof/>
        </w:rPr>
        <w:t xml:space="preserve"> </w:t>
      </w:r>
      <w:r w:rsidRPr="00CF1D51">
        <w:rPr>
          <w:noProof/>
        </w:rPr>
        <w:t>Instrument za zunanje meje in vizume v okviru Sklada za notranjo varnost za obdobje 2014–2020, vzpostavljen z Uredbo (EU) št. 515/2014 Evropskega parlamenta in Sveta</w:t>
      </w:r>
      <w:r w:rsidRPr="00CF1D51">
        <w:rPr>
          <w:rStyle w:val="FootnoteReference"/>
          <w:noProof/>
        </w:rPr>
        <w:footnoteReference w:id="8"/>
      </w:r>
      <w:r w:rsidRPr="00CF1D51">
        <w:rPr>
          <w:noProof/>
        </w:rPr>
        <w:t>; ter (iii) Instrument za finančno podporo za upravljanje meja in vizumsko politiko v okviru Sklada za integrirano upravljanje meja za obdobje 2021–2027, vzpostavljen z Uredbo (EU) 2021/1148 Evropskega parlamenta in Sveta</w:t>
      </w:r>
      <w:r w:rsidRPr="00CF1D51">
        <w:rPr>
          <w:rStyle w:val="FootnoteReference"/>
          <w:noProof/>
          <w:szCs w:val="24"/>
        </w:rPr>
        <w:footnoteReference w:id="9"/>
      </w:r>
      <w:r w:rsidRPr="00CF1D51">
        <w:rPr>
          <w:noProof/>
        </w:rPr>
        <w:t xml:space="preserve">. </w:t>
      </w:r>
    </w:p>
    <w:p w14:paraId="28287138" w14:textId="60C80E31" w:rsidR="00B9223C" w:rsidRPr="00CF1D51" w:rsidRDefault="003347AC" w:rsidP="003347AC">
      <w:pPr>
        <w:pStyle w:val="ManualConsidrant"/>
        <w:rPr>
          <w:rFonts w:eastAsia="Arial Unicode MS"/>
          <w:noProof/>
          <w:szCs w:val="24"/>
        </w:rPr>
      </w:pPr>
      <w:r w:rsidRPr="00CF1D51">
        <w:rPr>
          <w:noProof/>
        </w:rPr>
        <w:t>(9)</w:t>
      </w:r>
      <w:r w:rsidRPr="00CF1D51">
        <w:rPr>
          <w:noProof/>
        </w:rPr>
        <w:tab/>
        <w:t>Zaradi spreminjajočega se svetovnega okolja in vse večje nestabilnosti morajo Unija in njene države članice združiti vire za učinkovito zaščito zunanjih meja Unije, vključno z obravnavanjem nedovoljenih migracij, tihotapljenja migrantov in trgovine z ljudmi, ter se prednostno odzivati na državne akterje, ki umetno ustvarjajo in omogočajo nedovoljene migracije, migracijske tokove instrumentalizirajo kot orodje za politične namene in uporabljajo taktike hibridnega vojskovanja, na primer z uporabo migracij kot orožja</w:t>
      </w:r>
      <w:r w:rsidRPr="00CF1D51">
        <w:rPr>
          <w:rStyle w:val="FootnoteReference"/>
          <w:noProof/>
        </w:rPr>
        <w:footnoteReference w:id="10"/>
      </w:r>
      <w:r w:rsidRPr="00CF1D51">
        <w:rPr>
          <w:noProof/>
        </w:rPr>
        <w:t xml:space="preserve">, za destabilizacijo Evropske unije in njenih držav članic. V interesu solidarnosti v schengenskem območju kot celoti in v duhu deljene odgovornosti za varovanje zunanjih meja Unije bi moral načrt za nacionalna in regionalna partnerstva države članice ustrezno obravnavati opredeljene izzive, zlasti v okviru strategije za evropsko integrirano upravljanje meja, strategije za evropsko vizumsko politiko in nove schengenske informacijske arhitekture, temelječe na obsežnih informacijskih sistemih, ki se uporabljajo za zunanje meje in upravljanje varnosti, ter interoperabilnost teh sistemov. Poleg tega bi bilo treba v podporo misiji za nadzor meje razmisliti o uvedbi tehnologije in digitalnih rešitev.   </w:t>
      </w:r>
    </w:p>
    <w:p w14:paraId="748664DD" w14:textId="5916F529" w:rsidR="00FA5BBE" w:rsidRPr="00CF1D51" w:rsidRDefault="003347AC" w:rsidP="003347AC">
      <w:pPr>
        <w:pStyle w:val="ManualConsidrant"/>
        <w:rPr>
          <w:noProof/>
        </w:rPr>
      </w:pPr>
      <w:r w:rsidRPr="00CF1D51">
        <w:rPr>
          <w:noProof/>
        </w:rPr>
        <w:t>(10)</w:t>
      </w:r>
      <w:r w:rsidRPr="00CF1D51">
        <w:rPr>
          <w:noProof/>
        </w:rPr>
        <w:tab/>
        <w:t>Podpora Unije bi morala prispevati k zagotavljanju doslednosti, skladnosti, sinergij in dopolnjevanja med notranjimi in zunanjimi politikami Unije. Potrebna je večja skladnost med migracijami, azilom, vračanjem in zunanjimi politikami, pomembno pa je tudi zagotoviti, da zunanja pomoč Unije in podpora Unije na podlagi te uredbe prispevata k usklajenemu, celostnemu in strukturiranemu pristopu k migracijam, da bi se sinergije čim bolje izkoristile in povečal finančni vzvod. Podpora Unije na podlagi te uredbe lahko v ustrezno utemeljenih primerih vključuje tudi podporo ustreznim virom delegacij EU ter se usklajuje med državami članicami in Komisijo v fazah načrtovanja in izvajanja.</w:t>
      </w:r>
    </w:p>
    <w:p w14:paraId="46F16C80" w14:textId="2DCE2966" w:rsidR="00DC6F83" w:rsidRPr="00CF1D51" w:rsidRDefault="003347AC" w:rsidP="003347AC">
      <w:pPr>
        <w:pStyle w:val="ManualConsidrant"/>
        <w:rPr>
          <w:noProof/>
        </w:rPr>
      </w:pPr>
      <w:r w:rsidRPr="00CF1D51">
        <w:rPr>
          <w:noProof/>
        </w:rPr>
        <w:t>(11)</w:t>
      </w:r>
      <w:r w:rsidRPr="00CF1D51">
        <w:rPr>
          <w:noProof/>
        </w:rPr>
        <w:tab/>
        <w:t>Evropa mora zaščititi svoje varnostne interese pred dobavitelji, ki bi lahko pomenili trajno varnostno tveganje zaradi morebitnega vmešavanja tretjih držav in njihovih praks, ki ogrožajo kibernetsko varnost. Zato je treba zmanjšati tveganje trajne odvisnosti od dobaviteljev z visokim tveganjem na notranjem trgu, saj bi ta lahko imela resne negativne učinke na varnost uporabnikov, podjetij in organov po vsej EU ter kritične infrastrukture EU v smislu celovitosti podatkov in storitev ter razpoložljivosti storitev. Ta izključitev bi morala temeljiti na sorazmerni oceni tveganja in s tem povezanih ukrepih za zmanjšanje tveganja, kot so opredeljeni v politikah in zakonodaji Unije.</w:t>
      </w:r>
    </w:p>
    <w:p w14:paraId="36DC56FF" w14:textId="4044E33B" w:rsidR="00286E0D" w:rsidRPr="00CF1D51" w:rsidRDefault="003347AC" w:rsidP="003347AC">
      <w:pPr>
        <w:pStyle w:val="ManualConsidrant"/>
        <w:rPr>
          <w:rFonts w:eastAsia="Arial Unicode MS"/>
          <w:noProof/>
          <w:szCs w:val="24"/>
        </w:rPr>
      </w:pPr>
      <w:r w:rsidRPr="00CF1D51">
        <w:rPr>
          <w:noProof/>
        </w:rPr>
        <w:t>(12)</w:t>
      </w:r>
      <w:r w:rsidRPr="00CF1D51">
        <w:rPr>
          <w:noProof/>
        </w:rPr>
        <w:tab/>
        <w:t>Ker se izzivi na področju upravljanja meja in vizumske politike nenehno spreminjajo, je treba dodeljevanje podpore Unije prilagajati spremembam pri prednostnih nalogah na področju upravljanja zunanjih meja in vizumske politike, vključno s spremembami, ki so posledica povečanega pritiska na meji, ter financiranje usmeriti v prednostne naloge z najvišjo dodano vrednostjo Unije. Da bi se odzvali na nujne potrebe in spremembe v politiki in prednostnih nalogah Unije ter financiranje usmerili v ukrepe z visoko dodano vrednostjo Unije, bi bilo treba del podpore Unije izvajati z neposrednim, deljenim in posrednim upravljanjem prek Instrumenta EU, vzpostavljenega na podlagi Uredbe (EU) [...] o vzpostavitvi Evropskega sklada za ekonomsko, socialno in teritorialno kohezijo, kmetijstvo in podeželje, ribištvo in pomorstvo ter blaginjo in varnost. Instrument EU omogoča prožnost pri upravljanju podpore Unije, pri deljenem upravljanju pa bi ga bilo treba izvajati prek načrtov za nacionalna in regionalna partnerstva držav članic.</w:t>
      </w:r>
    </w:p>
    <w:p w14:paraId="3E024F13" w14:textId="33F10476" w:rsidR="00286E0D" w:rsidRPr="00CF1D51" w:rsidRDefault="003347AC" w:rsidP="003347AC">
      <w:pPr>
        <w:pStyle w:val="ManualConsidrant"/>
        <w:rPr>
          <w:rFonts w:eastAsia="Arial Unicode MS"/>
          <w:noProof/>
          <w:szCs w:val="24"/>
        </w:rPr>
      </w:pPr>
      <w:r w:rsidRPr="00CF1D51">
        <w:rPr>
          <w:noProof/>
        </w:rPr>
        <w:t>(13)</w:t>
      </w:r>
      <w:r w:rsidRPr="00CF1D51">
        <w:rPr>
          <w:noProof/>
        </w:rPr>
        <w:tab/>
        <w:t>Komisija in države članice bi morale zagotoviti, da se pri izvajanju ukrepov ali obravnavanju izzivov v zvezi z upravljanjem migracij, nadzorom in upravljanjem meja ter notranjo varnostjo upoštevajo znanje in izkušnje organov, uradov in agencij Unije. Komisija bi tudi morala imeti možnost, da ustrezne organe, urade in agencije Unije, kadar je to ustrezno, vključi v dejavnosti za zagotavljanje skladnosti ukrepov, ki prejemajo podporo Unije, z ustreznim pravnim redom Unije in dogovorjenimi prednostnimi nalogami Unije.</w:t>
      </w:r>
    </w:p>
    <w:p w14:paraId="79A06EF4" w14:textId="6FE4B497" w:rsidR="00286E0D" w:rsidRPr="00CF1D51" w:rsidRDefault="003347AC" w:rsidP="003347AC">
      <w:pPr>
        <w:pStyle w:val="ManualConsidrant"/>
        <w:rPr>
          <w:noProof/>
        </w:rPr>
      </w:pPr>
      <w:r w:rsidRPr="00CF1D51">
        <w:rPr>
          <w:noProof/>
        </w:rPr>
        <w:t>(14)</w:t>
      </w:r>
      <w:r w:rsidRPr="00CF1D51">
        <w:rPr>
          <w:noProof/>
        </w:rPr>
        <w:tab/>
        <w:t xml:space="preserve">Podporo Unije bi morali prejemati ukrepi, povezani z nadzorom zunanjih meja na ozemlju držav, ki uporabljajo schengenski pravni red, kot del izvajanja evropskega integriranega upravljanja meja, ki krepi splošno delovanje schengenskega območja. Za podrobnejšo določitev narave in načinov udeležbe držav, pridruženih izvajanju, uporabi in razvoju schengenskega pravnega reda, v podpori Unije, bi bilo treba med Unijo in temi državami vzpostaviti dodatne ureditve na podlagi ustreznih določb iz pridružitvenih sporazumov med temi državami in Unijo. </w:t>
      </w:r>
    </w:p>
    <w:p w14:paraId="1ACD8BCA" w14:textId="7A46241F" w:rsidR="00286E0D" w:rsidRPr="00CF1D51" w:rsidRDefault="003347AC" w:rsidP="003347AC">
      <w:pPr>
        <w:pStyle w:val="ManualConsidrant"/>
        <w:rPr>
          <w:noProof/>
        </w:rPr>
      </w:pPr>
      <w:r w:rsidRPr="00CF1D51">
        <w:rPr>
          <w:noProof/>
        </w:rPr>
        <w:t>(15)</w:t>
      </w:r>
      <w:r w:rsidRPr="00CF1D51">
        <w:rPr>
          <w:noProof/>
        </w:rPr>
        <w:tab/>
        <w:t>Podpora Unije bi morala še naprej prispevati k izvajanju, razvoju in upravljanju schengenskega območja za spodbujanje območja brez nadzora na notranjih mejah. Še naprej bi morala podpirati ukrepe, povezane z nadzorom zunanjih meja na ozemlju držav, ki uporabljajo schengenski pravni red, kot del izvajanja evropskega integriranega upravljanja meja, ki krepi splošno delovanje schengenskega območja.</w:t>
      </w:r>
    </w:p>
    <w:p w14:paraId="5A7895AE" w14:textId="175385F1" w:rsidR="00286E0D" w:rsidRPr="00CF1D51" w:rsidRDefault="003347AC" w:rsidP="003347AC">
      <w:pPr>
        <w:pStyle w:val="ManualConsidrant"/>
        <w:rPr>
          <w:noProof/>
        </w:rPr>
      </w:pPr>
      <w:r w:rsidRPr="00CF1D51">
        <w:rPr>
          <w:noProof/>
        </w:rPr>
        <w:t>(16)</w:t>
      </w:r>
      <w:r w:rsidRPr="00CF1D51">
        <w:rPr>
          <w:noProof/>
        </w:rPr>
        <w:tab/>
        <w:t>Podpora Unije bi morala prispevati k posodobitvi in izboljšanju učinkovitosti obravnave vlog za izdajo vizumov v smislu odkrivanja in ocenjevanja tveganj za varnost in nedovoljene migracije, s čimer bi se zagotovilo učinkovito izvajanje vizumskega zakonika. Podpora Unije bi morala zlasti prispevati k digitalizaciji obravnave vlog za izdajo vizumov, da bi se zagotovili hitri, varni in strankam prijazni vizumski postopki, ki bi koristili tako prosilcem za vizum kot tudi konzulatom. Podpora Unije bi morala biti namenjena tudi izboljšanju storitev za prosilce za vizum, tudi z boljšo pokritostjo konzularnih storitev po vsem svetu.</w:t>
      </w:r>
    </w:p>
    <w:p w14:paraId="5F13111F" w14:textId="7964490E" w:rsidR="00286E0D" w:rsidRPr="00CF1D51" w:rsidRDefault="003347AC" w:rsidP="003347AC">
      <w:pPr>
        <w:pStyle w:val="ManualConsidrant"/>
        <w:rPr>
          <w:noProof/>
        </w:rPr>
      </w:pPr>
      <w:bookmarkStart w:id="14" w:name="_Hlk201962914"/>
      <w:r w:rsidRPr="00CF1D51">
        <w:rPr>
          <w:noProof/>
        </w:rPr>
        <w:t>(17)</w:t>
      </w:r>
      <w:r w:rsidRPr="00CF1D51">
        <w:rPr>
          <w:noProof/>
        </w:rPr>
        <w:tab/>
        <w:t>Države članice lahko pri izvajanju podpore Unije nadgrajujejo načelo partnerstva, da se zagotovi kontinuiteta pristopa k upravljanju.</w:t>
      </w:r>
      <w:bookmarkEnd w:id="14"/>
    </w:p>
    <w:p w14:paraId="7984B517" w14:textId="01857EF6" w:rsidR="00286E0D" w:rsidRPr="00CF1D51" w:rsidRDefault="003347AC" w:rsidP="003347AC">
      <w:pPr>
        <w:pStyle w:val="ManualConsidrant"/>
        <w:rPr>
          <w:noProof/>
        </w:rPr>
      </w:pPr>
      <w:r w:rsidRPr="00CF1D51">
        <w:rPr>
          <w:noProof/>
        </w:rPr>
        <w:t>(18)</w:t>
      </w:r>
      <w:r w:rsidRPr="00CF1D51">
        <w:rPr>
          <w:noProof/>
        </w:rPr>
        <w:tab/>
        <w:t>V skladu s členom 86 Uredbe (EU) 2018/1240 Evropskega parlamenta in Sveta</w:t>
      </w:r>
      <w:r w:rsidRPr="00CF1D51">
        <w:rPr>
          <w:rStyle w:val="FootnoteReference"/>
          <w:noProof/>
          <w:szCs w:val="24"/>
        </w:rPr>
        <w:footnoteReference w:id="11"/>
      </w:r>
      <w:r w:rsidRPr="00CF1D51">
        <w:rPr>
          <w:noProof/>
        </w:rPr>
        <w:t xml:space="preserve"> bi bilo treba stroške delovanja Evropskega sistema za potovalne informacije in odobritve (ETIAS) kriti s prihodki od pristojbine za potovalno odobritev. Ta uredba bi morala določiti pravila, po katerih bi se državam članicam dal na voljo njihov delež pristojbin ETIAS za kritje njihovih ustreznih stroškov delovanja, </w:t>
      </w:r>
      <w:bookmarkStart w:id="15" w:name="_Hlk202881236"/>
      <w:r w:rsidRPr="00CF1D51">
        <w:rPr>
          <w:noProof/>
        </w:rPr>
        <w:t>vključno z načini za primere, ko njihovi skupni stroški delovanja v danem letu presegajo razpoložljive prihodke ETIAS</w:t>
      </w:r>
      <w:bookmarkEnd w:id="15"/>
      <w:r w:rsidRPr="00CF1D51">
        <w:rPr>
          <w:noProof/>
        </w:rPr>
        <w:t xml:space="preserve">. </w:t>
      </w:r>
    </w:p>
    <w:p w14:paraId="73242398" w14:textId="7DC173D4" w:rsidR="00286E0D" w:rsidRPr="00CF1D51" w:rsidRDefault="003347AC" w:rsidP="003347AC">
      <w:pPr>
        <w:pStyle w:val="ManualConsidrant"/>
        <w:rPr>
          <w:noProof/>
        </w:rPr>
      </w:pPr>
      <w:r w:rsidRPr="00CF1D51">
        <w:rPr>
          <w:noProof/>
        </w:rPr>
        <w:t>(19)</w:t>
      </w:r>
      <w:r w:rsidRPr="00CF1D51">
        <w:rPr>
          <w:noProof/>
        </w:rPr>
        <w:tab/>
        <w:t>Glede na to, da bi morale imeti države članice, ki so pod migracijskim pritiskom, možnost, da se zanesejo na podporo Unije, bi bilo treba v tej uredbi določiti pravila, po katerih bi se državam članicam prejemnicam dal na voljo ustrezni delež finančnih prispevkov, vključenih v letni solidarnostni fond, vzpostavljen z Uredbo (EU) 2024/1351</w:t>
      </w:r>
      <w:r w:rsidRPr="00CF1D51">
        <w:rPr>
          <w:rStyle w:val="FootnoteReference"/>
          <w:rFonts w:eastAsia="Arial Unicode MS"/>
          <w:noProof/>
          <w:szCs w:val="24"/>
          <w:lang w:eastAsia="en-IE"/>
        </w:rPr>
        <w:footnoteReference w:id="12"/>
      </w:r>
      <w:r w:rsidRPr="00CF1D51">
        <w:rPr>
          <w:noProof/>
        </w:rPr>
        <w:t>.</w:t>
      </w:r>
    </w:p>
    <w:p w14:paraId="4C768251" w14:textId="3AE1A69C" w:rsidR="006866F6" w:rsidRPr="00CF1D51" w:rsidRDefault="003347AC" w:rsidP="003347AC">
      <w:pPr>
        <w:pStyle w:val="ManualConsidrant"/>
        <w:rPr>
          <w:noProof/>
        </w:rPr>
      </w:pPr>
      <w:bookmarkStart w:id="16" w:name="_Hlk202881260"/>
      <w:r w:rsidRPr="00CF1D51">
        <w:rPr>
          <w:noProof/>
        </w:rPr>
        <w:t>(20)</w:t>
      </w:r>
      <w:r w:rsidRPr="00CF1D51">
        <w:rPr>
          <w:noProof/>
        </w:rPr>
        <w:tab/>
        <w:t>Vsi ukrepi, ki se podpirajo v skladu s podporo Unije na podlagi te uredbe, bi se morali izvajati v skladu s pravicami in načeli iz pravnega reda Unije in Listine Evropske unije o temeljnih pravicah ter bi morali biti v skladu z mednarodnimi obveznostmi Unije in držav članic, ki izhajajo iz mednarodnih instrumentov, katerih pogodbenice so.</w:t>
      </w:r>
    </w:p>
    <w:bookmarkEnd w:id="16"/>
    <w:p w14:paraId="79724041" w14:textId="1336DDA4" w:rsidR="00286E0D" w:rsidRPr="00CF1D51" w:rsidRDefault="003347AC" w:rsidP="003347AC">
      <w:pPr>
        <w:pStyle w:val="ManualConsidrant"/>
        <w:rPr>
          <w:noProof/>
        </w:rPr>
      </w:pPr>
      <w:r w:rsidRPr="00CF1D51">
        <w:rPr>
          <w:noProof/>
        </w:rPr>
        <w:t>(21)</w:t>
      </w:r>
      <w:r w:rsidRPr="00CF1D51">
        <w:rPr>
          <w:noProof/>
        </w:rPr>
        <w:tab/>
        <w:t>V skladu s Protokolom št. 5 k aktu o pristopu iz leta 2003 o tranzitu oseb po kopnem med območjem Kaliningrada in drugimi deli Ruske federacije</w:t>
      </w:r>
      <w:r w:rsidRPr="00CF1D51">
        <w:rPr>
          <w:rStyle w:val="FootnoteReference"/>
          <w:noProof/>
          <w:szCs w:val="24"/>
        </w:rPr>
        <w:footnoteReference w:id="13"/>
      </w:r>
      <w:r w:rsidRPr="00CF1D51">
        <w:rPr>
          <w:noProof/>
        </w:rPr>
        <w:t xml:space="preserve"> Unija Litvi pomaga pri upravljanju tranzita oseb med območjem Kaliningrada in drugimi deli Ruske federacije in zlasti nosi vse dodatne stroške, ki nastanejo z izvajanjem posebnih določb pravnega reda EU o tem tranzitu. Zato bi morala ta uredba določiti pravila za finančno podporo za sistem posebnega tranzita, določenega v Uredbi Sveta (ES) št. 693/2003</w:t>
      </w:r>
      <w:r w:rsidRPr="00CF1D51">
        <w:rPr>
          <w:rStyle w:val="FootnoteReference"/>
          <w:noProof/>
          <w:szCs w:val="24"/>
        </w:rPr>
        <w:footnoteReference w:id="14"/>
      </w:r>
      <w:r w:rsidRPr="00CF1D51">
        <w:rPr>
          <w:noProof/>
        </w:rPr>
        <w:t>.</w:t>
      </w:r>
    </w:p>
    <w:p w14:paraId="2F17EDDB" w14:textId="10F49CFA" w:rsidR="00286E0D" w:rsidRPr="00CF1D51" w:rsidRDefault="003347AC" w:rsidP="003347AC">
      <w:pPr>
        <w:pStyle w:val="ManualConsidrant"/>
        <w:rPr>
          <w:noProof/>
        </w:rPr>
      </w:pPr>
      <w:r w:rsidRPr="00CF1D51">
        <w:rPr>
          <w:noProof/>
        </w:rPr>
        <w:t>(22)</w:t>
      </w:r>
      <w:r w:rsidRPr="00CF1D51">
        <w:rPr>
          <w:noProof/>
        </w:rPr>
        <w:tab/>
        <w:t>Ta uredba za Islandijo in Norveško predstavlja razvoj določb schengenskega pravnega reda v smislu Sporazuma med Svetom Evropske unije in Republiko Islandijo ter Kraljevino Norveško o pridružitvi obeh k izvajanju, uporabi in razvoju schengenskega pravnega reda</w:t>
      </w:r>
      <w:r w:rsidRPr="00CF1D51">
        <w:rPr>
          <w:rStyle w:val="FootnoteReference"/>
          <w:noProof/>
          <w:szCs w:val="24"/>
        </w:rPr>
        <w:footnoteReference w:id="15"/>
      </w:r>
      <w:r w:rsidRPr="00CF1D51">
        <w:rPr>
          <w:noProof/>
        </w:rPr>
        <w:t>, ki spadajo na področji iz člena 1, točki A in B, Sklepa Sveta 1999/437/ES</w:t>
      </w:r>
      <w:r w:rsidRPr="00CF1D51">
        <w:rPr>
          <w:rStyle w:val="FootnoteReference"/>
          <w:noProof/>
          <w:szCs w:val="24"/>
        </w:rPr>
        <w:footnoteReference w:id="16"/>
      </w:r>
      <w:r w:rsidRPr="00CF1D51">
        <w:rPr>
          <w:noProof/>
        </w:rPr>
        <w:t>.</w:t>
      </w:r>
    </w:p>
    <w:p w14:paraId="440CC84B" w14:textId="600DEAC6" w:rsidR="00286E0D" w:rsidRPr="00CF1D51" w:rsidRDefault="003347AC" w:rsidP="003347AC">
      <w:pPr>
        <w:pStyle w:val="ManualConsidrant"/>
        <w:rPr>
          <w:noProof/>
        </w:rPr>
      </w:pPr>
      <w:r w:rsidRPr="00CF1D51">
        <w:rPr>
          <w:noProof/>
        </w:rPr>
        <w:t>(23)</w:t>
      </w:r>
      <w:r w:rsidRPr="00CF1D51">
        <w:rPr>
          <w:noProof/>
        </w:rPr>
        <w:tab/>
        <w:t>Ta uredba za Švico predstavlja razvoj določb schengenskega pravnega reda v smislu Sporazuma med Evropsko unijo, Evropsko skupnostjo in Švicarsko konfederacijo o pridružitvi Švicarske konfederacije k izvajanju, uporabi in razvoju schengenskega pravnega reda</w:t>
      </w:r>
      <w:r w:rsidRPr="00CF1D51">
        <w:rPr>
          <w:rStyle w:val="FootnoteReference"/>
          <w:noProof/>
          <w:szCs w:val="24"/>
        </w:rPr>
        <w:footnoteReference w:id="17"/>
      </w:r>
      <w:r w:rsidRPr="00CF1D51">
        <w:rPr>
          <w:noProof/>
        </w:rPr>
        <w:t>, ki spadajo na področji iz člena 1, točki A in B, Sklepa Sveta 1999/437/ES v povezavi s členom 3 Sklepa Sveta 2008/146/ES</w:t>
      </w:r>
      <w:r w:rsidRPr="00CF1D51">
        <w:rPr>
          <w:rStyle w:val="FootnoteReference"/>
          <w:noProof/>
          <w:szCs w:val="24"/>
        </w:rPr>
        <w:footnoteReference w:id="18"/>
      </w:r>
      <w:r w:rsidRPr="00CF1D51">
        <w:rPr>
          <w:noProof/>
        </w:rPr>
        <w:t>.</w:t>
      </w:r>
    </w:p>
    <w:p w14:paraId="396CC801" w14:textId="2CEB75AB" w:rsidR="00286E0D" w:rsidRPr="00CF1D51" w:rsidRDefault="003347AC" w:rsidP="003347AC">
      <w:pPr>
        <w:pStyle w:val="ManualConsidrant"/>
        <w:rPr>
          <w:noProof/>
        </w:rPr>
      </w:pPr>
      <w:r w:rsidRPr="00CF1D51">
        <w:rPr>
          <w:noProof/>
        </w:rPr>
        <w:t>(24)</w:t>
      </w:r>
      <w:r w:rsidRPr="00CF1D51">
        <w:rPr>
          <w:noProof/>
        </w:rPr>
        <w:tab/>
        <w:t>Ta uredba za Lihtenštajn predstavlja razvoj določb schengenskega pravnega reda v smislu Protokola med Evropsko unijo, Evropsko skupnostjo, Švicarsko konfederacijo in Kneževino Lihtenštajn o pristopu Kneževine Lihtenštajn k Sporazumu med Evropsko unijo, Evropsko skupnostjo in Švicarsko konfederacijo o pridružitvi Švicarske konfederacije k izvajanju, uporabi in razvoju schengenskega pravnega reda</w:t>
      </w:r>
      <w:r w:rsidRPr="00CF1D51">
        <w:rPr>
          <w:rStyle w:val="FootnoteReference"/>
          <w:noProof/>
          <w:szCs w:val="24"/>
        </w:rPr>
        <w:footnoteReference w:id="19"/>
      </w:r>
      <w:r w:rsidRPr="00CF1D51">
        <w:rPr>
          <w:noProof/>
        </w:rPr>
        <w:t>, ki spadajo na področji iz člena 1, točki A in B, Sklepa Sveta 1999/437/ES v povezavi s členom 3 Sklepa Sveta 2011/350/EU</w:t>
      </w:r>
      <w:r w:rsidRPr="00CF1D51">
        <w:rPr>
          <w:rStyle w:val="FootnoteReference"/>
          <w:noProof/>
          <w:szCs w:val="24"/>
        </w:rPr>
        <w:footnoteReference w:id="20"/>
      </w:r>
      <w:r w:rsidRPr="00CF1D51">
        <w:rPr>
          <w:noProof/>
        </w:rPr>
        <w:t>.</w:t>
      </w:r>
    </w:p>
    <w:p w14:paraId="1D419147" w14:textId="7F099022" w:rsidR="00806AC4" w:rsidRPr="00CF1D51" w:rsidRDefault="003347AC" w:rsidP="003347AC">
      <w:pPr>
        <w:pStyle w:val="ManualConsidrant"/>
        <w:rPr>
          <w:noProof/>
        </w:rPr>
      </w:pPr>
      <w:r w:rsidRPr="00CF1D51">
        <w:rPr>
          <w:noProof/>
        </w:rPr>
        <w:t>(25)</w:t>
      </w:r>
      <w:r w:rsidRPr="00CF1D51">
        <w:rPr>
          <w:noProof/>
        </w:rPr>
        <w:tab/>
        <w:t>V skladu s členoma 1 in 2 Protokola št. 22 o stališču Danske, ki je priložen PEU in PDEU, Danska ne sodeluje pri sprejetju te uredbe, ki zato zanjo ni zavezujoča in se v njej ne uporablja. Ker ta uredba nadgrajuje schengenski pravni red, se Danska v skladu s členom 4 navedenega protokola v šestih mesecih od dne, ko Svet sprejme to uredbo, odloči, ali jo bo prenesla v svoje nacionalno pravo.</w:t>
      </w:r>
    </w:p>
    <w:p w14:paraId="776F0C22" w14:textId="398D5BDA" w:rsidR="00286E0D" w:rsidRPr="00CF1D51" w:rsidRDefault="003347AC" w:rsidP="003347AC">
      <w:pPr>
        <w:pStyle w:val="ManualConsidrant"/>
        <w:rPr>
          <w:noProof/>
        </w:rPr>
      </w:pPr>
      <w:r w:rsidRPr="00CF1D51">
        <w:rPr>
          <w:noProof/>
        </w:rPr>
        <w:t>(26)</w:t>
      </w:r>
      <w:r w:rsidRPr="00CF1D51">
        <w:rPr>
          <w:noProof/>
        </w:rPr>
        <w:tab/>
        <w:t>Ta uredba predstavlja razvoj določb schengenskega pravnega reda, pri katerih Irska v skladu s Sklepom Sveta 2002/192/ES ne sodeluje</w:t>
      </w:r>
      <w:r w:rsidRPr="00CF1D51">
        <w:rPr>
          <w:rStyle w:val="FootnoteReference"/>
          <w:noProof/>
          <w:szCs w:val="24"/>
        </w:rPr>
        <w:footnoteReference w:id="21"/>
      </w:r>
      <w:r w:rsidRPr="00CF1D51">
        <w:rPr>
          <w:noProof/>
        </w:rPr>
        <w:t>. Irska torej ne sodeluje pri sprejetju te uredbe, ki zato zanjo ni zavezujoča in se v njej ne uporablja –</w:t>
      </w:r>
    </w:p>
    <w:p w14:paraId="7A316F28" w14:textId="77777777" w:rsidR="00286E0D" w:rsidRPr="00CF1D51" w:rsidRDefault="00286E0D" w:rsidP="00286E0D">
      <w:pPr>
        <w:pStyle w:val="Formuledadoption"/>
        <w:rPr>
          <w:noProof/>
        </w:rPr>
      </w:pPr>
      <w:r w:rsidRPr="00CF1D51">
        <w:rPr>
          <w:noProof/>
        </w:rPr>
        <w:t>SPREJELA NASLEDNJO UREDBO:</w:t>
      </w:r>
    </w:p>
    <w:p w14:paraId="558246A5" w14:textId="77777777" w:rsidR="00286E0D" w:rsidRPr="00CF1D51" w:rsidRDefault="00286E0D" w:rsidP="00286E0D">
      <w:pPr>
        <w:pStyle w:val="Titrearticle"/>
        <w:rPr>
          <w:noProof/>
        </w:rPr>
      </w:pPr>
      <w:r w:rsidRPr="00CF1D51">
        <w:rPr>
          <w:noProof/>
        </w:rPr>
        <w:t>Člen 1</w:t>
      </w:r>
    </w:p>
    <w:p w14:paraId="01DCFE30" w14:textId="77777777" w:rsidR="00286E0D" w:rsidRPr="00CF1D51" w:rsidRDefault="00286E0D" w:rsidP="00286E0D">
      <w:pPr>
        <w:pStyle w:val="Titrearticle"/>
        <w:rPr>
          <w:b/>
          <w:bCs/>
          <w:noProof/>
        </w:rPr>
      </w:pPr>
      <w:r w:rsidRPr="00CF1D51">
        <w:rPr>
          <w:b/>
          <w:noProof/>
        </w:rPr>
        <w:t>Predmet urejanja</w:t>
      </w:r>
    </w:p>
    <w:p w14:paraId="16102D8A" w14:textId="77777777" w:rsidR="00B9223C" w:rsidRPr="00CF1D51" w:rsidRDefault="00B9223C" w:rsidP="00B9223C">
      <w:pPr>
        <w:rPr>
          <w:noProof/>
          <w:szCs w:val="24"/>
        </w:rPr>
      </w:pPr>
      <w:r w:rsidRPr="00CF1D51">
        <w:rPr>
          <w:noProof/>
        </w:rPr>
        <w:t xml:space="preserve">Ta uredba določa cilje in financiranje podpore Unije za evropsko integrirano upravljanje meja in za evropsko vizumsko politiko za obdobje od 1. januarja 2028 do 31. decembra 2034. Podpora Unije prispeva k delovanju schengenskega območja, učinkovitemu upravljanju zunanjih meja in učinkovitosti vizumske politike, vključno z zagotavljanjem podpore za izvajanje, krepitev in razvoj ustreznih elementov pakta o migracijah in azilu, ter k visoki ravni notranje varnosti v Uniji, ob ohranjanju odsotnosti nadzora oseb pri prehajanju notranjih meja. </w:t>
      </w:r>
    </w:p>
    <w:p w14:paraId="05AFC029" w14:textId="53D595F0" w:rsidR="00286E0D" w:rsidRPr="00CF1D51" w:rsidRDefault="00286E0D" w:rsidP="00A257BB">
      <w:pPr>
        <w:rPr>
          <w:noProof/>
          <w:szCs w:val="24"/>
        </w:rPr>
      </w:pPr>
      <w:r w:rsidRPr="00CF1D51">
        <w:rPr>
          <w:noProof/>
        </w:rPr>
        <w:t>Ta podpora Unije se zagotovi na podlagi horizontalnih pravil Evropskega sklada za ekonomsko, socialno in teritorialno kohezijo, kmetijstvo in podeželje, ribištvo in pomorstvo ter blaginjo in varnost, vzpostavljenega z Uredbo (EU) [...].</w:t>
      </w:r>
    </w:p>
    <w:p w14:paraId="426B91C7" w14:textId="77777777" w:rsidR="00286E0D" w:rsidRPr="00CF1D51" w:rsidRDefault="00286E0D" w:rsidP="00286E0D">
      <w:pPr>
        <w:pStyle w:val="Titrearticle"/>
        <w:rPr>
          <w:noProof/>
        </w:rPr>
      </w:pPr>
      <w:r w:rsidRPr="00CF1D51">
        <w:rPr>
          <w:noProof/>
        </w:rPr>
        <w:t>Člen 2</w:t>
      </w:r>
    </w:p>
    <w:p w14:paraId="33C45191" w14:textId="77777777" w:rsidR="00286E0D" w:rsidRPr="00CF1D51" w:rsidRDefault="00286E0D" w:rsidP="00286E0D">
      <w:pPr>
        <w:pStyle w:val="Titrearticle"/>
        <w:rPr>
          <w:b/>
          <w:bCs/>
          <w:noProof/>
        </w:rPr>
      </w:pPr>
      <w:r w:rsidRPr="00CF1D51">
        <w:rPr>
          <w:b/>
          <w:noProof/>
        </w:rPr>
        <w:t>Opredelitev pojmov</w:t>
      </w:r>
    </w:p>
    <w:p w14:paraId="0D79EC17" w14:textId="77777777" w:rsidR="00286E0D" w:rsidRPr="00CF1D51" w:rsidRDefault="00286E0D" w:rsidP="00286E0D">
      <w:pPr>
        <w:rPr>
          <w:noProof/>
          <w:color w:val="000000"/>
          <w:szCs w:val="24"/>
        </w:rPr>
      </w:pPr>
      <w:r w:rsidRPr="00CF1D51">
        <w:rPr>
          <w:noProof/>
          <w:color w:val="000000"/>
        </w:rPr>
        <w:t>V tej uredbi se uporabljajo naslednje opredelitve pojmov:</w:t>
      </w:r>
    </w:p>
    <w:p w14:paraId="1962DB9D" w14:textId="3332A915" w:rsidR="00286E0D" w:rsidRPr="00CF1D51" w:rsidRDefault="003347AC" w:rsidP="003347AC">
      <w:pPr>
        <w:pStyle w:val="Point0"/>
        <w:rPr>
          <w:noProof/>
        </w:rPr>
      </w:pPr>
      <w:r w:rsidRPr="00CF1D51">
        <w:rPr>
          <w:noProof/>
        </w:rPr>
        <w:t>(1)</w:t>
      </w:r>
      <w:r w:rsidRPr="00CF1D51">
        <w:rPr>
          <w:noProof/>
        </w:rPr>
        <w:tab/>
        <w:t>„mejni prehod“ pomeni mejni prehod, kakor je opredeljen v členu 2, točka 8, Uredbe (EU) 2016/399</w:t>
      </w:r>
      <w:r w:rsidRPr="00CF1D51">
        <w:rPr>
          <w:rStyle w:val="FootnoteReference"/>
          <w:noProof/>
          <w:szCs w:val="24"/>
        </w:rPr>
        <w:footnoteReference w:id="22"/>
      </w:r>
      <w:r w:rsidRPr="00CF1D51">
        <w:rPr>
          <w:noProof/>
        </w:rPr>
        <w:t>;</w:t>
      </w:r>
    </w:p>
    <w:p w14:paraId="008FE4CA" w14:textId="2C9A36BD" w:rsidR="00286E0D" w:rsidRPr="00CF1D51" w:rsidRDefault="003347AC" w:rsidP="003347AC">
      <w:pPr>
        <w:pStyle w:val="Point0"/>
        <w:rPr>
          <w:noProof/>
        </w:rPr>
      </w:pPr>
      <w:r w:rsidRPr="00CF1D51">
        <w:rPr>
          <w:noProof/>
        </w:rPr>
        <w:t>(2)</w:t>
      </w:r>
      <w:r w:rsidRPr="00CF1D51">
        <w:rPr>
          <w:noProof/>
        </w:rPr>
        <w:tab/>
        <w:t>„evropsko integrirano upravljanje meja“ pomeni evropsko integrirano upravljanje meja, kakor je opredeljeno v členu 3 Uredbe (EU) 2019/1896</w:t>
      </w:r>
      <w:r w:rsidRPr="00CF1D51">
        <w:rPr>
          <w:rStyle w:val="FootnoteReference"/>
          <w:noProof/>
          <w:szCs w:val="24"/>
        </w:rPr>
        <w:footnoteReference w:id="23"/>
      </w:r>
      <w:r w:rsidRPr="00CF1D51">
        <w:rPr>
          <w:noProof/>
        </w:rPr>
        <w:t>;</w:t>
      </w:r>
    </w:p>
    <w:p w14:paraId="2B48C930" w14:textId="436C4B86" w:rsidR="00286E0D" w:rsidRPr="00CF1D51" w:rsidRDefault="003347AC" w:rsidP="003347AC">
      <w:pPr>
        <w:pStyle w:val="Point0"/>
        <w:rPr>
          <w:noProof/>
        </w:rPr>
      </w:pPr>
      <w:r w:rsidRPr="00CF1D51">
        <w:rPr>
          <w:noProof/>
        </w:rPr>
        <w:t>(3)</w:t>
      </w:r>
      <w:r w:rsidRPr="00CF1D51">
        <w:rPr>
          <w:noProof/>
        </w:rPr>
        <w:tab/>
        <w:t>„zunanje meje“ pomenijo zunanje meje, kakor so opredeljene v členu 2, točka 2, Uredbe (EU) 2016/399</w:t>
      </w:r>
      <w:r w:rsidRPr="00CF1D51">
        <w:rPr>
          <w:rStyle w:val="FootnoteReference"/>
          <w:noProof/>
          <w:szCs w:val="24"/>
        </w:rPr>
        <w:footnoteReference w:id="24"/>
      </w:r>
      <w:r w:rsidRPr="00CF1D51">
        <w:rPr>
          <w:noProof/>
        </w:rPr>
        <w:t>, in notranje meje, na katerih nadzor še ni bil odpravljen;</w:t>
      </w:r>
    </w:p>
    <w:p w14:paraId="225B0BEF" w14:textId="0E4D380F" w:rsidR="00286E0D" w:rsidRPr="00CF1D51" w:rsidRDefault="003347AC" w:rsidP="003347AC">
      <w:pPr>
        <w:pStyle w:val="Point0"/>
        <w:rPr>
          <w:noProof/>
        </w:rPr>
      </w:pPr>
      <w:r w:rsidRPr="00CF1D51">
        <w:rPr>
          <w:noProof/>
        </w:rPr>
        <w:t>(4)</w:t>
      </w:r>
      <w:r w:rsidRPr="00CF1D51">
        <w:rPr>
          <w:noProof/>
        </w:rPr>
        <w:tab/>
        <w:t>„odsek zunanje meje“ pomeni odsek zunanje meje, kakor je opredeljen v členu 11,  točka 2, Uredbe (EU) 2019/1896</w:t>
      </w:r>
      <w:r w:rsidRPr="00CF1D51">
        <w:rPr>
          <w:rStyle w:val="FootnoteReference"/>
          <w:noProof/>
          <w:szCs w:val="24"/>
        </w:rPr>
        <w:footnoteReference w:id="25"/>
      </w:r>
      <w:r w:rsidRPr="00CF1D51">
        <w:rPr>
          <w:noProof/>
        </w:rPr>
        <w:t>;</w:t>
      </w:r>
    </w:p>
    <w:p w14:paraId="19E59878" w14:textId="1371C2DC" w:rsidR="00286E0D" w:rsidRPr="00CF1D51" w:rsidRDefault="003347AC" w:rsidP="003347AC">
      <w:pPr>
        <w:pStyle w:val="Point0"/>
        <w:rPr>
          <w:noProof/>
        </w:rPr>
      </w:pPr>
      <w:r w:rsidRPr="00CF1D51">
        <w:rPr>
          <w:noProof/>
        </w:rPr>
        <w:t>(5)</w:t>
      </w:r>
      <w:r w:rsidRPr="00CF1D51">
        <w:rPr>
          <w:noProof/>
        </w:rPr>
        <w:tab/>
        <w:t>„notranje meje, na katerih nadzor še ni bil odpravljen“ pomenijo:</w:t>
      </w:r>
    </w:p>
    <w:p w14:paraId="1816FE1D" w14:textId="1AE66307" w:rsidR="00286E0D" w:rsidRPr="00CF1D51" w:rsidRDefault="003347AC" w:rsidP="003347AC">
      <w:pPr>
        <w:pStyle w:val="Point1"/>
        <w:rPr>
          <w:noProof/>
        </w:rPr>
      </w:pPr>
      <w:r w:rsidRPr="00CF1D51">
        <w:rPr>
          <w:noProof/>
        </w:rPr>
        <w:t>(a)</w:t>
      </w:r>
      <w:r w:rsidRPr="00CF1D51">
        <w:rPr>
          <w:noProof/>
        </w:rPr>
        <w:tab/>
        <w:t>skupno mejo med državo članico, ki v celoti izvaja schengenski pravni red, in državo članico, ki je dolžna v celoti izvajati schengenski pravni red skladno z aktom o pristopu te države članice, za katero pa zadevni sklep Sveta o dovoljenju za polno izvajanje tega pravnega reda še ni začel veljati;</w:t>
      </w:r>
    </w:p>
    <w:p w14:paraId="451F5771" w14:textId="7F81354A" w:rsidR="00286E0D" w:rsidRPr="00CF1D51" w:rsidRDefault="003347AC" w:rsidP="003347AC">
      <w:pPr>
        <w:pStyle w:val="Point1"/>
        <w:rPr>
          <w:noProof/>
        </w:rPr>
      </w:pPr>
      <w:r w:rsidRPr="00CF1D51">
        <w:rPr>
          <w:noProof/>
        </w:rPr>
        <w:t>(b)</w:t>
      </w:r>
      <w:r w:rsidRPr="00CF1D51">
        <w:rPr>
          <w:noProof/>
        </w:rPr>
        <w:tab/>
        <w:t>skupno mejo med dvema državama članicama, ki sta dolžni v celoti izvajati schengenski pravni red skladno z ustreznima aktoma o pristopu teh dveh držav članic, za kateri pa zadevni sklep Sveta o dovoljenju za polno izvajanje tega pravnega reda še ni začel veljati;</w:t>
      </w:r>
    </w:p>
    <w:p w14:paraId="5E6A7562" w14:textId="76DFB720" w:rsidR="00286E0D" w:rsidRPr="00CF1D51" w:rsidRDefault="003347AC" w:rsidP="003347AC">
      <w:pPr>
        <w:pStyle w:val="Point0"/>
        <w:rPr>
          <w:noProof/>
        </w:rPr>
      </w:pPr>
      <w:r w:rsidRPr="00CF1D51">
        <w:rPr>
          <w:noProof/>
        </w:rPr>
        <w:t>(6)</w:t>
      </w:r>
      <w:r w:rsidRPr="00CF1D51">
        <w:rPr>
          <w:noProof/>
        </w:rPr>
        <w:tab/>
        <w:t>„država članica prejemnica“ pomeni državo članico prejemnico, kakor je opredeljena v členu 2, točka 19, Uredbe (EU) 2024/1351;</w:t>
      </w:r>
    </w:p>
    <w:p w14:paraId="35262557" w14:textId="3A660522" w:rsidR="00F0474E" w:rsidRPr="00CF1D51" w:rsidRDefault="003347AC" w:rsidP="003347AC">
      <w:pPr>
        <w:pStyle w:val="Point0"/>
        <w:rPr>
          <w:noProof/>
        </w:rPr>
      </w:pPr>
      <w:r w:rsidRPr="00CF1D51">
        <w:rPr>
          <w:noProof/>
        </w:rPr>
        <w:t>(7)</w:t>
      </w:r>
      <w:r w:rsidRPr="00CF1D51">
        <w:rPr>
          <w:noProof/>
        </w:rPr>
        <w:tab/>
        <w:t>„prispevajoča država članica“ pomeni prispevajočo državo članico, kakor je opredeljena v členu 2, točka 20, Uredbe (EU) 2024/1351;</w:t>
      </w:r>
    </w:p>
    <w:p w14:paraId="1373544C" w14:textId="341C3D3C" w:rsidR="00286E0D" w:rsidRPr="00CF1D51" w:rsidRDefault="003347AC" w:rsidP="003347AC">
      <w:pPr>
        <w:pStyle w:val="Point0"/>
        <w:rPr>
          <w:noProof/>
        </w:rPr>
      </w:pPr>
      <w:r w:rsidRPr="00CF1D51">
        <w:rPr>
          <w:noProof/>
        </w:rPr>
        <w:t>(8)</w:t>
      </w:r>
      <w:r w:rsidRPr="00CF1D51">
        <w:rPr>
          <w:noProof/>
        </w:rPr>
        <w:tab/>
        <w:t xml:space="preserve">„finančni prispevki“ pomenijo finančne prispevke v skladu s členom 56(2), točka (b), Uredbe (EU) št. 2024/1351. </w:t>
      </w:r>
    </w:p>
    <w:p w14:paraId="4A75AB58" w14:textId="77777777" w:rsidR="00286E0D" w:rsidRPr="00CF1D51" w:rsidRDefault="00286E0D" w:rsidP="00286E0D">
      <w:pPr>
        <w:pStyle w:val="Titrearticle"/>
        <w:rPr>
          <w:noProof/>
        </w:rPr>
      </w:pPr>
      <w:r w:rsidRPr="00CF1D51">
        <w:rPr>
          <w:noProof/>
        </w:rPr>
        <w:t>Člen 3</w:t>
      </w:r>
    </w:p>
    <w:p w14:paraId="1F3B309A" w14:textId="77777777" w:rsidR="00286E0D" w:rsidRPr="00CF1D51" w:rsidRDefault="00286E0D" w:rsidP="00286E0D">
      <w:pPr>
        <w:pStyle w:val="Titrearticle"/>
        <w:rPr>
          <w:b/>
          <w:bCs/>
          <w:noProof/>
        </w:rPr>
      </w:pPr>
      <w:bookmarkStart w:id="17" w:name="_Hlk202174420"/>
      <w:r w:rsidRPr="00CF1D51">
        <w:rPr>
          <w:b/>
          <w:noProof/>
        </w:rPr>
        <w:t>Cilji za podporo Unije za schengensko območje, evropsko integrirano upravljanje zunanjih meja in skupno vizumsko politiko</w:t>
      </w:r>
    </w:p>
    <w:bookmarkEnd w:id="17"/>
    <w:p w14:paraId="3CC4516C" w14:textId="15FD5E6D" w:rsidR="00286E0D" w:rsidRPr="00CF1D51" w:rsidRDefault="003347AC" w:rsidP="003347AC">
      <w:pPr>
        <w:pStyle w:val="ManualNumPar1"/>
        <w:rPr>
          <w:noProof/>
        </w:rPr>
      </w:pPr>
      <w:r w:rsidRPr="00CF1D51">
        <w:rPr>
          <w:noProof/>
        </w:rPr>
        <w:t>1.</w:t>
      </w:r>
      <w:r w:rsidRPr="00CF1D51">
        <w:rPr>
          <w:noProof/>
        </w:rPr>
        <w:tab/>
        <w:t>Za zagotovitev močnega in uspešnega evropskega integriranega upravljanja zunanjih meja, dobro delujočega schengenskega območja in učinkovite vizumske politike podpora Unije prispeva k vsakemu od naslednjih ciljev:</w:t>
      </w:r>
    </w:p>
    <w:p w14:paraId="52746F08" w14:textId="0F6AF9C9" w:rsidR="0058101A" w:rsidRPr="00CF1D51" w:rsidRDefault="003347AC" w:rsidP="003347AC">
      <w:pPr>
        <w:pStyle w:val="Point1"/>
        <w:rPr>
          <w:rFonts w:eastAsiaTheme="minorEastAsia" w:cstheme="majorHAnsi"/>
          <w:noProof/>
          <w:szCs w:val="20"/>
        </w:rPr>
      </w:pPr>
      <w:r w:rsidRPr="00CF1D51">
        <w:rPr>
          <w:noProof/>
        </w:rPr>
        <w:t>(a)</w:t>
      </w:r>
      <w:r w:rsidRPr="00CF1D51">
        <w:rPr>
          <w:noProof/>
        </w:rPr>
        <w:tab/>
        <w:t>podpiranje uspešnega izvajanja, uporabe in razvoja schengenskega okvira ter krepitev upravljanja, celovitosti in varnosti schengenskega območja brez notranjih meja;</w:t>
      </w:r>
    </w:p>
    <w:p w14:paraId="57D454BB" w14:textId="5676320D" w:rsidR="00286E0D" w:rsidRPr="00CF1D51" w:rsidRDefault="003347AC" w:rsidP="003347AC">
      <w:pPr>
        <w:pStyle w:val="Point1"/>
        <w:rPr>
          <w:rStyle w:val="Instructions"/>
          <w:rFonts w:eastAsiaTheme="minorEastAsia"/>
          <w:i w:val="0"/>
          <w:iCs w:val="0"/>
          <w:noProof/>
          <w:color w:val="auto"/>
        </w:rPr>
      </w:pPr>
      <w:r w:rsidRPr="00CF1D51">
        <w:rPr>
          <w:rStyle w:val="Instructions"/>
          <w:rFonts w:eastAsiaTheme="minorHAnsi"/>
          <w:noProof/>
        </w:rPr>
        <w:t>(b)</w:t>
      </w:r>
      <w:r w:rsidRPr="00CF1D51">
        <w:rPr>
          <w:noProof/>
        </w:rPr>
        <w:tab/>
        <w:t>podpiranje uspešnega evropskega integriranega upravljanja meja na zunanjih mejah, ki ga izvaja evropska mejna in obalna straža, kot skupne odgovornosti Evropske agencije za mejno in obalno stražo ter nacionalnih organov, odgovornih za upravljanje meja, vključno z inovativnimi metodami in novimi tehnologijami, da bi se olajšala zakonita prehajanja meje, preprečevali in odkrivali nedovoljene migracije, čezmejni kriminal ter instrumentalizacija nezakonitih migracij in njihova uporaba kot orožja, pa tudi da bi se pripomoglo k uspešnemu vračanju;</w:t>
      </w:r>
    </w:p>
    <w:p w14:paraId="07C36713" w14:textId="25EE2425" w:rsidR="00286E0D" w:rsidRPr="00CF1D51" w:rsidRDefault="003347AC" w:rsidP="003347AC">
      <w:pPr>
        <w:pStyle w:val="Point1"/>
        <w:rPr>
          <w:rFonts w:eastAsiaTheme="minorEastAsia" w:cstheme="majorHAnsi"/>
          <w:noProof/>
          <w:szCs w:val="20"/>
        </w:rPr>
      </w:pPr>
      <w:r w:rsidRPr="00CF1D51">
        <w:rPr>
          <w:noProof/>
        </w:rPr>
        <w:t>(c)</w:t>
      </w:r>
      <w:r w:rsidRPr="00CF1D51">
        <w:rPr>
          <w:noProof/>
        </w:rPr>
        <w:tab/>
        <w:t>podpiranje skupne vizumske politike za zagotovitev harmoniziranega pristopa glede pravočasne izdaje vizumov in olajšanja zakonitega potovanja ob hkratnem preprečevanju migracijskih in varnostnih tveganj ter prispevanju k varnosti in dobremu delovanju schengenskega območja.</w:t>
      </w:r>
    </w:p>
    <w:p w14:paraId="6E55EEE9" w14:textId="68EA180C" w:rsidR="00286E0D" w:rsidRPr="00CF1D51" w:rsidRDefault="00286E0D" w:rsidP="00A257BB">
      <w:pPr>
        <w:ind w:left="720"/>
        <w:rPr>
          <w:noProof/>
          <w:szCs w:val="24"/>
        </w:rPr>
      </w:pPr>
      <w:bookmarkStart w:id="18" w:name="_Hlk201962005"/>
      <w:r w:rsidRPr="00CF1D51">
        <w:rPr>
          <w:noProof/>
        </w:rPr>
        <w:t xml:space="preserve">Podpora Unije se izvaja na način, ki je </w:t>
      </w:r>
      <w:bookmarkEnd w:id="18"/>
      <w:r w:rsidRPr="00CF1D51">
        <w:rPr>
          <w:noProof/>
        </w:rPr>
        <w:t>povsem skladen s cilji, določenimi v uredbi (EU) […] o vzpostavitvi Evropskega sklada za ekonomsko, socialno in teritorialno kohezijo, kmetijstvo in podeželje, ribištvo in pomorstvo ter blaginjo in varnost.</w:t>
      </w:r>
    </w:p>
    <w:p w14:paraId="71BB4485" w14:textId="5233BD33" w:rsidR="00286E0D" w:rsidRPr="00CF1D51" w:rsidRDefault="003347AC" w:rsidP="003347AC">
      <w:pPr>
        <w:pStyle w:val="ManualNumPar1"/>
        <w:rPr>
          <w:noProof/>
          <w:szCs w:val="24"/>
        </w:rPr>
      </w:pPr>
      <w:r w:rsidRPr="00CF1D51">
        <w:rPr>
          <w:noProof/>
        </w:rPr>
        <w:t>2.</w:t>
      </w:r>
      <w:r w:rsidRPr="00CF1D51">
        <w:rPr>
          <w:noProof/>
        </w:rPr>
        <w:tab/>
        <w:t>Podpora Unije se izvaja v skladu z ustreznim pravnim redom Unije in mednarodnimi obveznostmi, ki jih imajo Unija in države članice na podlagi mednarodnih instrumentov, katerih podpisnice so.</w:t>
      </w:r>
    </w:p>
    <w:p w14:paraId="3840A777" w14:textId="132A20A9" w:rsidR="00286E0D" w:rsidRPr="00CF1D51" w:rsidRDefault="003347AC" w:rsidP="003347AC">
      <w:pPr>
        <w:pStyle w:val="ManualNumPar1"/>
        <w:rPr>
          <w:noProof/>
          <w:szCs w:val="24"/>
        </w:rPr>
      </w:pPr>
      <w:r w:rsidRPr="00CF1D51">
        <w:rPr>
          <w:noProof/>
        </w:rPr>
        <w:t>3.</w:t>
      </w:r>
      <w:r w:rsidRPr="00CF1D51">
        <w:rPr>
          <w:noProof/>
        </w:rPr>
        <w:tab/>
        <w:t>Države članice zagotovijo, da prednostne naloge njihovih načrtov za nacionalna in regionalna partnerstva vključujejo ukrepe za doseganje vsakega od ciljev podpore Unije na podlagi te uredbe ter da je porazdelitev sredstev med cilji sorazmerna z opredeljenimi izzivi in potrebami.</w:t>
      </w:r>
    </w:p>
    <w:p w14:paraId="23655188" w14:textId="77777777" w:rsidR="00286E0D" w:rsidRPr="00CF1D51" w:rsidRDefault="00286E0D" w:rsidP="00286E0D">
      <w:pPr>
        <w:pStyle w:val="Titrearticle"/>
        <w:rPr>
          <w:noProof/>
        </w:rPr>
      </w:pPr>
      <w:r w:rsidRPr="00CF1D51">
        <w:rPr>
          <w:noProof/>
        </w:rPr>
        <w:t>Člen 4</w:t>
      </w:r>
    </w:p>
    <w:p w14:paraId="00F584F5" w14:textId="77777777" w:rsidR="00286E0D" w:rsidRPr="00CF1D51" w:rsidRDefault="00286E0D" w:rsidP="00286E0D">
      <w:pPr>
        <w:pStyle w:val="Titrearticle"/>
        <w:rPr>
          <w:b/>
          <w:bCs/>
          <w:noProof/>
        </w:rPr>
      </w:pPr>
      <w:r w:rsidRPr="00CF1D51">
        <w:rPr>
          <w:b/>
          <w:noProof/>
        </w:rPr>
        <w:t>Financiranje</w:t>
      </w:r>
    </w:p>
    <w:p w14:paraId="3C31D26E" w14:textId="6DC7558E" w:rsidR="005507F3" w:rsidRPr="00CF1D51" w:rsidRDefault="003347AC" w:rsidP="003347AC">
      <w:pPr>
        <w:pStyle w:val="ManualNumPar1"/>
        <w:rPr>
          <w:noProof/>
        </w:rPr>
      </w:pPr>
      <w:r w:rsidRPr="00CF1D51">
        <w:rPr>
          <w:noProof/>
        </w:rPr>
        <w:t>1.</w:t>
      </w:r>
      <w:r w:rsidRPr="00CF1D51">
        <w:rPr>
          <w:noProof/>
        </w:rPr>
        <w:tab/>
        <w:t xml:space="preserve">Okvirna finančna sredstva za izvajanje ciljev iz člena 3 za obdobje od 2028 do 2034 znašajo 15 396 750 000 EUR v tekočih cenah. Izvrševala se bodo v skladu s horizontalnimi pravili za načrte za nacionalna in regionalna partnerstva, določenimi v Uredbi (EU) [...] o vzpostavitvi Evropskega sklada za ekonomsko, socialno in teritorialno kohezijo, kmetijstvo in podeželje, ribištvo in pomorstvo ter blaginjo in varnost. </w:t>
      </w:r>
    </w:p>
    <w:p w14:paraId="73B43C2B" w14:textId="1F933790" w:rsidR="00623F90" w:rsidRPr="00CF1D51" w:rsidRDefault="003347AC" w:rsidP="003347AC">
      <w:pPr>
        <w:pStyle w:val="ManualNumPar1"/>
        <w:rPr>
          <w:noProof/>
        </w:rPr>
      </w:pPr>
      <w:r w:rsidRPr="00CF1D51">
        <w:rPr>
          <w:noProof/>
        </w:rPr>
        <w:t>2.</w:t>
      </w:r>
      <w:r w:rsidRPr="00CF1D51">
        <w:rPr>
          <w:noProof/>
        </w:rPr>
        <w:tab/>
        <w:t>Komisija sprejme izvedbeni akt o določitvi zneska za posamezno državo članico, pri čemer uporabi metodologijo dodeljevanja, določeno v oddelku B Priloge I k uredbi (EU) […] o vzpostavitvi Evropskega sklada za ekonomsko, socialno in teritorialno kohezijo, kmetijstvo in podeželje, ribištvo in pomorstvo ter blaginjo in varnost.</w:t>
      </w:r>
    </w:p>
    <w:p w14:paraId="5E629589" w14:textId="25F76966" w:rsidR="005507F3" w:rsidRPr="00CF1D51" w:rsidRDefault="003347AC" w:rsidP="003347AC">
      <w:pPr>
        <w:pStyle w:val="ManualNumPar1"/>
        <w:rPr>
          <w:noProof/>
        </w:rPr>
      </w:pPr>
      <w:r w:rsidRPr="00CF1D51">
        <w:rPr>
          <w:noProof/>
        </w:rPr>
        <w:t>3.</w:t>
      </w:r>
      <w:r w:rsidRPr="00CF1D51">
        <w:rPr>
          <w:noProof/>
        </w:rPr>
        <w:tab/>
        <w:t>Poleg tega se proračunske odobritve za cilje iz člena 3 te uredbe, ki se izvršijo v okviru Instrumenta EU na podlagi naslova IV Uredbe (EU) [...] o vzpostavitvi Evropskega sklada za ekonomsko, socialno in teritorialno kohezijo, kmetijstvo in podeželje, ribištvo in pomorstvo ter blaginjo in varnost, določijo v okviru letnega proračunskega postopka iz člena 314 PDEU.</w:t>
      </w:r>
    </w:p>
    <w:p w14:paraId="070F7EDE" w14:textId="013D411B" w:rsidR="005507F3" w:rsidRPr="00CF1D51" w:rsidRDefault="003347AC" w:rsidP="003347AC">
      <w:pPr>
        <w:pStyle w:val="ManualNumPar1"/>
        <w:rPr>
          <w:noProof/>
        </w:rPr>
      </w:pPr>
      <w:r w:rsidRPr="00CF1D51">
        <w:rPr>
          <w:noProof/>
        </w:rPr>
        <w:t>4.</w:t>
      </w:r>
      <w:r w:rsidRPr="00CF1D51">
        <w:rPr>
          <w:noProof/>
        </w:rPr>
        <w:tab/>
        <w:t xml:space="preserve">Kar zadeva ukrepe, ki se nanašajo na cilje iz člena 3 te uredbe, in če Komisija ugotovi, da so ti ukrepi v skladu z zahtevami iz te uredbe in Uredbe (EU) [...] o vzpostavitvi Evropskega sklada za ekonomsko, socialno in teritorialno kohezijo, kmetijstvo in podeželje, ribištvo in pomorstvo ter blaginjo in varnost, ter če predlaga izvedbeni sklep Sveta o odobritvi načrta za nacionalna in regionalna partnerstva zadevne države članice v skladu s postopkom iz člena 23 Uredbe (EU) [...] o vzpostavitvi Evropskega sklada za ekonomsko, socialno in teritorialno kohezijo, kmetijstvo in podeželje, ribištvo in pomorstvo ter blaginjo in varnost, Svetu predlaga, naj ta z izvedbenim sklepom ukrepe odobri. </w:t>
      </w:r>
    </w:p>
    <w:p w14:paraId="6930FE95" w14:textId="12E1F33E" w:rsidR="005507F3" w:rsidRPr="00CF1D51" w:rsidRDefault="003347AC" w:rsidP="003347AC">
      <w:pPr>
        <w:pStyle w:val="ManualNumPar1"/>
        <w:rPr>
          <w:noProof/>
        </w:rPr>
      </w:pPr>
      <w:r w:rsidRPr="00CF1D51">
        <w:rPr>
          <w:noProof/>
        </w:rPr>
        <w:t>5.</w:t>
      </w:r>
      <w:r w:rsidRPr="00CF1D51">
        <w:rPr>
          <w:noProof/>
        </w:rPr>
        <w:tab/>
        <w:t>Kar zadeva cilje iz člena 3, so v predlogu, ki ga poda Komisija, za izvedbeni sklep Sveta o ukrepih, ki se nanašajo na cilje iz člena 3 te uredbe, določeni elementi iz člena 23(4) Uredbe (EU) o vzpostavitvi Evropskega sklada za ekonomsko, socialno in teritorialno kohezijo, kmetijstvo in podeželje, ribištvo in pomorstvo ter blaginjo in varnost.</w:t>
      </w:r>
    </w:p>
    <w:p w14:paraId="1388C5B4" w14:textId="5EDB01D3" w:rsidR="00596698" w:rsidRPr="00CF1D51" w:rsidRDefault="003347AC" w:rsidP="003347AC">
      <w:pPr>
        <w:pStyle w:val="ManualNumPar1"/>
        <w:rPr>
          <w:noProof/>
        </w:rPr>
      </w:pPr>
      <w:r w:rsidRPr="00CF1D51">
        <w:rPr>
          <w:noProof/>
        </w:rPr>
        <w:t>6.</w:t>
      </w:r>
      <w:r w:rsidRPr="00CF1D51">
        <w:rPr>
          <w:noProof/>
        </w:rPr>
        <w:tab/>
        <w:t>Svet izvedbeni sklep iz odstavka 4 praviloma sprejme v štirih tednih po sprejetju predloga Komisije in skupaj z izvedbenimi sklepi iz člena 23, odstavek (1) [</w:t>
      </w:r>
      <w:r w:rsidRPr="00CF1D51">
        <w:rPr>
          <w:i/>
          <w:iCs/>
          <w:noProof/>
        </w:rPr>
        <w:t>predlog Komisije in izvedbeni sklep Sveta</w:t>
      </w:r>
      <w:r w:rsidRPr="00CF1D51">
        <w:rPr>
          <w:noProof/>
        </w:rPr>
        <w:t>] Uredbe (EU) [...] o vzpostavitvi Evropskega sklada za ekonomsko, socialno in teritorialno kohezijo, kmetijstvo in podeželje, ribištvo in pomorstvo ter blaginjo in varnost.</w:t>
      </w:r>
    </w:p>
    <w:p w14:paraId="256B33DF" w14:textId="0BE8C5E2" w:rsidR="00623F90" w:rsidRPr="00CF1D51" w:rsidRDefault="003347AC" w:rsidP="003347AC">
      <w:pPr>
        <w:pStyle w:val="ManualNumPar1"/>
        <w:rPr>
          <w:noProof/>
        </w:rPr>
      </w:pPr>
      <w:r w:rsidRPr="00CF1D51">
        <w:rPr>
          <w:noProof/>
        </w:rPr>
        <w:t>7.</w:t>
      </w:r>
      <w:r w:rsidRPr="00CF1D51">
        <w:rPr>
          <w:noProof/>
        </w:rPr>
        <w:tab/>
      </w:r>
      <w:r w:rsidRPr="00CF1D51">
        <w:rPr>
          <w:rFonts w:asciiTheme="majorBidi" w:hAnsiTheme="majorBidi"/>
          <w:noProof/>
        </w:rPr>
        <w:t xml:space="preserve">Člen 24 Uredbe (EU) […] </w:t>
      </w:r>
      <w:r w:rsidRPr="00CF1D51">
        <w:rPr>
          <w:noProof/>
        </w:rPr>
        <w:t>o vzpostavitvi Evropskega sklada za ekonomsko, socialno in teritorialno kohezijo, kmetijstvo in podeželje, ribištvo in pomorstvo, blaginjo in varnost, ki se nanaša na</w:t>
      </w:r>
      <w:r w:rsidRPr="00CF1D51">
        <w:rPr>
          <w:rFonts w:asciiTheme="majorBidi" w:hAnsiTheme="majorBidi"/>
          <w:noProof/>
        </w:rPr>
        <w:t xml:space="preserve"> spremembe načrtov, se uporablja pod pogojem, da se predlog Komisije in Izvedbeni sklep Sveta o odobritvi sprememb elementov, navedenih v členu 23(4), nanašata le na cilje iz člena 3 te uredbe.</w:t>
      </w:r>
    </w:p>
    <w:p w14:paraId="51868DA9" w14:textId="77777777" w:rsidR="00596698" w:rsidRPr="00CF1D51" w:rsidRDefault="00596698" w:rsidP="00596698">
      <w:pPr>
        <w:pStyle w:val="Titrearticle"/>
        <w:rPr>
          <w:noProof/>
        </w:rPr>
      </w:pPr>
      <w:r w:rsidRPr="00CF1D51">
        <w:rPr>
          <w:noProof/>
        </w:rPr>
        <w:t xml:space="preserve">Člen 5 </w:t>
      </w:r>
    </w:p>
    <w:p w14:paraId="31F56137" w14:textId="0DDFC603" w:rsidR="00596698" w:rsidRPr="00CF1D51" w:rsidRDefault="00596698" w:rsidP="00596698">
      <w:pPr>
        <w:pStyle w:val="Titrearticle"/>
        <w:rPr>
          <w:noProof/>
          <w:szCs w:val="24"/>
        </w:rPr>
      </w:pPr>
      <w:r w:rsidRPr="00CF1D51">
        <w:rPr>
          <w:b/>
          <w:noProof/>
        </w:rPr>
        <w:t>Pridružene schengenske države</w:t>
      </w:r>
    </w:p>
    <w:p w14:paraId="5F98EE1A" w14:textId="4DD41066" w:rsidR="00286E0D" w:rsidRPr="00CF1D51" w:rsidRDefault="00596698" w:rsidP="00287E8A">
      <w:pPr>
        <w:pStyle w:val="Text1"/>
        <w:ind w:left="0"/>
        <w:rPr>
          <w:rStyle w:val="eop"/>
          <w:rFonts w:eastAsiaTheme="majorEastAsia"/>
          <w:noProof/>
        </w:rPr>
      </w:pPr>
      <w:r w:rsidRPr="00CF1D51">
        <w:rPr>
          <w:noProof/>
        </w:rPr>
        <w:t>V skladu z relevantnimi določbami iz zadevnih pridružitvenih sporazumov držav, pridruženih izvajanju, uporabi in razvoju schengenskega pravnega reda, se vzpostavijo ureditve za podrobnejšo določitev narave in načina udeležbe teh držav pri podpori Unije. Čim prej po tem, ko zadevna država uradno sporoči svojo odločitev, da sprejema vsebino podpore Unije in da jo bo prenesla v svoj notranji pravni red v skladu z ustreznim pridružitvenim sporazumom, Komisija na podlagi člena 218(3) PDEU Svetu predloži priporočilo za začetek pogajanj o teh ureditvah. Svet po prejemu priporočila brez odlašanja odloči o odobritvi začetka teh pogajanj. Finančni prispevki iz teh držav se dodajo skupnim sredstvom, ki so na voljo iz finančnih sredstev iz člena 4.</w:t>
      </w:r>
    </w:p>
    <w:p w14:paraId="08F346E5" w14:textId="15F26995" w:rsidR="00286E0D" w:rsidRPr="00CF1D51" w:rsidRDefault="00286E0D" w:rsidP="007D3199">
      <w:pPr>
        <w:pStyle w:val="Titrearticle"/>
        <w:rPr>
          <w:noProof/>
        </w:rPr>
      </w:pPr>
      <w:r w:rsidRPr="00CF1D51">
        <w:rPr>
          <w:noProof/>
        </w:rPr>
        <w:t>Člen 6</w:t>
      </w:r>
    </w:p>
    <w:p w14:paraId="77F384CC" w14:textId="77777777" w:rsidR="00286E0D" w:rsidRPr="00CF1D51" w:rsidRDefault="00286E0D" w:rsidP="00286E0D">
      <w:pPr>
        <w:pStyle w:val="Titrearticle"/>
        <w:rPr>
          <w:b/>
          <w:bCs/>
          <w:noProof/>
          <w:szCs w:val="24"/>
        </w:rPr>
      </w:pPr>
      <w:bookmarkStart w:id="19" w:name="_Hlk195020056"/>
      <w:r w:rsidRPr="00CF1D51">
        <w:rPr>
          <w:b/>
          <w:noProof/>
        </w:rPr>
        <w:t>Podpora za sistem posebnega tranzita</w:t>
      </w:r>
    </w:p>
    <w:p w14:paraId="543A7C7F" w14:textId="3CC5D0D1" w:rsidR="00286E0D" w:rsidRPr="00CF1D51" w:rsidRDefault="003347AC" w:rsidP="003347AC">
      <w:pPr>
        <w:pStyle w:val="ManualNumPar1"/>
        <w:rPr>
          <w:noProof/>
        </w:rPr>
      </w:pPr>
      <w:r w:rsidRPr="00CF1D51">
        <w:rPr>
          <w:noProof/>
        </w:rPr>
        <w:t>1.</w:t>
      </w:r>
      <w:r w:rsidRPr="00CF1D51">
        <w:rPr>
          <w:noProof/>
        </w:rPr>
        <w:tab/>
        <w:t>Znesek v višini do 450 000 000 se dodeli litovskemu načrtu za nacionalna in regionalna partnerstva na podlagi Uredbe (EU) [...] o vzpostavitvi Evropskega sklada za ekonomsko, socialno in teritorialno kohezijo, kmetijstvo in podeželje, ribištvo in pomorstvo ter blaginjo in varnost za zagotavljanje podpore za izpad dohodka od obravnave vizumov za kratkoročno bivanje in dodatnih stroškov pri izvajanju sistemov poenostavljenega tranzitnega dokumenta (FTD) in poenostavljenega železniškega tranzitnega dokumenta (FRTD) v skladu z Uredbo Sveta (ES) št. 693/2003 in Uredbo (ES) št. 694/2003, kakor je bila spremenjena z Uredbo (EU) 2023/2667 Evropskega parlamenta in Sveta.</w:t>
      </w:r>
    </w:p>
    <w:p w14:paraId="62C6EDAD" w14:textId="16EDD309" w:rsidR="00286E0D" w:rsidRPr="00CF1D51" w:rsidRDefault="003347AC" w:rsidP="003347AC">
      <w:pPr>
        <w:pStyle w:val="ManualNumPar1"/>
        <w:rPr>
          <w:noProof/>
        </w:rPr>
      </w:pPr>
      <w:r w:rsidRPr="00CF1D51">
        <w:rPr>
          <w:noProof/>
        </w:rPr>
        <w:t>2.</w:t>
      </w:r>
      <w:r w:rsidRPr="00CF1D51">
        <w:rPr>
          <w:noProof/>
        </w:rPr>
        <w:tab/>
        <w:t xml:space="preserve">Za namene odstavka 1 podpora Unije za izpad dohodka temelji na izdaji poenostavljenih tranzitnih dokumentov in poenostavljenih železniških tranzitnih dokumentov. Zgornja meja podpore je 100 000 000 EUR. </w:t>
      </w:r>
    </w:p>
    <w:p w14:paraId="0498E203" w14:textId="70EB88D9" w:rsidR="00286E0D" w:rsidRPr="00CF1D51" w:rsidRDefault="003347AC" w:rsidP="003347AC">
      <w:pPr>
        <w:pStyle w:val="ManualNumPar1"/>
        <w:rPr>
          <w:noProof/>
        </w:rPr>
      </w:pPr>
      <w:r w:rsidRPr="00CF1D51">
        <w:rPr>
          <w:noProof/>
        </w:rPr>
        <w:t>3.</w:t>
      </w:r>
      <w:r w:rsidRPr="00CF1D51">
        <w:rPr>
          <w:noProof/>
        </w:rPr>
        <w:tab/>
        <w:t>Za namene odstavka 1 podpora Unije krije dodatne ocenjene stroške, ki izhajajo neposredno iz posebnih zahtev za izvajanje delovanja sistema posebnega tranzita in ki niso nastali zaradi izdaje vizumov na podlagi Uredbe (ES) št. 810/2009 Evropskega parlamenta in Sveta</w:t>
      </w:r>
      <w:r w:rsidRPr="00CF1D51">
        <w:rPr>
          <w:rStyle w:val="FootnoteReference"/>
          <w:noProof/>
        </w:rPr>
        <w:footnoteReference w:id="26"/>
      </w:r>
      <w:r w:rsidRPr="00CF1D51">
        <w:rPr>
          <w:noProof/>
        </w:rPr>
        <w:t>.</w:t>
      </w:r>
    </w:p>
    <w:p w14:paraId="78235099" w14:textId="79CB3179" w:rsidR="00286E0D" w:rsidRPr="00CF1D51" w:rsidRDefault="00286E0D" w:rsidP="006B174B">
      <w:pPr>
        <w:ind w:left="850"/>
        <w:rPr>
          <w:noProof/>
          <w:color w:val="000000"/>
          <w:szCs w:val="24"/>
        </w:rPr>
      </w:pPr>
      <w:r w:rsidRPr="00CF1D51">
        <w:rPr>
          <w:noProof/>
          <w:color w:val="000000"/>
        </w:rPr>
        <w:t>Najvišji prispevek proračuna Unije je 100 % skupnih ocenjenih stroškov. Zgornja meja te podpore je 350 000 000 EUR.</w:t>
      </w:r>
    </w:p>
    <w:p w14:paraId="7DD7F0AB" w14:textId="77777777" w:rsidR="00286E0D" w:rsidRPr="00CF1D51" w:rsidRDefault="00286E0D" w:rsidP="006B174B">
      <w:pPr>
        <w:ind w:left="346" w:firstLine="504"/>
        <w:rPr>
          <w:noProof/>
          <w:szCs w:val="24"/>
        </w:rPr>
      </w:pPr>
      <w:r w:rsidRPr="00CF1D51">
        <w:rPr>
          <w:noProof/>
          <w:color w:val="000000"/>
        </w:rPr>
        <w:t xml:space="preserve">Dodatni ocenjeni stroški zajemajo zlasti: </w:t>
      </w:r>
    </w:p>
    <w:p w14:paraId="6038D052" w14:textId="77777777" w:rsidR="00286E0D" w:rsidRPr="00CF1D51" w:rsidRDefault="00286E0D" w:rsidP="006A2F81">
      <w:pPr>
        <w:pStyle w:val="ListNumber"/>
        <w:numPr>
          <w:ilvl w:val="0"/>
          <w:numId w:val="17"/>
        </w:numPr>
        <w:ind w:left="1094" w:hanging="357"/>
        <w:rPr>
          <w:rFonts w:eastAsia="Aptos"/>
          <w:noProof/>
          <w:color w:val="000000"/>
          <w:kern w:val="2"/>
          <w:szCs w:val="24"/>
        </w:rPr>
      </w:pPr>
      <w:r w:rsidRPr="00CF1D51">
        <w:rPr>
          <w:noProof/>
        </w:rPr>
        <w:t>naložbe v infrastrukturo, prevozna sredstva, informacijske sisteme in opremo, potrebne za delovanje sistema posebnega tranzita;</w:t>
      </w:r>
    </w:p>
    <w:p w14:paraId="7E9CD1E5" w14:textId="77777777" w:rsidR="00286E0D" w:rsidRPr="00CF1D51" w:rsidRDefault="00286E0D" w:rsidP="006A2F81">
      <w:pPr>
        <w:pStyle w:val="ListNumber"/>
        <w:numPr>
          <w:ilvl w:val="0"/>
          <w:numId w:val="17"/>
        </w:numPr>
        <w:ind w:left="1094" w:hanging="357"/>
        <w:rPr>
          <w:rFonts w:eastAsia="Aptos"/>
          <w:noProof/>
          <w:kern w:val="2"/>
          <w:szCs w:val="24"/>
        </w:rPr>
      </w:pPr>
      <w:r w:rsidRPr="00CF1D51">
        <w:rPr>
          <w:noProof/>
        </w:rPr>
        <w:t>usposabljanje uslužbencev, ki izvajajo sistem posebnega tranzita;</w:t>
      </w:r>
    </w:p>
    <w:p w14:paraId="612D44E9" w14:textId="77777777" w:rsidR="00286E0D" w:rsidRPr="00CF1D51" w:rsidRDefault="00286E0D" w:rsidP="006A2F81">
      <w:pPr>
        <w:pStyle w:val="ListNumber"/>
        <w:numPr>
          <w:ilvl w:val="0"/>
          <w:numId w:val="17"/>
        </w:numPr>
        <w:ind w:left="1094" w:hanging="357"/>
        <w:rPr>
          <w:rFonts w:eastAsia="Aptos"/>
          <w:noProof/>
          <w:kern w:val="2"/>
          <w:szCs w:val="24"/>
        </w:rPr>
      </w:pPr>
      <w:r w:rsidRPr="00CF1D51">
        <w:rPr>
          <w:noProof/>
        </w:rPr>
        <w:t xml:space="preserve">dodatni stroški delovanja, vključno s stroški osebja za izvajanje sistema posebnega tranzita. </w:t>
      </w:r>
    </w:p>
    <w:p w14:paraId="20B98F44" w14:textId="04D816B3" w:rsidR="00286E0D" w:rsidRPr="00CF1D51" w:rsidRDefault="003347AC" w:rsidP="003347AC">
      <w:pPr>
        <w:pStyle w:val="ManualNumPar1"/>
        <w:rPr>
          <w:noProof/>
        </w:rPr>
      </w:pPr>
      <w:r w:rsidRPr="00CF1D51">
        <w:rPr>
          <w:noProof/>
        </w:rPr>
        <w:t>4.</w:t>
      </w:r>
      <w:r w:rsidRPr="00CF1D51">
        <w:rPr>
          <w:noProof/>
        </w:rPr>
        <w:tab/>
        <w:t>Komisija in Litva pregledata uporabo tega člena, če nastopijo nepredvidene okoliščine, ki vplivajo na obstoj ali delovanje sistema posebnega tranzita.</w:t>
      </w:r>
    </w:p>
    <w:p w14:paraId="09B9D768" w14:textId="20E1787D" w:rsidR="00286E0D" w:rsidRPr="00CF1D51" w:rsidRDefault="003347AC" w:rsidP="003347AC">
      <w:pPr>
        <w:pStyle w:val="ManualNumPar1"/>
        <w:rPr>
          <w:noProof/>
        </w:rPr>
      </w:pPr>
      <w:r w:rsidRPr="00CF1D51">
        <w:rPr>
          <w:noProof/>
        </w:rPr>
        <w:t>5.</w:t>
      </w:r>
      <w:r w:rsidRPr="00CF1D51">
        <w:rPr>
          <w:noProof/>
        </w:rPr>
        <w:tab/>
        <w:t xml:space="preserve">Zneski iz odstavkov 2 in 3 se dodelijo litovskemu načrtu za nacionalna in regionalna partnerstva. Navedeni zneski se ne uporabijo za druge ukrepe iz načrta, razen v ustrezno utemeljenih okoliščinah, kar odobri Komisija s spremembo navedenega načrta na podlagi člena 24 Uredbe (EU) [...] o vzpostavitvi Evropskega sklada za ekonomsko, socialno in teritorialno kohezijo, kmetijstvo in podeželje, ribištvo in pomorstvo ter blaginjo in varnost. </w:t>
      </w:r>
    </w:p>
    <w:p w14:paraId="398970FF" w14:textId="10C76A9D" w:rsidR="00286E0D" w:rsidRPr="00CF1D51" w:rsidRDefault="00286E0D" w:rsidP="0042042F">
      <w:pPr>
        <w:rPr>
          <w:noProof/>
        </w:rPr>
      </w:pPr>
      <w:r w:rsidRPr="00CF1D51">
        <w:rPr>
          <w:noProof/>
        </w:rPr>
        <w:t>Na podlagi upravičene zahteve Litve se znesek iz odstavka 3 lahko pregleda in po potrebi popravi pred sprejetjem zadnjega delovnega programa na podlagi člena 31 Uredbe (EU) [...] o vzpostavitvi Evropskega sklada za ekonomsko, socialno in teritorialno kohezijo, kmetijstvo in podeželje, ribištvo in pomorstvo ter blaginjo in varnost. Morebitni dodatni zneski se načrtu za nacionalna in regionalna partnerstva Litve dodelijo v skladu s členom 31(7) Uredbe (EU) […] o vzpostavitvi Evropskega sklada za ekonomsko, socialno in teritorialno kohezijo, kmetijstvo in podeželje, ribištvo in pomorstvo ter blaginjo in varnost.</w:t>
      </w:r>
    </w:p>
    <w:bookmarkEnd w:id="19"/>
    <w:p w14:paraId="68C0B3A9" w14:textId="13E23B66" w:rsidR="00286E0D" w:rsidRPr="00CF1D51" w:rsidRDefault="00286E0D" w:rsidP="00286E0D">
      <w:pPr>
        <w:pStyle w:val="Titrearticle"/>
        <w:rPr>
          <w:noProof/>
        </w:rPr>
      </w:pPr>
      <w:r w:rsidRPr="00CF1D51">
        <w:rPr>
          <w:noProof/>
        </w:rPr>
        <w:t>Člen 7</w:t>
      </w:r>
    </w:p>
    <w:p w14:paraId="43B9501B" w14:textId="77777777" w:rsidR="00286E0D" w:rsidRPr="00CF1D51" w:rsidRDefault="00286E0D" w:rsidP="00286E0D">
      <w:pPr>
        <w:pStyle w:val="Titrearticle"/>
        <w:rPr>
          <w:b/>
          <w:bCs/>
          <w:noProof/>
        </w:rPr>
      </w:pPr>
      <w:r w:rsidRPr="00CF1D51">
        <w:rPr>
          <w:b/>
          <w:noProof/>
        </w:rPr>
        <w:t>Sredstva za operativne stroške Evropskega sistema za potovalne informacije in odobritve (ETIAS)</w:t>
      </w:r>
    </w:p>
    <w:p w14:paraId="3743035C" w14:textId="03E26FA3" w:rsidR="00286E0D" w:rsidRPr="00CF1D51" w:rsidRDefault="003347AC" w:rsidP="003347AC">
      <w:pPr>
        <w:pStyle w:val="ManualNumPar1"/>
        <w:rPr>
          <w:noProof/>
        </w:rPr>
      </w:pPr>
      <w:r w:rsidRPr="00CF1D51">
        <w:rPr>
          <w:noProof/>
        </w:rPr>
        <w:t>1.</w:t>
      </w:r>
      <w:r w:rsidRPr="00CF1D51">
        <w:rPr>
          <w:noProof/>
        </w:rPr>
        <w:tab/>
        <w:t xml:space="preserve">Vsaka država članica vzpostavi uspešen in zanesljiv sistem, ki zagotavlja, da so stroški delovanja, ki jih ima v skladu s členom 85(2) in 85(3) Uredbe (EU) 2018/1240, ustrezno opredeljeni in evidentirani. Države članice vsako leto do 31. januarja in prvič do 31. januarja 2029 Komisiji sporočijo skupne stroške delovanja, nastale v preteklem letu. </w:t>
      </w:r>
    </w:p>
    <w:p w14:paraId="20E4BB50" w14:textId="727B6BC6" w:rsidR="00F0474E" w:rsidRPr="00CF1D51" w:rsidRDefault="003347AC" w:rsidP="003347AC">
      <w:pPr>
        <w:pStyle w:val="ManualNumPar1"/>
        <w:rPr>
          <w:noProof/>
        </w:rPr>
      </w:pPr>
      <w:r w:rsidRPr="00CF1D51">
        <w:rPr>
          <w:noProof/>
        </w:rPr>
        <w:t>2.</w:t>
      </w:r>
      <w:r w:rsidRPr="00CF1D51">
        <w:rPr>
          <w:noProof/>
        </w:rPr>
        <w:tab/>
        <w:t xml:space="preserve">Komisija na podlagi informacij, ki jih države članice sporočijo v skladu z odstavkom 1, določi znesek prihodkov od pristojbin ETIAS, ki se v skladu s členom 86, drugi stavek, Uredbe (EU) 2018/1240 dodeli za kritje stroškov delovanja, ki jih imajo države članice. Komisija da vsaki državi članici na razpolago njen delež tega zneska. </w:t>
      </w:r>
    </w:p>
    <w:p w14:paraId="55C50CF3" w14:textId="560E024F" w:rsidR="00286E0D" w:rsidRPr="00CF1D51" w:rsidRDefault="003347AC" w:rsidP="003347AC">
      <w:pPr>
        <w:pStyle w:val="ManualNumPar1"/>
        <w:rPr>
          <w:noProof/>
        </w:rPr>
      </w:pPr>
      <w:r w:rsidRPr="00CF1D51">
        <w:rPr>
          <w:noProof/>
        </w:rPr>
        <w:t>3.</w:t>
      </w:r>
      <w:r w:rsidRPr="00CF1D51">
        <w:rPr>
          <w:noProof/>
        </w:rPr>
        <w:tab/>
        <w:t>Če znesek skupnih stroškov delovanja, ki jih sporočijo države članice v skladu z odstavkom 1, presega razpoložljive prihodke ETIAS ali če znesek odhodkov, nastalih zaradi prilagoditve in avtomatizacije mejnih kontrol zaradi izvajanja sistema ETIAS, presega omejitve iz člena 85(3) Uredbe (EU) 2018/1240, Komisija izračuna sorazmerno zmanjšanje teh zneskov.</w:t>
      </w:r>
    </w:p>
    <w:p w14:paraId="038E99C1" w14:textId="18ECF8B5" w:rsidR="00DD664E" w:rsidRPr="00CF1D51" w:rsidRDefault="003347AC" w:rsidP="003347AC">
      <w:pPr>
        <w:pStyle w:val="ManualNumPar1"/>
        <w:rPr>
          <w:noProof/>
        </w:rPr>
      </w:pPr>
      <w:bookmarkStart w:id="20" w:name="_Hlk202881652"/>
      <w:r w:rsidRPr="00CF1D51">
        <w:rPr>
          <w:noProof/>
        </w:rPr>
        <w:t>4.</w:t>
      </w:r>
      <w:r w:rsidRPr="00CF1D51">
        <w:rPr>
          <w:noProof/>
        </w:rPr>
        <w:tab/>
        <w:t>Če znesek skupnih stroškov delovanja v danem letu presega razpoložljive prihodke ETIAS, da Komisija državam članicam na razpolago znesek, ki ustreza sorazmernemu zmanjšanju njihovih skupnih stroškov delovanja iz prihodkov od pristojbin ETIAS.</w:t>
      </w:r>
    </w:p>
    <w:bookmarkEnd w:id="20"/>
    <w:p w14:paraId="10AD3292" w14:textId="060D27B2" w:rsidR="00286E0D" w:rsidRPr="00CF1D51" w:rsidRDefault="00286E0D" w:rsidP="00286E0D">
      <w:pPr>
        <w:pStyle w:val="Titrearticle"/>
        <w:rPr>
          <w:noProof/>
          <w:szCs w:val="24"/>
        </w:rPr>
      </w:pPr>
      <w:r w:rsidRPr="00CF1D51">
        <w:rPr>
          <w:noProof/>
        </w:rPr>
        <w:t>Člen 8</w:t>
      </w:r>
    </w:p>
    <w:p w14:paraId="5F79BA04" w14:textId="77777777" w:rsidR="00286E0D" w:rsidRPr="00CF1D51" w:rsidRDefault="006866F6" w:rsidP="00286E0D">
      <w:pPr>
        <w:pStyle w:val="Titrearticle"/>
        <w:rPr>
          <w:noProof/>
          <w:szCs w:val="24"/>
        </w:rPr>
      </w:pPr>
      <w:r w:rsidRPr="00CF1D51">
        <w:rPr>
          <w:b/>
          <w:noProof/>
        </w:rPr>
        <w:t>Finančni prispevki za letni solidarnostni fond</w:t>
      </w:r>
    </w:p>
    <w:p w14:paraId="0E0DC514" w14:textId="07076A59" w:rsidR="00286E0D" w:rsidRPr="00CF1D51" w:rsidRDefault="006866F6" w:rsidP="00653241">
      <w:pPr>
        <w:rPr>
          <w:noProof/>
          <w:szCs w:val="24"/>
        </w:rPr>
      </w:pPr>
      <w:r w:rsidRPr="00CF1D51">
        <w:rPr>
          <w:noProof/>
        </w:rPr>
        <w:t>Komisija izračuna zadevni delež finančnih prispevkov, ki jih prispevajoče države članice prenesejo v skladu s členom 64(1) Uredbe (EU) 2024/1351 za namene izvajanja ukrepov iz člena 56(2), točka (b), Uredbe (EU) 2024/1351, in ga da na razpolago vsaki državi članici prejemnici.</w:t>
      </w:r>
    </w:p>
    <w:p w14:paraId="414E4803" w14:textId="2814B288" w:rsidR="00286E0D" w:rsidRPr="00CF1D51" w:rsidRDefault="00286E0D" w:rsidP="00286E0D">
      <w:pPr>
        <w:pStyle w:val="Titrearticle"/>
        <w:rPr>
          <w:noProof/>
        </w:rPr>
      </w:pPr>
      <w:r w:rsidRPr="00CF1D51">
        <w:rPr>
          <w:noProof/>
        </w:rPr>
        <w:t xml:space="preserve">Člen 9 </w:t>
      </w:r>
    </w:p>
    <w:p w14:paraId="732D7A52" w14:textId="77777777" w:rsidR="00286E0D" w:rsidRPr="00CF1D51" w:rsidRDefault="00286E0D" w:rsidP="00286E0D">
      <w:pPr>
        <w:pStyle w:val="Titrearticle"/>
        <w:rPr>
          <w:i w:val="0"/>
          <w:noProof/>
        </w:rPr>
      </w:pPr>
      <w:r w:rsidRPr="00CF1D51">
        <w:rPr>
          <w:b/>
          <w:noProof/>
        </w:rPr>
        <w:t>Prehodne določbe</w:t>
      </w:r>
    </w:p>
    <w:p w14:paraId="32BA96D3" w14:textId="6427F63E" w:rsidR="00286E0D" w:rsidRPr="00CF1D51" w:rsidRDefault="00631DBC" w:rsidP="00A257BB">
      <w:pPr>
        <w:rPr>
          <w:noProof/>
        </w:rPr>
      </w:pPr>
      <w:r w:rsidRPr="00CF1D51">
        <w:rPr>
          <w:noProof/>
        </w:rPr>
        <w:t>Ta uredba ne vpliva na nadaljevanje ali spremembo ukrepov, začetih v skladu z Uredbo (EU) št. 2021/1148, ki se še naprej uporablja za zadevne ukrepe do njihovega zaključka.</w:t>
      </w:r>
    </w:p>
    <w:p w14:paraId="3B38DA05" w14:textId="09D4A97E" w:rsidR="00286E0D" w:rsidRPr="00CF1D51" w:rsidRDefault="00286E0D" w:rsidP="00286E0D">
      <w:pPr>
        <w:pStyle w:val="Titrearticle"/>
        <w:rPr>
          <w:noProof/>
        </w:rPr>
      </w:pPr>
      <w:r w:rsidRPr="00CF1D51">
        <w:rPr>
          <w:noProof/>
        </w:rPr>
        <w:t>Člen 10</w:t>
      </w:r>
    </w:p>
    <w:p w14:paraId="0F10C298" w14:textId="77777777" w:rsidR="00286E0D" w:rsidRPr="00CF1D51" w:rsidRDefault="00286E0D" w:rsidP="00286E0D">
      <w:pPr>
        <w:pStyle w:val="Titrearticle"/>
        <w:rPr>
          <w:b/>
          <w:bCs/>
          <w:noProof/>
        </w:rPr>
      </w:pPr>
      <w:r w:rsidRPr="00CF1D51">
        <w:rPr>
          <w:b/>
          <w:noProof/>
        </w:rPr>
        <w:t>Začetek veljavnosti in uporaba</w:t>
      </w:r>
    </w:p>
    <w:p w14:paraId="1105ED5B" w14:textId="77777777" w:rsidR="00286E0D" w:rsidRPr="00CF1D51" w:rsidRDefault="00286E0D" w:rsidP="00286E0D">
      <w:pPr>
        <w:rPr>
          <w:noProof/>
          <w:szCs w:val="24"/>
        </w:rPr>
      </w:pPr>
      <w:r w:rsidRPr="00CF1D51">
        <w:rPr>
          <w:noProof/>
        </w:rPr>
        <w:t xml:space="preserve">Ta uredba začne veljati [dvajseti] dan po objavi v </w:t>
      </w:r>
      <w:r w:rsidRPr="00CF1D51">
        <w:rPr>
          <w:i/>
          <w:noProof/>
        </w:rPr>
        <w:t>Uradnem listu Evropske unije</w:t>
      </w:r>
      <w:r w:rsidRPr="00CF1D51">
        <w:rPr>
          <w:noProof/>
        </w:rPr>
        <w:t>.</w:t>
      </w:r>
    </w:p>
    <w:p w14:paraId="2B6F6F03" w14:textId="6A003581" w:rsidR="00286E0D" w:rsidRPr="00CF1D51" w:rsidRDefault="00286E0D" w:rsidP="00A257BB">
      <w:pPr>
        <w:rPr>
          <w:noProof/>
        </w:rPr>
      </w:pPr>
      <w:r w:rsidRPr="00CF1D51">
        <w:rPr>
          <w:noProof/>
        </w:rPr>
        <w:t>Uporablja se od datuma začetka uporabe Uredbe (EU) […] o vzpostavitvi Evropskega sklada za ekonomsko, socialno in teritorialno kohezijo, kmetijstvo in podeželje, ribištvo in pomorstvo ter blaginjo in varnost za obdobje 2028–2034.</w:t>
      </w:r>
    </w:p>
    <w:p w14:paraId="6D028D58" w14:textId="77777777" w:rsidR="00286E0D" w:rsidRPr="00CF1D51" w:rsidRDefault="00286E0D" w:rsidP="00286E0D">
      <w:pPr>
        <w:pStyle w:val="Applicationdirecte"/>
        <w:spacing w:before="120"/>
        <w:rPr>
          <w:noProof/>
          <w:szCs w:val="24"/>
        </w:rPr>
      </w:pPr>
      <w:r w:rsidRPr="00CF1D51">
        <w:rPr>
          <w:noProof/>
        </w:rPr>
        <w:t>Ta uredba je v celoti zavezujoča in se neposredno uporablja v državah članicah v skladu s Pogodbama.</w:t>
      </w:r>
    </w:p>
    <w:p w14:paraId="15F55F35" w14:textId="416EB8A2" w:rsidR="00286E0D" w:rsidRPr="00CF1D51" w:rsidRDefault="00CF1D51" w:rsidP="00657817">
      <w:pPr>
        <w:pStyle w:val="Fait"/>
        <w:rPr>
          <w:noProof/>
        </w:rPr>
      </w:pPr>
      <w:r>
        <w:rPr>
          <w:noProof/>
        </w:rPr>
        <w:t>V Bruslju,</w:t>
      </w:r>
    </w:p>
    <w:p w14:paraId="50B73B1B" w14:textId="77777777" w:rsidR="00363133" w:rsidRPr="00CF1D51" w:rsidRDefault="00363133" w:rsidP="00657817">
      <w:pPr>
        <w:pStyle w:val="Institutionquisigne"/>
        <w:rPr>
          <w:noProof/>
        </w:rPr>
      </w:pPr>
      <w:r w:rsidRPr="00CF1D51">
        <w:rPr>
          <w:noProof/>
        </w:rPr>
        <w:t>Za Evropski parlament</w:t>
      </w:r>
      <w:r w:rsidRPr="00CF1D51">
        <w:rPr>
          <w:noProof/>
        </w:rPr>
        <w:tab/>
        <w:t>Za Svet</w:t>
      </w:r>
    </w:p>
    <w:p w14:paraId="20635673" w14:textId="77777777" w:rsidR="00363133" w:rsidRPr="00CF1D51" w:rsidRDefault="00363133" w:rsidP="00363133">
      <w:pPr>
        <w:pStyle w:val="Personnequisigne"/>
        <w:rPr>
          <w:noProof/>
        </w:rPr>
      </w:pPr>
      <w:r w:rsidRPr="00CF1D51">
        <w:rPr>
          <w:noProof/>
        </w:rPr>
        <w:t>predsednica</w:t>
      </w:r>
      <w:r w:rsidRPr="00CF1D51">
        <w:rPr>
          <w:noProof/>
        </w:rPr>
        <w:tab/>
        <w:t>predsednik/predsednica</w:t>
      </w:r>
    </w:p>
    <w:sectPr w:rsidR="00363133" w:rsidRPr="00CF1D51" w:rsidSect="00907479">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9F7A" w14:textId="61073A3F" w:rsidR="00907479" w:rsidRPr="00907479" w:rsidRDefault="00907479" w:rsidP="00907479">
    <w:pPr>
      <w:pStyle w:val="Footer"/>
      <w:rPr>
        <w:rFonts w:ascii="Arial" w:hAnsi="Arial" w:cs="Arial"/>
        <w:b/>
        <w:sz w:val="48"/>
      </w:rPr>
    </w:pPr>
    <w:r w:rsidRPr="00907479">
      <w:rPr>
        <w:rFonts w:ascii="Arial" w:hAnsi="Arial" w:cs="Arial"/>
        <w:b/>
        <w:sz w:val="48"/>
      </w:rPr>
      <w:t>SL</w:t>
    </w:r>
    <w:r w:rsidRPr="00907479">
      <w:rPr>
        <w:rFonts w:ascii="Arial" w:hAnsi="Arial" w:cs="Arial"/>
        <w:b/>
        <w:sz w:val="48"/>
      </w:rPr>
      <w:tab/>
    </w:r>
    <w:r w:rsidRPr="00907479">
      <w:rPr>
        <w:rFonts w:ascii="Arial" w:hAnsi="Arial" w:cs="Arial"/>
        <w:b/>
        <w:sz w:val="48"/>
      </w:rPr>
      <w:tab/>
    </w:r>
    <w:r w:rsidRPr="00907479">
      <w:tab/>
    </w:r>
    <w:r w:rsidRPr="00907479">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390B" w14:textId="53B5BED3" w:rsidR="00907479" w:rsidRPr="00907479" w:rsidRDefault="00907479" w:rsidP="00907479">
    <w:pPr>
      <w:pStyle w:val="Footer"/>
      <w:rPr>
        <w:rFonts w:ascii="Arial" w:hAnsi="Arial" w:cs="Arial"/>
        <w:b/>
        <w:sz w:val="48"/>
      </w:rPr>
    </w:pPr>
    <w:r w:rsidRPr="00907479">
      <w:rPr>
        <w:rFonts w:ascii="Arial" w:hAnsi="Arial" w:cs="Arial"/>
        <w:b/>
        <w:sz w:val="48"/>
      </w:rPr>
      <w:t>SL</w:t>
    </w:r>
    <w:r w:rsidRPr="00907479">
      <w:rPr>
        <w:rFonts w:ascii="Arial" w:hAnsi="Arial" w:cs="Arial"/>
        <w:b/>
        <w:sz w:val="48"/>
      </w:rPr>
      <w:tab/>
    </w:r>
    <w:r w:rsidRPr="00907479">
      <w:rPr>
        <w:rFonts w:ascii="Arial" w:hAnsi="Arial" w:cs="Arial"/>
        <w:b/>
        <w:sz w:val="48"/>
      </w:rPr>
      <w:tab/>
    </w:r>
    <w:r w:rsidRPr="00907479">
      <w:tab/>
    </w:r>
    <w:r w:rsidRPr="00907479">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26C9" w14:textId="77777777" w:rsidR="00907479" w:rsidRDefault="00907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81F1" w14:textId="22D227AF" w:rsidR="00907479" w:rsidRPr="00907479" w:rsidRDefault="00907479" w:rsidP="00907479">
    <w:pPr>
      <w:pStyle w:val="Footer"/>
      <w:rPr>
        <w:rFonts w:ascii="Arial" w:hAnsi="Arial" w:cs="Arial"/>
        <w:b/>
        <w:sz w:val="48"/>
      </w:rPr>
    </w:pPr>
    <w:r w:rsidRPr="00907479">
      <w:rPr>
        <w:rFonts w:ascii="Arial" w:hAnsi="Arial" w:cs="Arial"/>
        <w:b/>
        <w:sz w:val="48"/>
      </w:rPr>
      <w:t>SL</w:t>
    </w:r>
    <w:r w:rsidRPr="00907479">
      <w:rPr>
        <w:rFonts w:ascii="Arial" w:hAnsi="Arial" w:cs="Arial"/>
        <w:b/>
        <w:sz w:val="48"/>
      </w:rPr>
      <w:tab/>
    </w:r>
    <w:r>
      <w:fldChar w:fldCharType="begin"/>
    </w:r>
    <w:r>
      <w:instrText xml:space="preserve"> PAGE  \* MERGEFORMAT </w:instrText>
    </w:r>
    <w:r>
      <w:fldChar w:fldCharType="separate"/>
    </w:r>
    <w:r w:rsidR="00657817">
      <w:rPr>
        <w:noProof/>
      </w:rPr>
      <w:t>17</w:t>
    </w:r>
    <w:r>
      <w:fldChar w:fldCharType="end"/>
    </w:r>
    <w:r>
      <w:tab/>
    </w:r>
    <w:r w:rsidRPr="00907479">
      <w:tab/>
    </w:r>
    <w:r w:rsidRPr="00907479">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87DC" w14:textId="77777777" w:rsidR="00907479" w:rsidRDefault="00907479" w:rsidP="0090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Uredba (EU) 2024/1356 Evropskega parlamenta in Sveta z dne 14. maja 2024 o uvedbi preverjanja državljanov tretjih držav na zunanjih mejah ter spremembi uredb (ES) št. 767/2008, (EU) 2017/2226, (EU) 2018/1240 in (EU) 2019/817 (UL L, 2024/1356, 22.5.2024, ELI: </w:t>
      </w:r>
      <w:hyperlink r:id="rId1" w:tgtFrame="_blank" w:tooltip="Povezava ELI na ta dokument"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Uredba (EU) 2021/1148 Evropskega parlamenta in Sveta z dne 7. julija 2021 o vzpostavitvi Instrumenta za finančno podporo za upravljanje meja in vizumsko politiko v okviru Sklada za integrirano upravljanje meja. </w:t>
      </w:r>
    </w:p>
  </w:footnote>
  <w:footnote w:id="3">
    <w:p w14:paraId="6343CBFD" w14:textId="77777777" w:rsidR="00970B74" w:rsidRPr="00970B74" w:rsidRDefault="00653241" w:rsidP="00970B74">
      <w:pPr>
        <w:pStyle w:val="FootnoteText"/>
        <w:rPr>
          <w:b/>
          <w:bCs/>
        </w:rPr>
      </w:pPr>
      <w:r>
        <w:rPr>
          <w:rStyle w:val="FootnoteReference"/>
        </w:rPr>
        <w:footnoteRef/>
      </w:r>
      <w:r>
        <w:tab/>
        <w:t>Uredba (EU) 2024/1351 Evropskega parlamenta in Sveta z dne 14. maja 2024 o upravljanju azila in migracij, spremembi uredb (EU) 2021/1147 in (EU) 2021/1060 ter razveljavitvi Uredbe (EU) št. 604/2013 (UL L, 2024/1351, 22.5.2024, ELI:</w:t>
      </w:r>
      <w:r>
        <w:rPr>
          <w:b/>
        </w:rPr>
        <w:t xml:space="preserve"> </w:t>
      </w:r>
      <w:hyperlink r:id="rId2" w:tgtFrame="_blank" w:tooltip="Povezava ELI na ta dokument" w:history="1">
        <w:r>
          <w:rPr>
            <w:rStyle w:val="Hyperlink"/>
            <w:b/>
          </w:rPr>
          <w:t>http://data.europa.eu/eli/reg/2024/1351/oj</w:t>
        </w:r>
      </w:hyperlink>
      <w:r>
        <w:t>).</w:t>
      </w:r>
    </w:p>
    <w:p w14:paraId="473B85DC" w14:textId="3AF592A2" w:rsidR="00286E0D" w:rsidRPr="00112A8A" w:rsidRDefault="00286E0D" w:rsidP="00D274F9">
      <w:pPr>
        <w:pStyle w:val="FootnoteText"/>
        <w:rPr>
          <w:lang w:val="en-IE"/>
        </w:rPr>
      </w:pPr>
    </w:p>
  </w:footnote>
  <w:footnote w:id="4">
    <w:p w14:paraId="518B2D40" w14:textId="77777777" w:rsidR="00286E0D" w:rsidRPr="00431333" w:rsidRDefault="00286E0D" w:rsidP="00286E0D">
      <w:pPr>
        <w:pStyle w:val="FootnoteText"/>
      </w:pPr>
      <w:r>
        <w:rPr>
          <w:rStyle w:val="FootnoteReference"/>
        </w:rPr>
        <w:footnoteRef/>
      </w:r>
      <w:r>
        <w:tab/>
        <w:t>UL C , , str. .</w:t>
      </w:r>
    </w:p>
  </w:footnote>
  <w:footnote w:id="5">
    <w:p w14:paraId="6353D267" w14:textId="77777777" w:rsidR="00286E0D" w:rsidRPr="008B2F77" w:rsidRDefault="00286E0D" w:rsidP="00286E0D">
      <w:pPr>
        <w:pStyle w:val="FootnoteText"/>
      </w:pPr>
      <w:r>
        <w:rPr>
          <w:rStyle w:val="FootnoteReference"/>
        </w:rPr>
        <w:footnoteRef/>
      </w:r>
      <w:r>
        <w:tab/>
        <w:t>Stališče Evropskega parlamenta z dne … in stališče Sveta z dne ….</w:t>
      </w:r>
    </w:p>
  </w:footnote>
  <w:footnote w:id="6">
    <w:p w14:paraId="21BBB7AD" w14:textId="77777777" w:rsidR="00286E0D" w:rsidRPr="00A60815" w:rsidRDefault="00286E0D" w:rsidP="00286E0D">
      <w:pPr>
        <w:pStyle w:val="FootnoteText"/>
      </w:pPr>
      <w:r>
        <w:rPr>
          <w:rStyle w:val="FootnoteReference"/>
        </w:rPr>
        <w:footnoteRef/>
      </w:r>
      <w:r>
        <w:tab/>
        <w:t>Uredba (EU) 2019/1896 Evropskega parlamenta in Sveta z dne 13. novembra 2019 o evropski mejni in obalni straži ter razveljavitvi uredb (EU) št. 1052/2013 in (EU) 2016/1624 (UL L 295, 14.11.2019, str.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UL L 144, 6.6.2007, str. 22.</w:t>
      </w:r>
    </w:p>
  </w:footnote>
  <w:footnote w:id="8">
    <w:p w14:paraId="4428EE6F" w14:textId="77777777" w:rsidR="00286E0D" w:rsidRPr="003A4850" w:rsidRDefault="00286E0D" w:rsidP="00286E0D">
      <w:pPr>
        <w:pStyle w:val="FootnoteText"/>
      </w:pPr>
      <w:r>
        <w:rPr>
          <w:rStyle w:val="FootnoteReference"/>
        </w:rPr>
        <w:footnoteRef/>
      </w:r>
      <w:r>
        <w:tab/>
        <w:t xml:space="preserve">Uredba (EU) št. 515/2014 Evropskega parlamenta in Sveta z dne 16. aprila 2014 o vzpostavitvi instrumenta za finančno podporo na področju zunanjih meja in vizumov v okviru Sklada za notranjo varnost in o razveljavitvi Odločbe št. 574/2007/ES (UL L 150, 20.5.2014, str.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Uredba (EU) 2021/1148 Evropskega parlamenta in Sveta z dne 7. julija 2021 o vzpostavitvi Instrumenta za finančno podporo za upravljanje meja in vizumsko politiko v okviru Sklada za integrirano upravljanje meja (UL L 251, 15.7.2021, str.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Sporočilo Komisije Evropskemu parlamentu in Svetu o preprečevanju hibridnih groženj, ki izvirajo iz instrumentalizacije migracij, ter krepitvi varnosti na zunanjih mejah EU (COM(2024) 570 final z dne 11. decembra 2024).</w:t>
      </w:r>
    </w:p>
  </w:footnote>
  <w:footnote w:id="11">
    <w:p w14:paraId="2178D4C2" w14:textId="77777777" w:rsidR="00286E0D" w:rsidRPr="009D6D48" w:rsidRDefault="00286E0D" w:rsidP="00286E0D">
      <w:pPr>
        <w:pStyle w:val="FootnoteText"/>
      </w:pPr>
      <w:r>
        <w:rPr>
          <w:rStyle w:val="FootnoteReference"/>
        </w:rPr>
        <w:footnoteRef/>
      </w:r>
      <w:r>
        <w:tab/>
        <w:t xml:space="preserve">Uredba (EU) 2018/1240 Evropskega parlamenta in Sveta z dne 12. septembra 2018 o vzpostavitvi Evropskega sistema za potovalne informacije in odobritve (ETIAS) ter spremembi uredb (EU) št. 1077/2011, (EU) št. 515/2014, (EU) 2016/399, (EU) 2016/1624 in (EU) 2017/2226 (UL L 236, 19.9.2018, str. 1,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Uredba (EU) 2024/1351 Evropskega parlamenta in Sveta z dne 14. maja 2024 o upravljanju azila in migracij, spremembi uredb (EU) 2021/1147 in (EU) 2021/1060 ter razveljavitvi Uredbe (EU) št. 604/2013 (UL L, 2024/1351, 22.5.2024,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Akt o pogojih pristopa Češke republike, Republike Estonije, Republike Cipra, Republike Latvije, Republike Litve, Republike Madžarske, Republike Malte, Republike Poljske, Republike Slovenije in Slovaške republike in prilagoditvah Pogodb, na katerih temelji Evropska unija (UL L 236, 23.9.2003, str. 955,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Uredba Sveta (ES) št. 693/2003 z dne 14. aprila 2003 o ustanovitvi posebnega Poenostavljenega tranzitnega dokumenta (FTD), Poenostavljenega železniškega tranzitnega dokumenta (FRTD) in o spremembah Skupnih konzularnih navodil in Skupnega priročnika, (UL L 99, 17.4.2003, str.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UL L 176, 10.7.1999, str. 36.</w:t>
      </w:r>
    </w:p>
  </w:footnote>
  <w:footnote w:id="16">
    <w:p w14:paraId="0ED6C216" w14:textId="77777777" w:rsidR="00286E0D" w:rsidRPr="009D6D48" w:rsidRDefault="00286E0D" w:rsidP="00286E0D">
      <w:pPr>
        <w:pStyle w:val="FootnoteText"/>
      </w:pPr>
      <w:r>
        <w:rPr>
          <w:rStyle w:val="FootnoteReference"/>
        </w:rPr>
        <w:footnoteRef/>
      </w:r>
      <w:r>
        <w:tab/>
        <w:t xml:space="preserve">Sklep Sveta 1999/437/ES z dne 17. maja 1999 o nekaterih izvedbenih predpisih za uporabo Sporazuma, sklenjenega med Svetom Evropske unije in Republiko Islandijo ter Kraljevino Norveško, v zvezi s pridružitvijo teh dveh držav k izvajanju, uporabi in razvoju schengenskega pravnega reda (UL L 176, 10.7.1999, str.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UL L 53, 27.2.2008, str. 52.</w:t>
      </w:r>
    </w:p>
  </w:footnote>
  <w:footnote w:id="18">
    <w:p w14:paraId="41D47FF0" w14:textId="77777777" w:rsidR="00286E0D" w:rsidRPr="009D6D48" w:rsidRDefault="00286E0D" w:rsidP="00286E0D">
      <w:pPr>
        <w:pStyle w:val="FootnoteText"/>
      </w:pPr>
      <w:r>
        <w:rPr>
          <w:rStyle w:val="FootnoteReference"/>
        </w:rPr>
        <w:footnoteRef/>
      </w:r>
      <w:r>
        <w:tab/>
        <w:t xml:space="preserve">Sklep Sveta 2008/146/ES z dne 28. januarja 2008 o sklenitvi Sporazuma med Evropsko unijo, Evropsko skupnostjo in Švicarsko konfederacijo o pridružitvi Švicarske konfederacije k izvajanju, uporabi in razvoju schengenskega pravnega reda v imenu Evropske skupnosti (UL L 53, 27.2.2008, str. 1, ELI: </w:t>
      </w:r>
      <w:hyperlink r:id="rId9" w:history="1">
        <w:r>
          <w:rPr>
            <w:rStyle w:val="Hyperlink"/>
          </w:rPr>
          <w:t>http://data.europa.eu/eli/dec/2008/146/oj</w:t>
        </w:r>
      </w:hyperlink>
      <w:r>
        <w:t>).</w:t>
      </w:r>
    </w:p>
  </w:footnote>
  <w:footnote w:id="19">
    <w:p w14:paraId="103CF621" w14:textId="77777777" w:rsidR="00286E0D" w:rsidRPr="00404366" w:rsidRDefault="00286E0D" w:rsidP="00286E0D">
      <w:pPr>
        <w:pStyle w:val="FootnoteText"/>
      </w:pPr>
      <w:r>
        <w:rPr>
          <w:rStyle w:val="FootnoteReference"/>
        </w:rPr>
        <w:footnoteRef/>
      </w:r>
      <w:r>
        <w:tab/>
        <w:t>UL L 160, 18.6.2011, str. 21,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Sklep Sveta 2011/350/EU z dne 7. marca 2011 o sklenitvi Protokola med Evropsko unijo, Evropsko skupnostjo, Švicarsko konfederacijo in Kneževino Lihtenštajn o pristopu Kneževine Lihtenštajn k Sporazumu med Evropsko unijo, Evropsko skupnostjo in Švicarsko konfederacijo o pridružitvi Švicarske konfederacije k izvajanju, uporabi in razvoju schengenskega pravnega reda, v zvezi z odpravo kontrol na notranjih mejah in prostim gibanjem oseb, v imenu Evropske unije (UL L 160, 18.6.2011, str. 19,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Sklep Sveta 2002/192/ES z dne 28. februarja 2002 o prošnji Irske, da sodeluje pri izvajanju nekaterih določb schengenskega pravnega reda (UL L 64, 7.3.2002, str. 20,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Uredba (EU) 2016/399 Evropskega parlamenta in Sveta z dne 9. marca 2016 o Zakoniku Unije o pravilih, ki urejajo gibanje oseb prek meja (Zakonik o schengenskih mejah) (kodificirano besedilo) (UL L 77, 23.3.2016, str. 1, ELI: http://data.europa.eu/eli/reg/2016/399/oj).</w:t>
      </w:r>
    </w:p>
  </w:footnote>
  <w:footnote w:id="23">
    <w:p w14:paraId="4E3DE7BE" w14:textId="77777777" w:rsidR="00286E0D" w:rsidRPr="009D63A2" w:rsidRDefault="00286E0D" w:rsidP="00286E0D">
      <w:pPr>
        <w:pStyle w:val="FootnoteText"/>
      </w:pPr>
      <w:r>
        <w:rPr>
          <w:rStyle w:val="FootnoteReference"/>
        </w:rPr>
        <w:footnoteRef/>
      </w:r>
      <w:r>
        <w:tab/>
        <w:t>Uredba (EU) 2019/1896 Evropskega parlamenta in Sveta z dne 13. novembra 2019 o evropski mejni in obalni straži ter razveljavitvi uredb (EU) št. 1052/2013 in (EU) 2016/1624 (UL L 295, 14.11.2019, str. 1).</w:t>
      </w:r>
    </w:p>
  </w:footnote>
  <w:footnote w:id="24">
    <w:p w14:paraId="37F054DE" w14:textId="77777777" w:rsidR="00286E0D" w:rsidRPr="009D63A2" w:rsidRDefault="00286E0D" w:rsidP="00286E0D">
      <w:pPr>
        <w:pStyle w:val="FootnoteText"/>
      </w:pPr>
      <w:r>
        <w:rPr>
          <w:rStyle w:val="FootnoteReference"/>
        </w:rPr>
        <w:footnoteRef/>
      </w:r>
      <w:r>
        <w:tab/>
        <w:t>Uredba (EU) 2016/399 Evropskega parlamenta in Sveta z dne 9. marca 2016 o Zakoniku Unije o pravilih, ki urejajo gibanje oseb prek meja (Zakonik o schengenskih mejah) (kodificirano besedilo) (UL L 77, 23.3.2016, str. 1).</w:t>
      </w:r>
    </w:p>
  </w:footnote>
  <w:footnote w:id="25">
    <w:p w14:paraId="19F49142" w14:textId="77777777" w:rsidR="00286E0D" w:rsidRPr="009D63A2" w:rsidRDefault="00286E0D" w:rsidP="00286E0D">
      <w:pPr>
        <w:pStyle w:val="FootnoteText"/>
      </w:pPr>
      <w:r>
        <w:rPr>
          <w:rStyle w:val="FootnoteReference"/>
        </w:rPr>
        <w:footnoteRef/>
      </w:r>
      <w:r>
        <w:tab/>
        <w:t>Uredba (EU) 2019/1896 Evropskega parlamenta in Sveta z dne 13. novembra 2019 o evropski mejni in obalni straži ter razveljavitvi uredb (EU) št. 1052/2013 in (EU) 2016/1624 (UL L 295, 14.11.2019, str. 1).</w:t>
      </w:r>
    </w:p>
  </w:footnote>
  <w:footnote w:id="26">
    <w:p w14:paraId="567544D3" w14:textId="77777777" w:rsidR="00286E0D" w:rsidRPr="008665C8" w:rsidRDefault="00286E0D" w:rsidP="00D274F9">
      <w:pPr>
        <w:pStyle w:val="FootnoteText"/>
      </w:pPr>
      <w:r>
        <w:rPr>
          <w:rStyle w:val="FootnoteReference"/>
        </w:rPr>
        <w:footnoteRef/>
      </w:r>
      <w:r>
        <w:tab/>
        <w:t>Uredba (ES) št. 810/2009 Evropskega parlamenta in Sveta z dne 13. julija 2009 o vizumskem zakoniku Skupnosti (Vizumski zakonik) (UL L 243, 15.9.2009, str. 1,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2D14" w14:textId="77777777" w:rsidR="00907479" w:rsidRDefault="00907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E25A9" w14:textId="77777777" w:rsidR="00907479" w:rsidRDefault="0090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B4A9B0A-FE06-48F6-8B43-F7C343BC9768"/>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selj,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vzpostavitvi podpore Unije za schengensko obmo\u269?je, evropsko integrirano upravljanje meja in skupno vizumsko politiko za obdobje od 2028 do 2034"/>
    <w:docVar w:name="LW_TYPE.DOC.CP" w:val="UREDBA EVROPSKEGA PARLAMENTA IN SVETA"/>
    <w:docVar w:name="LwApiVersions" w:val="LW4CoDe 1.24.5.0; LW 9.0, Build 20240221"/>
  </w:docVars>
  <w:rsids>
    <w:rsidRoot w:val="00286E0D"/>
    <w:rsid w:val="000004BB"/>
    <w:rsid w:val="000011DD"/>
    <w:rsid w:val="00010C77"/>
    <w:rsid w:val="00015B47"/>
    <w:rsid w:val="0002035B"/>
    <w:rsid w:val="00023854"/>
    <w:rsid w:val="0003052C"/>
    <w:rsid w:val="000318D3"/>
    <w:rsid w:val="00034CAB"/>
    <w:rsid w:val="00035D80"/>
    <w:rsid w:val="0004117A"/>
    <w:rsid w:val="0004185D"/>
    <w:rsid w:val="00045D5E"/>
    <w:rsid w:val="0005515C"/>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5CEB"/>
    <w:rsid w:val="001F7A9C"/>
    <w:rsid w:val="0020085E"/>
    <w:rsid w:val="002017CB"/>
    <w:rsid w:val="00210ADD"/>
    <w:rsid w:val="00225D07"/>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5A5A"/>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1855"/>
    <w:rsid w:val="0061311B"/>
    <w:rsid w:val="006177ED"/>
    <w:rsid w:val="0062249A"/>
    <w:rsid w:val="00623F90"/>
    <w:rsid w:val="0063135D"/>
    <w:rsid w:val="00631DBC"/>
    <w:rsid w:val="00633FC1"/>
    <w:rsid w:val="00641E22"/>
    <w:rsid w:val="00642090"/>
    <w:rsid w:val="00642994"/>
    <w:rsid w:val="0065120D"/>
    <w:rsid w:val="00651B43"/>
    <w:rsid w:val="00653241"/>
    <w:rsid w:val="006541B6"/>
    <w:rsid w:val="00657817"/>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363"/>
    <w:rsid w:val="00797A55"/>
    <w:rsid w:val="007A2B54"/>
    <w:rsid w:val="007B1680"/>
    <w:rsid w:val="007C5FAB"/>
    <w:rsid w:val="007C726D"/>
    <w:rsid w:val="007D07F8"/>
    <w:rsid w:val="007D3199"/>
    <w:rsid w:val="007E05B0"/>
    <w:rsid w:val="007F21BA"/>
    <w:rsid w:val="007F2C9B"/>
    <w:rsid w:val="00802740"/>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907479"/>
    <w:rsid w:val="00911349"/>
    <w:rsid w:val="00912E63"/>
    <w:rsid w:val="0091314F"/>
    <w:rsid w:val="0091542E"/>
    <w:rsid w:val="00916AE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0F71"/>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A64"/>
    <w:rsid w:val="00CB1D36"/>
    <w:rsid w:val="00CC22DF"/>
    <w:rsid w:val="00CC3012"/>
    <w:rsid w:val="00CC69E7"/>
    <w:rsid w:val="00CD5494"/>
    <w:rsid w:val="00CD6540"/>
    <w:rsid w:val="00CE46A6"/>
    <w:rsid w:val="00CF1373"/>
    <w:rsid w:val="00CF1D51"/>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0E42"/>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1982"/>
    <w:rsid w:val="00F046D6"/>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943C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sl-SI"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sl-SI"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sl-SI"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sl-SI"/>
    </w:rPr>
  </w:style>
  <w:style w:type="character" w:customStyle="1" w:styleId="FooterCoverPageChar">
    <w:name w:val="Footer Cover Page Char"/>
    <w:link w:val="FooterCoverPage"/>
    <w:rsid w:val="00286E0D"/>
    <w:rPr>
      <w:rFonts w:ascii="Times New Roman" w:eastAsia="Calibri" w:hAnsi="Times New Roman" w:cs="Times New Roman"/>
      <w:sz w:val="24"/>
      <w:lang w:val="sl-SI"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sl-SI" w:eastAsia="en-GB"/>
    </w:rPr>
  </w:style>
  <w:style w:type="character" w:customStyle="1" w:styleId="FooterSensitivityChar">
    <w:name w:val="Footer Sensitivity Char"/>
    <w:rsid w:val="00286E0D"/>
    <w:rPr>
      <w:rFonts w:ascii="Times New Roman" w:hAnsi="Times New Roman" w:cs="Times New Roman"/>
      <w:b/>
      <w:sz w:val="32"/>
      <w:lang w:val="sl-SI"/>
    </w:rPr>
  </w:style>
  <w:style w:type="character" w:customStyle="1" w:styleId="HeaderSensitivityChar">
    <w:name w:val="Header Sensitivity Char"/>
    <w:rsid w:val="00286E0D"/>
    <w:rPr>
      <w:rFonts w:ascii="Times New Roman" w:hAnsi="Times New Roman" w:cs="Times New Roman"/>
      <w:b/>
      <w:sz w:val="32"/>
      <w:lang w:val="sl-SI"/>
    </w:rPr>
  </w:style>
  <w:style w:type="character" w:customStyle="1" w:styleId="HeaderSensitivityRightChar">
    <w:name w:val="Header Sensitivity Right Char"/>
    <w:rsid w:val="00286E0D"/>
    <w:rPr>
      <w:rFonts w:ascii="Times New Roman" w:hAnsi="Times New Roman" w:cs="Times New Roman"/>
      <w:sz w:val="28"/>
      <w:lang w:val="sl-SI"/>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sl-SI"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907479"/>
    <w:rPr>
      <w:rFonts w:ascii="Times New Roman" w:hAnsi="Times New Roman" w:cs="Times New Roman"/>
      <w:sz w:val="24"/>
      <w:lang w:val="sl-SI"/>
    </w:rPr>
  </w:style>
  <w:style w:type="character" w:customStyle="1" w:styleId="FooterChar">
    <w:name w:val="Footer Char"/>
    <w:basedOn w:val="DefaultParagraphFont"/>
    <w:link w:val="Footer"/>
    <w:uiPriority w:val="99"/>
    <w:rsid w:val="0090747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0747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07479"/>
    <w:pPr>
      <w:spacing w:before="0"/>
      <w:jc w:val="right"/>
    </w:pPr>
    <w:rPr>
      <w:sz w:val="28"/>
    </w:rPr>
  </w:style>
  <w:style w:type="paragraph" w:customStyle="1" w:styleId="FooterSensitivity">
    <w:name w:val="Footer Sensitivity"/>
    <w:basedOn w:val="Normal"/>
    <w:rsid w:val="0090747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07479"/>
    <w:pPr>
      <w:tabs>
        <w:tab w:val="center" w:pos="4535"/>
        <w:tab w:val="right" w:pos="9071"/>
      </w:tabs>
      <w:spacing w:before="0"/>
    </w:pPr>
  </w:style>
  <w:style w:type="paragraph" w:customStyle="1" w:styleId="HeaderLandscape">
    <w:name w:val="HeaderLandscape"/>
    <w:basedOn w:val="Normal"/>
    <w:rsid w:val="00907479"/>
    <w:pPr>
      <w:tabs>
        <w:tab w:val="center" w:pos="7285"/>
        <w:tab w:val="right" w:pos="14003"/>
      </w:tabs>
      <w:spacing w:before="0"/>
    </w:pPr>
  </w:style>
  <w:style w:type="paragraph" w:styleId="Footer">
    <w:name w:val="footer"/>
    <w:basedOn w:val="Normal"/>
    <w:link w:val="FooterChar"/>
    <w:uiPriority w:val="99"/>
    <w:unhideWhenUsed/>
    <w:rsid w:val="0090747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0747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8048C-1DDA-4A57-9D9C-770B46B5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45</TotalTime>
  <Pages>18</Pages>
  <Words>6962</Words>
  <Characters>39684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