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11F9" w14:textId="0FBEB90B" w:rsidR="00DF4FD0" w:rsidRPr="00946628" w:rsidRDefault="00596CAB" w:rsidP="00596CAB">
      <w:pPr>
        <w:pStyle w:val="Pagedecouverture"/>
        <w:rPr>
          <w:noProof/>
        </w:rPr>
      </w:pPr>
      <w:r>
        <w:rPr>
          <w:noProof/>
        </w:rPr>
        <w:pict w14:anchorId="6ABBF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3C140AA-9468-4667-A6D4-123ECCAF3B26" style="width:455.25pt;height:401.25pt">
            <v:imagedata r:id="rId8" o:title=""/>
          </v:shape>
        </w:pict>
      </w:r>
    </w:p>
    <w:p w14:paraId="32167E69" w14:textId="77777777" w:rsidR="00DF4FD0" w:rsidRPr="00946628" w:rsidRDefault="00DF4FD0" w:rsidP="00DF4FD0">
      <w:pPr>
        <w:rPr>
          <w:noProof/>
        </w:rPr>
        <w:sectPr w:rsidR="00DF4FD0" w:rsidRPr="00946628" w:rsidSect="00596C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070587D" w14:textId="5C02EEB1" w:rsidR="00DF4FD0" w:rsidRPr="00946628" w:rsidRDefault="004041A4" w:rsidP="004041A4">
      <w:pPr>
        <w:pStyle w:val="Annexetitre"/>
        <w:rPr>
          <w:noProof/>
        </w:rPr>
      </w:pPr>
      <w:bookmarkStart w:id="0" w:name="_GoBack"/>
      <w:bookmarkEnd w:id="0"/>
      <w:r w:rsidRPr="00946628">
        <w:rPr>
          <w:noProof/>
        </w:rPr>
        <w:lastRenderedPageBreak/>
        <w:t xml:space="preserve">I PRIEDAS  </w:t>
      </w:r>
    </w:p>
    <w:p w14:paraId="70FF6695" w14:textId="77777777" w:rsidR="00DF4FD0" w:rsidRPr="00946628" w:rsidRDefault="00DF4FD0" w:rsidP="004041A4">
      <w:pPr>
        <w:jc w:val="center"/>
        <w:rPr>
          <w:b/>
          <w:bCs/>
          <w:noProof/>
        </w:rPr>
      </w:pPr>
      <w:r w:rsidRPr="00946628">
        <w:rPr>
          <w:b/>
          <w:noProof/>
        </w:rPr>
        <w:t>3 straipsnyje nurodyti atsakingo ūkininkavimo reikalavimai</w:t>
      </w:r>
    </w:p>
    <w:p w14:paraId="110F64A9" w14:textId="77777777" w:rsidR="00DF4FD0" w:rsidRPr="00946628" w:rsidRDefault="00DF4FD0" w:rsidP="00DF4FD0">
      <w:pPr>
        <w:rPr>
          <w:rFonts w:eastAsia="Times New Roman"/>
          <w:i/>
          <w:iCs/>
          <w:noProof/>
          <w:color w:val="000000" w:themeColor="text1"/>
          <w:u w:val="single"/>
        </w:rPr>
      </w:pPr>
    </w:p>
    <w:p w14:paraId="16955015" w14:textId="77777777" w:rsidR="00DF4FD0" w:rsidRPr="00946628" w:rsidRDefault="00DF4FD0" w:rsidP="00DF4FD0">
      <w:pPr>
        <w:rPr>
          <w:rFonts w:eastAsia="Calibri"/>
          <w:b/>
          <w:noProof/>
          <w:u w:val="single"/>
        </w:rPr>
      </w:pPr>
      <w:r w:rsidRPr="00946628">
        <w:rPr>
          <w:b/>
          <w:i/>
          <w:noProof/>
          <w:u w:val="single"/>
        </w:rPr>
        <w:t>A dalis. Atsakingo ūkininkavimo taisyklės</w:t>
      </w:r>
      <w:r w:rsidRPr="00946628">
        <w:rPr>
          <w:b/>
          <w:noProof/>
          <w:u w:val="single"/>
        </w:rPr>
        <w:t xml:space="preserve"> </w:t>
      </w:r>
    </w:p>
    <w:tbl>
      <w:tblPr>
        <w:tblW w:w="9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30"/>
        <w:gridCol w:w="859"/>
        <w:gridCol w:w="5219"/>
      </w:tblGrid>
      <w:tr w:rsidR="00DD42A0" w:rsidRPr="00946628" w14:paraId="20BCF292" w14:textId="77777777" w:rsidTr="00DC1209">
        <w:trPr>
          <w:trHeight w:val="300"/>
        </w:trPr>
        <w:tc>
          <w:tcPr>
            <w:tcW w:w="1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92E014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Sritys</w:t>
            </w:r>
            <w:r w:rsidRPr="00946628">
              <w:rPr>
                <w:noProof/>
              </w:rPr>
              <w:t xml:space="preserve">  </w:t>
            </w:r>
          </w:p>
        </w:tc>
        <w:tc>
          <w:tcPr>
            <w:tcW w:w="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F4F8B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Pagrindinis aspektas</w:t>
            </w:r>
            <w:r w:rsidRPr="00946628">
              <w:rPr>
                <w:noProof/>
              </w:rPr>
              <w:t xml:space="preserve">  </w:t>
            </w:r>
          </w:p>
        </w:tc>
        <w:tc>
          <w:tcPr>
            <w:tcW w:w="65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F61CD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Teisės aktais nustatyti valdymo reikalavimai</w:t>
            </w:r>
            <w:r w:rsidRPr="00946628">
              <w:rPr>
                <w:noProof/>
              </w:rPr>
              <w:t xml:space="preserve"> </w:t>
            </w:r>
          </w:p>
        </w:tc>
      </w:tr>
      <w:tr w:rsidR="00DC1209" w:rsidRPr="00946628" w14:paraId="36D2A360" w14:textId="77777777" w:rsidTr="00DC1209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DBF3C" w14:textId="6C7F7E50" w:rsidR="00DF4FD0" w:rsidRPr="00946628" w:rsidRDefault="00DF4FD0" w:rsidP="00DC1209">
            <w:pPr>
              <w:ind w:righ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 Klimatas ir aplinka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74DF189" w14:textId="7BA05D6D" w:rsidR="00DF4FD0" w:rsidRPr="00946628" w:rsidRDefault="00DF4FD0" w:rsidP="00DD42A0">
            <w:pPr>
              <w:ind w:left="16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Vanduo 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37DC67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0F27C5" w14:textId="22BB8E8E" w:rsidR="00DF4FD0" w:rsidRPr="00946628" w:rsidRDefault="00DF4FD0" w:rsidP="00DD42A0">
            <w:pPr>
              <w:ind w:left="181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2000/60/EB:  </w:t>
            </w:r>
          </w:p>
          <w:p w14:paraId="16758DEE" w14:textId="77777777" w:rsidR="00DF4FD0" w:rsidRPr="00946628" w:rsidRDefault="00DF4FD0" w:rsidP="00DD42A0">
            <w:pPr>
              <w:ind w:left="181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11 straipsnio 3 dalies e ir h punktai dėl pasklidųjų taršos šaltinių (fosfatų) kontrolės privalomųjų reikalavimų  </w:t>
            </w:r>
          </w:p>
        </w:tc>
      </w:tr>
      <w:tr w:rsidR="00DC1209" w:rsidRPr="00946628" w14:paraId="1B2B5F53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9D2716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2954E92A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81AFF3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2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F47BFE4" w14:textId="77777777" w:rsidR="00DF4FD0" w:rsidRPr="00946628" w:rsidRDefault="00DF4FD0" w:rsidP="000F3AB4">
            <w:pPr>
              <w:ind w:left="181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91/676/EEB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1"/>
            </w:r>
            <w:r w:rsidRPr="00946628">
              <w:rPr>
                <w:noProof/>
              </w:rPr>
              <w:t>:  </w:t>
            </w:r>
          </w:p>
          <w:p w14:paraId="3E9953A9" w14:textId="77777777" w:rsidR="00DF4FD0" w:rsidRPr="00946628" w:rsidRDefault="00DF4FD0" w:rsidP="000F3AB4">
            <w:pPr>
              <w:ind w:left="181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ir 5 straipsniai  </w:t>
            </w:r>
          </w:p>
        </w:tc>
      </w:tr>
      <w:tr w:rsidR="00DC1209" w:rsidRPr="00946628" w14:paraId="128C92F3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9F4C05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671EC8" w14:textId="7CC27D7E" w:rsidR="00DF4FD0" w:rsidRPr="00946628" w:rsidRDefault="00DF4FD0" w:rsidP="00DC1209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Biologinė įvairovė ir kraštovaizdis (apsauga ir kokybė)  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814BA4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3BAEB5" w14:textId="0FF40DC8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2009/147/EB:</w:t>
            </w:r>
          </w:p>
          <w:p w14:paraId="42AA18F7" w14:textId="77777777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 straipsnio 1 dalis, 3 straipsnio 2 dalies b punktas, 4 straipsnio 1, 2 ir 4 dalys  </w:t>
            </w:r>
          </w:p>
        </w:tc>
      </w:tr>
      <w:tr w:rsidR="00DC1209" w:rsidRPr="00946628" w14:paraId="6E17FE18" w14:textId="77777777" w:rsidTr="00DC1209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5EE383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0EF04C5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AD405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8AB6FB" w14:textId="6803627F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Direktyva 92/43/EEB:</w:t>
            </w:r>
          </w:p>
          <w:p w14:paraId="1C9A7F72" w14:textId="77777777" w:rsidR="00DF4FD0" w:rsidRPr="00946628" w:rsidRDefault="00DF4FD0" w:rsidP="00DD42A0">
            <w:pPr>
              <w:ind w:left="19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6 straipsnio 1 ir 2 dalys  </w:t>
            </w:r>
          </w:p>
        </w:tc>
      </w:tr>
      <w:tr w:rsidR="00DC1209" w:rsidRPr="00946628" w14:paraId="49838670" w14:textId="77777777" w:rsidTr="00DC1209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77866" w14:textId="793D80D6" w:rsidR="00DF4FD0" w:rsidRPr="00946628" w:rsidRDefault="00DF4FD0" w:rsidP="00DC1209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Visuomenės sveikata ir augalų sveikata 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9C6E48" w14:textId="1D252D40" w:rsidR="00DF4FD0" w:rsidRPr="00946628" w:rsidRDefault="00DF4FD0" w:rsidP="00DD42A0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Maisto sauga 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3FB439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5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6F1B01F" w14:textId="77777777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reglamentas (EB) Nr. 178/2002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2"/>
            </w:r>
            <w:r w:rsidRPr="00946628">
              <w:rPr>
                <w:noProof/>
              </w:rPr>
              <w:t xml:space="preserve"> </w:t>
            </w:r>
          </w:p>
          <w:p w14:paraId="50FE5EB1" w14:textId="3731288C" w:rsidR="00DF4FD0" w:rsidRPr="00946628" w:rsidRDefault="00DF4FD0" w:rsidP="00DD42A0">
            <w:pPr>
              <w:ind w:left="195" w:right="25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14 ir 15 straipsniai, 17 straipsnio 1 dalis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3"/>
            </w:r>
            <w:r w:rsidRPr="00946628">
              <w:rPr>
                <w:noProof/>
              </w:rPr>
              <w:t xml:space="preserve"> ir 18, 19 bei 20 straipsniai</w:t>
            </w:r>
          </w:p>
        </w:tc>
      </w:tr>
      <w:tr w:rsidR="00DC1209" w:rsidRPr="00946628" w14:paraId="03AF6262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5C9643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2A171AB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683B1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6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B0AB9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96/22/EB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4"/>
            </w:r>
            <w:r w:rsidRPr="00946628">
              <w:rPr>
                <w:noProof/>
              </w:rPr>
              <w:t>:  </w:t>
            </w:r>
          </w:p>
          <w:p w14:paraId="74B29FF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3 straipsnio a, b, d ir e punktai ir 4, 5 bei 7 straipsniai  </w:t>
            </w:r>
          </w:p>
        </w:tc>
      </w:tr>
      <w:tr w:rsidR="00DD42A0" w:rsidRPr="00946628" w14:paraId="385ACD7C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5DFE2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632FD5" w14:textId="18EB861F" w:rsidR="00DF4FD0" w:rsidRPr="00946628" w:rsidRDefault="00DF4FD0" w:rsidP="00FB704C">
            <w:pPr>
              <w:ind w:left="13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Augalų apsaugos produktai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12ED63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7 VR 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CDBB57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reglamentas (EB) Nr. 1107/2009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5"/>
            </w:r>
            <w:r w:rsidRPr="00946628">
              <w:rPr>
                <w:noProof/>
              </w:rPr>
              <w:t>:  </w:t>
            </w:r>
          </w:p>
          <w:p w14:paraId="53CE9C9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55 straipsnio pirmas ir antras sakiniai  </w:t>
            </w:r>
          </w:p>
        </w:tc>
      </w:tr>
      <w:tr w:rsidR="00DD42A0" w:rsidRPr="00946628" w14:paraId="490B7456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E89EC7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6" w:space="0" w:color="000000" w:themeColor="text1"/>
            </w:tcBorders>
            <w:vAlign w:val="center"/>
            <w:hideMark/>
          </w:tcPr>
          <w:p w14:paraId="5C41193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9503766" w14:textId="0A9F2036" w:rsidR="00DF4FD0" w:rsidRPr="00946628" w:rsidRDefault="00DF4FD0" w:rsidP="00FB704C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8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6A458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2009/128/EB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6"/>
            </w:r>
            <w:r w:rsidRPr="00946628">
              <w:rPr>
                <w:noProof/>
              </w:rPr>
              <w:t>:   </w:t>
            </w:r>
          </w:p>
          <w:p w14:paraId="18FA477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5 straipsnio 2 dalis, 8 straipsnio 1–5 dalys ir 12 straipsnis dėl pesticidų naudojimo saugomose teritorijose, apibrėžtose pagal Direktyvą 2000/60/EB ir su „Natura 2000“ susijusiuose teisės aktuose, apribojimų  </w:t>
            </w:r>
          </w:p>
          <w:p w14:paraId="5493E6D6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13 straipsnio 1 ir 3 dalys dėl pesticidų tvarkymo bei saugojimo ir likučių šalinimo  </w:t>
            </w:r>
          </w:p>
        </w:tc>
      </w:tr>
      <w:tr w:rsidR="00DD42A0" w:rsidRPr="00946628" w14:paraId="5F776CFC" w14:textId="77777777" w:rsidTr="00FB704C">
        <w:trPr>
          <w:trHeight w:val="300"/>
        </w:trPr>
        <w:tc>
          <w:tcPr>
            <w:tcW w:w="15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AE3DA" w14:textId="12C28526" w:rsidR="00DF4FD0" w:rsidRPr="00946628" w:rsidRDefault="00DF4FD0" w:rsidP="00FB704C">
            <w:pPr>
              <w:ind w:left="135"/>
              <w:rPr>
                <w:rFonts w:eastAsia="Calibri"/>
                <w:noProof/>
              </w:rPr>
            </w:pPr>
            <w:r w:rsidRPr="00946628">
              <w:rPr>
                <w:noProof/>
              </w:rPr>
              <w:t>Gyvūnų gerovė</w:t>
            </w:r>
          </w:p>
        </w:tc>
        <w:tc>
          <w:tcPr>
            <w:tcW w:w="93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0840F85" w14:textId="77777777" w:rsidR="00DF4FD0" w:rsidRPr="00946628" w:rsidRDefault="00DF4FD0" w:rsidP="00C22F59">
            <w:pPr>
              <w:ind w:left="226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Gyvūnų gerovė  </w:t>
            </w: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541552" w14:textId="39EE624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9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C2A08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2008/119/EB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7"/>
            </w:r>
            <w:r w:rsidRPr="00946628">
              <w:rPr>
                <w:noProof/>
              </w:rPr>
              <w:t>:  </w:t>
            </w:r>
          </w:p>
          <w:p w14:paraId="1694A47F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ir 4 straipsniai  </w:t>
            </w:r>
          </w:p>
        </w:tc>
      </w:tr>
      <w:tr w:rsidR="00DD42A0" w:rsidRPr="00946628" w14:paraId="5F837AFE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39CD90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333E1D49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F64126" w14:textId="08364E3A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10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2E418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2008/120/EB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8"/>
            </w:r>
            <w:r w:rsidRPr="00946628">
              <w:rPr>
                <w:noProof/>
              </w:rPr>
              <w:t>:  </w:t>
            </w:r>
          </w:p>
          <w:p w14:paraId="339468C1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 ir 4 straipsniai  </w:t>
            </w:r>
          </w:p>
        </w:tc>
      </w:tr>
      <w:tr w:rsidR="00DD42A0" w:rsidRPr="00946628" w14:paraId="6F443DFE" w14:textId="77777777" w:rsidTr="00FB704C">
        <w:trPr>
          <w:trHeight w:val="300"/>
        </w:trPr>
        <w:tc>
          <w:tcPr>
            <w:tcW w:w="15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2125C0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25617F1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8565E11" w14:textId="58941A14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11 VR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63868C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98/58/EB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9"/>
            </w:r>
            <w:r w:rsidRPr="00946628">
              <w:rPr>
                <w:noProof/>
              </w:rPr>
              <w:t>:  </w:t>
            </w:r>
          </w:p>
          <w:p w14:paraId="492D7091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4 straipsnis  </w:t>
            </w:r>
          </w:p>
        </w:tc>
      </w:tr>
    </w:tbl>
    <w:p w14:paraId="280B38E1" w14:textId="77777777" w:rsidR="00DF4FD0" w:rsidRPr="00946628" w:rsidRDefault="00DF4FD0" w:rsidP="00DF4FD0">
      <w:pPr>
        <w:rPr>
          <w:rFonts w:eastAsia="Calibri"/>
          <w:noProof/>
        </w:rPr>
      </w:pPr>
    </w:p>
    <w:p w14:paraId="5191D01A" w14:textId="77777777" w:rsidR="00DF4FD0" w:rsidRPr="00946628" w:rsidRDefault="00DF4FD0" w:rsidP="00DF4FD0">
      <w:pPr>
        <w:rPr>
          <w:rFonts w:eastAsia="Calibri"/>
          <w:b/>
          <w:bCs/>
          <w:noProof/>
        </w:rPr>
      </w:pPr>
      <w:r w:rsidRPr="00946628">
        <w:rPr>
          <w:b/>
          <w:i/>
          <w:noProof/>
          <w:u w:val="single"/>
        </w:rPr>
        <w:t>B dalis. Socialinės paramos sąlygų taisyklės</w:t>
      </w:r>
      <w:r w:rsidRPr="00946628">
        <w:rPr>
          <w:b/>
          <w:noProof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410"/>
        <w:gridCol w:w="1515"/>
        <w:gridCol w:w="4680"/>
      </w:tblGrid>
      <w:tr w:rsidR="00DF4FD0" w:rsidRPr="00946628" w14:paraId="7C508310" w14:textId="77777777" w:rsidTr="000F3AB4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E9506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Sritys</w:t>
            </w:r>
            <w:r w:rsidRPr="00946628">
              <w:rPr>
                <w:noProof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BE934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Pagrindinis aspektas</w:t>
            </w:r>
            <w:r w:rsidRPr="00946628">
              <w:rPr>
                <w:noProof/>
              </w:rPr>
              <w:t xml:space="preserve"> </w:t>
            </w:r>
          </w:p>
        </w:tc>
        <w:tc>
          <w:tcPr>
            <w:tcW w:w="6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23E68E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b/>
                <w:noProof/>
              </w:rPr>
              <w:t>Teisės aktais nustatyti valdymo reikalavimai</w:t>
            </w:r>
            <w:r w:rsidRPr="00946628">
              <w:rPr>
                <w:noProof/>
              </w:rPr>
              <w:t xml:space="preserve"> </w:t>
            </w:r>
          </w:p>
        </w:tc>
      </w:tr>
      <w:tr w:rsidR="00DF4FD0" w:rsidRPr="00946628" w14:paraId="39F55D99" w14:textId="77777777" w:rsidTr="00FB704C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C106D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Darbuotojų užimtumas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2FF193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Darbo sąlygos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533FDC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12 VR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1C5C240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(ES) 2019/1152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10"/>
            </w:r>
            <w:r w:rsidRPr="00946628">
              <w:rPr>
                <w:noProof/>
              </w:rPr>
              <w:t xml:space="preserve">: </w:t>
            </w:r>
          </w:p>
          <w:p w14:paraId="2AB9EE3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3–6 straipsniai, 8, 10 ir 13 straipsniai </w:t>
            </w:r>
          </w:p>
        </w:tc>
      </w:tr>
      <w:tr w:rsidR="00DF4FD0" w:rsidRPr="00946628" w14:paraId="45CEEE23" w14:textId="77777777" w:rsidTr="00FB704C">
        <w:trPr>
          <w:trHeight w:val="30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147C5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4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F2F391" w14:textId="77777777" w:rsidR="00DF4FD0" w:rsidRPr="00946628" w:rsidRDefault="00DF4FD0" w:rsidP="000F3AB4">
            <w:pPr>
              <w:ind w:left="150"/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Darbuotojų sauga ir sveikata 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76D2F8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13 VR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588775D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Tarybos direktyva 89/391/EEB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11"/>
            </w:r>
            <w:r w:rsidRPr="00946628">
              <w:rPr>
                <w:noProof/>
              </w:rPr>
              <w:t xml:space="preserve">: </w:t>
            </w:r>
          </w:p>
          <w:p w14:paraId="0F5833F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5–12 straipsniai </w:t>
            </w:r>
          </w:p>
        </w:tc>
      </w:tr>
      <w:tr w:rsidR="00DF4FD0" w:rsidRPr="00946628" w14:paraId="7F5D9615" w14:textId="77777777" w:rsidTr="00FB704C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E92994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6" w:space="0" w:color="auto"/>
            </w:tcBorders>
            <w:vAlign w:val="center"/>
            <w:hideMark/>
          </w:tcPr>
          <w:p w14:paraId="490EBCC4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6C76BB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14 VR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13C15F" w14:textId="6D6ABD4C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>Europos Parlamento ir Tarybos direktyva 2009/104/EB</w:t>
            </w:r>
            <w:r w:rsidRPr="00946628">
              <w:rPr>
                <w:rStyle w:val="FootnoteReference"/>
                <w:rFonts w:eastAsia="Calibri"/>
                <w:noProof/>
              </w:rPr>
              <w:footnoteReference w:id="12"/>
            </w:r>
            <w:r w:rsidRPr="00946628">
              <w:rPr>
                <w:noProof/>
              </w:rPr>
              <w:t xml:space="preserve">: </w:t>
            </w:r>
          </w:p>
          <w:p w14:paraId="39EE2065" w14:textId="77777777" w:rsidR="00DF4FD0" w:rsidRPr="00946628" w:rsidRDefault="00DF4FD0" w:rsidP="000F3AB4">
            <w:pPr>
              <w:rPr>
                <w:rFonts w:eastAsia="Calibri"/>
                <w:noProof/>
              </w:rPr>
            </w:pPr>
            <w:r w:rsidRPr="00946628">
              <w:rPr>
                <w:noProof/>
              </w:rPr>
              <w:t xml:space="preserve">3–9 straipsniai </w:t>
            </w:r>
          </w:p>
        </w:tc>
      </w:tr>
    </w:tbl>
    <w:p w14:paraId="4453AA33" w14:textId="77777777" w:rsidR="00DF4FD0" w:rsidRPr="00946628" w:rsidRDefault="00DF4FD0" w:rsidP="00DF4FD0">
      <w:pPr>
        <w:rPr>
          <w:rFonts w:eastAsia="Calibri"/>
          <w:noProof/>
        </w:rPr>
      </w:pPr>
      <w:r w:rsidRPr="00946628">
        <w:rPr>
          <w:noProof/>
        </w:rPr>
        <w:t xml:space="preserve"> </w:t>
      </w:r>
    </w:p>
    <w:p w14:paraId="58B5490F" w14:textId="77777777" w:rsidR="00DF4FD0" w:rsidRPr="00946628" w:rsidRDefault="00DF4FD0" w:rsidP="00DF4FD0">
      <w:pPr>
        <w:rPr>
          <w:rFonts w:eastAsia="Calibri"/>
          <w:b/>
          <w:bCs/>
          <w:noProof/>
        </w:rPr>
      </w:pPr>
      <w:r w:rsidRPr="00946628">
        <w:rPr>
          <w:b/>
          <w:i/>
          <w:noProof/>
          <w:u w:val="single"/>
        </w:rPr>
        <w:t>C dalis. Apsaugos praktiką reglamentuojančios taisyklės</w:t>
      </w:r>
      <w:r w:rsidRPr="00946628">
        <w:rPr>
          <w:b/>
          <w:noProof/>
        </w:rPr>
        <w:t xml:space="preserve"> </w:t>
      </w:r>
    </w:p>
    <w:p w14:paraId="3DC098D2" w14:textId="77777777" w:rsidR="00DF4FD0" w:rsidRPr="00946628" w:rsidRDefault="00DF4FD0" w:rsidP="00DF4FD0">
      <w:pPr>
        <w:rPr>
          <w:rFonts w:eastAsia="Calibri"/>
          <w:noProof/>
        </w:rPr>
      </w:pP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632"/>
      </w:tblGrid>
      <w:tr w:rsidR="00DF4FD0" w:rsidRPr="00946628" w14:paraId="04A7E52E" w14:textId="77777777" w:rsidTr="000F3AB4">
        <w:trPr>
          <w:trHeight w:val="300"/>
        </w:trPr>
        <w:tc>
          <w:tcPr>
            <w:tcW w:w="3120" w:type="dxa"/>
            <w:tcMar>
              <w:left w:w="105" w:type="dxa"/>
              <w:right w:w="105" w:type="dxa"/>
            </w:tcMar>
          </w:tcPr>
          <w:p w14:paraId="20B377FF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b/>
                <w:noProof/>
              </w:rPr>
              <w:t xml:space="preserve">3 straipsnio 4 dalyje nustatyti bendrieji tikslai  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</w:tcPr>
          <w:p w14:paraId="200F44F6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b/>
                <w:noProof/>
              </w:rPr>
              <w:t>Konkretūs apsaugos praktikos tikslai</w:t>
            </w:r>
          </w:p>
          <w:p w14:paraId="04D5443F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</w:tr>
      <w:tr w:rsidR="00DF4FD0" w:rsidRPr="00946628" w14:paraId="731DB016" w14:textId="77777777" w:rsidTr="000F3AB4">
        <w:trPr>
          <w:trHeight w:val="300"/>
        </w:trPr>
        <w:tc>
          <w:tcPr>
            <w:tcW w:w="3120" w:type="dxa"/>
            <w:vMerge w:val="restart"/>
            <w:tcMar>
              <w:left w:w="105" w:type="dxa"/>
              <w:right w:w="105" w:type="dxa"/>
            </w:tcMar>
          </w:tcPr>
          <w:p w14:paraId="380FC358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a) Dirvožemio, kuriame gausu anglies, kraštovaizdžio elementų ir daugiamečių žolynų žemės ūkio paskirties žemėje apsauga 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4FC5D232" w14:textId="3D8DD271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Dirvožemio, kuriame gausu anglies, apsauga, įskaitant šlapžemių, durpynų ir kraštovaizdžio elementų apsaugą</w:t>
            </w:r>
          </w:p>
        </w:tc>
      </w:tr>
      <w:tr w:rsidR="00DF4FD0" w:rsidRPr="00946628" w14:paraId="3B35D37B" w14:textId="77777777" w:rsidTr="000F3AB4">
        <w:trPr>
          <w:trHeight w:val="300"/>
        </w:trPr>
        <w:tc>
          <w:tcPr>
            <w:tcW w:w="3120" w:type="dxa"/>
            <w:vMerge/>
            <w:vAlign w:val="center"/>
          </w:tcPr>
          <w:p w14:paraId="54F939B9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78284040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„Natura 2000“ teritorijose esančių aplinkosaugos atžvilgiu pažeidžiamų daugiamečių žolynų žemės ūkio paskirties žemėje apsauga</w:t>
            </w:r>
          </w:p>
        </w:tc>
      </w:tr>
      <w:tr w:rsidR="00DF4FD0" w:rsidRPr="00946628" w14:paraId="50C4EA40" w14:textId="77777777" w:rsidTr="000F3AB4">
        <w:trPr>
          <w:trHeight w:val="300"/>
        </w:trPr>
        <w:tc>
          <w:tcPr>
            <w:tcW w:w="3120" w:type="dxa"/>
            <w:vMerge w:val="restart"/>
            <w:tcMar>
              <w:left w:w="105" w:type="dxa"/>
              <w:right w:w="105" w:type="dxa"/>
            </w:tcMar>
          </w:tcPr>
          <w:p w14:paraId="1AFEF5D2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b) Dirvožemio apsauga nuo erozijos, dirvožemio potencialo išsaugojimas, dirvožemio organinių medžiagų išsaugojimas, įskaitant dirvožemio rotaciją ar įvairinimą, ir apsauga nuo ražienų deginimo ariamojoje žemėje  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42292E7D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Dirvožemio apsauga nuo erozijos, atsižvelgiant į konkrečiai vietovei būdingas sąlygas </w:t>
            </w:r>
          </w:p>
          <w:p w14:paraId="40E949E7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</w:tc>
      </w:tr>
      <w:tr w:rsidR="00DF4FD0" w:rsidRPr="00946628" w14:paraId="0089DEB8" w14:textId="77777777" w:rsidTr="000F3AB4">
        <w:trPr>
          <w:trHeight w:val="516"/>
        </w:trPr>
        <w:tc>
          <w:tcPr>
            <w:tcW w:w="3120" w:type="dxa"/>
            <w:vMerge/>
            <w:vAlign w:val="center"/>
          </w:tcPr>
          <w:p w14:paraId="2D5B7018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7E81034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potencialo išsaugojimas, apimantis šiuos aspektus:</w:t>
            </w:r>
          </w:p>
          <w:p w14:paraId="0CC2594F" w14:textId="77777777" w:rsidR="00DF4FD0" w:rsidRPr="00946628" w:rsidRDefault="00DF4FD0" w:rsidP="000E1CD7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apsauga laikotarpiais, kuriais jis yra pažeidžiamiausias</w:t>
            </w:r>
          </w:p>
          <w:p w14:paraId="16E8EAF1" w14:textId="77777777" w:rsidR="00DF4FD0" w:rsidRPr="00946628" w:rsidRDefault="00DF4FD0" w:rsidP="000E1CD7">
            <w:pPr>
              <w:numPr>
                <w:ilvl w:val="0"/>
                <w:numId w:val="1"/>
              </w:numPr>
              <w:spacing w:after="0"/>
              <w:contextualSpacing/>
              <w:rPr>
                <w:rFonts w:eastAsia="Times New Roman"/>
                <w:noProof/>
                <w:sz w:val="17"/>
                <w:szCs w:val="17"/>
              </w:rPr>
            </w:pPr>
            <w:r w:rsidRPr="00946628">
              <w:rPr>
                <w:noProof/>
              </w:rPr>
              <w:t>Sėjomaina arba įvairinimas</w:t>
            </w:r>
            <w:r w:rsidRPr="00946628">
              <w:rPr>
                <w:noProof/>
                <w:vertAlign w:val="superscript"/>
              </w:rPr>
              <w:t xml:space="preserve"> </w:t>
            </w:r>
          </w:p>
        </w:tc>
      </w:tr>
      <w:tr w:rsidR="00DF4FD0" w:rsidRPr="00946628" w14:paraId="4B01BDD5" w14:textId="77777777" w:rsidTr="000F3AB4">
        <w:trPr>
          <w:trHeight w:val="516"/>
        </w:trPr>
        <w:tc>
          <w:tcPr>
            <w:tcW w:w="3120" w:type="dxa"/>
            <w:vMerge/>
            <w:vAlign w:val="center"/>
          </w:tcPr>
          <w:p w14:paraId="4431F10A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vMerge/>
            <w:vAlign w:val="center"/>
          </w:tcPr>
          <w:p w14:paraId="4AF8EF50" w14:textId="77777777" w:rsidR="00DF4FD0" w:rsidRPr="00946628" w:rsidRDefault="00DF4FD0" w:rsidP="000F3AB4">
            <w:pPr>
              <w:rPr>
                <w:noProof/>
              </w:rPr>
            </w:pPr>
          </w:p>
        </w:tc>
      </w:tr>
      <w:tr w:rsidR="00DF4FD0" w:rsidRPr="00946628" w14:paraId="64A25B0C" w14:textId="77777777" w:rsidTr="000F3AB4">
        <w:trPr>
          <w:trHeight w:val="300"/>
        </w:trPr>
        <w:tc>
          <w:tcPr>
            <w:tcW w:w="3120" w:type="dxa"/>
            <w:vMerge/>
            <w:vAlign w:val="center"/>
          </w:tcPr>
          <w:p w14:paraId="1CDC7231" w14:textId="77777777" w:rsidR="00DF4FD0" w:rsidRPr="00946628" w:rsidRDefault="00DF4FD0" w:rsidP="000F3AB4">
            <w:pPr>
              <w:rPr>
                <w:noProof/>
              </w:rPr>
            </w:pP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5015852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Dirvožemio organinių medžiagų išsaugojimas tvarkant pasėlių likučius, įskaitant draudimą deginti ražienas ariamojoje žemėje</w:t>
            </w:r>
          </w:p>
        </w:tc>
      </w:tr>
      <w:tr w:rsidR="00DF4FD0" w:rsidRPr="00946628" w14:paraId="159AF8E5" w14:textId="77777777" w:rsidTr="000F3AB4">
        <w:trPr>
          <w:trHeight w:val="300"/>
        </w:trPr>
        <w:tc>
          <w:tcPr>
            <w:tcW w:w="3120" w:type="dxa"/>
          </w:tcPr>
          <w:p w14:paraId="438BBD71" w14:textId="77777777" w:rsidR="00DF4FD0" w:rsidRPr="00946628" w:rsidRDefault="00DF4FD0" w:rsidP="000F3AB4">
            <w:pPr>
              <w:rPr>
                <w:noProof/>
              </w:rPr>
            </w:pPr>
            <w:r w:rsidRPr="00946628">
              <w:rPr>
                <w:noProof/>
              </w:rPr>
              <w:t>c) Vandentakių ir gruntinio vandens apsauga nuo taršos ir nuotėkio</w:t>
            </w:r>
          </w:p>
        </w:tc>
        <w:tc>
          <w:tcPr>
            <w:tcW w:w="5632" w:type="dxa"/>
            <w:tcMar>
              <w:left w:w="105" w:type="dxa"/>
              <w:right w:w="105" w:type="dxa"/>
            </w:tcMar>
            <w:vAlign w:val="center"/>
          </w:tcPr>
          <w:p w14:paraId="62EF68F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>Vandentakių ir gruntinio vandens apsauga nuo taršos ir nuotėkio, be kita ko, aplink vandentakius įrengiant apsaugines juostas</w:t>
            </w:r>
          </w:p>
        </w:tc>
      </w:tr>
    </w:tbl>
    <w:p w14:paraId="754B13E6" w14:textId="77777777" w:rsidR="00DF4FD0" w:rsidRPr="00946628" w:rsidRDefault="00DF4FD0" w:rsidP="00DF4FD0">
      <w:pPr>
        <w:rPr>
          <w:rFonts w:eastAsia="Calibri"/>
          <w:noProof/>
        </w:rPr>
      </w:pPr>
    </w:p>
    <w:p w14:paraId="7E954145" w14:textId="77777777" w:rsidR="004041A4" w:rsidRPr="00946628" w:rsidRDefault="004041A4">
      <w:pPr>
        <w:spacing w:before="0" w:after="200" w:line="276" w:lineRule="auto"/>
        <w:jc w:val="left"/>
        <w:rPr>
          <w:b/>
          <w:noProof/>
          <w:u w:val="single"/>
        </w:rPr>
      </w:pPr>
      <w:r w:rsidRPr="00946628">
        <w:rPr>
          <w:noProof/>
        </w:rPr>
        <w:br w:type="page"/>
      </w:r>
    </w:p>
    <w:p w14:paraId="5C474CEC" w14:textId="423ECEED" w:rsidR="00DF4FD0" w:rsidRPr="00946628" w:rsidRDefault="004041A4" w:rsidP="004041A4">
      <w:pPr>
        <w:pStyle w:val="Annexetitre"/>
        <w:rPr>
          <w:rFonts w:eastAsia="Times New Roman"/>
          <w:b w:val="0"/>
          <w:bCs/>
          <w:noProof/>
          <w:color w:val="000000" w:themeColor="text1"/>
        </w:rPr>
      </w:pPr>
      <w:r w:rsidRPr="00946628">
        <w:rPr>
          <w:noProof/>
        </w:rPr>
        <w:t>II PRIEDAS</w:t>
      </w:r>
    </w:p>
    <w:p w14:paraId="365EE901" w14:textId="77777777" w:rsidR="00DF4FD0" w:rsidRPr="00946628" w:rsidRDefault="00DF4FD0" w:rsidP="00DF4FD0">
      <w:pPr>
        <w:jc w:val="center"/>
        <w:rPr>
          <w:rFonts w:eastAsia="Times New Roman"/>
          <w:b/>
          <w:bCs/>
          <w:noProof/>
          <w:color w:val="000000" w:themeColor="text1"/>
        </w:rPr>
      </w:pPr>
      <w:r w:rsidRPr="00946628">
        <w:rPr>
          <w:b/>
          <w:noProof/>
          <w:color w:val="000000" w:themeColor="text1"/>
        </w:rPr>
        <w:t>Gyvūno ekvivalentų apskaičiavimo 11 straipsnyje nurodytos susietosios pajamų paramos tikslais taisyklės</w:t>
      </w:r>
    </w:p>
    <w:p w14:paraId="721D9B16" w14:textId="77777777" w:rsidR="00DF4FD0" w:rsidRPr="00946628" w:rsidRDefault="00DF4FD0" w:rsidP="00DF4FD0">
      <w:pPr>
        <w:rPr>
          <w:rFonts w:eastAsia="Times New Roman"/>
          <w:noProof/>
          <w:color w:val="000000" w:themeColor="text1"/>
        </w:rPr>
      </w:pPr>
      <w:r w:rsidRPr="00946628">
        <w:rPr>
          <w:noProof/>
          <w:color w:val="000000" w:themeColor="text1"/>
        </w:rPr>
        <w:t>Valstybės narės, 11 straipsnio 1 dalyje nurodytų susietosios pajamų paramos intervencinių priemonių tikslais perskaičiuodamos gyvūnus į gyvūno ekvivalentus, taiko šiuos koeficientus.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640"/>
      </w:tblGrid>
      <w:tr w:rsidR="00DF4FD0" w:rsidRPr="00946628" w14:paraId="0075E5FE" w14:textId="77777777" w:rsidTr="000F3AB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37F05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CCF89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  <w:r w:rsidRPr="00946628">
              <w:rPr>
                <w:noProof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3309"/>
              <w:gridCol w:w="3082"/>
            </w:tblGrid>
            <w:tr w:rsidR="00DF4FD0" w:rsidRPr="00946628" w14:paraId="3B38A6EF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672AA3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Rūšis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7F7D12C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Amžius / kategorija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92067B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b/>
                      <w:noProof/>
                    </w:rPr>
                    <w:t>Koeficientas</w:t>
                  </w:r>
                  <w:r w:rsidRPr="00946628">
                    <w:rPr>
                      <w:noProof/>
                    </w:rPr>
                    <w:t xml:space="preserve"> </w:t>
                  </w:r>
                </w:p>
              </w:tc>
            </w:tr>
            <w:tr w:rsidR="00DF4FD0" w:rsidRPr="00946628" w14:paraId="43E9CC3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769008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Galvijai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24635D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jaunesni nei 6 mėn.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A8CBAD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0,4 </w:t>
                  </w:r>
                </w:p>
              </w:tc>
            </w:tr>
            <w:tr w:rsidR="00DF4FD0" w:rsidRPr="00946628" w14:paraId="32B9D62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7B4C0D3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FA4739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nuo 6 mėnesių iki 2 metų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2F24124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0,6 </w:t>
                  </w:r>
                </w:p>
              </w:tc>
            </w:tr>
            <w:tr w:rsidR="00DF4FD0" w:rsidRPr="00946628" w14:paraId="4E0B9F24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E59420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145DDC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vyresni nei 2 metų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05AFF94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1,0 </w:t>
                  </w:r>
                </w:p>
              </w:tc>
            </w:tr>
            <w:tr w:rsidR="00DF4FD0" w:rsidRPr="00946628" w14:paraId="3C3E3CC9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EE501C5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Arklinių šeimos gyvūnai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281A64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vyresni nei 6 mėn.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2D5B99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1,0 </w:t>
                  </w:r>
                </w:p>
              </w:tc>
            </w:tr>
            <w:tr w:rsidR="00DF4FD0" w:rsidRPr="00946628" w14:paraId="60B180D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AAEBDD1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Avys ir ožkos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CB4C9C0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EACA7E3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0,15 </w:t>
                  </w:r>
                </w:p>
              </w:tc>
            </w:tr>
            <w:tr w:rsidR="00DF4FD0" w:rsidRPr="00946628" w14:paraId="3344B8AF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4A875A0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Kiaulės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DB5337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veislinės paršavedės (&gt; 50 kg)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B84733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0,5 </w:t>
                  </w:r>
                </w:p>
              </w:tc>
            </w:tr>
            <w:tr w:rsidR="00DF4FD0" w:rsidRPr="00946628" w14:paraId="76A87F52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E6DD1C9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615FF6A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kitos kiaulės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4F42E7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0,3 </w:t>
                  </w:r>
                </w:p>
              </w:tc>
            </w:tr>
            <w:tr w:rsidR="00DF4FD0" w:rsidRPr="00946628" w14:paraId="2AEF994B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9296E0B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Naminiai paukščiai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56F5C37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C3150A5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</w:tr>
            <w:tr w:rsidR="00DF4FD0" w:rsidRPr="00946628" w14:paraId="15E8B553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4D8936F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39CE43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vištos dedeklės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74EBD21E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0,014 </w:t>
                  </w:r>
                </w:p>
              </w:tc>
            </w:tr>
            <w:tr w:rsidR="00DF4FD0" w:rsidRPr="00946628" w14:paraId="79F829B6" w14:textId="77777777" w:rsidTr="000F3AB4">
              <w:trPr>
                <w:trHeight w:val="300"/>
              </w:trPr>
              <w:tc>
                <w:tcPr>
                  <w:tcW w:w="204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B80DE5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  </w:t>
                  </w:r>
                </w:p>
              </w:tc>
              <w:tc>
                <w:tcPr>
                  <w:tcW w:w="330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39DE5106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kiti naminiai paukščiai </w:t>
                  </w:r>
                </w:p>
              </w:tc>
              <w:tc>
                <w:tcPr>
                  <w:tcW w:w="3082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0D72D78" w14:textId="77777777" w:rsidR="00DF4FD0" w:rsidRPr="00946628" w:rsidRDefault="00DF4FD0" w:rsidP="000F3AB4">
                  <w:pPr>
                    <w:rPr>
                      <w:rFonts w:eastAsia="Times New Roman"/>
                      <w:noProof/>
                    </w:rPr>
                  </w:pPr>
                  <w:r w:rsidRPr="00946628">
                    <w:rPr>
                      <w:noProof/>
                    </w:rPr>
                    <w:t xml:space="preserve">0,03 </w:t>
                  </w:r>
                </w:p>
              </w:tc>
            </w:tr>
          </w:tbl>
          <w:p w14:paraId="40651225" w14:textId="77777777" w:rsidR="00DF4FD0" w:rsidRPr="00946628" w:rsidRDefault="00DF4FD0" w:rsidP="000F3AB4">
            <w:pPr>
              <w:rPr>
                <w:rFonts w:eastAsia="Times New Roman"/>
                <w:noProof/>
              </w:rPr>
            </w:pPr>
          </w:p>
        </w:tc>
      </w:tr>
    </w:tbl>
    <w:p w14:paraId="36E81560" w14:textId="77777777" w:rsidR="004041A4" w:rsidRPr="00946628" w:rsidRDefault="004041A4" w:rsidP="004041A4">
      <w:pPr>
        <w:rPr>
          <w:noProof/>
        </w:rPr>
      </w:pPr>
    </w:p>
    <w:sectPr w:rsidR="004041A4" w:rsidRPr="00946628" w:rsidSect="00596CAB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783B2" w14:textId="77777777" w:rsidR="00DF4FD0" w:rsidRDefault="00DF4FD0" w:rsidP="00DF4FD0">
      <w:pPr>
        <w:spacing w:before="0" w:after="0"/>
      </w:pPr>
      <w:r>
        <w:separator/>
      </w:r>
    </w:p>
  </w:endnote>
  <w:endnote w:type="continuationSeparator" w:id="0">
    <w:p w14:paraId="635F2394" w14:textId="77777777" w:rsidR="00DF4FD0" w:rsidRDefault="00DF4FD0" w:rsidP="00DF4F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C859" w14:textId="281EBF19" w:rsidR="00596CAB" w:rsidRPr="00596CAB" w:rsidRDefault="00596CAB" w:rsidP="00596CAB">
    <w:pPr>
      <w:pStyle w:val="Footer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 w:rsidRPr="00596CAB">
      <w:rPr>
        <w:rFonts w:ascii="Arial" w:hAnsi="Arial" w:cs="Arial"/>
        <w:b/>
        <w:sz w:val="48"/>
      </w:rPr>
      <w:tab/>
    </w:r>
    <w:r w:rsidRPr="00596CAB">
      <w:tab/>
    </w:r>
    <w:r w:rsidRPr="00596CAB">
      <w:rPr>
        <w:rFonts w:ascii="Arial" w:hAnsi="Arial" w:cs="Arial"/>
        <w:b/>
        <w:sz w:val="48"/>
      </w:rPr>
      <w:t>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FA7C" w14:textId="05EE164F" w:rsidR="00596CAB" w:rsidRPr="00596CAB" w:rsidRDefault="00596CAB" w:rsidP="00596CAB">
    <w:pPr>
      <w:pStyle w:val="Footer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 w:rsidRPr="00596CAB">
      <w:rPr>
        <w:rFonts w:ascii="Arial" w:hAnsi="Arial" w:cs="Arial"/>
        <w:b/>
        <w:sz w:val="48"/>
      </w:rPr>
      <w:tab/>
    </w:r>
    <w:r w:rsidRPr="00596CAB">
      <w:tab/>
    </w:r>
    <w:r w:rsidRPr="00596CAB">
      <w:rPr>
        <w:rFonts w:ascii="Arial" w:hAnsi="Arial" w:cs="Arial"/>
        <w:b/>
        <w:sz w:val="48"/>
      </w:rPr>
      <w:t>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37B3" w14:textId="77777777" w:rsidR="00596CAB" w:rsidRPr="00596CAB" w:rsidRDefault="00596CAB" w:rsidP="00596C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6AAF" w14:textId="77777777" w:rsidR="00596CAB" w:rsidRDefault="00596CA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4863" w14:textId="2B0158AD" w:rsidR="00596CAB" w:rsidRPr="00596CAB" w:rsidRDefault="00596CAB" w:rsidP="00596CAB">
    <w:pPr>
      <w:pStyle w:val="Footer"/>
      <w:rPr>
        <w:rFonts w:ascii="Arial" w:hAnsi="Arial" w:cs="Arial"/>
        <w:b/>
        <w:sz w:val="48"/>
      </w:rPr>
    </w:pPr>
    <w:r w:rsidRPr="00596CAB">
      <w:rPr>
        <w:rFonts w:ascii="Arial" w:hAnsi="Arial" w:cs="Arial"/>
        <w:b/>
        <w:sz w:val="48"/>
      </w:rPr>
      <w:t>LT</w:t>
    </w:r>
    <w:r w:rsidRPr="00596CAB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96CAB">
      <w:tab/>
    </w:r>
    <w:r w:rsidRPr="00596CAB">
      <w:rPr>
        <w:rFonts w:ascii="Arial" w:hAnsi="Arial" w:cs="Arial"/>
        <w:b/>
        <w:sz w:val="48"/>
      </w:rPr>
      <w:t>LT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DBBD" w14:textId="77777777" w:rsidR="00596CAB" w:rsidRDefault="00596CAB" w:rsidP="00596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0591" w14:textId="77777777" w:rsidR="00DF4FD0" w:rsidRDefault="00DF4FD0" w:rsidP="00DF4FD0">
      <w:pPr>
        <w:spacing w:before="0" w:after="0"/>
      </w:pPr>
      <w:r>
        <w:separator/>
      </w:r>
    </w:p>
  </w:footnote>
  <w:footnote w:type="continuationSeparator" w:id="0">
    <w:p w14:paraId="23144142" w14:textId="77777777" w:rsidR="00DF4FD0" w:rsidRDefault="00DF4FD0" w:rsidP="00DF4FD0">
      <w:pPr>
        <w:spacing w:before="0" w:after="0"/>
      </w:pPr>
      <w:r>
        <w:continuationSeparator/>
      </w:r>
    </w:p>
  </w:footnote>
  <w:footnote w:id="1">
    <w:p w14:paraId="7ACC5A53" w14:textId="0BCF8E02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>1991 m. gruodžio 12 d. Tarybos direktyva 91/676/EEB dėl vandenų apsaugos nuo taršos nitratais iš žemės ūkio šaltinių (</w:t>
      </w:r>
      <w:hyperlink r:id="rId1" w:tgtFrame="_blank" w:history="1">
        <w:r>
          <w:rPr>
            <w:rStyle w:val="Hyperlink"/>
            <w:color w:val="auto"/>
            <w:u w:val="none"/>
          </w:rPr>
          <w:t>OL L 375, 1991 12 31</w:t>
        </w:r>
      </w:hyperlink>
      <w:r>
        <w:t xml:space="preserve">, p. 1, ELI:  </w:t>
      </w:r>
      <w:hyperlink r:id="rId2" w:history="1">
        <w:r>
          <w:rPr>
            <w:rStyle w:val="Hyperlink"/>
          </w:rPr>
          <w:t>http://data.europa.eu/eli/dir/1991/676/oj</w:t>
        </w:r>
      </w:hyperlink>
      <w:r>
        <w:t>).</w:t>
      </w:r>
    </w:p>
  </w:footnote>
  <w:footnote w:id="2">
    <w:p w14:paraId="27C03B89" w14:textId="6DB0B0D4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2002 m. sausio 28 d. Europos Parlamento ir Tarybos reglamentas (EB) Nr. 178/2002, nustatantis maistui skirtų teisės aktų bendruosius principus ir reikalavimus, įsteigiantis Europos maisto saugos tarnybą ir nustatantis su maisto saugos klausimais susijusias procedūras, (OL L 31, 2002 2 1, p. 1, ELI:  </w:t>
      </w:r>
      <w:hyperlink r:id="rId3" w:history="1">
        <w:r>
          <w:rPr>
            <w:rStyle w:val="Hyperlink"/>
          </w:rPr>
          <w:t>http://data.europa.eu/eli/reg/2002/178/oj</w:t>
        </w:r>
      </w:hyperlink>
      <w:r>
        <w:t xml:space="preserve">). </w:t>
      </w:r>
    </w:p>
  </w:footnote>
  <w:footnote w:id="3">
    <w:p w14:paraId="536A5C66" w14:textId="379D3EF0" w:rsidR="00DC1209" w:rsidRDefault="00DC1209" w:rsidP="00DC1209">
      <w:pPr>
        <w:pStyle w:val="FootnoteText"/>
      </w:pPr>
      <w:r>
        <w:rPr>
          <w:rStyle w:val="FootnoteReference"/>
        </w:rPr>
        <w:footnoteRef/>
      </w:r>
      <w:r>
        <w:tab/>
        <w:t>Visų pirma įgyvendinamas:</w:t>
      </w:r>
    </w:p>
    <w:p w14:paraId="138A891C" w14:textId="2C0F482A" w:rsidR="00DC1209" w:rsidRDefault="00B04DDF" w:rsidP="00B04DDF">
      <w:pPr>
        <w:pStyle w:val="FootnoteText"/>
        <w:ind w:left="0" w:firstLine="0"/>
      </w:pPr>
      <w:r>
        <w:t>— Reglamento (EB) Nr. 470/2009 14 straipsniu ir Reglamento (EB) Nr. 37/2010 priedu,</w:t>
      </w:r>
    </w:p>
    <w:p w14:paraId="4A35C00D" w14:textId="2B282851" w:rsidR="00DC1209" w:rsidRDefault="00B04DDF" w:rsidP="00B04DDF">
      <w:pPr>
        <w:pStyle w:val="FootnoteText"/>
      </w:pPr>
      <w:r>
        <w:t>— Reglamentu (EB) Nr. 852/2004: 4 straipsnio 1 dalimi ir I priedo A dalies II skirsnio 4 punkto g, h, j papunkčiais, 5 punkto f ir h papunkčiais, 6 punktu; III skirsnio 8 punkto a, b, d ir e papunkčiais, 9 punkto a ir c papunkčiais;</w:t>
      </w:r>
    </w:p>
    <w:p w14:paraId="218914F3" w14:textId="3E5BEA2D" w:rsidR="00DC1209" w:rsidRDefault="00997530" w:rsidP="00997530">
      <w:pPr>
        <w:pStyle w:val="FootnoteText"/>
        <w:ind w:left="0" w:firstLine="0"/>
      </w:pPr>
      <w:r>
        <w:t>— Reglamentu (EB) Nr. 853/2004: 3 straipsnio 1 dalimi, III priedo IX skirsnio I skyriaus I-1 punkto b, c, d ir e papunkčiais; I-2 punkto a papunkčio i, ii ir iii dalimis, b papunkčio i ir ii dalimis, c papunkčiu; I-3 punktu; I-4 punktu; I-5 punktu; II-A punkto 1, 2, 3 ir 4 papunkčiais; II-B punkto 1 papunkčio a ir d dalimis, 2 papunkčiu, 4 papunkčio a ir b dalimis, III priedo X skirsnio I skyriaus 1 punktu;</w:t>
      </w:r>
    </w:p>
    <w:p w14:paraId="13FE8BAE" w14:textId="1F8CFCCE" w:rsidR="00DC1209" w:rsidRDefault="00997530" w:rsidP="00997530">
      <w:pPr>
        <w:pStyle w:val="FootnoteText"/>
        <w:ind w:left="0" w:firstLine="0"/>
      </w:pPr>
      <w:r>
        <w:t>— Reglamentu (EB) Nr. 183/2005: 5 straipsnio 1, 5 ir 6 dalimis, I priedo A dalimi (I-4 punkto e ir g papunkčiais, II-2 punkto a, b ir e papunkčiais) ir III priedu (po antrašte „ŠĖRIMAS“ esančio 1 punkto „Sandėliavimas“ pirmu bei paskutiniu sakiniais ir 2 punkto „Skirstymas“ trečiu sakiniu) ir</w:t>
      </w:r>
    </w:p>
    <w:p w14:paraId="6A817D28" w14:textId="5767C5E9" w:rsidR="00DC1209" w:rsidRPr="00A72294" w:rsidRDefault="00997530" w:rsidP="00997530">
      <w:pPr>
        <w:pStyle w:val="FootnoteText"/>
        <w:ind w:left="0" w:firstLine="0"/>
      </w:pPr>
      <w:r>
        <w:t>— Reglamentu (EB) Nr. 396/2005: 18 straipsniu.</w:t>
      </w:r>
    </w:p>
  </w:footnote>
  <w:footnote w:id="4">
    <w:p w14:paraId="0EFCFB4F" w14:textId="76F5B859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1996 m. balandžio 29 d. Tarybos direktyva 96/22/EB dėl draudimo vartoti gyvulininkystėje tam tikras medžiagas, turinčias hormoninį ar tirostatinį poveikį, bei beta antagonistus ir dėl Direktyvų 81/602/EEB, 88/146/EEB ir 88/299/EEB panaikinimo (OL L 125, 1996 5 23, p. 3, ELI: </w:t>
      </w:r>
      <w:hyperlink r:id="rId4" w:history="1">
        <w:r>
          <w:rPr>
            <w:rStyle w:val="Hyperlink"/>
          </w:rPr>
          <w:t>http://data.europa.eu/eli/dir/1996/22/oj</w:t>
        </w:r>
      </w:hyperlink>
      <w:r>
        <w:t>).</w:t>
      </w:r>
    </w:p>
  </w:footnote>
  <w:footnote w:id="5">
    <w:p w14:paraId="1A41AE76" w14:textId="618CFB9C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2009 m. spalio 21 d. Europos Parlamento ir Tarybos reglamentas (EB) Nr. 1107/2009 dėl augalų apsaugos produktų pateikimo į rinką ir panaikinantis Tarybos direktyvas 79/117/EEB ir 91/414/EEB (OL L 309, 2009 11 24, p. 1, ELI: </w:t>
      </w:r>
      <w:hyperlink r:id="rId5" w:history="1">
        <w:r>
          <w:rPr>
            <w:rStyle w:val="Hyperlink"/>
          </w:rPr>
          <w:t>http://data.europa.eu/eli/reg/2009/1107/oj</w:t>
        </w:r>
      </w:hyperlink>
      <w:r>
        <w:t>).</w:t>
      </w:r>
    </w:p>
  </w:footnote>
  <w:footnote w:id="6">
    <w:p w14:paraId="64CEB783" w14:textId="0E0F0653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2009 m. spalio 21 d. Europos Parlamento ir Tarybos direktyva 2009/128/EB, nustatanti Bendrijos veiksmų pagrindus siekiant tausiojo pesticidų naudojimo, (OL L 309, 2009 11 24, p. 71, ELI:  </w:t>
      </w:r>
      <w:hyperlink r:id="rId6" w:history="1">
        <w:r>
          <w:rPr>
            <w:rStyle w:val="Hyperlink"/>
          </w:rPr>
          <w:t>http://data.europa.eu/eli/dir/2009/128/oj</w:t>
        </w:r>
      </w:hyperlink>
      <w:r>
        <w:t>).</w:t>
      </w:r>
    </w:p>
  </w:footnote>
  <w:footnote w:id="7">
    <w:p w14:paraId="696303D7" w14:textId="28A5230B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2008 m. gruodžio 18 d. Tarybos direktyva 2008/119/EB, nustatanti būtiniausius veršelių apsaugos standartus, (OL L 10, 2009 1 15, p. 7, ELI: </w:t>
      </w:r>
      <w:hyperlink r:id="rId7" w:history="1">
        <w:r>
          <w:rPr>
            <w:rStyle w:val="Hyperlink"/>
          </w:rPr>
          <w:t>http://data.europa.eu/eli/dir/2008/119/oj</w:t>
        </w:r>
      </w:hyperlink>
      <w:r>
        <w:t>).</w:t>
      </w:r>
    </w:p>
  </w:footnote>
  <w:footnote w:id="8">
    <w:p w14:paraId="1697347C" w14:textId="18BB2FA1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2008 m. gruodžio 18 d. Tarybos direktyva 2008/120/EB, nustatanti būtiniausius kiaulių apsaugos standartus, (OL L 47, 2009 2 18, p. 5, ELI: </w:t>
      </w:r>
      <w:hyperlink r:id="rId8" w:history="1">
        <w:r>
          <w:rPr>
            <w:rStyle w:val="Hyperlink"/>
          </w:rPr>
          <w:t>http://data.europa.eu/eli/dir/2008/120/oj</w:t>
        </w:r>
      </w:hyperlink>
      <w:r>
        <w:t>).</w:t>
      </w:r>
    </w:p>
  </w:footnote>
  <w:footnote w:id="9">
    <w:p w14:paraId="48A8100B" w14:textId="789D7DAA" w:rsidR="00DF4FD0" w:rsidRPr="00DF4FD0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1998 m. liepos 20 d. Tarybos direktyva 98/58/EB dėl ūkinės paskirties gyvūnų apsaugos (OL L 221, 1998 8 8, p. 23, ELI: </w:t>
      </w:r>
      <w:hyperlink r:id="rId9" w:history="1">
        <w:r>
          <w:rPr>
            <w:rStyle w:val="Hyperlink"/>
          </w:rPr>
          <w:t>http://data.europa.eu/eli/dir/1998/58/oj</w:t>
        </w:r>
      </w:hyperlink>
      <w:r>
        <w:t>).</w:t>
      </w:r>
    </w:p>
  </w:footnote>
  <w:footnote w:id="10">
    <w:p w14:paraId="727C578D" w14:textId="650D3500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2019 m. birželio 20 d. Europos Parlamento ir Tarybos direktyva (ES) 2019/1152 dėl skaidrių ir nuspėjamų darbo sąlygų Europos Sąjungoje (OL L 186, 2019 7 11, p. 105, ELI: </w:t>
      </w:r>
      <w:hyperlink r:id="rId10" w:history="1">
        <w:r>
          <w:rPr>
            <w:rStyle w:val="Hyperlink"/>
          </w:rPr>
          <w:t>http://data.europa.eu/eli/dir/2019/1152/oj</w:t>
        </w:r>
      </w:hyperlink>
      <w:r>
        <w:t xml:space="preserve">). </w:t>
      </w:r>
    </w:p>
  </w:footnote>
  <w:footnote w:id="11">
    <w:p w14:paraId="1D5ED4B7" w14:textId="4CEAD579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1989 m. birželio 12 d. Tarybos direktyva 89/391/EEB dėl priemonių darbuotojų saugai ir sveikatos apsaugai darbe gerinti nustatymo (OL L 183, 1989 6 29, p. 1, ELI: </w:t>
      </w:r>
      <w:hyperlink r:id="rId11" w:history="1">
        <w:r>
          <w:rPr>
            <w:rStyle w:val="Hyperlink"/>
          </w:rPr>
          <w:t>http://data.europa.eu/eli/dir/1989/391/oj</w:t>
        </w:r>
      </w:hyperlink>
      <w:r>
        <w:t xml:space="preserve">). </w:t>
      </w:r>
    </w:p>
  </w:footnote>
  <w:footnote w:id="12">
    <w:p w14:paraId="5A131F89" w14:textId="32ECEDCB" w:rsidR="00DF4FD0" w:rsidRPr="00D20E64" w:rsidRDefault="00DF4FD0" w:rsidP="00DF4FD0">
      <w:pPr>
        <w:pStyle w:val="FootnoteText"/>
      </w:pPr>
      <w:r>
        <w:rPr>
          <w:rStyle w:val="FootnoteReference"/>
        </w:rPr>
        <w:footnoteRef/>
      </w:r>
      <w:r>
        <w:tab/>
        <w:t xml:space="preserve">2009 m. rugsėjo 16 d. Europos Parlamento ir Tarybos direktyva 2009/104/EB dėl būtiniausių darbo įrenginių naudojimui taikomų darbuotojų saugos ir sveikatos reikalavimų (antroji atskira direktyva, kaip numatyta Direktyvos 89/391/EEB 16 straipsnio 1 dalyje) (OL L 260, 2009 10 3, p. 5, ELI: </w:t>
      </w:r>
      <w:hyperlink r:id="rId12" w:history="1">
        <w:r>
          <w:rPr>
            <w:rStyle w:val="Hyperlink"/>
          </w:rPr>
          <w:t>http://data.europa.eu/eli/dir/2009/104/oj</w:t>
        </w:r>
      </w:hyperlink>
      <w:r>
        <w:t>).</w:t>
      </w:r>
      <w:r>
        <w:rPr>
          <w:i/>
        </w:rPr>
        <w:t xml:space="preserve"> </w:t>
      </w:r>
    </w:p>
    <w:p w14:paraId="2AADA74F" w14:textId="77777777" w:rsidR="00DF4FD0" w:rsidRPr="00D20E64" w:rsidRDefault="00DF4FD0" w:rsidP="00DF4FD0">
      <w:pPr>
        <w:pStyle w:val="FootnoteText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432A" w14:textId="77777777" w:rsidR="00596CAB" w:rsidRPr="00596CAB" w:rsidRDefault="00596CAB" w:rsidP="00596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361A" w14:textId="77777777" w:rsidR="00596CAB" w:rsidRPr="00596CAB" w:rsidRDefault="00596CAB" w:rsidP="00596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AD88" w14:textId="77777777" w:rsidR="00596CAB" w:rsidRPr="00596CAB" w:rsidRDefault="00596CAB" w:rsidP="00596C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2B6E6" w14:textId="77777777" w:rsidR="00596CAB" w:rsidRDefault="00596CA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2E1C" w14:textId="77777777" w:rsidR="00596CAB" w:rsidRDefault="00596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DD42B6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F9060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4ECB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C8C65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9" w15:restartNumberingAfterBreak="0">
    <w:nsid w:val="7D5CFE37"/>
    <w:multiLevelType w:val="hybridMultilevel"/>
    <w:tmpl w:val="553674D0"/>
    <w:lvl w:ilvl="0" w:tplc="DDC8EADE">
      <w:start w:val="4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1CF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C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8C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D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9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89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64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F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17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16"/>
  </w:num>
  <w:num w:numId="10">
    <w:abstractNumId w:val="4"/>
  </w:num>
  <w:num w:numId="11">
    <w:abstractNumId w:val="11"/>
  </w:num>
  <w:num w:numId="12">
    <w:abstractNumId w:val="13"/>
  </w:num>
  <w:num w:numId="13">
    <w:abstractNumId w:val="14"/>
  </w:num>
  <w:num w:numId="14">
    <w:abstractNumId w:val="6"/>
  </w:num>
  <w:num w:numId="15">
    <w:abstractNumId w:val="12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8"/>
  </w:num>
  <w:num w:numId="23">
    <w:abstractNumId w:val="17"/>
  </w:num>
  <w:num w:numId="24">
    <w:abstractNumId w:val="7"/>
  </w:num>
  <w:num w:numId="25">
    <w:abstractNumId w:val="9"/>
  </w:num>
  <w:num w:numId="26">
    <w:abstractNumId w:val="10"/>
  </w:num>
  <w:num w:numId="27">
    <w:abstractNumId w:val="5"/>
  </w:num>
  <w:num w:numId="28">
    <w:abstractNumId w:val="16"/>
  </w:num>
  <w:num w:numId="29">
    <w:abstractNumId w:val="4"/>
  </w:num>
  <w:num w:numId="30">
    <w:abstractNumId w:val="11"/>
  </w:num>
  <w:num w:numId="31">
    <w:abstractNumId w:val="13"/>
  </w:num>
  <w:num w:numId="32">
    <w:abstractNumId w:val="14"/>
  </w:num>
  <w:num w:numId="33">
    <w:abstractNumId w:val="6"/>
  </w:num>
  <w:num w:numId="34">
    <w:abstractNumId w:val="12"/>
  </w:num>
  <w:num w:numId="35">
    <w:abstractNumId w:val="18"/>
  </w:num>
  <w:num w:numId="36">
    <w:abstractNumId w:val="15"/>
  </w:num>
  <w:num w:numId="37">
    <w:abstractNumId w:val="8"/>
  </w:num>
  <w:num w:numId="38">
    <w:abstractNumId w:val="17"/>
  </w:num>
  <w:num w:numId="39">
    <w:abstractNumId w:val="7"/>
  </w:num>
  <w:num w:numId="40">
    <w:abstractNumId w:val="9"/>
  </w:num>
  <w:num w:numId="41">
    <w:abstractNumId w:val="10"/>
  </w:num>
  <w:num w:numId="42">
    <w:abstractNumId w:val="5"/>
  </w:num>
  <w:num w:numId="43">
    <w:abstractNumId w:val="16"/>
  </w:num>
  <w:num w:numId="44">
    <w:abstractNumId w:val="4"/>
  </w:num>
  <w:num w:numId="45">
    <w:abstractNumId w:val="11"/>
  </w:num>
  <w:num w:numId="46">
    <w:abstractNumId w:val="13"/>
  </w:num>
  <w:num w:numId="47">
    <w:abstractNumId w:val="14"/>
  </w:num>
  <w:num w:numId="48">
    <w:abstractNumId w:val="6"/>
  </w:num>
  <w:num w:numId="49">
    <w:abstractNumId w:val="12"/>
  </w:num>
  <w:num w:numId="5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9-03 23:15:5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prie"/>
    <w:docVar w:name="LW_ACCOMPAGNANT.CP" w:val="prie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E3C140AA-9468-4667-A6D4-123ECCAF3B26"/>
    <w:docVar w:name="LW_COVERPAGE_TYPE" w:val="1"/>
    <w:docVar w:name="LW_CreatedUtc" w:val="2025-07-15T19:01:48.1617360Z"/>
    <w:docVar w:name="LW_CROSSREFERENCE" w:val="&lt;UNUSED&gt;"/>
    <w:docVar w:name="LW_DocType" w:val="ANNEX"/>
    <w:docVar w:name="LW_EMISSION" w:val="2025 07 16"/>
    <w:docVar w:name="LW_EMISSION_ISODATE" w:val="2025-07-16"/>
    <w:docVar w:name="LW_EMISSION_LOCATION" w:val="BRX"/>
    <w:docVar w:name="LW_EMISSION_PREFIX" w:val="Briuselis, "/>
    <w:docVar w:name="LW_EMISSION_SUFFIX" w:val=" "/>
    <w:docVar w:name="LW_ID_DOCSTRUCTURE" w:val="COM/ANNEX"/>
    <w:docVar w:name="LW_ID_DOCTYPE" w:val="SG-017"/>
    <w:docVar w:name="LW_LANGUE" w:val="LT"/>
    <w:docVar w:name="LW_LEVEL_OF_SENSITIVITY" w:val="Standard treatment"/>
    <w:docVar w:name="LW_NOM.INST" w:val="EUROPOS KOMISIJA"/>
    <w:docVar w:name="LW_NOM.INST_JOINTDOC" w:val="&lt;EMPTY&gt;"/>
    <w:docVar w:name="LW_OBJETACTEPRINCIPAL" w:val="&lt;FMT:Bold&gt;kuriuo nustatomos S\u261?jungos paramos bendrai \u382?em\u279?s \u363?kio politikai \u303?gyvendinimo 2028\u8211?2034 m. s\u261?lygos&lt;/FMT&gt;_x000d__x000b_"/>
    <w:docVar w:name="LW_OBJETACTEPRINCIPAL.CP" w:val="&lt;FMT:Bold&gt;kuriuo nustatomos S\u261?jungos paramos bendrai \u382?em\u279?s \u363?kio politikai \u303?gyvendinimo 2028\u8211?2034 m. s\u261?lygos&lt;/FMT&gt;_x000d__x000b_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5) 56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IEDAI"/>
    <w:docVar w:name="LW_TYPE.DOC.CP" w:val="PRIEDAI"/>
    <w:docVar w:name="LW_TYPEACTEPRINCIPAL" w:val="pasi\u363?lymo d\u279?l Europos Parlamento ir Tarybos reglamento"/>
    <w:docVar w:name="LW_TYPEACTEPRINCIPAL.CP" w:val="pasi\u363?lymo d\u279?l Europos Parlamento ir Tarybos reglamento"/>
    <w:docVar w:name="LwApiVersions" w:val="LW4CoDe 1.24.5.0; LW 9.0, Build 20240221"/>
  </w:docVars>
  <w:rsids>
    <w:rsidRoot w:val="00DF4FD0"/>
    <w:rsid w:val="00026BC7"/>
    <w:rsid w:val="00097E10"/>
    <w:rsid w:val="000E1CD7"/>
    <w:rsid w:val="00165C4F"/>
    <w:rsid w:val="001B51DD"/>
    <w:rsid w:val="001D7B9B"/>
    <w:rsid w:val="001F343E"/>
    <w:rsid w:val="00230FEA"/>
    <w:rsid w:val="002453AF"/>
    <w:rsid w:val="003162D2"/>
    <w:rsid w:val="00320EDA"/>
    <w:rsid w:val="00370792"/>
    <w:rsid w:val="003975F2"/>
    <w:rsid w:val="004041A4"/>
    <w:rsid w:val="004917DB"/>
    <w:rsid w:val="00492EB7"/>
    <w:rsid w:val="004F3614"/>
    <w:rsid w:val="005122DC"/>
    <w:rsid w:val="00536C8D"/>
    <w:rsid w:val="00543AC0"/>
    <w:rsid w:val="00596CAB"/>
    <w:rsid w:val="005C0AF0"/>
    <w:rsid w:val="005D7408"/>
    <w:rsid w:val="00626E37"/>
    <w:rsid w:val="0063358C"/>
    <w:rsid w:val="0068498C"/>
    <w:rsid w:val="006A6BCB"/>
    <w:rsid w:val="00723309"/>
    <w:rsid w:val="00782C65"/>
    <w:rsid w:val="007B7854"/>
    <w:rsid w:val="007F2F26"/>
    <w:rsid w:val="0084321D"/>
    <w:rsid w:val="008D6398"/>
    <w:rsid w:val="00905D22"/>
    <w:rsid w:val="00932CDD"/>
    <w:rsid w:val="00946628"/>
    <w:rsid w:val="00997530"/>
    <w:rsid w:val="00A07BD3"/>
    <w:rsid w:val="00A54C30"/>
    <w:rsid w:val="00A6243B"/>
    <w:rsid w:val="00A62EA3"/>
    <w:rsid w:val="00A71F6D"/>
    <w:rsid w:val="00A72294"/>
    <w:rsid w:val="00A813A0"/>
    <w:rsid w:val="00AE7E82"/>
    <w:rsid w:val="00AF5D9B"/>
    <w:rsid w:val="00B04DDF"/>
    <w:rsid w:val="00B66A6F"/>
    <w:rsid w:val="00B87897"/>
    <w:rsid w:val="00BA4F3C"/>
    <w:rsid w:val="00BB30BC"/>
    <w:rsid w:val="00BF4517"/>
    <w:rsid w:val="00C22F59"/>
    <w:rsid w:val="00C953CA"/>
    <w:rsid w:val="00CC3DE5"/>
    <w:rsid w:val="00CE219E"/>
    <w:rsid w:val="00CE7E2A"/>
    <w:rsid w:val="00D22019"/>
    <w:rsid w:val="00D328C4"/>
    <w:rsid w:val="00D33986"/>
    <w:rsid w:val="00DA5729"/>
    <w:rsid w:val="00DB174D"/>
    <w:rsid w:val="00DC1209"/>
    <w:rsid w:val="00DD42A0"/>
    <w:rsid w:val="00DF4FD0"/>
    <w:rsid w:val="00EF0021"/>
    <w:rsid w:val="00F6530D"/>
    <w:rsid w:val="00F7024E"/>
    <w:rsid w:val="00F82260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83654F"/>
  <w15:docId w15:val="{FE355BA9-CD01-4333-8299-366F9FE4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qFormat/>
    <w:rsid w:val="00DF4FD0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character" w:styleId="Hyperlink">
    <w:name w:val="Hyperlink"/>
    <w:uiPriority w:val="99"/>
    <w:rsid w:val="00DF4FD0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F4FD0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F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C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6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C7"/>
    <w:rPr>
      <w:rFonts w:ascii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C7"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026BC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CE7E2A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E2A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E2A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E2A"/>
    <w:pPr>
      <w:numPr>
        <w:numId w:val="20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96CAB"/>
    <w:rPr>
      <w:rFonts w:ascii="Times New Roman" w:hAnsi="Times New Roman" w:cs="Times New Roman"/>
      <w:sz w:val="24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596CAB"/>
    <w:rPr>
      <w:rFonts w:ascii="Times New Roman" w:hAnsi="Times New Roman" w:cs="Times New Roman"/>
      <w:sz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FootnotesymbolCarZchn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596C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596CAB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596C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6"/>
      </w:numPr>
    </w:pPr>
  </w:style>
  <w:style w:type="paragraph" w:customStyle="1" w:styleId="Tiret1">
    <w:name w:val="Tiret 1"/>
    <w:basedOn w:val="Point1"/>
    <w:pPr>
      <w:numPr>
        <w:numId w:val="37"/>
      </w:numPr>
    </w:pPr>
  </w:style>
  <w:style w:type="paragraph" w:customStyle="1" w:styleId="Tiret2">
    <w:name w:val="Tiret 2"/>
    <w:basedOn w:val="Point2"/>
    <w:pPr>
      <w:numPr>
        <w:numId w:val="38"/>
      </w:numPr>
    </w:pPr>
  </w:style>
  <w:style w:type="paragraph" w:customStyle="1" w:styleId="Tiret3">
    <w:name w:val="Tiret 3"/>
    <w:basedOn w:val="Point3"/>
    <w:pPr>
      <w:numPr>
        <w:numId w:val="39"/>
      </w:numPr>
    </w:pPr>
  </w:style>
  <w:style w:type="paragraph" w:customStyle="1" w:styleId="Tiret4">
    <w:name w:val="Tiret 4"/>
    <w:basedOn w:val="Point4"/>
    <w:pPr>
      <w:numPr>
        <w:numId w:val="40"/>
      </w:numPr>
    </w:pPr>
  </w:style>
  <w:style w:type="paragraph" w:customStyle="1" w:styleId="Tiret5">
    <w:name w:val="Tiret 5"/>
    <w:basedOn w:val="Point5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4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4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96CAB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596CAB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596CAB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596CAB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dir/2008/120/oj" TargetMode="External"/><Relationship Id="rId3" Type="http://schemas.openxmlformats.org/officeDocument/2006/relationships/hyperlink" Target="http://data.europa.eu/eli/reg/2002/178/oj" TargetMode="External"/><Relationship Id="rId7" Type="http://schemas.openxmlformats.org/officeDocument/2006/relationships/hyperlink" Target="http://data.europa.eu/eli/dir/2008/119/oj" TargetMode="External"/><Relationship Id="rId12" Type="http://schemas.openxmlformats.org/officeDocument/2006/relationships/hyperlink" Target="http://data.europa.eu/eli/dir/2009/104/oj" TargetMode="External"/><Relationship Id="rId2" Type="http://schemas.openxmlformats.org/officeDocument/2006/relationships/hyperlink" Target="http://data.europa.eu/eli/dir/1991/676/oj" TargetMode="External"/><Relationship Id="rId1" Type="http://schemas.openxmlformats.org/officeDocument/2006/relationships/hyperlink" Target="https://eur-lex.europa.eu/legal-content/EN/AUTO/?uri=OJ:L:1991:375:TOC" TargetMode="External"/><Relationship Id="rId6" Type="http://schemas.openxmlformats.org/officeDocument/2006/relationships/hyperlink" Target="http://data.europa.eu/eli/dir/2009/128/oj" TargetMode="External"/><Relationship Id="rId11" Type="http://schemas.openxmlformats.org/officeDocument/2006/relationships/hyperlink" Target="http://data.europa.eu/eli/dir/1989/391/oj" TargetMode="External"/><Relationship Id="rId5" Type="http://schemas.openxmlformats.org/officeDocument/2006/relationships/hyperlink" Target="http://data.europa.eu/eli/reg/2009/1107/oj" TargetMode="External"/><Relationship Id="rId10" Type="http://schemas.openxmlformats.org/officeDocument/2006/relationships/hyperlink" Target="http://data.europa.eu/eli/dir/2019/1152/oj" TargetMode="External"/><Relationship Id="rId4" Type="http://schemas.openxmlformats.org/officeDocument/2006/relationships/hyperlink" Target="http://data.europa.eu/eli/dir/1996/22/oj" TargetMode="External"/><Relationship Id="rId9" Type="http://schemas.openxmlformats.org/officeDocument/2006/relationships/hyperlink" Target="http://data.europa.eu/eli/dir/1998/58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EBCF-6D3C-406D-9F1C-2D9D782E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6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19</cp:revision>
  <dcterms:created xsi:type="dcterms:W3CDTF">2025-07-16T05:53:00Z</dcterms:created>
  <dcterms:modified xsi:type="dcterms:W3CDTF">2025-09-03T21:16:00Z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2025-07-15T19:04:31Z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4ca28971-6d6c-471b-9786-bca191953841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DQCStatus">
    <vt:lpwstr>Green (DQC version 03)</vt:lpwstr>
  </property>
</Properties>
</file>